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1"/>
        <w:jc w:val="both"/>
        <w:spacing w:line="360" w:lineRule="auto"/>
        <w:rPr>
          <w:rFonts w:hint="eastAsia" w:ascii="宋体" w:hAnsi="宋体"/>
          <w:color w:val="000000"/>
          <w:sz w:val="36"/>
          <w:highlight w:val="none"/>
          <w:lang w:eastAsia="zh-CN"/>
        </w:rPr>
      </w:pPr>
      <w:r/>
      <w:bookmarkStart w:id="0" w:name="_Toc528771312"/>
      <w:r/>
      <w:bookmarkStart w:id="1" w:name="_Hlk69393945"/>
      <w:r/>
      <w:bookmarkStart w:id="2" w:name="_Toc27744861"/>
      <w:r>
        <w:rPr>
          <w:rFonts w:hint="eastAsia" w:ascii="宋体" w:hAnsi="宋体"/>
          <w:color w:val="000000"/>
          <w:sz w:val="36"/>
          <w:highlight w:val="none"/>
          <w:lang w:eastAsia="zh-CN"/>
        </w:rPr>
      </w:r>
      <w:r/>
    </w:p>
    <w:p>
      <w:pPr>
        <w:pStyle w:val="1151"/>
        <w:jc w:val="center"/>
        <w:spacing w:line="360" w:lineRule="auto"/>
        <w:rPr>
          <w:rFonts w:hint="eastAsia" w:ascii="宋体" w:hAnsi="宋体"/>
          <w:color w:val="000000"/>
          <w:sz w:val="36"/>
          <w:highlight w:val="none"/>
          <w:lang w:eastAsia="zh-CN"/>
        </w:rPr>
      </w:pPr>
      <w:r>
        <w:rPr>
          <w:rFonts w:hint="eastAsia" w:ascii="宋体" w:hAnsi="宋体"/>
          <w:color w:val="000000"/>
          <w:sz w:val="36"/>
          <w:highlight w:val="none"/>
          <w:lang w:eastAsia="zh-CN"/>
        </w:rPr>
      </w:r>
      <w:r/>
    </w:p>
    <w:p>
      <w:pPr>
        <w:pStyle w:val="1151"/>
        <w:jc w:val="center"/>
        <w:spacing w:line="360" w:lineRule="auto"/>
        <w:rPr>
          <w:rFonts w:ascii="宋体" w:hAnsi="宋体"/>
          <w:color w:val="000000"/>
          <w:sz w:val="36"/>
          <w:highlight w:val="none"/>
        </w:rPr>
      </w:pPr>
      <w:r>
        <w:rPr>
          <w:rFonts w:hint="eastAsia" w:ascii="宋体" w:hAnsi="宋体"/>
          <w:color w:val="000000"/>
          <w:sz w:val="36"/>
          <w:highlight w:val="none"/>
          <w:lang w:eastAsia="zh-CN"/>
        </w:rPr>
        <w:t xml:space="preserve">高邮城南经济新区顺鑫雅居小区外围电力配套工程</w:t>
      </w:r>
      <w:r>
        <w:rPr>
          <w:rFonts w:ascii="宋体" w:hAnsi="宋体"/>
          <w:color w:val="000000"/>
          <w:sz w:val="36"/>
          <w:highlight w:val="none"/>
        </w:rPr>
      </w:r>
      <w:r/>
    </w:p>
    <w:p>
      <w:pPr>
        <w:pStyle w:val="1151"/>
        <w:jc w:val="center"/>
        <w:spacing w:line="360" w:lineRule="auto"/>
        <w:rPr>
          <w:rFonts w:hint="eastAsia" w:ascii="宋体" w:hAnsi="宋体"/>
          <w:color w:val="000000"/>
          <w:sz w:val="36"/>
          <w:highlight w:val="none"/>
        </w:rPr>
      </w:pPr>
      <w:r>
        <w:rPr>
          <w:rFonts w:hint="eastAsia" w:ascii="宋体" w:hAnsi="宋体"/>
          <w:color w:val="000000"/>
          <w:sz w:val="36"/>
          <w:highlight w:val="none"/>
        </w:rPr>
      </w:r>
      <w:r/>
    </w:p>
    <w:p>
      <w:pPr>
        <w:pStyle w:val="1151"/>
        <w:jc w:val="center"/>
        <w:spacing w:line="360" w:lineRule="auto"/>
        <w:rPr>
          <w:rFonts w:hint="eastAsia" w:ascii="宋体" w:hAnsi="宋体"/>
          <w:color w:val="000000"/>
          <w:sz w:val="48"/>
          <w:szCs w:val="32"/>
          <w:highlight w:val="none"/>
        </w:rPr>
      </w:pPr>
      <w:r>
        <w:rPr>
          <w:rFonts w:hint="eastAsia" w:ascii="宋体" w:hAnsi="宋体"/>
          <w:color w:val="000000"/>
          <w:sz w:val="48"/>
          <w:szCs w:val="32"/>
          <w:highlight w:val="none"/>
        </w:rPr>
      </w:r>
      <w:r/>
    </w:p>
    <w:p>
      <w:pPr>
        <w:pStyle w:val="1151"/>
        <w:jc w:val="center"/>
        <w:spacing w:line="360" w:lineRule="auto"/>
        <w:rPr>
          <w:rFonts w:ascii="宋体" w:hAnsi="宋体"/>
          <w:color w:val="000000"/>
          <w:sz w:val="48"/>
          <w:szCs w:val="32"/>
          <w:highlight w:val="none"/>
        </w:rPr>
      </w:pPr>
      <w:r>
        <w:rPr>
          <w:rFonts w:hint="eastAsia" w:ascii="宋体" w:hAnsi="宋体"/>
          <w:color w:val="000000"/>
          <w:sz w:val="48"/>
          <w:szCs w:val="32"/>
          <w:highlight w:val="none"/>
        </w:rPr>
        <w:t xml:space="preserve">竞争性</w:t>
      </w:r>
      <w:r>
        <w:rPr>
          <w:rFonts w:hint="eastAsia" w:ascii="宋体" w:hAnsi="宋体"/>
          <w:color w:val="000000"/>
          <w:sz w:val="48"/>
          <w:szCs w:val="32"/>
          <w:highlight w:val="none"/>
          <w:lang w:eastAsia="zh-CN"/>
        </w:rPr>
        <w:t xml:space="preserve">谈判</w:t>
      </w:r>
      <w:r>
        <w:rPr>
          <w:rFonts w:hint="eastAsia" w:ascii="宋体" w:hAnsi="宋体"/>
          <w:color w:val="000000"/>
          <w:sz w:val="48"/>
          <w:szCs w:val="32"/>
          <w:highlight w:val="none"/>
        </w:rPr>
        <w:t xml:space="preserve">文件</w:t>
      </w:r>
      <w:r>
        <w:rPr>
          <w:rFonts w:ascii="宋体" w:hAnsi="宋体"/>
          <w:color w:val="000000"/>
          <w:sz w:val="48"/>
          <w:szCs w:val="32"/>
          <w:highlight w:val="none"/>
        </w:rPr>
      </w:r>
      <w:r/>
    </w:p>
    <w:p>
      <w:pPr>
        <w:pStyle w:val="1151"/>
        <w:jc w:val="center"/>
        <w:spacing w:line="360" w:lineRule="auto"/>
        <w:rPr>
          <w:rFonts w:ascii="宋体" w:hAnsi="宋体"/>
          <w:color w:val="000000"/>
          <w:sz w:val="36"/>
          <w:highlight w:val="none"/>
        </w:rPr>
      </w:pPr>
      <w:r>
        <w:rPr>
          <w:rFonts w:ascii="宋体" w:hAnsi="宋体"/>
          <w:color w:val="000000"/>
          <w:sz w:val="36"/>
          <w:highlight w:val="none"/>
        </w:rPr>
      </w:r>
      <w:r/>
    </w:p>
    <w:p>
      <w:pPr>
        <w:pStyle w:val="1151"/>
        <w:jc w:val="center"/>
        <w:spacing w:line="360" w:lineRule="auto"/>
        <w:rPr>
          <w:rFonts w:ascii="宋体" w:hAnsi="宋体"/>
          <w:color w:val="000000"/>
          <w:sz w:val="36"/>
          <w:highlight w:val="none"/>
        </w:rPr>
      </w:pPr>
      <w:r>
        <w:rPr>
          <w:rFonts w:ascii="宋体" w:hAnsi="宋体"/>
          <w:color w:val="000000"/>
          <w:sz w:val="36"/>
          <w:highlight w:val="none"/>
        </w:rPr>
      </w:r>
      <w:r/>
    </w:p>
    <w:p>
      <w:pPr>
        <w:pStyle w:val="1151"/>
        <w:jc w:val="center"/>
        <w:spacing w:line="360" w:lineRule="auto"/>
        <w:rPr>
          <w:rFonts w:ascii="宋体" w:hAnsi="宋体"/>
          <w:color w:val="000000"/>
          <w:sz w:val="36"/>
          <w:highlight w:val="none"/>
        </w:rPr>
      </w:pPr>
      <w:r>
        <w:rPr>
          <w:rFonts w:ascii="宋体" w:hAnsi="宋体"/>
          <w:color w:val="000000"/>
          <w:sz w:val="36"/>
          <w:highlight w:val="none"/>
        </w:rPr>
      </w:r>
      <w:r/>
    </w:p>
    <w:p>
      <w:pPr>
        <w:pStyle w:val="1151"/>
        <w:jc w:val="center"/>
        <w:spacing w:line="360" w:lineRule="auto"/>
        <w:rPr>
          <w:rFonts w:ascii="宋体" w:hAnsi="宋体"/>
          <w:color w:val="000000"/>
          <w:sz w:val="36"/>
          <w:highlight w:val="none"/>
        </w:rPr>
      </w:pPr>
      <w:r>
        <w:rPr>
          <w:rFonts w:ascii="宋体" w:hAnsi="宋体"/>
          <w:color w:val="000000"/>
          <w:sz w:val="36"/>
          <w:highlight w:val="none"/>
        </w:rPr>
      </w:r>
      <w:r/>
    </w:p>
    <w:p>
      <w:pPr>
        <w:pStyle w:val="1151"/>
        <w:jc w:val="center"/>
        <w:spacing w:line="360" w:lineRule="auto"/>
        <w:rPr>
          <w:rFonts w:ascii="宋体" w:hAnsi="宋体"/>
          <w:color w:val="000000"/>
          <w:sz w:val="36"/>
          <w:highlight w:val="none"/>
        </w:rPr>
      </w:pPr>
      <w:r>
        <w:rPr>
          <w:rFonts w:ascii="宋体" w:hAnsi="宋体"/>
          <w:color w:val="000000"/>
          <w:sz w:val="36"/>
          <w:highlight w:val="none"/>
        </w:rPr>
      </w:r>
      <w:r/>
    </w:p>
    <w:p>
      <w:pPr>
        <w:pStyle w:val="1151"/>
        <w:jc w:val="center"/>
        <w:spacing w:line="360" w:lineRule="auto"/>
        <w:rPr>
          <w:rFonts w:ascii="宋体" w:hAnsi="宋体"/>
          <w:color w:val="000000"/>
          <w:sz w:val="36"/>
          <w:highlight w:val="none"/>
        </w:rPr>
      </w:pPr>
      <w:r>
        <w:rPr>
          <w:rFonts w:ascii="宋体" w:hAnsi="宋体"/>
          <w:color w:val="000000"/>
          <w:sz w:val="36"/>
          <w:highlight w:val="none"/>
        </w:rPr>
      </w:r>
      <w:r/>
    </w:p>
    <w:p>
      <w:pPr>
        <w:pStyle w:val="1151"/>
        <w:jc w:val="left"/>
        <w:spacing w:line="360" w:lineRule="auto"/>
        <w:rPr>
          <w:rFonts w:ascii="宋体" w:hAnsi="宋体"/>
          <w:color w:val="000000"/>
          <w:sz w:val="36"/>
          <w:highlight w:val="none"/>
        </w:rPr>
      </w:pPr>
      <w:r>
        <w:rPr>
          <w:rFonts w:ascii="宋体" w:hAnsi="宋体"/>
          <w:color w:val="000000"/>
          <w:sz w:val="36"/>
          <w:highlight w:val="none"/>
        </w:rPr>
      </w:r>
      <w:r/>
    </w:p>
    <w:p>
      <w:pPr>
        <w:pStyle w:val="1151"/>
        <w:spacing w:line="360" w:lineRule="auto"/>
        <w:rPr>
          <w:rFonts w:ascii="宋体" w:hAnsi="宋体"/>
          <w:color w:val="000000"/>
          <w:sz w:val="36"/>
          <w:highlight w:val="none"/>
        </w:rPr>
      </w:pPr>
      <w:r>
        <w:rPr>
          <w:rFonts w:ascii="宋体" w:hAnsi="宋体"/>
          <w:color w:val="000000"/>
          <w:sz w:val="36"/>
          <w:highlight w:val="none"/>
        </w:rPr>
      </w:r>
      <w:r/>
    </w:p>
    <w:p>
      <w:pPr>
        <w:pStyle w:val="1154"/>
        <w:jc w:val="center"/>
        <w:spacing w:line="360" w:lineRule="exact"/>
        <w:rPr>
          <w:rFonts w:hint="eastAsia"/>
          <w:b w:val="0"/>
          <w:bCs w:val="0"/>
          <w:color w:val="000000"/>
          <w:highlight w:val="none"/>
        </w:rPr>
      </w:pPr>
      <w:r>
        <w:rPr>
          <w:rFonts w:hint="eastAsia"/>
          <w:b w:val="0"/>
          <w:bCs w:val="0"/>
          <w:color w:val="000000"/>
          <w:highlight w:val="none"/>
        </w:rPr>
      </w:r>
      <w:r/>
    </w:p>
    <w:p>
      <w:pPr>
        <w:pStyle w:val="1154"/>
        <w:jc w:val="center"/>
        <w:spacing w:line="360" w:lineRule="exact"/>
        <w:rPr>
          <w:rFonts w:hint="eastAsia"/>
          <w:b w:val="0"/>
          <w:bCs w:val="0"/>
          <w:color w:val="000000"/>
          <w:highlight w:val="none"/>
        </w:rPr>
      </w:pPr>
      <w:r>
        <w:rPr>
          <w:rFonts w:hint="eastAsia"/>
          <w:b w:val="0"/>
          <w:bCs w:val="0"/>
          <w:color w:val="000000"/>
          <w:highlight w:val="none"/>
        </w:rPr>
      </w:r>
      <w:r/>
    </w:p>
    <w:p>
      <w:pPr>
        <w:pStyle w:val="1154"/>
        <w:jc w:val="center"/>
        <w:spacing w:line="360" w:lineRule="exact"/>
        <w:rPr>
          <w:rFonts w:hint="eastAsia" w:eastAsia="宋体"/>
          <w:b w:val="0"/>
          <w:bCs w:val="0"/>
          <w:color w:val="000000"/>
          <w:highlight w:val="none"/>
          <w:lang w:eastAsia="zh-CN"/>
        </w:rPr>
      </w:pPr>
      <w:r>
        <w:rPr>
          <w:rFonts w:hint="eastAsia"/>
          <w:b w:val="0"/>
          <w:bCs w:val="0"/>
          <w:color w:val="000000"/>
          <w:highlight w:val="none"/>
        </w:rPr>
        <w:t xml:space="preserve">采购人：</w:t>
      </w:r>
      <w:r>
        <w:rPr>
          <w:rFonts w:hint="eastAsia"/>
          <w:b w:val="0"/>
          <w:bCs w:val="0"/>
          <w:color w:val="000000"/>
          <w:highlight w:val="none"/>
          <w:lang w:eastAsia="zh-CN"/>
        </w:rPr>
        <w:t xml:space="preserve">高邮城南经济新区管理委员会</w:t>
      </w:r>
      <w:r>
        <w:rPr>
          <w:rFonts w:hint="eastAsia" w:eastAsia="宋体"/>
          <w:b w:val="0"/>
          <w:bCs w:val="0"/>
          <w:color w:val="000000"/>
          <w:highlight w:val="none"/>
          <w:lang w:eastAsia="zh-CN"/>
        </w:rPr>
      </w:r>
      <w:r/>
    </w:p>
    <w:p>
      <w:pPr>
        <w:pStyle w:val="1154"/>
        <w:jc w:val="center"/>
        <w:spacing w:line="360" w:lineRule="exact"/>
        <w:rPr>
          <w:rFonts w:hint="eastAsia" w:ascii="宋体" w:hAnsi="宋体"/>
          <w:color w:val="000000"/>
          <w:sz w:val="36"/>
          <w:highlight w:val="none"/>
        </w:rPr>
      </w:pPr>
      <w:r>
        <w:rPr>
          <w:rFonts w:hint="eastAsia"/>
          <w:b w:val="0"/>
          <w:bCs w:val="0"/>
          <w:color w:val="000000"/>
          <w:highlight w:val="none"/>
          <w:lang w:eastAsia="zh-CN"/>
        </w:rPr>
        <w:t xml:space="preserve">采购</w:t>
      </w:r>
      <w:r>
        <w:rPr>
          <w:rFonts w:hint="eastAsia"/>
          <w:b w:val="0"/>
          <w:bCs w:val="0"/>
          <w:color w:val="000000"/>
          <w:highlight w:val="none"/>
        </w:rPr>
        <w:t xml:space="preserve">代理：江苏中建业工程项目管理咨询有限公司</w:t>
      </w:r>
      <w:r>
        <w:rPr>
          <w:rFonts w:hint="eastAsia" w:ascii="宋体" w:hAnsi="宋体"/>
          <w:color w:val="000000"/>
          <w:sz w:val="36"/>
          <w:highlight w:val="none"/>
        </w:rPr>
      </w:r>
      <w:r/>
    </w:p>
    <w:p>
      <w:pPr>
        <w:pStyle w:val="1151"/>
        <w:jc w:val="center"/>
        <w:spacing w:line="360" w:lineRule="auto"/>
        <w:rPr>
          <w:rFonts w:hint="eastAsia" w:ascii="宋体" w:hAnsi="宋体" w:cs="宋体"/>
          <w:b/>
          <w:color w:val="000000"/>
          <w:sz w:val="44"/>
          <w:szCs w:val="44"/>
        </w:rPr>
      </w:pPr>
      <w:r/>
      <w:bookmarkStart w:id="3" w:name="FMFBSJ_1"/>
      <w:r>
        <w:rPr>
          <w:rFonts w:hint="eastAsia" w:ascii="宋体" w:hAnsi="宋体"/>
          <w:color w:val="000000"/>
          <w:sz w:val="32"/>
          <w:szCs w:val="21"/>
          <w:highlight w:val="none"/>
          <w:lang w:eastAsia="zh-CN"/>
        </w:rPr>
        <w:t xml:space="preserve">2026年</w:t>
      </w:r>
      <w:r>
        <w:rPr>
          <w:rFonts w:ascii="宋体" w:hAnsi="宋体"/>
          <w:color w:val="000000"/>
          <w:sz w:val="32"/>
          <w:szCs w:val="21"/>
          <w:highlight w:val="none"/>
        </w:rPr>
        <w:t xml:space="preserve"> </w:t>
      </w:r>
      <w:r>
        <w:rPr>
          <w:rFonts w:hint="eastAsia" w:ascii="宋体" w:hAnsi="宋体"/>
          <w:color w:val="000000"/>
          <w:sz w:val="32"/>
          <w:szCs w:val="21"/>
          <w:highlight w:val="none"/>
          <w:lang w:val="en-US" w:eastAsia="zh-CN"/>
        </w:rPr>
        <w:t xml:space="preserve">6</w:t>
      </w:r>
      <w:r>
        <w:rPr>
          <w:rFonts w:ascii="宋体" w:hAnsi="宋体"/>
          <w:color w:val="000000"/>
          <w:sz w:val="32"/>
          <w:szCs w:val="21"/>
          <w:highlight w:val="none"/>
        </w:rPr>
        <w:t xml:space="preserve">月 </w:t>
      </w:r>
      <w:bookmarkEnd w:id="3"/>
      <w:r>
        <w:rPr>
          <w:color w:val="000000"/>
          <w:highlight w:val="none"/>
        </w:rPr>
        <w:br w:type="page" w:clear="all"/>
      </w:r>
      <w:r>
        <w:rPr>
          <w:rFonts w:hint="eastAsia" w:ascii="宋体" w:hAnsi="宋体" w:cs="宋体"/>
          <w:b/>
          <w:color w:val="000000"/>
          <w:sz w:val="44"/>
          <w:szCs w:val="44"/>
        </w:rPr>
        <w:t xml:space="preserve">目  录</w:t>
      </w:r>
      <w:r>
        <w:rPr>
          <w:rFonts w:hint="eastAsia" w:ascii="宋体" w:hAnsi="宋体" w:cs="宋体"/>
          <w:b/>
          <w:color w:val="000000"/>
          <w:sz w:val="44"/>
          <w:szCs w:val="44"/>
        </w:rPr>
      </w:r>
      <w:r/>
    </w:p>
    <w:p>
      <w:pPr>
        <w:pStyle w:val="1151"/>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pStyle w:val="1182"/>
        <w:ind w:right="-399"/>
        <w:spacing w:line="720" w:lineRule="auto"/>
        <w:tabs>
          <w:tab w:val="right" w:pos="9356" w:leader="dot"/>
        </w:tabs>
        <w:rPr>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w:instrText>
      </w:r>
      <w:r>
        <w:rPr>
          <w:rFonts w:hint="eastAsia" w:ascii="宋体" w:hAnsi="宋体" w:cs="宋体"/>
          <w:color w:val="000000"/>
          <w:sz w:val="24"/>
          <w:szCs w:val="24"/>
        </w:rPr>
        <w:instrText xml:space="preserve">TOC \o "1-2" \f</w:instrText>
      </w:r>
      <w:r>
        <w:rPr>
          <w:rFonts w:ascii="宋体" w:hAnsi="宋体" w:cs="宋体"/>
          <w:color w:val="000000"/>
          <w:sz w:val="24"/>
          <w:szCs w:val="24"/>
        </w:rPr>
        <w:instrText xml:space="preserve"> </w:instrText>
      </w:r>
      <w:r>
        <w:rPr>
          <w:rFonts w:ascii="宋体" w:hAnsi="宋体" w:cs="宋体"/>
          <w:color w:val="000000"/>
          <w:sz w:val="24"/>
          <w:szCs w:val="24"/>
        </w:rPr>
        <w:fldChar w:fldCharType="separate"/>
      </w:r>
      <w:r>
        <w:rPr>
          <w:rFonts w:hint="eastAsia" w:ascii="宋体" w:hAnsi="宋体" w:cs="宋体"/>
          <w:color w:val="000000"/>
          <w:sz w:val="24"/>
          <w:szCs w:val="24"/>
        </w:rPr>
        <w:t xml:space="preserve">第一章</w:t>
      </w:r>
      <w:r>
        <w:rPr>
          <w:rFonts w:ascii="宋体" w:hAnsi="宋体" w:cs="宋体"/>
          <w:color w:val="000000"/>
          <w:sz w:val="24"/>
          <w:szCs w:val="24"/>
        </w:rPr>
        <w:t xml:space="preserve"> </w:t>
      </w:r>
      <w:r>
        <w:rPr>
          <w:rFonts w:hint="eastAsia" w:ascii="宋体" w:hAnsi="宋体" w:cs="宋体"/>
          <w:color w:val="000000"/>
          <w:sz w:val="24"/>
          <w:szCs w:val="24"/>
        </w:rPr>
        <w:t xml:space="preserve">竞争性谈判采购公告</w:t>
      </w:r>
      <w:r>
        <w:rPr>
          <w:color w:val="000000"/>
          <w:sz w:val="24"/>
          <w:szCs w:val="24"/>
        </w:rPr>
        <w:tab/>
      </w:r>
      <w:r>
        <w:rPr>
          <w:color w:val="000000"/>
          <w:sz w:val="24"/>
          <w:szCs w:val="24"/>
        </w:rPr>
        <w:fldChar w:fldCharType="begin"/>
      </w:r>
      <w:r>
        <w:rPr>
          <w:color w:val="000000"/>
          <w:sz w:val="24"/>
          <w:szCs w:val="24"/>
        </w:rPr>
        <w:instrText xml:space="preserve"> PAGEREF _Toc175728701 \h </w:instrText>
      </w:r>
      <w:r>
        <w:rPr>
          <w:color w:val="000000"/>
          <w:sz w:val="24"/>
          <w:szCs w:val="24"/>
        </w:rPr>
        <w:fldChar w:fldCharType="separate"/>
      </w:r>
      <w:r>
        <w:rPr>
          <w:color w:val="000000"/>
          <w:sz w:val="24"/>
          <w:szCs w:val="24"/>
        </w:rPr>
        <w:t xml:space="preserve">3</w:t>
      </w:r>
      <w:r>
        <w:rPr>
          <w:color w:val="000000"/>
          <w:sz w:val="24"/>
          <w:szCs w:val="24"/>
        </w:rPr>
        <w:fldChar w:fldCharType="end"/>
      </w:r>
      <w:r>
        <w:rPr>
          <w:color w:val="000000"/>
          <w:sz w:val="24"/>
          <w:szCs w:val="24"/>
        </w:rPr>
      </w:r>
      <w:r/>
    </w:p>
    <w:p>
      <w:pPr>
        <w:pStyle w:val="1182"/>
        <w:spacing w:line="720" w:lineRule="auto"/>
        <w:tabs>
          <w:tab w:val="right" w:pos="9356" w:leader="dot"/>
        </w:tabs>
        <w:rPr>
          <w:color w:val="000000"/>
          <w:sz w:val="24"/>
          <w:szCs w:val="24"/>
        </w:rPr>
      </w:pPr>
      <w:r>
        <w:rPr>
          <w:rFonts w:hint="eastAsia" w:ascii="宋体" w:hAnsi="宋体" w:cs="宋体"/>
          <w:color w:val="000000"/>
          <w:sz w:val="24"/>
          <w:szCs w:val="24"/>
        </w:rPr>
        <w:t xml:space="preserve">第二章 供应商须知</w:t>
      </w:r>
      <w:r>
        <w:rPr>
          <w:color w:val="000000"/>
          <w:sz w:val="24"/>
          <w:szCs w:val="24"/>
        </w:rPr>
        <w:tab/>
      </w:r>
      <w:r>
        <w:rPr>
          <w:color w:val="000000"/>
          <w:sz w:val="24"/>
          <w:szCs w:val="24"/>
        </w:rPr>
        <w:fldChar w:fldCharType="begin"/>
      </w:r>
      <w:r>
        <w:rPr>
          <w:color w:val="000000"/>
          <w:sz w:val="24"/>
          <w:szCs w:val="24"/>
        </w:rPr>
        <w:instrText xml:space="preserve"> PAGEREF _Toc175728702 \h </w:instrText>
      </w:r>
      <w:r>
        <w:rPr>
          <w:color w:val="000000"/>
          <w:sz w:val="24"/>
          <w:szCs w:val="24"/>
        </w:rPr>
        <w:fldChar w:fldCharType="separate"/>
      </w:r>
      <w:r>
        <w:rPr>
          <w:color w:val="000000"/>
          <w:sz w:val="24"/>
          <w:szCs w:val="24"/>
        </w:rPr>
        <w:t xml:space="preserve">8</w:t>
      </w:r>
      <w:r>
        <w:rPr>
          <w:color w:val="000000"/>
          <w:sz w:val="24"/>
          <w:szCs w:val="24"/>
        </w:rPr>
        <w:fldChar w:fldCharType="end"/>
      </w:r>
      <w:r>
        <w:rPr>
          <w:color w:val="000000"/>
          <w:sz w:val="24"/>
          <w:szCs w:val="24"/>
        </w:rPr>
      </w:r>
      <w:r/>
    </w:p>
    <w:p>
      <w:pPr>
        <w:pStyle w:val="1182"/>
        <w:spacing w:line="720" w:lineRule="auto"/>
        <w:tabs>
          <w:tab w:val="right" w:pos="9356" w:leader="dot"/>
        </w:tabs>
        <w:rPr>
          <w:color w:val="000000"/>
          <w:sz w:val="24"/>
          <w:szCs w:val="24"/>
        </w:rPr>
      </w:pPr>
      <w:r>
        <w:rPr>
          <w:rFonts w:hint="eastAsia" w:ascii="宋体" w:hAnsi="宋体" w:cs="宋体"/>
          <w:color w:val="000000"/>
          <w:sz w:val="24"/>
          <w:szCs w:val="24"/>
        </w:rPr>
        <w:t xml:space="preserve">第三章 合同条款及格式</w:t>
      </w:r>
      <w:r>
        <w:rPr>
          <w:color w:val="000000"/>
          <w:sz w:val="24"/>
          <w:szCs w:val="24"/>
        </w:rPr>
        <w:tab/>
      </w:r>
      <w:r>
        <w:rPr>
          <w:color w:val="000000"/>
          <w:sz w:val="24"/>
          <w:szCs w:val="24"/>
        </w:rPr>
        <w:fldChar w:fldCharType="begin"/>
      </w:r>
      <w:r>
        <w:rPr>
          <w:color w:val="000000"/>
          <w:sz w:val="24"/>
          <w:szCs w:val="24"/>
        </w:rPr>
        <w:instrText xml:space="preserve"> PAGEREF _Toc175728703 \h </w:instrText>
      </w:r>
      <w:r>
        <w:rPr>
          <w:color w:val="000000"/>
          <w:sz w:val="24"/>
          <w:szCs w:val="24"/>
        </w:rPr>
        <w:fldChar w:fldCharType="separate"/>
      </w:r>
      <w:r>
        <w:rPr>
          <w:color w:val="000000"/>
          <w:sz w:val="24"/>
          <w:szCs w:val="24"/>
        </w:rPr>
        <w:t xml:space="preserve">20</w:t>
      </w:r>
      <w:r>
        <w:rPr>
          <w:color w:val="000000"/>
          <w:sz w:val="24"/>
          <w:szCs w:val="24"/>
        </w:rPr>
        <w:fldChar w:fldCharType="end"/>
      </w:r>
      <w:r>
        <w:rPr>
          <w:color w:val="000000"/>
          <w:sz w:val="24"/>
          <w:szCs w:val="24"/>
        </w:rPr>
      </w:r>
      <w:r/>
    </w:p>
    <w:p>
      <w:pPr>
        <w:pStyle w:val="1182"/>
        <w:spacing w:line="720" w:lineRule="auto"/>
        <w:tabs>
          <w:tab w:val="right" w:pos="9356" w:leader="dot"/>
        </w:tabs>
        <w:rPr>
          <w:color w:val="000000"/>
          <w:sz w:val="24"/>
          <w:szCs w:val="24"/>
        </w:rPr>
      </w:pPr>
      <w:r>
        <w:rPr>
          <w:rFonts w:hint="eastAsia" w:ascii="宋体" w:hAnsi="宋体" w:cs="宋体"/>
          <w:color w:val="000000"/>
          <w:sz w:val="24"/>
          <w:szCs w:val="24"/>
        </w:rPr>
        <w:t xml:space="preserve">第四章</w:t>
      </w:r>
      <w:r>
        <w:rPr>
          <w:rFonts w:ascii="宋体" w:hAnsi="宋体" w:cs="宋体"/>
          <w:color w:val="000000"/>
          <w:sz w:val="24"/>
          <w:szCs w:val="24"/>
        </w:rPr>
        <w:t xml:space="preserve"> </w:t>
      </w:r>
      <w:r>
        <w:rPr>
          <w:rFonts w:hint="eastAsia" w:ascii="宋体" w:hAnsi="宋体" w:cs="宋体"/>
          <w:color w:val="000000"/>
          <w:sz w:val="24"/>
          <w:szCs w:val="24"/>
        </w:rPr>
        <w:t xml:space="preserve">项目需求</w:t>
      </w:r>
      <w:r>
        <w:rPr>
          <w:color w:val="000000"/>
          <w:sz w:val="24"/>
          <w:szCs w:val="24"/>
        </w:rPr>
        <w:tab/>
      </w:r>
      <w:r>
        <w:rPr>
          <w:color w:val="000000"/>
          <w:sz w:val="24"/>
          <w:szCs w:val="24"/>
        </w:rPr>
        <w:fldChar w:fldCharType="begin"/>
      </w:r>
      <w:r>
        <w:rPr>
          <w:color w:val="000000"/>
          <w:sz w:val="24"/>
          <w:szCs w:val="24"/>
        </w:rPr>
        <w:instrText xml:space="preserve"> PAGEREF _Toc175728704 \h </w:instrText>
      </w:r>
      <w:r>
        <w:rPr>
          <w:color w:val="000000"/>
          <w:sz w:val="24"/>
          <w:szCs w:val="24"/>
        </w:rPr>
        <w:fldChar w:fldCharType="separate"/>
      </w:r>
      <w:r>
        <w:rPr>
          <w:color w:val="000000"/>
          <w:sz w:val="24"/>
          <w:szCs w:val="24"/>
        </w:rPr>
        <w:t xml:space="preserve">24</w:t>
      </w:r>
      <w:r>
        <w:rPr>
          <w:color w:val="000000"/>
          <w:sz w:val="24"/>
          <w:szCs w:val="24"/>
        </w:rPr>
        <w:fldChar w:fldCharType="end"/>
      </w:r>
      <w:r>
        <w:rPr>
          <w:color w:val="000000"/>
          <w:sz w:val="24"/>
          <w:szCs w:val="24"/>
        </w:rPr>
      </w:r>
      <w:r/>
    </w:p>
    <w:p>
      <w:pPr>
        <w:pStyle w:val="1182"/>
        <w:spacing w:line="720" w:lineRule="auto"/>
        <w:tabs>
          <w:tab w:val="right" w:pos="9356" w:leader="dot"/>
        </w:tabs>
        <w:rPr>
          <w:color w:val="000000"/>
          <w:sz w:val="24"/>
          <w:szCs w:val="24"/>
        </w:rPr>
      </w:pPr>
      <w:r>
        <w:rPr>
          <w:rFonts w:hint="eastAsia" w:ascii="宋体" w:hAnsi="宋体" w:cs="宋体"/>
          <w:color w:val="000000"/>
          <w:sz w:val="24"/>
          <w:szCs w:val="24"/>
        </w:rPr>
        <w:t xml:space="preserve">第五章</w:t>
      </w:r>
      <w:r>
        <w:rPr>
          <w:rFonts w:ascii="宋体" w:hAnsi="宋体" w:cs="宋体"/>
          <w:color w:val="000000"/>
          <w:sz w:val="24"/>
          <w:szCs w:val="24"/>
        </w:rPr>
        <w:t xml:space="preserve"> </w:t>
      </w:r>
      <w:r>
        <w:rPr>
          <w:rFonts w:hint="eastAsia" w:ascii="宋体" w:hAnsi="宋体" w:cs="宋体"/>
          <w:color w:val="000000"/>
          <w:sz w:val="24"/>
          <w:szCs w:val="24"/>
        </w:rPr>
        <w:t xml:space="preserve">响应文件格式</w:t>
      </w:r>
      <w:r>
        <w:rPr>
          <w:color w:val="000000"/>
          <w:sz w:val="24"/>
          <w:szCs w:val="24"/>
        </w:rPr>
        <w:tab/>
      </w:r>
      <w:r>
        <w:rPr>
          <w:color w:val="000000"/>
          <w:sz w:val="24"/>
          <w:szCs w:val="24"/>
        </w:rPr>
        <w:fldChar w:fldCharType="begin"/>
      </w:r>
      <w:r>
        <w:rPr>
          <w:color w:val="000000"/>
          <w:sz w:val="24"/>
          <w:szCs w:val="24"/>
        </w:rPr>
        <w:instrText xml:space="preserve"> PAGEREF _Toc175728705 \h </w:instrText>
      </w:r>
      <w:r>
        <w:rPr>
          <w:color w:val="000000"/>
          <w:sz w:val="24"/>
          <w:szCs w:val="24"/>
        </w:rPr>
        <w:fldChar w:fldCharType="separate"/>
      </w:r>
      <w:r>
        <w:rPr>
          <w:color w:val="000000"/>
          <w:sz w:val="24"/>
          <w:szCs w:val="24"/>
        </w:rPr>
        <w:t xml:space="preserve">216</w:t>
      </w:r>
      <w:r>
        <w:rPr>
          <w:color w:val="000000"/>
          <w:sz w:val="24"/>
          <w:szCs w:val="24"/>
        </w:rPr>
        <w:fldChar w:fldCharType="end"/>
      </w:r>
      <w:r>
        <w:rPr>
          <w:color w:val="000000"/>
          <w:sz w:val="24"/>
          <w:szCs w:val="24"/>
        </w:rPr>
      </w:r>
      <w:r/>
    </w:p>
    <w:p>
      <w:pPr>
        <w:pStyle w:val="1151"/>
        <w:spacing w:line="720" w:lineRule="auto"/>
        <w:rPr>
          <w:rFonts w:hint="eastAsia" w:ascii="宋体" w:hAnsi="宋体" w:cs="宋体"/>
          <w:color w:val="000000"/>
          <w:sz w:val="28"/>
        </w:rPr>
      </w:pPr>
      <w:r>
        <w:rPr>
          <w:rFonts w:ascii="宋体" w:hAnsi="宋体" w:cs="宋体"/>
          <w:color w:val="000000"/>
          <w:sz w:val="24"/>
          <w:szCs w:val="24"/>
        </w:rPr>
        <w:fldChar w:fldCharType="end"/>
      </w:r>
      <w:r>
        <w:rPr>
          <w:rFonts w:hint="eastAsia" w:ascii="宋体" w:hAnsi="宋体" w:cs="宋体"/>
          <w:color w:val="000000"/>
          <w:sz w:val="28"/>
        </w:rPr>
      </w:r>
      <w:r/>
    </w:p>
    <w:p>
      <w:pPr>
        <w:pStyle w:val="1151"/>
        <w:spacing w:line="720" w:lineRule="auto"/>
        <w:rPr>
          <w:rFonts w:hint="eastAsia" w:ascii="宋体" w:hAnsi="宋体" w:cs="宋体"/>
          <w:color w:val="000000"/>
        </w:rPr>
      </w:pPr>
      <w:r>
        <w:rPr>
          <w:rFonts w:hint="eastAsia" w:ascii="宋体" w:hAnsi="宋体" w:cs="宋体"/>
          <w:color w:val="000000"/>
        </w:rPr>
      </w:r>
      <w:r/>
    </w:p>
    <w:p>
      <w:pPr>
        <w:pStyle w:val="1152"/>
        <w:jc w:val="center"/>
        <w:spacing w:line="720" w:lineRule="auto"/>
        <w:rPr>
          <w:rFonts w:hint="eastAsia" w:ascii="宋体" w:hAnsi="宋体" w:cs="宋体"/>
          <w:color w:val="000000"/>
          <w:sz w:val="30"/>
          <w:szCs w:val="30"/>
        </w:rPr>
        <w:sectPr>
          <w:headerReference w:type="default" r:id="rId9"/>
          <w:footerReference w:type="default" r:id="rId11"/>
          <w:footnotePr/>
          <w:endnotePr/>
          <w:type w:val="nextPage"/>
          <w:pgSz w:w="11906" w:h="16838" w:orient="portrait"/>
          <w:pgMar w:top="1429" w:right="1520" w:bottom="1446" w:left="1429" w:header="851" w:footer="992" w:gutter="0"/>
          <w:cols w:num="1" w:sep="0" w:space="1701" w:equalWidth="1"/>
          <w:docGrid w:linePitch="360"/>
        </w:sectPr>
      </w:pPr>
      <w:r/>
      <w:bookmarkStart w:id="4" w:name="_Toc109304965"/>
      <w:r>
        <w:rPr>
          <w:rFonts w:hint="eastAsia" w:ascii="宋体" w:hAnsi="宋体" w:cs="宋体"/>
          <w:color w:val="000000"/>
          <w:sz w:val="30"/>
          <w:szCs w:val="30"/>
        </w:rPr>
      </w:r>
      <w:r/>
    </w:p>
    <w:p>
      <w:pPr>
        <w:pStyle w:val="1152"/>
        <w:jc w:val="center"/>
        <w:spacing w:before="0" w:after="0" w:line="500" w:lineRule="exact"/>
        <w:rPr>
          <w:rFonts w:hint="eastAsia" w:ascii="宋体" w:hAnsi="宋体" w:cs="宋体"/>
          <w:color w:val="000000"/>
          <w:sz w:val="31"/>
          <w:szCs w:val="31"/>
        </w:rPr>
      </w:pPr>
      <w:r/>
      <w:bookmarkStart w:id="5" w:name="_Toc175728701"/>
      <w:r>
        <w:rPr>
          <w:rFonts w:hint="eastAsia" w:ascii="宋体" w:hAnsi="宋体" w:cs="宋体"/>
          <w:color w:val="000000"/>
          <w:sz w:val="31"/>
          <w:szCs w:val="31"/>
        </w:rPr>
        <w:t xml:space="preserve">第一章  竞争性谈判采购公告</w:t>
      </w:r>
      <w:bookmarkEnd w:id="5"/>
      <w:r>
        <w:rPr>
          <w:rFonts w:hint="eastAsia" w:ascii="宋体" w:hAnsi="宋体" w:cs="宋体"/>
          <w:color w:val="000000"/>
          <w:sz w:val="31"/>
          <w:szCs w:val="31"/>
        </w:rPr>
      </w:r>
      <w:r/>
    </w:p>
    <w:p>
      <w:pPr>
        <w:pStyle w:val="1151"/>
        <w:rPr>
          <w:rFonts w:hint="eastAsia"/>
          <w:color w:val="000000"/>
        </w:rPr>
      </w:pPr>
      <w:r>
        <w:rPr>
          <w:rFonts w:hint="eastAsia"/>
          <w:color w:val="000000"/>
        </w:rPr>
      </w:r>
      <w:r/>
    </w:p>
    <w:p>
      <w:pPr>
        <w:pStyle w:val="1151"/>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u w:val="single"/>
          <w:lang w:eastAsia="zh-CN"/>
        </w:rPr>
        <w:t xml:space="preserve">江苏中建业工程项目管理咨询有限公司</w:t>
      </w:r>
      <w:r>
        <w:rPr>
          <w:rFonts w:hint="eastAsia" w:ascii="宋体" w:hAnsi="宋体" w:cs="宋体"/>
          <w:color w:val="000000"/>
          <w:szCs w:val="21"/>
        </w:rPr>
        <w:t xml:space="preserve">（以下简称“招标代理”）受</w:t>
      </w:r>
      <w:r>
        <w:rPr>
          <w:rFonts w:hint="eastAsia" w:ascii="宋体" w:hAnsi="宋体" w:cs="宋体"/>
          <w:color w:val="000000"/>
          <w:szCs w:val="21"/>
          <w:u w:val="single"/>
          <w:lang w:eastAsia="zh-CN"/>
        </w:rPr>
        <w:t xml:space="preserve">高邮城南经济新区管理委员会</w:t>
      </w:r>
      <w:r>
        <w:rPr>
          <w:rFonts w:hint="eastAsia" w:ascii="宋体" w:hAnsi="宋体" w:cs="宋体"/>
          <w:color w:val="000000"/>
          <w:szCs w:val="21"/>
        </w:rPr>
        <w:t xml:space="preserve">（以下简称“采购人”）的委托，就</w:t>
      </w:r>
      <w:r>
        <w:rPr>
          <w:rFonts w:hint="eastAsia" w:ascii="宋体" w:hAnsi="宋体" w:cs="宋体"/>
          <w:color w:val="000000"/>
          <w:szCs w:val="21"/>
          <w:u w:val="single"/>
          <w:lang w:eastAsia="zh-CN"/>
        </w:rPr>
        <w:t xml:space="preserve">高邮城南经济新区顺鑫雅居小区外围电力配套工程</w:t>
      </w:r>
      <w:r>
        <w:rPr>
          <w:rFonts w:hint="eastAsia" w:ascii="宋体" w:hAnsi="宋体" w:cs="宋体"/>
          <w:color w:val="000000"/>
          <w:szCs w:val="21"/>
        </w:rPr>
        <w:t xml:space="preserve">进行竞争性谈判方式采购，欢迎符合条件的供应商参加谈判。</w:t>
      </w:r>
      <w:r>
        <w:rPr>
          <w:rFonts w:hint="eastAsia" w:ascii="宋体" w:hAnsi="宋体" w:cs="宋体"/>
          <w:color w:val="000000"/>
          <w:szCs w:val="21"/>
        </w:rPr>
      </w:r>
      <w:r/>
    </w:p>
    <w:p>
      <w:pPr>
        <w:pStyle w:val="1151"/>
        <w:spacing w:line="360" w:lineRule="auto"/>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rPr>
        <w:t xml:space="preserve">项目概况：</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u w:val="single"/>
          <w:lang w:eastAsia="zh-CN"/>
        </w:rPr>
        <w:t xml:space="preserve">高邮城南经济新区顺鑫雅居小区外围电力配套工程</w:t>
      </w:r>
      <w:r>
        <w:rPr>
          <w:rFonts w:hint="eastAsia" w:ascii="宋体" w:hAnsi="宋体" w:cs="宋体"/>
          <w:color w:val="000000"/>
          <w:szCs w:val="21"/>
        </w:rPr>
        <w:t xml:space="preserve">的潜在供应商</w:t>
      </w:r>
      <w:r>
        <w:rPr>
          <w:rFonts w:hint="eastAsia" w:ascii="宋体" w:hAnsi="宋体" w:cs="宋体"/>
          <w:color w:val="000000"/>
          <w:szCs w:val="21"/>
          <w:u w:val="none"/>
        </w:rPr>
        <w:t xml:space="preserve">可在</w:t>
      </w:r>
      <w:r>
        <w:rPr>
          <w:rFonts w:hint="eastAsia" w:ascii="宋体" w:hAnsi="宋体" w:cs="宋体"/>
          <w:color w:val="000000"/>
          <w:szCs w:val="21"/>
          <w:u w:val="single"/>
        </w:rPr>
        <w:t xml:space="preserve">“扬州市政府采购网”、“江苏省政府采购网”</w:t>
      </w:r>
      <w:r>
        <w:rPr>
          <w:rFonts w:hint="eastAsia" w:ascii="宋体" w:hAnsi="宋体" w:cs="宋体"/>
          <w:color w:val="000000"/>
          <w:szCs w:val="21"/>
        </w:rPr>
        <w:t xml:space="preserve">自行免费下载采购文件，并于</w:t>
      </w:r>
      <w:r>
        <w:rPr>
          <w:rFonts w:hint="eastAsia" w:ascii="宋体" w:hAnsi="宋体" w:cs="宋体"/>
          <w:bCs/>
          <w:color w:val="000000"/>
          <w:szCs w:val="21"/>
          <w:u w:val="single"/>
          <w:lang w:eastAsia="zh-CN"/>
        </w:rPr>
        <w:t xml:space="preserve">2026年</w:t>
      </w:r>
      <w:r>
        <w:rPr>
          <w:rFonts w:hint="eastAsia" w:ascii="宋体" w:hAnsi="宋体" w:cs="宋体"/>
          <w:bCs/>
          <w:color w:val="000000"/>
          <w:szCs w:val="21"/>
          <w:u w:val="single"/>
          <w:lang w:val="en-US" w:eastAsia="zh-CN"/>
        </w:rPr>
        <w:t xml:space="preserve">7月2日1</w:t>
      </w:r>
      <w:r>
        <w:rPr>
          <w:rFonts w:hint="eastAsia" w:ascii="宋体" w:hAnsi="宋体" w:cs="宋体"/>
          <w:bCs/>
          <w:color w:val="000000"/>
          <w:szCs w:val="21"/>
          <w:u w:val="single"/>
          <w:lang w:val="en-US" w:eastAsia="zh-CN"/>
        </w:rPr>
        <w:t xml:space="preserve">5</w:t>
      </w:r>
      <w:r>
        <w:rPr>
          <w:rFonts w:hint="eastAsia" w:ascii="宋体" w:hAnsi="宋体" w:cs="宋体"/>
          <w:bCs/>
          <w:color w:val="000000"/>
          <w:szCs w:val="21"/>
          <w:u w:val="single"/>
          <w:lang w:eastAsia="zh-CN"/>
        </w:rPr>
        <w:t xml:space="preserve">点</w:t>
      </w:r>
      <w:r>
        <w:rPr>
          <w:rFonts w:hint="eastAsia" w:ascii="宋体" w:hAnsi="宋体" w:cs="宋体"/>
          <w:bCs/>
          <w:color w:val="000000"/>
          <w:szCs w:val="21"/>
          <w:u w:val="single"/>
          <w:lang w:val="en-US" w:eastAsia="zh-CN"/>
        </w:rPr>
        <w:t xml:space="preserve">0</w:t>
      </w:r>
      <w:r>
        <w:rPr>
          <w:rFonts w:hint="eastAsia" w:ascii="宋体" w:hAnsi="宋体" w:cs="宋体"/>
          <w:bCs/>
          <w:color w:val="000000"/>
          <w:szCs w:val="21"/>
          <w:u w:val="single"/>
          <w:lang w:eastAsia="zh-CN"/>
        </w:rPr>
        <w:t xml:space="preserve">0分</w:t>
      </w:r>
      <w:r>
        <w:rPr>
          <w:rFonts w:hint="eastAsia" w:ascii="宋体" w:hAnsi="宋体" w:cs="宋体"/>
          <w:bCs/>
          <w:color w:val="000000"/>
          <w:szCs w:val="21"/>
        </w:rPr>
        <w:t xml:space="preserve">（北京时间）前提交响应文件</w:t>
      </w:r>
      <w:r>
        <w:rPr>
          <w:rFonts w:hint="eastAsia" w:ascii="宋体" w:hAnsi="宋体" w:cs="宋体"/>
          <w:color w:val="000000"/>
          <w:szCs w:val="21"/>
        </w:rPr>
        <w:t xml:space="preserve">。</w:t>
      </w:r>
      <w:r>
        <w:rPr>
          <w:rFonts w:hint="eastAsia" w:ascii="宋体" w:hAnsi="宋体" w:cs="宋体"/>
          <w:color w:val="000000"/>
          <w:szCs w:val="21"/>
        </w:rPr>
      </w:r>
      <w:r/>
    </w:p>
    <w:p>
      <w:pPr>
        <w:pStyle w:val="1151"/>
        <w:spacing w:line="360" w:lineRule="auto"/>
        <w:rPr>
          <w:rFonts w:hint="eastAsia" w:ascii="宋体" w:hAnsi="宋体" w:cs="宋体"/>
          <w:b/>
          <w:bCs/>
          <w:color w:val="000000"/>
          <w:szCs w:val="21"/>
        </w:rPr>
      </w:pPr>
      <w:r/>
      <w:bookmarkStart w:id="6" w:name="_Toc109304963"/>
      <w:r>
        <w:rPr>
          <w:rFonts w:hint="eastAsia" w:ascii="宋体" w:hAnsi="宋体" w:cs="宋体"/>
          <w:b/>
          <w:bCs/>
          <w:color w:val="000000"/>
          <w:szCs w:val="21"/>
        </w:rPr>
        <w:t xml:space="preserve">一、项目基本情况</w:t>
      </w:r>
      <w:bookmarkEnd w:id="6"/>
      <w:r>
        <w:rPr>
          <w:rFonts w:hint="eastAsia" w:ascii="宋体" w:hAnsi="宋体" w:cs="宋体"/>
          <w:b/>
          <w:bCs/>
          <w:color w:val="000000"/>
          <w:szCs w:val="21"/>
        </w:rPr>
      </w:r>
      <w:r/>
    </w:p>
    <w:p>
      <w:pPr>
        <w:pStyle w:val="1151"/>
        <w:ind w:firstLine="420"/>
        <w:spacing w:line="360" w:lineRule="auto"/>
        <w:rPr>
          <w:rFonts w:hint="eastAsia" w:ascii="宋体" w:hAnsi="宋体" w:eastAsia="宋体" w:cs="楷体"/>
          <w:color w:val="000000"/>
          <w:spacing w:val="-4"/>
          <w:lang w:val="en-US" w:eastAsia="zh-CN"/>
        </w:rPr>
      </w:pPr>
      <w:r>
        <w:rPr>
          <w:rFonts w:hint="eastAsia" w:ascii="宋体" w:hAnsi="宋体" w:cs="宋体"/>
          <w:color w:val="000000"/>
          <w:szCs w:val="21"/>
        </w:rPr>
        <w:t xml:space="preserve">1.项目编号：</w:t>
      </w:r>
      <w:r>
        <w:rPr>
          <w:rFonts w:hint="eastAsia" w:ascii="宋体" w:hAnsi="宋体" w:cs="楷体"/>
          <w:color w:val="000000"/>
          <w:spacing w:val="-4"/>
          <w:lang w:eastAsia="zh-CN"/>
        </w:rPr>
        <w:t xml:space="preserve">JSZC-321084-SZJY-T2026-0008</w:t>
      </w:r>
      <w:r>
        <w:rPr>
          <w:rFonts w:hint="eastAsia" w:ascii="宋体" w:hAnsi="宋体" w:eastAsia="宋体" w:cs="楷体"/>
          <w:color w:val="000000"/>
          <w:spacing w:val="-4"/>
          <w:lang w:val="en-US" w:eastAsia="zh-CN"/>
        </w:rPr>
      </w:r>
      <w:r/>
    </w:p>
    <w:p>
      <w:pPr>
        <w:pStyle w:val="1151"/>
        <w:ind w:firstLine="420"/>
        <w:spacing w:line="360" w:lineRule="auto"/>
        <w:rPr>
          <w:rFonts w:hint="eastAsia" w:ascii="宋体" w:hAnsi="宋体" w:cs="宋体"/>
          <w:color w:val="000000"/>
          <w:szCs w:val="21"/>
          <w:lang w:eastAsia="zh-CN"/>
        </w:rPr>
      </w:pPr>
      <w:r>
        <w:rPr>
          <w:rFonts w:hint="eastAsia" w:ascii="宋体" w:hAnsi="宋体" w:cs="宋体"/>
          <w:color w:val="000000"/>
          <w:szCs w:val="21"/>
        </w:rPr>
        <w:t xml:space="preserve">2.项目名称：</w:t>
      </w:r>
      <w:r>
        <w:rPr>
          <w:rFonts w:hint="eastAsia" w:ascii="宋体" w:hAnsi="宋体" w:cs="宋体"/>
          <w:color w:val="000000"/>
          <w:szCs w:val="21"/>
          <w:lang w:eastAsia="zh-CN"/>
        </w:rPr>
        <w:t xml:space="preserve">高邮城南经济新区顺鑫雅居小区外围电力配套工程</w:t>
      </w:r>
      <w:r>
        <w:rPr>
          <w:rFonts w:hint="eastAsia" w:ascii="宋体" w:hAnsi="宋体" w:cs="宋体"/>
          <w:color w:val="000000"/>
          <w:szCs w:val="21"/>
          <w:lang w:eastAsia="zh-CN"/>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rPr>
        <w:t xml:space="preserve">3.采购方式：竞争性谈判</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lang w:eastAsia="zh-CN"/>
        </w:rPr>
      </w:pPr>
      <w:r>
        <w:rPr>
          <w:rFonts w:hint="eastAsia" w:ascii="宋体" w:hAnsi="宋体" w:cs="宋体"/>
          <w:color w:val="000000"/>
          <w:szCs w:val="21"/>
        </w:rPr>
        <w:t xml:space="preserve">4.预算金额：</w:t>
      </w:r>
      <w:r>
        <w:rPr>
          <w:rFonts w:hint="eastAsia" w:ascii="宋体" w:hAnsi="宋体" w:cs="宋体"/>
          <w:color w:val="000000"/>
          <w:szCs w:val="21"/>
          <w:lang w:val="en-US" w:eastAsia="zh-CN"/>
        </w:rPr>
        <w:t xml:space="preserve">166.829421万元</w:t>
      </w:r>
      <w:r>
        <w:rPr>
          <w:rFonts w:hint="eastAsia" w:ascii="宋体" w:hAnsi="宋体" w:cs="宋体"/>
          <w:color w:val="000000"/>
          <w:szCs w:val="21"/>
          <w:lang w:eastAsia="zh-CN"/>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5.最高限价</w:t>
      </w:r>
      <w:r>
        <w:rPr>
          <w:rFonts w:hint="eastAsia" w:ascii="宋体" w:hAnsi="宋体" w:cs="宋体"/>
          <w:color w:val="000000"/>
          <w:szCs w:val="21"/>
          <w:highlight w:val="none"/>
          <w:lang w:val="en-US" w:eastAsia="zh-CN"/>
        </w:rPr>
        <w:t xml:space="preserve">：158.487950万元</w:t>
      </w:r>
      <w:r>
        <w:rPr>
          <w:rFonts w:hint="eastAsia" w:ascii="宋体" w:hAnsi="宋体" w:cs="宋体"/>
          <w:color w:val="000000"/>
          <w:szCs w:val="21"/>
          <w:lang w:val="en-US" w:eastAsia="zh-CN"/>
        </w:rPr>
        <w:t xml:space="preserve">（报价高于最高限价的为无效投标）</w:t>
      </w:r>
      <w:r>
        <w:rPr>
          <w:rFonts w:hint="eastAsia" w:ascii="宋体" w:hAnsi="宋体" w:cs="宋体"/>
          <w:color w:val="000000"/>
          <w:szCs w:val="21"/>
        </w:rPr>
      </w:r>
      <w:r/>
    </w:p>
    <w:p>
      <w:pPr>
        <w:pStyle w:val="1151"/>
        <w:ind w:right="98" w:firstLine="420"/>
        <w:spacing w:line="360" w:lineRule="auto"/>
        <w:rPr>
          <w:rFonts w:ascii="宋体" w:hAnsi="宋体" w:eastAsia="宋体" w:cs="楷体"/>
          <w:color w:val="000000"/>
          <w:spacing w:val="-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.采购需求：</w:t>
      </w:r>
      <w:r>
        <w:rPr>
          <w:rFonts w:hint="eastAsia" w:ascii="宋体" w:hAnsi="宋体" w:cs="宋体"/>
          <w:color w:val="000000"/>
          <w:szCs w:val="21"/>
          <w:lang w:eastAsia="zh-CN"/>
        </w:rPr>
        <w:t xml:space="preserve">新建机械拖拉管、环网柜基础、直线电缆井等；</w:t>
      </w:r>
      <w:r>
        <w:rPr>
          <w:rFonts w:hint="eastAsia" w:ascii="宋体" w:hAnsi="宋体" w:cs="宋体"/>
          <w:color w:val="000000"/>
          <w:szCs w:val="21"/>
          <w:highlight w:val="none"/>
          <w:lang w:eastAsia="zh-CN"/>
        </w:rPr>
        <w:t xml:space="preserve">高压电缆、环网柜等相关电气设备安装</w:t>
      </w:r>
      <w:r>
        <w:rPr>
          <w:rFonts w:hint="eastAsia" w:ascii="宋体" w:hAnsi="宋体" w:cs="宋体"/>
          <w:color w:val="000000"/>
          <w:szCs w:val="21"/>
        </w:rPr>
        <w:t xml:space="preserve">，</w:t>
      </w:r>
      <w:r>
        <w:rPr>
          <w:rFonts w:hint="eastAsia" w:ascii="宋体" w:hAnsi="宋体" w:cs="宋体"/>
          <w:color w:val="000000"/>
          <w:szCs w:val="21"/>
          <w:lang w:eastAsia="zh-CN"/>
        </w:rPr>
        <w:t xml:space="preserve">具体工程内容</w:t>
      </w:r>
      <w:r>
        <w:rPr>
          <w:rFonts w:hint="eastAsia" w:ascii="宋体" w:hAnsi="宋体" w:cs="宋体"/>
          <w:color w:val="000000"/>
          <w:szCs w:val="21"/>
        </w:rPr>
        <w:t xml:space="preserve">详见施工图及工程量清单</w:t>
      </w:r>
      <w:r>
        <w:rPr>
          <w:rFonts w:hint="eastAsia" w:ascii="宋体" w:hAnsi="宋体" w:eastAsia="宋体" w:cs="楷体"/>
          <w:color w:val="000000"/>
          <w:spacing w:val="-1"/>
        </w:rPr>
        <w:t xml:space="preserve">。</w:t>
      </w:r>
      <w:r>
        <w:rPr>
          <w:rFonts w:ascii="宋体" w:hAnsi="宋体" w:eastAsia="宋体" w:cs="楷体"/>
          <w:color w:val="000000"/>
          <w:spacing w:val="-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.合同履行期限</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60日历天</w:t>
      </w:r>
      <w:r>
        <w:rPr>
          <w:rFonts w:hint="eastAsia" w:ascii="宋体" w:hAnsi="宋体" w:cs="宋体"/>
          <w:color w:val="000000"/>
          <w:szCs w:val="21"/>
        </w:rPr>
        <w:t xml:space="preserve">。</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w:t>
      </w:r>
      <w:r>
        <w:rPr>
          <w:rFonts w:hint="eastAsia"/>
          <w:color w:val="000000"/>
        </w:rPr>
        <w:t xml:space="preserve"> </w:t>
      </w:r>
      <w:r>
        <w:rPr>
          <w:rFonts w:hint="eastAsia" w:ascii="宋体" w:hAnsi="宋体" w:cs="宋体"/>
          <w:color w:val="000000"/>
          <w:szCs w:val="21"/>
        </w:rPr>
        <w:t xml:space="preserve">本项目不接受联合体投标，中标后禁止转包和分包。</w:t>
      </w:r>
      <w:r>
        <w:rPr>
          <w:rFonts w:hint="eastAsia" w:ascii="宋体" w:hAnsi="宋体" w:cs="宋体"/>
          <w:color w:val="000000"/>
          <w:szCs w:val="21"/>
        </w:rPr>
      </w:r>
      <w:r/>
    </w:p>
    <w:p>
      <w:pPr>
        <w:pStyle w:val="1151"/>
        <w:spacing w:line="360" w:lineRule="auto"/>
        <w:rPr>
          <w:rFonts w:hint="eastAsia" w:ascii="宋体" w:hAnsi="宋体" w:cs="宋体"/>
          <w:b/>
          <w:bCs/>
          <w:color w:val="000000"/>
          <w:szCs w:val="21"/>
        </w:rPr>
      </w:pPr>
      <w:r/>
      <w:bookmarkStart w:id="7" w:name="_Toc109304964"/>
      <w:r>
        <w:rPr>
          <w:rFonts w:hint="eastAsia" w:ascii="宋体" w:hAnsi="宋体" w:cs="宋体"/>
          <w:b/>
          <w:bCs/>
          <w:color w:val="000000"/>
          <w:szCs w:val="21"/>
        </w:rPr>
        <w:t xml:space="preserve">二、申请人的资格要求</w:t>
      </w:r>
      <w:bookmarkEnd w:id="7"/>
      <w:r>
        <w:rPr>
          <w:rFonts w:hint="eastAsia" w:ascii="宋体" w:hAnsi="宋体" w:cs="宋体"/>
          <w:b/>
          <w:bCs/>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rPr>
        <w:t xml:space="preserve">1.满足《中华人民共和国政府采购法》第二十二条规定，并提供下列材料：</w:t>
      </w:r>
      <w:r>
        <w:rPr>
          <w:rFonts w:hint="eastAsia" w:ascii="宋体" w:hAnsi="宋体" w:cs="宋体"/>
          <w:color w:val="000000"/>
          <w:szCs w:val="21"/>
        </w:rPr>
      </w:r>
      <w:r/>
    </w:p>
    <w:p>
      <w:pPr>
        <w:pStyle w:val="1151"/>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rPr>
          <w:rFonts w:hint="eastAsia" w:ascii="宋体" w:hAnsi="宋体" w:cs="宋体"/>
          <w:i/>
          <w:iCs/>
          <w:color w:val="000000"/>
          <w:szCs w:val="21"/>
        </w:rPr>
        <w:t xml:space="preserve">。</w:t>
      </w:r>
      <w:r>
        <w:rPr>
          <w:rFonts w:hint="eastAsia" w:ascii="宋体" w:hAnsi="宋体" w:cs="宋体"/>
          <w:i/>
          <w:iCs/>
          <w:color w:val="000000"/>
          <w:szCs w:val="21"/>
          <w:u w:val="single"/>
        </w:rPr>
      </w:r>
      <w:r/>
    </w:p>
    <w:p>
      <w:pPr>
        <w:pStyle w:val="1151"/>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1.2依法缴纳职工社会保障资金的证明材料</w:t>
      </w:r>
      <w:r>
        <w:rPr>
          <w:rFonts w:hint="eastAsia" w:ascii="宋体" w:hAnsi="宋体" w:cs="宋体"/>
          <w:b/>
          <w:bCs/>
          <w:i/>
          <w:iCs/>
          <w:color w:val="000000"/>
          <w:szCs w:val="21"/>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b/>
          <w:bCs/>
          <w:i/>
          <w:iCs/>
          <w:color w:val="000000"/>
          <w:szCs w:val="21"/>
        </w:rPr>
        <w:t xml:space="preserve">。</w:t>
      </w:r>
      <w:r>
        <w:rPr>
          <w:rFonts w:hint="eastAsia" w:ascii="宋体" w:hAnsi="宋体" w:cs="宋体"/>
          <w:i/>
          <w:iCs/>
          <w:color w:val="000000"/>
          <w:szCs w:val="21"/>
          <w:u w:val="single"/>
        </w:rPr>
      </w:r>
      <w:r/>
    </w:p>
    <w:p>
      <w:pPr>
        <w:pStyle w:val="1151"/>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1.3供应商近三个月内任意一份依法纳税的缴款凭证</w:t>
      </w:r>
      <w:r>
        <w:rPr>
          <w:rFonts w:hint="eastAsia" w:ascii="宋体" w:hAnsi="宋体" w:cs="宋体"/>
          <w:b/>
          <w:bCs/>
          <w:i/>
          <w:iCs/>
          <w:color w:val="000000"/>
          <w:szCs w:val="21"/>
          <w:u w:val="single"/>
        </w:rPr>
        <w:t xml:space="preserve">（供应商依法享受缓缴、免缴的提供证明材料）</w:t>
      </w:r>
      <w:r>
        <w:rPr>
          <w:rFonts w:hint="eastAsia" w:ascii="宋体" w:hAnsi="宋体" w:cs="宋体"/>
          <w:b/>
          <w:bCs/>
          <w:i/>
          <w:iCs/>
          <w:color w:val="000000"/>
          <w:szCs w:val="21"/>
        </w:rPr>
        <w:t xml:space="preserve">。</w:t>
      </w:r>
      <w:r>
        <w:rPr>
          <w:rFonts w:hint="eastAsia" w:ascii="宋体" w:hAnsi="宋体" w:cs="宋体"/>
          <w:b/>
          <w:bCs/>
          <w:i/>
          <w:iCs/>
          <w:color w:val="000000"/>
          <w:szCs w:val="21"/>
          <w:u w:val="single"/>
        </w:rPr>
      </w:r>
      <w:r/>
    </w:p>
    <w:p>
      <w:pPr>
        <w:pStyle w:val="1151"/>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1.4上一年度的财务报告情况</w:t>
      </w:r>
      <w:r>
        <w:rPr>
          <w:rFonts w:hint="eastAsia" w:ascii="宋体" w:hAnsi="宋体" w:cs="宋体"/>
          <w:b/>
          <w:bCs/>
          <w:i/>
          <w:iCs/>
          <w:color w:val="000000"/>
          <w:szCs w:val="21"/>
          <w:u w:val="single"/>
        </w:rPr>
        <w:t xml:space="preserve">（成立不满一年不需提供）</w:t>
      </w:r>
      <w:r>
        <w:rPr>
          <w:rFonts w:hint="eastAsia" w:ascii="宋体" w:hAnsi="宋体" w:cs="宋体"/>
          <w:b/>
          <w:bCs/>
          <w:i/>
          <w:iCs/>
          <w:color w:val="000000"/>
          <w:szCs w:val="21"/>
        </w:rPr>
        <w:t xml:space="preserve">。</w:t>
      </w:r>
      <w:r>
        <w:rPr>
          <w:rFonts w:hint="eastAsia" w:ascii="宋体" w:hAnsi="宋体" w:cs="宋体"/>
          <w:b/>
          <w:bCs/>
          <w:i/>
          <w:iCs/>
          <w:color w:val="000000"/>
          <w:szCs w:val="21"/>
          <w:u w:val="single"/>
        </w:rPr>
      </w:r>
      <w:r/>
    </w:p>
    <w:p>
      <w:pPr>
        <w:pStyle w:val="1151"/>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1.5具备履行合同所必需的设备和专业技术能力的证明材料</w:t>
      </w:r>
      <w:r>
        <w:rPr>
          <w:rFonts w:hint="eastAsia" w:ascii="宋体" w:hAnsi="宋体" w:cs="宋体"/>
          <w:i/>
          <w:iCs/>
          <w:color w:val="000000"/>
          <w:szCs w:val="21"/>
        </w:rPr>
        <w:t xml:space="preserve">。</w:t>
      </w:r>
      <w:r>
        <w:rPr>
          <w:rFonts w:hint="eastAsia" w:ascii="宋体" w:hAnsi="宋体" w:cs="宋体"/>
          <w:i/>
          <w:iCs/>
          <w:color w:val="000000"/>
          <w:szCs w:val="21"/>
          <w:u w:val="single"/>
        </w:rPr>
      </w:r>
      <w:r/>
    </w:p>
    <w:p>
      <w:pPr>
        <w:pStyle w:val="1151"/>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1.6参加本次政府采购活动前3年内在经营活动中没有重大违法记录的书面声明</w:t>
      </w:r>
      <w:r>
        <w:rPr>
          <w:rFonts w:hint="eastAsia" w:ascii="宋体" w:hAnsi="宋体" w:cs="宋体"/>
          <w:i/>
          <w:iCs/>
          <w:color w:val="000000"/>
          <w:szCs w:val="21"/>
        </w:rPr>
        <w:t xml:space="preserve">。</w:t>
      </w:r>
      <w:r>
        <w:rPr>
          <w:rFonts w:hint="eastAsia" w:ascii="宋体" w:hAnsi="宋体" w:cs="宋体"/>
          <w:i/>
          <w:iCs/>
          <w:color w:val="000000"/>
          <w:szCs w:val="21"/>
          <w:u w:val="single"/>
        </w:rPr>
      </w:r>
      <w:r/>
    </w:p>
    <w:p>
      <w:pPr>
        <w:pStyle w:val="1151"/>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i/>
          <w:iCs/>
          <w:color w:val="000000"/>
          <w:szCs w:val="21"/>
        </w:rPr>
        <w:t xml:space="preserve">。</w:t>
      </w:r>
      <w:r>
        <w:rPr>
          <w:rFonts w:hint="eastAsia" w:ascii="宋体" w:hAnsi="宋体" w:cs="宋体"/>
          <w:b/>
          <w:bCs/>
          <w:i/>
          <w:iCs/>
          <w:color w:val="000000"/>
          <w:szCs w:val="21"/>
          <w:u w:val="single"/>
        </w:rPr>
      </w:r>
      <w:r/>
    </w:p>
    <w:p>
      <w:pPr>
        <w:pStyle w:val="1151"/>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1.8供应商信用承诺函</w:t>
      </w:r>
      <w:r>
        <w:rPr>
          <w:rFonts w:hint="eastAsia" w:ascii="宋体" w:hAnsi="宋体" w:cs="宋体"/>
          <w:i/>
          <w:iCs/>
          <w:color w:val="000000"/>
          <w:szCs w:val="21"/>
        </w:rPr>
        <w:t xml:space="preserve">。</w:t>
      </w:r>
      <w:r>
        <w:rPr>
          <w:rFonts w:hint="eastAsia" w:ascii="宋体" w:hAnsi="宋体" w:cs="宋体"/>
          <w:i/>
          <w:iCs/>
          <w:color w:val="000000"/>
          <w:szCs w:val="21"/>
          <w:u w:val="single"/>
        </w:rPr>
      </w:r>
      <w:r/>
    </w:p>
    <w:p>
      <w:pPr>
        <w:pStyle w:val="1151"/>
        <w:ind w:firstLine="420"/>
        <w:spacing w:line="360" w:lineRule="auto"/>
        <w:rPr>
          <w:rFonts w:hint="eastAsia" w:ascii="宋体" w:hAnsi="宋体" w:cs="宋体"/>
          <w:i/>
          <w:iCs/>
          <w:color w:val="000000"/>
          <w:szCs w:val="21"/>
          <w:u w:val="single"/>
        </w:rPr>
      </w:pPr>
      <w:r>
        <w:rPr>
          <w:rFonts w:hint="eastAsia" w:ascii="宋体" w:hAnsi="宋体" w:cs="宋体"/>
          <w:color w:val="000000"/>
          <w:szCs w:val="21"/>
        </w:rPr>
        <w:t xml:space="preserve">2.落实政府采购政策需满足的资格要求：</w:t>
      </w:r>
      <w:r>
        <w:rPr>
          <w:rFonts w:hint="eastAsia" w:ascii="宋体" w:hAnsi="宋体" w:cs="宋体"/>
          <w:i/>
          <w:iCs/>
          <w:color w:val="000000"/>
          <w:szCs w:val="21"/>
          <w:u w:val="single"/>
        </w:rPr>
        <w:t xml:space="preserve">根据《政府采购促进中小企业发展管理办法》（财库〔2020〕46 号）规定，本项目专门面向中小企业采购，供应商谈判响应时须提供《中小企业声明函》，《中小企业声明函》不符合要求或未提供的，响应文件无效。</w:t>
      </w:r>
      <w:r>
        <w:rPr>
          <w:rFonts w:hint="eastAsia" w:ascii="宋体" w:hAnsi="宋体" w:cs="宋体"/>
          <w:i/>
          <w:color w:val="000000"/>
          <w:szCs w:val="21"/>
          <w:u w:val="single"/>
        </w:rPr>
        <w:t xml:space="preserve">本项目采购标的按中小企业划分标准所属行业区分为建筑业。</w:t>
      </w:r>
      <w:r>
        <w:rPr>
          <w:rFonts w:hint="eastAsia" w:ascii="宋体" w:hAnsi="宋体" w:cs="宋体"/>
          <w:i/>
          <w:iCs/>
          <w:color w:val="000000"/>
          <w:szCs w:val="21"/>
          <w:u w:val="single"/>
        </w:rPr>
      </w:r>
      <w:r/>
    </w:p>
    <w:p>
      <w:pPr>
        <w:pStyle w:val="1151"/>
        <w:ind w:firstLine="540"/>
        <w:spacing w:line="360" w:lineRule="auto"/>
        <w:rPr>
          <w:rFonts w:hint="eastAsia" w:ascii="宋体" w:hAnsi="宋体" w:cs="宋体"/>
          <w:color w:val="000000"/>
          <w:szCs w:val="21"/>
          <w:lang w:val="en"/>
        </w:rPr>
      </w:pPr>
      <w:r>
        <w:rPr>
          <w:rFonts w:hint="eastAsia" w:ascii="宋体" w:hAnsi="宋体" w:cs="宋体"/>
          <w:color w:val="000000"/>
          <w:szCs w:val="21"/>
          <w:lang w:val="en"/>
        </w:rPr>
        <w:t xml:space="preserve">3.本项目的特定资格要求：</w:t>
      </w:r>
      <w:r>
        <w:rPr>
          <w:rFonts w:hint="eastAsia" w:ascii="宋体" w:hAnsi="宋体" w:cs="宋体"/>
          <w:color w:val="000000"/>
          <w:szCs w:val="21"/>
          <w:lang w:val="en"/>
        </w:rPr>
      </w:r>
      <w:r/>
    </w:p>
    <w:p>
      <w:pPr>
        <w:pStyle w:val="1151"/>
        <w:ind w:firstLine="420"/>
        <w:spacing w:line="360" w:lineRule="auto"/>
        <w:rPr>
          <w:rFonts w:hint="eastAsia" w:ascii="宋体" w:hAnsi="宋体" w:cs="宋体"/>
          <w:i/>
          <w:iCs/>
          <w:color w:val="000000"/>
          <w:szCs w:val="21"/>
          <w:u w:val="single"/>
          <w:lang w:val="en" w:eastAsia="zh-CN"/>
        </w:rPr>
      </w:pPr>
      <w:r>
        <w:rPr>
          <w:rFonts w:hint="eastAsia" w:ascii="宋体" w:hAnsi="宋体" w:cs="宋体"/>
          <w:i/>
          <w:iCs/>
          <w:color w:val="000000"/>
          <w:szCs w:val="21"/>
          <w:u w:val="single"/>
          <w:lang w:val="en"/>
        </w:rPr>
        <w:t xml:space="preserve">（1）供应商须具备电力工程施工总承包三级</w:t>
      </w:r>
      <w:r>
        <w:rPr>
          <w:rFonts w:hint="eastAsia" w:ascii="宋体" w:hAnsi="宋体" w:cs="宋体"/>
          <w:i/>
          <w:iCs/>
          <w:color w:val="000000"/>
          <w:szCs w:val="21"/>
          <w:u w:val="single"/>
          <w:lang w:val="en" w:eastAsia="zh-CN"/>
        </w:rPr>
        <w:t xml:space="preserve">及</w:t>
      </w:r>
      <w:r>
        <w:rPr>
          <w:rFonts w:hint="eastAsia" w:ascii="宋体" w:hAnsi="宋体" w:cs="宋体"/>
          <w:i/>
          <w:iCs/>
          <w:color w:val="000000"/>
          <w:szCs w:val="21"/>
          <w:u w:val="single"/>
          <w:lang w:val="en"/>
        </w:rPr>
        <w:t xml:space="preserve">以上资质或输变电工程专业承包三级及以上资质</w:t>
      </w:r>
      <w:r>
        <w:rPr>
          <w:rFonts w:hint="eastAsia" w:ascii="宋体" w:hAnsi="宋体" w:cs="宋体"/>
          <w:i/>
          <w:iCs/>
          <w:color w:val="000000"/>
          <w:szCs w:val="21"/>
          <w:u w:val="single"/>
          <w:lang w:val="en" w:eastAsia="zh-CN"/>
        </w:rPr>
        <w:t xml:space="preserve">且同时具备承装（修、试）电力设施许可证三级及以上资质，并具备有效的安全生产许可证。（</w:t>
      </w:r>
      <w:r>
        <w:rPr>
          <w:rFonts w:hint="eastAsia" w:ascii="宋体" w:hAnsi="宋体" w:cs="宋体"/>
          <w:i/>
          <w:iCs/>
          <w:color w:val="000000"/>
          <w:szCs w:val="21"/>
          <w:u w:val="single"/>
          <w:lang w:val="en" w:eastAsia="zh-CN"/>
        </w:rPr>
        <w:t xml:space="preserve">注：根据《国家能源局关于做好承装（修、试）电力设施许可证换证领取和延期工作的通知》[（2025）44号]，原承装（修、试）类五级及以上电力设施许可证在过渡期内的，仍可继续从事承装、承修、承试电力设施活动。</w:t>
      </w:r>
      <w:r>
        <w:rPr>
          <w:rFonts w:hint="eastAsia" w:ascii="宋体" w:hAnsi="宋体" w:cs="宋体"/>
          <w:i/>
          <w:iCs/>
          <w:color w:val="000000"/>
          <w:szCs w:val="21"/>
          <w:u w:val="single"/>
          <w:lang w:val="en" w:eastAsia="zh-CN"/>
        </w:rPr>
        <w:t xml:space="preserve">）</w:t>
      </w:r>
      <w:r>
        <w:rPr>
          <w:rFonts w:hint="eastAsia" w:ascii="宋体" w:hAnsi="宋体" w:cs="宋体"/>
          <w:i/>
          <w:iCs/>
          <w:color w:val="000000"/>
          <w:szCs w:val="21"/>
          <w:u w:val="single"/>
          <w:lang w:val="en" w:eastAsia="zh-CN"/>
        </w:rPr>
      </w:r>
      <w:r/>
    </w:p>
    <w:p>
      <w:pPr>
        <w:pStyle w:val="1151"/>
        <w:ind w:firstLine="420"/>
        <w:spacing w:line="360" w:lineRule="auto"/>
        <w:rPr>
          <w:rFonts w:hint="eastAsia" w:ascii="宋体" w:hAnsi="宋体" w:cs="宋体"/>
          <w:i/>
          <w:iCs/>
          <w:color w:val="000000"/>
          <w:szCs w:val="21"/>
          <w:u w:val="single"/>
          <w:lang w:val="en"/>
        </w:rPr>
      </w:pPr>
      <w:r/>
      <w:bookmarkStart w:id="8" w:name="OLE_LINK5"/>
      <w:r/>
      <w:bookmarkEnd w:id="8"/>
      <w:r>
        <w:rPr>
          <w:rFonts w:hint="eastAsia" w:ascii="宋体" w:hAnsi="宋体" w:cs="宋体"/>
          <w:i/>
          <w:iCs/>
          <w:color w:val="000000"/>
          <w:szCs w:val="21"/>
          <w:u w:val="single"/>
          <w:lang w:val="en"/>
        </w:rPr>
        <w:t xml:space="preserve">（2）项目负责人具</w:t>
      </w:r>
      <w:r>
        <w:rPr>
          <w:rFonts w:hint="eastAsia" w:ascii="宋体" w:hAnsi="宋体" w:cs="宋体"/>
          <w:i/>
          <w:iCs/>
          <w:color w:val="000000"/>
          <w:szCs w:val="21"/>
          <w:u w:val="single"/>
          <w:lang w:val="en" w:eastAsia="zh-CN"/>
        </w:rPr>
        <w:t xml:space="preserve">备机电</w:t>
      </w:r>
      <w:r>
        <w:rPr>
          <w:rFonts w:hint="eastAsia" w:ascii="宋体" w:hAnsi="宋体" w:cs="宋体"/>
          <w:i/>
          <w:iCs/>
          <w:color w:val="000000"/>
          <w:szCs w:val="21"/>
          <w:u w:val="single"/>
          <w:lang w:val="en"/>
        </w:rPr>
        <w:t xml:space="preserve">工程专业二级（含）及以上注册建造师执业资格，并具备有效的安全生产考核合格证书，且无在手工程。</w:t>
      </w:r>
      <w:r>
        <w:rPr>
          <w:rFonts w:hint="eastAsia" w:ascii="宋体" w:hAnsi="宋体" w:cs="宋体"/>
          <w:i/>
          <w:iCs/>
          <w:color w:val="000000"/>
          <w:szCs w:val="21"/>
          <w:u w:val="single"/>
          <w:lang w:val="en"/>
        </w:rPr>
      </w:r>
      <w:r/>
    </w:p>
    <w:p>
      <w:pPr>
        <w:pStyle w:val="1151"/>
        <w:spacing w:line="360" w:lineRule="auto"/>
        <w:rPr>
          <w:rFonts w:hint="eastAsia" w:ascii="宋体" w:hAnsi="宋体" w:cs="宋体"/>
          <w:b/>
          <w:bCs/>
          <w:color w:val="000000"/>
          <w:szCs w:val="21"/>
        </w:rPr>
      </w:pPr>
      <w:r>
        <w:rPr>
          <w:rFonts w:hint="eastAsia" w:ascii="宋体" w:hAnsi="宋体" w:cs="宋体"/>
          <w:b/>
          <w:bCs/>
          <w:color w:val="000000"/>
          <w:szCs w:val="21"/>
        </w:rPr>
        <w:t xml:space="preserve">三、获取采购文件</w:t>
      </w:r>
      <w:bookmarkEnd w:id="4"/>
      <w:r>
        <w:rPr>
          <w:rFonts w:hint="eastAsia" w:ascii="宋体" w:hAnsi="宋体" w:cs="宋体"/>
          <w:b/>
          <w:bCs/>
          <w:color w:val="000000"/>
          <w:szCs w:val="21"/>
        </w:rPr>
      </w:r>
      <w:r/>
    </w:p>
    <w:p>
      <w:pPr>
        <w:pStyle w:val="1151"/>
        <w:ind w:firstLine="540"/>
        <w:spacing w:line="360" w:lineRule="auto"/>
        <w:rPr>
          <w:rFonts w:hint="eastAsia" w:ascii="宋体" w:hAnsi="宋体" w:cs="宋体"/>
          <w:color w:val="000000"/>
          <w:szCs w:val="21"/>
        </w:rPr>
      </w:pPr>
      <w:r>
        <w:rPr>
          <w:rFonts w:hint="eastAsia" w:ascii="宋体" w:hAnsi="宋体" w:cs="宋体"/>
          <w:color w:val="000000"/>
          <w:szCs w:val="21"/>
        </w:rPr>
        <w:t xml:space="preserve">1.时间：自谈判公告发布之日起3个工作日。3个工作日后仍可在网站查阅采购文件，但不作为供应商权益受到损害的证明材料和依据。</w:t>
      </w:r>
      <w:r>
        <w:rPr>
          <w:rFonts w:hint="eastAsia" w:ascii="宋体" w:hAnsi="宋体" w:cs="宋体"/>
          <w:color w:val="000000"/>
          <w:szCs w:val="21"/>
        </w:rPr>
      </w:r>
      <w:r/>
    </w:p>
    <w:p>
      <w:pPr>
        <w:pStyle w:val="1151"/>
        <w:ind w:firstLine="54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2.地点：“苏采云”系统（网址：http://jszfcg.jsczt.cn/）  </w:t>
      </w:r>
      <w:r>
        <w:rPr>
          <w:rFonts w:hint="eastAsia" w:ascii="宋体" w:hAnsi="宋体" w:eastAsia="宋体" w:cs="宋体"/>
          <w:color w:val="000000"/>
          <w:szCs w:val="21"/>
          <w:lang w:val="en-US" w:eastAsia="zh-CN"/>
        </w:rPr>
      </w:r>
      <w:r/>
    </w:p>
    <w:p>
      <w:pPr>
        <w:pStyle w:val="1151"/>
        <w:ind w:firstLine="54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3.方式：自行免费下载 </w:t>
      </w:r>
      <w:r>
        <w:rPr>
          <w:rFonts w:hint="eastAsia" w:ascii="宋体" w:hAnsi="宋体" w:eastAsia="宋体" w:cs="宋体"/>
          <w:color w:val="000000"/>
          <w:szCs w:val="21"/>
          <w:lang w:val="en-US" w:eastAsia="zh-CN"/>
        </w:rPr>
      </w:r>
      <w:r/>
    </w:p>
    <w:p>
      <w:pPr>
        <w:pStyle w:val="1151"/>
        <w:ind w:firstLine="540"/>
        <w:spacing w:line="360" w:lineRule="auto"/>
        <w:rPr>
          <w:rFonts w:hint="eastAsia" w:ascii="宋体" w:hAnsi="宋体" w:cs="宋体"/>
          <w:b/>
          <w:bCs/>
          <w:color w:val="000000"/>
          <w:szCs w:val="21"/>
        </w:rPr>
      </w:pPr>
      <w:r>
        <w:rPr>
          <w:rFonts w:hint="eastAsia" w:ascii="宋体" w:hAnsi="宋体" w:eastAsia="宋体" w:cs="宋体"/>
          <w:color w:val="000000"/>
          <w:szCs w:val="21"/>
          <w:lang w:val="en-US" w:eastAsia="zh-CN"/>
        </w:rPr>
        <w:t xml:space="preserve">4.售价：0.00元 </w:t>
      </w:r>
      <w:r>
        <w:rPr>
          <w:rFonts w:hint="eastAsia" w:ascii="宋体" w:hAnsi="宋体" w:cs="宋体"/>
          <w:b/>
          <w:bCs/>
          <w:color w:val="000000"/>
          <w:szCs w:val="21"/>
        </w:rPr>
      </w:r>
      <w:r/>
    </w:p>
    <w:p>
      <w:pPr>
        <w:pStyle w:val="1151"/>
        <w:spacing w:line="360" w:lineRule="auto"/>
        <w:rPr>
          <w:rFonts w:hint="eastAsia" w:ascii="宋体" w:hAnsi="宋体" w:cs="宋体"/>
          <w:b/>
          <w:bCs/>
          <w:color w:val="000000"/>
          <w:szCs w:val="21"/>
        </w:rPr>
      </w:pPr>
      <w:r/>
      <w:bookmarkStart w:id="9" w:name="_Toc109304966"/>
      <w:r>
        <w:rPr>
          <w:rFonts w:hint="eastAsia" w:ascii="宋体" w:hAnsi="宋体" w:cs="宋体"/>
          <w:b/>
          <w:bCs/>
          <w:color w:val="000000"/>
          <w:szCs w:val="21"/>
        </w:rPr>
        <w:t xml:space="preserve">四、响应文件提交</w:t>
      </w:r>
      <w:bookmarkEnd w:id="9"/>
      <w:r>
        <w:rPr>
          <w:rFonts w:hint="eastAsia" w:ascii="宋体" w:hAnsi="宋体" w:cs="宋体"/>
          <w:b/>
          <w:bCs/>
          <w:color w:val="000000"/>
          <w:szCs w:val="21"/>
        </w:rPr>
      </w:r>
      <w:r/>
    </w:p>
    <w:p>
      <w:pPr>
        <w:pStyle w:val="1151"/>
        <w:ind w:firstLine="420"/>
        <w:spacing w:line="360" w:lineRule="auto"/>
        <w:rPr>
          <w:rFonts w:hint="eastAsia" w:ascii="宋体" w:hAnsi="宋体" w:cs="宋体"/>
          <w:bCs/>
          <w:color w:val="000000"/>
          <w:szCs w:val="21"/>
          <w:u w:val="single"/>
        </w:rPr>
      </w:pPr>
      <w:r>
        <w:rPr>
          <w:rFonts w:hint="eastAsia" w:ascii="宋体" w:hAnsi="宋体" w:cs="宋体"/>
          <w:color w:val="000000"/>
          <w:szCs w:val="21"/>
        </w:rPr>
        <w:t xml:space="preserve">1.截止时间：</w:t>
      </w:r>
      <w:r>
        <w:rPr>
          <w:rFonts w:hint="eastAsia" w:ascii="宋体" w:hAnsi="宋体" w:cs="宋体"/>
          <w:bCs/>
          <w:color w:val="000000"/>
          <w:szCs w:val="21"/>
          <w:u w:val="single"/>
          <w:lang w:val="en-US" w:eastAsia="zh-CN"/>
        </w:rPr>
        <w:t xml:space="preserve">2026年7月2日1</w:t>
      </w:r>
      <w:r>
        <w:rPr>
          <w:rFonts w:hint="eastAsia" w:ascii="宋体" w:hAnsi="宋体" w:cs="宋体"/>
          <w:bCs/>
          <w:color w:val="000000"/>
          <w:szCs w:val="21"/>
          <w:u w:val="single"/>
          <w:lang w:val="en-US" w:eastAsia="zh-CN"/>
        </w:rPr>
        <w:t xml:space="preserve">5</w:t>
      </w:r>
      <w:r>
        <w:rPr>
          <w:rFonts w:hint="eastAsia" w:ascii="宋体" w:hAnsi="宋体" w:cs="宋体"/>
          <w:bCs/>
          <w:color w:val="000000"/>
          <w:szCs w:val="21"/>
          <w:u w:val="single"/>
          <w:lang w:eastAsia="zh-CN"/>
        </w:rPr>
        <w:t xml:space="preserve">点</w:t>
      </w:r>
      <w:r>
        <w:rPr>
          <w:rFonts w:hint="eastAsia" w:ascii="宋体" w:hAnsi="宋体" w:cs="宋体"/>
          <w:bCs/>
          <w:color w:val="000000"/>
          <w:szCs w:val="21"/>
          <w:u w:val="single"/>
          <w:lang w:val="en-US" w:eastAsia="zh-CN"/>
        </w:rPr>
        <w:t xml:space="preserve">0</w:t>
      </w:r>
      <w:r>
        <w:rPr>
          <w:rFonts w:hint="eastAsia" w:ascii="宋体" w:hAnsi="宋体" w:cs="宋体"/>
          <w:bCs/>
          <w:color w:val="000000"/>
          <w:szCs w:val="21"/>
          <w:u w:val="single"/>
          <w:lang w:eastAsia="zh-CN"/>
        </w:rPr>
        <w:t xml:space="preserve">0分</w:t>
      </w:r>
      <w:r>
        <w:rPr>
          <w:rFonts w:hint="eastAsia" w:ascii="宋体" w:hAnsi="宋体" w:cs="宋体"/>
          <w:bCs/>
          <w:color w:val="000000"/>
          <w:szCs w:val="21"/>
        </w:rPr>
        <w:t xml:space="preserve">（北京时间）</w:t>
      </w:r>
      <w:r>
        <w:rPr>
          <w:rFonts w:hint="eastAsia" w:ascii="宋体" w:hAnsi="宋体" w:cs="宋体"/>
          <w:bCs/>
          <w:color w:val="000000"/>
          <w:szCs w:val="21"/>
          <w:u w:val="single"/>
        </w:rPr>
      </w:r>
      <w:r/>
    </w:p>
    <w:p>
      <w:pPr>
        <w:pStyle w:val="1151"/>
        <w:ind w:firstLine="422"/>
        <w:spacing w:line="360" w:lineRule="auto"/>
        <w:rPr>
          <w:rFonts w:hint="eastAsia" w:ascii="宋体" w:hAnsi="宋体" w:cs="宋体"/>
          <w:bCs/>
          <w:color w:val="000000"/>
          <w:szCs w:val="21"/>
          <w:u w:val="single"/>
        </w:rPr>
      </w:pPr>
      <w:r/>
      <w:bookmarkStart w:id="10" w:name="_Toc109304967"/>
      <w:r>
        <w:rPr>
          <w:rFonts w:hint="eastAsia" w:ascii="宋体" w:hAnsi="宋体" w:cs="宋体"/>
          <w:b/>
          <w:bCs/>
          <w:color w:val="000000"/>
          <w:szCs w:val="21"/>
        </w:rPr>
        <w:t xml:space="preserve">2.投标地点：“苏采云”系统（网址：http://jszfcg.jsczt.cn/）“报名详情”</w:t>
      </w:r>
      <w:r>
        <w:rPr>
          <w:rFonts w:hint="eastAsia" w:ascii="宋体" w:hAnsi="宋体" w:cs="宋体"/>
          <w:bCs/>
          <w:color w:val="000000"/>
          <w:szCs w:val="21"/>
          <w:u w:val="single"/>
        </w:rPr>
      </w:r>
      <w:r/>
    </w:p>
    <w:p>
      <w:pPr>
        <w:pStyle w:val="1151"/>
        <w:spacing w:line="360" w:lineRule="auto"/>
        <w:rPr>
          <w:rFonts w:hint="eastAsia" w:ascii="宋体" w:hAnsi="宋体" w:cs="宋体"/>
          <w:b/>
          <w:bCs/>
          <w:color w:val="000000"/>
          <w:szCs w:val="21"/>
        </w:rPr>
      </w:pPr>
      <w:r>
        <w:rPr>
          <w:rFonts w:hint="eastAsia" w:ascii="宋体" w:hAnsi="宋体" w:cs="宋体"/>
          <w:b/>
          <w:bCs/>
          <w:color w:val="000000"/>
          <w:szCs w:val="21"/>
        </w:rPr>
        <w:t xml:space="preserve">五、开启</w:t>
      </w:r>
      <w:bookmarkEnd w:id="10"/>
      <w:r>
        <w:rPr>
          <w:rFonts w:hint="eastAsia" w:ascii="宋体" w:hAnsi="宋体" w:cs="宋体"/>
          <w:b/>
          <w:bCs/>
          <w:color w:val="000000"/>
          <w:szCs w:val="21"/>
        </w:rPr>
      </w:r>
      <w:r/>
    </w:p>
    <w:p>
      <w:pPr>
        <w:pStyle w:val="1160"/>
        <w:spacing w:line="360" w:lineRule="auto"/>
        <w:rPr>
          <w:rFonts w:hint="eastAsia" w:ascii="宋体" w:hAnsi="宋体" w:cs="宋体"/>
          <w:bCs/>
          <w:color w:val="000000"/>
          <w:szCs w:val="21"/>
        </w:rPr>
      </w:pPr>
      <w:r>
        <w:rPr>
          <w:rFonts w:hint="eastAsia" w:ascii="宋体" w:hAnsi="宋体" w:cs="宋体"/>
          <w:color w:val="000000"/>
          <w:szCs w:val="21"/>
        </w:rPr>
        <w:t xml:space="preserve">1.时间：</w:t>
      </w:r>
      <w:r>
        <w:rPr>
          <w:rFonts w:hint="eastAsia" w:ascii="宋体" w:hAnsi="宋体" w:cs="宋体"/>
          <w:bCs/>
          <w:color w:val="000000"/>
          <w:szCs w:val="21"/>
          <w:u w:val="single"/>
          <w:lang w:val="en-US" w:eastAsia="zh-CN"/>
        </w:rPr>
        <w:t xml:space="preserve">2026年7月2日1</w:t>
      </w:r>
      <w:r>
        <w:rPr>
          <w:rFonts w:hint="eastAsia" w:ascii="宋体" w:hAnsi="宋体" w:cs="宋体"/>
          <w:bCs/>
          <w:color w:val="000000"/>
          <w:szCs w:val="21"/>
          <w:u w:val="single"/>
          <w:lang w:val="en-US" w:eastAsia="zh-CN"/>
        </w:rPr>
        <w:t xml:space="preserve">5</w:t>
      </w:r>
      <w:r>
        <w:rPr>
          <w:rFonts w:hint="eastAsia" w:ascii="宋体" w:hAnsi="宋体" w:cs="宋体"/>
          <w:bCs/>
          <w:color w:val="000000"/>
          <w:szCs w:val="21"/>
          <w:u w:val="single"/>
          <w:lang w:eastAsia="zh-CN"/>
        </w:rPr>
        <w:t xml:space="preserve">点</w:t>
      </w:r>
      <w:r>
        <w:rPr>
          <w:rFonts w:hint="eastAsia" w:ascii="宋体" w:hAnsi="宋体" w:cs="宋体"/>
          <w:bCs/>
          <w:color w:val="000000"/>
          <w:szCs w:val="21"/>
          <w:u w:val="single"/>
          <w:lang w:val="en-US" w:eastAsia="zh-CN"/>
        </w:rPr>
        <w:t xml:space="preserve">0</w:t>
      </w:r>
      <w:r>
        <w:rPr>
          <w:rFonts w:hint="eastAsia" w:ascii="宋体" w:hAnsi="宋体" w:cs="宋体"/>
          <w:bCs/>
          <w:color w:val="000000"/>
          <w:szCs w:val="21"/>
          <w:u w:val="single"/>
          <w:lang w:eastAsia="zh-CN"/>
        </w:rPr>
        <w:t xml:space="preserve">0分</w:t>
      </w:r>
      <w:r>
        <w:rPr>
          <w:rFonts w:hint="eastAsia" w:ascii="宋体" w:hAnsi="宋体" w:cs="宋体"/>
          <w:bCs/>
          <w:color w:val="000000"/>
          <w:szCs w:val="21"/>
        </w:rPr>
        <w:t xml:space="preserve">（北京时间）</w:t>
      </w:r>
      <w:r>
        <w:rPr>
          <w:rFonts w:hint="eastAsia" w:ascii="宋体" w:hAnsi="宋体" w:cs="宋体"/>
          <w:bCs/>
          <w:color w:val="000000"/>
          <w:szCs w:val="21"/>
        </w:rPr>
      </w:r>
      <w:r/>
    </w:p>
    <w:p>
      <w:pPr>
        <w:pStyle w:val="1151"/>
        <w:ind w:firstLine="422"/>
        <w:spacing w:line="360" w:lineRule="auto"/>
        <w:rPr>
          <w:rFonts w:hint="eastAsia" w:ascii="宋体" w:hAnsi="宋体" w:cs="宋体"/>
          <w:b/>
          <w:color w:val="000000"/>
          <w:szCs w:val="21"/>
        </w:rPr>
      </w:pPr>
      <w:r/>
      <w:bookmarkStart w:id="11" w:name="_Toc109304968"/>
      <w:r>
        <w:rPr>
          <w:rFonts w:hint="eastAsia" w:ascii="宋体" w:hAnsi="宋体" w:cs="宋体"/>
          <w:b/>
          <w:color w:val="000000"/>
          <w:szCs w:val="21"/>
        </w:rPr>
        <w:t xml:space="preserve">2.开标地点：“苏采云”系统（网址：http://jszfcg.jsczt.cn/）“开标大厅”</w:t>
      </w:r>
      <w:r>
        <w:rPr>
          <w:rFonts w:hint="eastAsia" w:ascii="宋体" w:hAnsi="宋体" w:cs="宋体"/>
          <w:b/>
          <w:color w:val="000000"/>
          <w:szCs w:val="21"/>
        </w:rPr>
      </w:r>
      <w:r/>
    </w:p>
    <w:p>
      <w:pPr>
        <w:pStyle w:val="1151"/>
        <w:spacing w:line="360" w:lineRule="auto"/>
        <w:rPr>
          <w:rFonts w:hint="eastAsia" w:ascii="宋体" w:hAnsi="宋体" w:cs="宋体"/>
          <w:b/>
          <w:bCs/>
          <w:color w:val="000000"/>
          <w:szCs w:val="21"/>
        </w:rPr>
      </w:pPr>
      <w:r>
        <w:rPr>
          <w:rFonts w:hint="eastAsia" w:ascii="宋体" w:hAnsi="宋体" w:cs="宋体"/>
          <w:b/>
          <w:bCs/>
          <w:color w:val="000000"/>
          <w:szCs w:val="21"/>
        </w:rPr>
        <w:t xml:space="preserve">六、公告期限</w:t>
      </w:r>
      <w:bookmarkEnd w:id="11"/>
      <w:r>
        <w:rPr>
          <w:rFonts w:hint="eastAsia" w:ascii="宋体" w:hAnsi="宋体" w:cs="宋体"/>
          <w:b/>
          <w:bCs/>
          <w:color w:val="000000"/>
          <w:szCs w:val="21"/>
        </w:rPr>
      </w:r>
      <w:r/>
    </w:p>
    <w:p>
      <w:pPr>
        <w:pStyle w:val="1151"/>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自本公告发布之日起3个工作日。</w:t>
      </w:r>
      <w:r>
        <w:rPr>
          <w:rFonts w:hint="eastAsia" w:ascii="宋体" w:hAnsi="宋体" w:cs="宋体"/>
          <w:b/>
          <w:bCs/>
          <w:color w:val="000000"/>
          <w:szCs w:val="21"/>
        </w:rPr>
      </w:r>
      <w:r/>
    </w:p>
    <w:p>
      <w:pPr>
        <w:pStyle w:val="1151"/>
        <w:spacing w:line="360" w:lineRule="auto"/>
        <w:rPr>
          <w:rFonts w:hint="eastAsia" w:ascii="宋体" w:hAnsi="宋体" w:cs="宋体"/>
          <w:b/>
          <w:color w:val="000000"/>
          <w:szCs w:val="21"/>
        </w:rPr>
      </w:pPr>
      <w:r/>
      <w:bookmarkStart w:id="12" w:name="_Toc109304969"/>
      <w:r>
        <w:rPr>
          <w:rFonts w:hint="eastAsia" w:ascii="宋体" w:hAnsi="宋体" w:cs="宋体"/>
          <w:b/>
          <w:color w:val="000000"/>
          <w:szCs w:val="21"/>
        </w:rPr>
        <w:t xml:space="preserve">七、其他补充事宜</w:t>
      </w:r>
      <w:bookmarkEnd w:id="12"/>
      <w:r>
        <w:rPr>
          <w:rFonts w:hint="eastAsia" w:ascii="宋体" w:hAnsi="宋体" w:cs="宋体"/>
          <w:b/>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Cs w:val="21"/>
        </w:rPr>
      </w:r>
      <w:r/>
    </w:p>
    <w:p>
      <w:pPr>
        <w:pStyle w:val="1151"/>
        <w:ind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lang w:val="en-US" w:eastAsia="zh-CN"/>
        </w:rPr>
        <w:t xml:space="preserve">（3）“CA数字证书”的办理材料以及供应商操作手册详见：http://zfcg.yangzhou.gov.cn/zfcg/xzzx/202309/4d7de1f7865f4a2894fc22bc452f94d8.shtml。</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（4）潜在供应商访问“苏采云”系统的网络地址和方法：“苏采云”系统的网址：http://jszfcg.jsczt.cn/。</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（6）招标代理机构（采购代理机构）将数据电文形式的采购文件加载至“苏采云”系统，供潜在供应商下载或者查阅。    </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（7）苏采云系统使用谷歌浏览器参与不见面开标。</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3.竞争性谈判、竞争性磋商、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谈判）失败，供应商自行承担其后果。</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4.潜在供应商对采购文件项目需求部分的询问、质疑请向采购人提出，由采购人负责答复。</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5.落实好政府采购履约资金扶持政策。中标/成交供应商可凭政府采购合同办理融资贷款，详见江苏政府采购网“政采贷”专栏。</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6.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7.严格执行政府采购关于支持</w:t>
      </w:r>
      <w:r>
        <w:rPr>
          <w:rFonts w:hint="eastAsia" w:ascii="宋体" w:hAnsi="宋体" w:cs="宋体"/>
          <w:color w:val="000000"/>
          <w:szCs w:val="21"/>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8.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9.本次采购不收取投标保证金。</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10.有关本次采购的事项若存在变动或修改，敬请及时关注“扬州市政府采购网”、“江苏省政府采购网”发布的信息。</w:t>
      </w:r>
      <w:r>
        <w:rPr>
          <w:rFonts w:hint="eastAsia" w:ascii="宋体" w:hAnsi="宋体" w:cs="宋体"/>
          <w:color w:val="000000"/>
          <w:szCs w:val="21"/>
          <w:lang w:val="en-US" w:eastAsia="zh-CN"/>
        </w:rPr>
      </w:r>
      <w:r/>
    </w:p>
    <w:p>
      <w:pPr>
        <w:pStyle w:val="1151"/>
        <w:ind w:firstLine="422"/>
        <w:spacing w:line="360" w:lineRule="auto"/>
        <w:rPr>
          <w:rFonts w:hint="eastAsia" w:ascii="宋体" w:hAnsi="宋体" w:eastAsia="宋体" w:cs="宋体"/>
          <w:b/>
          <w:bCs/>
          <w:i/>
          <w:iCs/>
          <w:color w:val="000000"/>
          <w:highlight w:val="none"/>
          <w:u w:val="single"/>
        </w:rPr>
      </w:pPr>
      <w:r/>
      <w:bookmarkStart w:id="13" w:name="_Toc109304970"/>
      <w:r>
        <w:rPr>
          <w:rFonts w:hint="eastAsia" w:ascii="宋体" w:hAnsi="宋体" w:eastAsia="宋体" w:cs="宋体"/>
          <w:b/>
          <w:bCs/>
          <w:color w:val="000000"/>
          <w:highlight w:val="none"/>
        </w:rPr>
        <w:t xml:space="preserve">1</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rPr>
        <w:t xml:space="preserve">.</w:t>
      </w:r>
      <w:r>
        <w:rPr>
          <w:rFonts w:hint="eastAsia" w:ascii="宋体" w:hAnsi="宋体" w:eastAsia="宋体" w:cs="宋体"/>
          <w:b/>
          <w:bCs/>
          <w:i/>
          <w:iCs/>
          <w:color w:val="000000"/>
          <w:highlight w:val="none"/>
          <w:u w:val="single"/>
        </w:rPr>
        <w:t xml:space="preserve">本项目采购文件中所有斜体下划线部分为实质性条款，如不满足，则为无效响应。</w:t>
      </w:r>
      <w:r>
        <w:rPr>
          <w:rFonts w:hint="eastAsia" w:ascii="宋体" w:hAnsi="宋体" w:eastAsia="宋体" w:cs="宋体"/>
          <w:b/>
          <w:bCs/>
          <w:i/>
          <w:iCs/>
          <w:color w:val="000000"/>
          <w:highlight w:val="none"/>
          <w:u w:val="single"/>
        </w:rPr>
      </w:r>
      <w:r/>
    </w:p>
    <w:p>
      <w:pPr>
        <w:pStyle w:val="1151"/>
        <w:spacing w:line="360" w:lineRule="auto"/>
        <w:rPr>
          <w:rFonts w:hint="eastAsia" w:ascii="宋体" w:hAnsi="宋体" w:cs="宋体"/>
          <w:b/>
          <w:bCs/>
          <w:color w:val="000000"/>
          <w:szCs w:val="21"/>
        </w:rPr>
      </w:pPr>
      <w:r>
        <w:rPr>
          <w:rFonts w:hint="eastAsia" w:ascii="宋体" w:hAnsi="宋体" w:cs="宋体"/>
          <w:b/>
          <w:bCs/>
          <w:color w:val="000000"/>
          <w:szCs w:val="21"/>
        </w:rPr>
        <w:t xml:space="preserve">八、本次竞争性谈判联系方式</w:t>
      </w:r>
      <w:bookmarkEnd w:id="13"/>
      <w:r>
        <w:rPr>
          <w:rFonts w:hint="eastAsia" w:ascii="宋体" w:hAnsi="宋体" w:cs="宋体"/>
          <w:b/>
          <w:bCs/>
          <w:color w:val="000000"/>
          <w:szCs w:val="21"/>
        </w:rPr>
      </w:r>
      <w:r/>
    </w:p>
    <w:p>
      <w:pPr>
        <w:pStyle w:val="1171"/>
        <w:ind w:firstLine="420"/>
        <w:spacing w:line="360" w:lineRule="auto"/>
        <w:rPr>
          <w:rFonts w:hint="eastAsia" w:hAnsi="宋体" w:cs="宋体"/>
          <w:color w:val="000000"/>
          <w:sz w:val="21"/>
          <w:szCs w:val="21"/>
        </w:rPr>
      </w:pPr>
      <w:r/>
      <w:bookmarkStart w:id="14" w:name="_Toc35393806"/>
      <w:r/>
      <w:bookmarkStart w:id="15" w:name="_Toc35393637"/>
      <w:r/>
      <w:bookmarkStart w:id="16" w:name="_Toc28359096"/>
      <w:r/>
      <w:bookmarkStart w:id="17" w:name="_Toc28359019"/>
      <w:r>
        <w:rPr>
          <w:rFonts w:hint="eastAsia" w:hAnsi="宋体" w:cs="宋体"/>
          <w:color w:val="000000"/>
          <w:sz w:val="21"/>
          <w:szCs w:val="21"/>
        </w:rPr>
        <w:t xml:space="preserve">1.采购人信息</w:t>
      </w:r>
      <w:bookmarkEnd w:id="14"/>
      <w:r/>
      <w:bookmarkEnd w:id="15"/>
      <w:r/>
      <w:bookmarkEnd w:id="16"/>
      <w:r/>
      <w:bookmarkEnd w:id="17"/>
      <w:r>
        <w:rPr>
          <w:rFonts w:hint="eastAsia" w:hAnsi="宋体" w:cs="宋体"/>
          <w:color w:val="000000"/>
          <w:sz w:val="21"/>
          <w:szCs w:val="21"/>
        </w:rPr>
      </w:r>
      <w:r/>
    </w:p>
    <w:p>
      <w:pPr>
        <w:pStyle w:val="1171"/>
        <w:ind w:firstLine="420"/>
        <w:spacing w:line="360" w:lineRule="auto"/>
        <w:rPr>
          <w:rFonts w:hint="eastAsia" w:hAnsi="宋体" w:eastAsia="宋体" w:cs="宋体"/>
          <w:color w:val="000000"/>
          <w:sz w:val="21"/>
          <w:szCs w:val="21"/>
          <w:u w:val="single"/>
          <w:lang w:eastAsia="zh-CN"/>
        </w:rPr>
      </w:pPr>
      <w:r>
        <w:rPr>
          <w:rFonts w:hint="eastAsia" w:hAnsi="宋体" w:cs="宋体"/>
          <w:color w:val="000000"/>
          <w:sz w:val="21"/>
          <w:szCs w:val="21"/>
        </w:rPr>
        <w:t xml:space="preserve">名称：</w:t>
      </w:r>
      <w:r>
        <w:rPr>
          <w:rFonts w:hint="eastAsia" w:hAnsi="宋体" w:cs="宋体"/>
          <w:color w:val="000000"/>
          <w:sz w:val="21"/>
          <w:szCs w:val="21"/>
          <w:u w:val="none"/>
          <w:lang w:val="en" w:eastAsia="zh-CN"/>
        </w:rPr>
        <w:t xml:space="preserve">高邮城南经济新区管理委员会</w:t>
      </w:r>
      <w:r>
        <w:rPr>
          <w:rFonts w:hint="eastAsia" w:hAnsi="宋体" w:eastAsia="宋体" w:cs="宋体"/>
          <w:color w:val="000000"/>
          <w:sz w:val="21"/>
          <w:szCs w:val="21"/>
          <w:u w:val="single"/>
          <w:lang w:eastAsia="zh-CN"/>
        </w:rPr>
      </w:r>
      <w:r/>
    </w:p>
    <w:p>
      <w:pPr>
        <w:pStyle w:val="1171"/>
        <w:ind w:firstLine="420"/>
        <w:spacing w:line="360" w:lineRule="auto"/>
        <w:rPr>
          <w:rFonts w:hint="eastAsia" w:hAnsi="宋体" w:eastAsia="宋体" w:cs="宋体"/>
          <w:color w:val="000000"/>
          <w:sz w:val="21"/>
          <w:szCs w:val="21"/>
          <w:u w:val="single"/>
          <w:lang w:val="en-US" w:eastAsia="zh-CN"/>
        </w:rPr>
      </w:pPr>
      <w:r>
        <w:rPr>
          <w:rFonts w:hint="eastAsia" w:hAnsi="宋体" w:cs="宋体"/>
          <w:color w:val="000000"/>
          <w:sz w:val="21"/>
          <w:szCs w:val="21"/>
        </w:rPr>
        <w:t xml:space="preserve">地址：</w:t>
      </w:r>
      <w:r>
        <w:rPr>
          <w:rFonts w:hint="eastAsia" w:hAnsi="宋体" w:cs="宋体"/>
          <w:color w:val="000000"/>
          <w:sz w:val="21"/>
          <w:szCs w:val="21"/>
          <w:lang w:eastAsia="zh-CN"/>
        </w:rPr>
        <w:t xml:space="preserve">高邮市城南经济新区南环路1号</w:t>
      </w:r>
      <w:r>
        <w:rPr>
          <w:rFonts w:hint="eastAsia" w:hAnsi="宋体" w:eastAsia="宋体" w:cs="宋体"/>
          <w:color w:val="000000"/>
          <w:sz w:val="21"/>
          <w:szCs w:val="21"/>
          <w:u w:val="single"/>
          <w:lang w:val="en-US" w:eastAsia="zh-CN"/>
        </w:rPr>
      </w:r>
      <w:r/>
    </w:p>
    <w:p>
      <w:pPr>
        <w:pStyle w:val="1171"/>
        <w:ind w:firstLine="420"/>
        <w:spacing w:line="360" w:lineRule="auto"/>
        <w:rPr>
          <w:rFonts w:hint="eastAsia" w:hAnsi="宋体" w:eastAsia="宋体" w:cs="宋体"/>
          <w:color w:val="000000"/>
          <w:sz w:val="21"/>
          <w:szCs w:val="21"/>
          <w:u w:val="single"/>
          <w:lang w:eastAsia="zh-CN"/>
        </w:rPr>
      </w:pPr>
      <w:r>
        <w:rPr>
          <w:rFonts w:hint="eastAsia" w:hAnsi="宋体" w:cs="宋体"/>
          <w:color w:val="000000"/>
          <w:sz w:val="21"/>
          <w:szCs w:val="21"/>
        </w:rPr>
        <w:t xml:space="preserve">联系人：</w:t>
      </w:r>
      <w:r>
        <w:rPr>
          <w:rFonts w:hint="eastAsia" w:hAnsi="宋体" w:cs="宋体"/>
          <w:color w:val="000000"/>
          <w:sz w:val="21"/>
          <w:szCs w:val="21"/>
          <w:lang w:val="en-US" w:eastAsia="zh-CN"/>
        </w:rPr>
        <w:t xml:space="preserve"> </w:t>
      </w:r>
      <w:r>
        <w:rPr>
          <w:rFonts w:hint="eastAsia" w:hAnsi="宋体" w:cs="宋体"/>
          <w:color w:val="000000"/>
          <w:sz w:val="21"/>
          <w:szCs w:val="21"/>
          <w:u w:val="single"/>
          <w:lang w:val="en-US" w:eastAsia="zh-CN"/>
        </w:rPr>
        <w:t xml:space="preserve"> 黄河杰  </w:t>
      </w:r>
      <w:r>
        <w:rPr>
          <w:rFonts w:hint="eastAsia" w:hAnsi="宋体" w:eastAsia="宋体" w:cs="宋体"/>
          <w:color w:val="000000"/>
          <w:sz w:val="21"/>
          <w:szCs w:val="21"/>
          <w:u w:val="single"/>
          <w:lang w:eastAsia="zh-CN"/>
        </w:rPr>
      </w:r>
      <w:r/>
    </w:p>
    <w:p>
      <w:pPr>
        <w:pStyle w:val="1171"/>
        <w:ind w:firstLine="420"/>
        <w:spacing w:line="360" w:lineRule="auto"/>
        <w:rPr>
          <w:rFonts w:hAnsi="宋体" w:eastAsia="宋体" w:cs="宋体"/>
          <w:color w:val="000000"/>
          <w:sz w:val="21"/>
          <w:szCs w:val="21"/>
          <w:lang w:val="en-US" w:eastAsia="zh-CN"/>
        </w:rPr>
      </w:pPr>
      <w:r/>
      <w:bookmarkStart w:id="18" w:name="_Toc35393638"/>
      <w:r/>
      <w:bookmarkStart w:id="19" w:name="_Toc35393807"/>
      <w:r/>
      <w:bookmarkStart w:id="20" w:name="_Toc28359020"/>
      <w:r/>
      <w:bookmarkStart w:id="21" w:name="_Toc28359097"/>
      <w:r>
        <w:rPr>
          <w:rFonts w:hint="eastAsia" w:hAnsi="宋体" w:cs="宋体"/>
          <w:color w:val="000000"/>
          <w:sz w:val="21"/>
          <w:szCs w:val="21"/>
        </w:rPr>
        <w:t xml:space="preserve">联系电话：</w:t>
      </w:r>
      <w:r>
        <w:rPr>
          <w:rFonts w:hint="eastAsia" w:hAnsi="宋体" w:cs="宋体"/>
          <w:color w:val="000000"/>
          <w:sz w:val="21"/>
          <w:szCs w:val="21"/>
          <w:u w:val="single"/>
          <w:lang w:val="en-US" w:eastAsia="zh-CN"/>
        </w:rPr>
        <w:t xml:space="preserve">15862874962  </w:t>
      </w:r>
      <w:r>
        <w:rPr>
          <w:rFonts w:hAnsi="宋体" w:eastAsia="宋体" w:cs="宋体"/>
          <w:color w:val="000000"/>
          <w:sz w:val="21"/>
          <w:szCs w:val="21"/>
          <w:lang w:val="en-US" w:eastAsia="zh-CN"/>
        </w:rPr>
      </w:r>
      <w:r/>
    </w:p>
    <w:p>
      <w:pPr>
        <w:pStyle w:val="1171"/>
        <w:ind w:firstLine="420"/>
        <w:spacing w:line="360" w:lineRule="auto"/>
        <w:rPr>
          <w:rFonts w:hint="eastAsia" w:hAnsi="宋体" w:cs="宋体"/>
          <w:color w:val="000000"/>
          <w:sz w:val="21"/>
          <w:szCs w:val="21"/>
        </w:rPr>
      </w:pPr>
      <w:r>
        <w:rPr>
          <w:rFonts w:hint="eastAsia" w:hAnsi="宋体" w:cs="宋体"/>
          <w:color w:val="000000"/>
          <w:sz w:val="21"/>
          <w:szCs w:val="21"/>
        </w:rPr>
        <w:t xml:space="preserve">2.采购代理机构信息</w:t>
      </w:r>
      <w:bookmarkEnd w:id="18"/>
      <w:r/>
      <w:bookmarkEnd w:id="19"/>
      <w:r/>
      <w:bookmarkEnd w:id="20"/>
      <w:r/>
      <w:bookmarkEnd w:id="21"/>
      <w:r>
        <w:rPr>
          <w:rFonts w:hint="eastAsia" w:hAnsi="宋体" w:cs="宋体"/>
          <w:color w:val="000000"/>
          <w:sz w:val="21"/>
          <w:szCs w:val="21"/>
        </w:rPr>
      </w:r>
      <w:r/>
    </w:p>
    <w:p>
      <w:pPr>
        <w:pStyle w:val="1171"/>
        <w:ind w:firstLine="420"/>
        <w:spacing w:line="360" w:lineRule="auto"/>
        <w:rPr>
          <w:rFonts w:hint="eastAsia" w:hAnsi="宋体" w:eastAsia="宋体" w:cs="宋体"/>
          <w:color w:val="000000"/>
          <w:sz w:val="21"/>
          <w:szCs w:val="21"/>
          <w:lang w:eastAsia="zh-CN"/>
        </w:rPr>
      </w:pPr>
      <w:r>
        <w:rPr>
          <w:rFonts w:hint="eastAsia" w:hAnsi="宋体" w:cs="宋体"/>
          <w:color w:val="000000"/>
          <w:sz w:val="21"/>
          <w:szCs w:val="21"/>
        </w:rPr>
        <w:t xml:space="preserve">名称：</w:t>
      </w:r>
      <w:r>
        <w:rPr>
          <w:rFonts w:hint="eastAsia" w:hAnsi="宋体" w:cs="宋体"/>
          <w:color w:val="000000"/>
          <w:sz w:val="21"/>
          <w:szCs w:val="21"/>
          <w:u w:val="single"/>
          <w:lang w:eastAsia="zh-CN"/>
        </w:rPr>
        <w:t xml:space="preserve">江苏中建业工程项目管理咨询有限公司</w:t>
      </w:r>
      <w:r>
        <w:rPr>
          <w:rFonts w:hint="eastAsia" w:hAnsi="宋体" w:eastAsia="宋体" w:cs="宋体"/>
          <w:color w:val="000000"/>
          <w:sz w:val="21"/>
          <w:szCs w:val="21"/>
          <w:lang w:eastAsia="zh-CN"/>
        </w:rPr>
      </w:r>
      <w:r/>
    </w:p>
    <w:p>
      <w:pPr>
        <w:pStyle w:val="1171"/>
        <w:ind w:firstLine="420"/>
        <w:spacing w:line="360" w:lineRule="auto"/>
        <w:rPr>
          <w:rFonts w:hint="eastAsia" w:hAnsi="宋体" w:eastAsia="宋体" w:cs="宋体"/>
          <w:color w:val="000000"/>
          <w:sz w:val="21"/>
          <w:szCs w:val="21"/>
          <w:lang w:eastAsia="zh-CN"/>
        </w:rPr>
      </w:pPr>
      <w:r>
        <w:rPr>
          <w:rFonts w:hint="eastAsia" w:hAnsi="宋体" w:cs="宋体"/>
          <w:color w:val="000000"/>
          <w:sz w:val="21"/>
          <w:szCs w:val="21"/>
        </w:rPr>
        <w:t xml:space="preserve">地址：</w:t>
      </w:r>
      <w:r>
        <w:rPr>
          <w:rFonts w:hint="eastAsia" w:hAnsi="宋体" w:cs="宋体"/>
          <w:color w:val="000000"/>
          <w:sz w:val="21"/>
          <w:szCs w:val="21"/>
          <w:u w:val="single"/>
        </w:rPr>
        <w:t xml:space="preserve">高邮市蝶园路69号7幢34号</w:t>
      </w:r>
      <w:r>
        <w:rPr>
          <w:rFonts w:hint="eastAsia" w:hAnsi="宋体" w:eastAsia="宋体" w:cs="宋体"/>
          <w:color w:val="000000"/>
          <w:sz w:val="21"/>
          <w:szCs w:val="21"/>
          <w:lang w:eastAsia="zh-CN"/>
        </w:rPr>
      </w:r>
      <w:r/>
    </w:p>
    <w:p>
      <w:pPr>
        <w:pStyle w:val="1171"/>
        <w:ind w:firstLine="420"/>
        <w:spacing w:line="360" w:lineRule="auto"/>
        <w:rPr>
          <w:rFonts w:hint="eastAsia" w:hAnsi="宋体" w:eastAsia="宋体" w:cs="宋体"/>
          <w:color w:val="000000"/>
          <w:sz w:val="21"/>
          <w:szCs w:val="21"/>
          <w:u w:val="single"/>
          <w:lang w:eastAsia="zh-CN"/>
        </w:rPr>
      </w:pPr>
      <w:r>
        <w:rPr>
          <w:rFonts w:hint="eastAsia" w:hAnsi="宋体" w:cs="宋体"/>
          <w:color w:val="000000"/>
          <w:sz w:val="21"/>
          <w:szCs w:val="21"/>
        </w:rPr>
        <w:t xml:space="preserve">联系人：</w:t>
      </w:r>
      <w:r>
        <w:rPr>
          <w:rFonts w:hint="eastAsia" w:hAnsi="宋体" w:cs="宋体"/>
          <w:color w:val="000000"/>
          <w:sz w:val="21"/>
          <w:szCs w:val="21"/>
          <w:u w:val="single"/>
          <w:lang w:val="en-US" w:eastAsia="zh-CN"/>
        </w:rPr>
        <w:t xml:space="preserve">夏锦山</w:t>
      </w:r>
      <w:r>
        <w:rPr>
          <w:rFonts w:hint="eastAsia" w:hAnsi="宋体" w:eastAsia="宋体" w:cs="宋体"/>
          <w:color w:val="000000"/>
          <w:sz w:val="21"/>
          <w:szCs w:val="21"/>
          <w:u w:val="single"/>
          <w:lang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rPr>
        <w:t xml:space="preserve">联系电话：</w:t>
      </w:r>
      <w:r>
        <w:rPr>
          <w:rFonts w:hint="eastAsia" w:hAnsi="宋体" w:cs="宋体"/>
          <w:color w:val="000000"/>
          <w:sz w:val="21"/>
          <w:szCs w:val="21"/>
          <w:u w:val="single"/>
          <w:lang w:val="en-US" w:eastAsia="zh-CN"/>
        </w:rPr>
        <w:t xml:space="preserve">15050767556</w:t>
      </w:r>
      <w:bookmarkEnd w:id="1"/>
      <w:r/>
      <w:bookmarkStart w:id="22" w:name="_Toc175728702"/>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ind w:firstLine="420"/>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71"/>
        <w:spacing w:line="360" w:lineRule="auto"/>
        <w:rPr>
          <w:rFonts w:hint="eastAsia" w:hAnsi="宋体" w:cs="宋体"/>
          <w:color w:val="000000"/>
          <w:sz w:val="21"/>
          <w:szCs w:val="21"/>
          <w:u w:val="single"/>
          <w:lang w:val="en-US" w:eastAsia="zh-CN"/>
        </w:rPr>
      </w:pPr>
      <w:r>
        <w:rPr>
          <w:rFonts w:hint="eastAsia" w:hAnsi="宋体" w:cs="宋体"/>
          <w:color w:val="000000"/>
          <w:sz w:val="21"/>
          <w:szCs w:val="21"/>
          <w:u w:val="single"/>
          <w:lang w:val="en-US" w:eastAsia="zh-CN"/>
        </w:rPr>
      </w:r>
      <w:r/>
    </w:p>
    <w:p>
      <w:pPr>
        <w:pStyle w:val="1152"/>
        <w:jc w:val="center"/>
        <w:spacing w:line="360" w:lineRule="auto"/>
        <w:rPr>
          <w:rFonts w:hint="eastAsia" w:ascii="宋体" w:hAnsi="宋体" w:cs="宋体"/>
          <w:color w:val="000000"/>
          <w:sz w:val="31"/>
          <w:szCs w:val="31"/>
        </w:rPr>
      </w:pPr>
      <w:r>
        <w:rPr>
          <w:rFonts w:hint="eastAsia" w:ascii="宋体" w:hAnsi="宋体" w:cs="宋体"/>
          <w:color w:val="000000"/>
          <w:sz w:val="31"/>
          <w:szCs w:val="31"/>
        </w:rPr>
        <w:t xml:space="preserve">第二章 供应商须知</w:t>
      </w:r>
      <w:bookmarkEnd w:id="22"/>
      <w:r>
        <w:rPr>
          <w:rFonts w:hint="eastAsia" w:ascii="宋体" w:hAnsi="宋体" w:cs="宋体"/>
          <w:color w:val="000000"/>
          <w:sz w:val="31"/>
          <w:szCs w:val="31"/>
        </w:rPr>
      </w:r>
      <w:r/>
    </w:p>
    <w:p>
      <w:pPr>
        <w:pStyle w:val="1151"/>
        <w:ind w:firstLine="422"/>
        <w:spacing w:line="360" w:lineRule="auto"/>
        <w:rPr>
          <w:rFonts w:hint="eastAsia" w:ascii="宋体" w:hAnsi="宋体" w:cs="宋体"/>
          <w:b/>
          <w:bCs/>
          <w:color w:val="000000"/>
        </w:rPr>
      </w:pPr>
      <w:r>
        <w:rPr>
          <w:rFonts w:hint="eastAsia" w:ascii="宋体" w:hAnsi="宋体" w:cs="宋体"/>
          <w:b/>
          <w:bCs/>
          <w:color w:val="000000"/>
        </w:rPr>
        <w:t xml:space="preserve">1、采购方式</w:t>
      </w:r>
      <w:r>
        <w:rPr>
          <w:rFonts w:hint="eastAsia" w:ascii="宋体" w:hAnsi="宋体" w:cs="宋体"/>
          <w:b/>
          <w:bCs/>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1.1本次采购采取竞争性谈判方式，本采购文件仅适用于</w:t>
      </w:r>
      <w:r>
        <w:rPr>
          <w:rFonts w:hint="eastAsia" w:ascii="宋体" w:hAnsi="宋体" w:cs="宋体"/>
          <w:color w:val="000000"/>
          <w:lang w:eastAsia="zh-CN"/>
        </w:rPr>
        <w:t xml:space="preserve">JSZC-321084-SZJY-T2026-0008</w:t>
      </w:r>
      <w:r>
        <w:rPr>
          <w:rFonts w:hint="eastAsia" w:ascii="宋体" w:hAnsi="宋体" w:cs="宋体"/>
          <w:color w:val="000000"/>
        </w:rPr>
        <w:t xml:space="preserve">号项目。</w:t>
      </w:r>
      <w:r>
        <w:rPr>
          <w:rFonts w:hint="eastAsia" w:ascii="宋体" w:hAnsi="宋体" w:cs="宋体"/>
          <w:color w:val="000000"/>
        </w:rPr>
      </w:r>
      <w:r/>
    </w:p>
    <w:p>
      <w:pPr>
        <w:pStyle w:val="1151"/>
        <w:ind w:firstLine="422"/>
        <w:spacing w:line="360" w:lineRule="auto"/>
        <w:rPr>
          <w:rFonts w:hint="eastAsia" w:ascii="宋体" w:hAnsi="宋体" w:cs="宋体"/>
          <w:b/>
          <w:bCs/>
          <w:color w:val="000000"/>
        </w:rPr>
      </w:pPr>
      <w:r>
        <w:rPr>
          <w:rFonts w:hint="eastAsia" w:ascii="宋体" w:hAnsi="宋体" w:cs="宋体"/>
          <w:b/>
          <w:bCs/>
          <w:color w:val="000000"/>
        </w:rPr>
        <w:t xml:space="preserve">2、供应商</w:t>
      </w:r>
      <w:r>
        <w:rPr>
          <w:rFonts w:hint="eastAsia" w:ascii="宋体" w:hAnsi="宋体" w:cs="宋体"/>
          <w:b/>
          <w:bCs/>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2.1参加竞争性谈判的供应商以下简称“供应商”，是指参加谈判并符合采购文件规定资格条件的法人、其他组织或者自然人。</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2.2合格的供应商</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2.2.1满足采购公告中供应商的资格条件要求的规定。</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2.2.2质量和服务均能满足采购文件实质性条款的规定。</w:t>
      </w:r>
      <w:r>
        <w:rPr>
          <w:rFonts w:hint="eastAsia" w:ascii="宋体" w:hAnsi="宋体" w:cs="宋体"/>
          <w:color w:val="000000"/>
        </w:rPr>
      </w:r>
      <w:r/>
    </w:p>
    <w:p>
      <w:pPr>
        <w:pStyle w:val="1151"/>
        <w:ind w:firstLine="422"/>
        <w:spacing w:line="360" w:lineRule="auto"/>
        <w:rPr>
          <w:rFonts w:hint="eastAsia" w:ascii="宋体" w:hAnsi="宋体" w:cs="宋体"/>
          <w:b/>
          <w:bCs/>
          <w:color w:val="000000"/>
        </w:rPr>
      </w:pPr>
      <w:r>
        <w:rPr>
          <w:rFonts w:hint="eastAsia" w:ascii="宋体" w:hAnsi="宋体" w:cs="宋体"/>
          <w:b/>
          <w:bCs/>
          <w:color w:val="000000"/>
        </w:rPr>
        <w:t xml:space="preserve">3、适用法律</w:t>
      </w:r>
      <w:r>
        <w:rPr>
          <w:rFonts w:hint="eastAsia" w:ascii="宋体" w:hAnsi="宋体" w:cs="宋体"/>
          <w:b/>
          <w:bCs/>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3.1本次采购及由此产生的合同受中华人民共和国有关的法律法规制约和保护。</w:t>
      </w:r>
      <w:r>
        <w:rPr>
          <w:rFonts w:hint="eastAsia" w:ascii="宋体" w:hAnsi="宋体" w:cs="宋体"/>
          <w:color w:val="000000"/>
        </w:rPr>
      </w:r>
      <w:r/>
    </w:p>
    <w:p>
      <w:pPr>
        <w:pStyle w:val="1151"/>
        <w:ind w:firstLine="422"/>
        <w:spacing w:line="360" w:lineRule="auto"/>
        <w:rPr>
          <w:rFonts w:hint="eastAsia" w:ascii="宋体" w:hAnsi="宋体" w:cs="宋体"/>
          <w:b/>
          <w:bCs/>
          <w:color w:val="000000"/>
        </w:rPr>
      </w:pPr>
      <w:r>
        <w:rPr>
          <w:rFonts w:hint="eastAsia" w:ascii="宋体" w:hAnsi="宋体" w:cs="宋体"/>
          <w:b/>
          <w:bCs/>
          <w:color w:val="000000"/>
        </w:rPr>
        <w:t xml:space="preserve">4、谈判费用</w:t>
      </w:r>
      <w:r>
        <w:rPr>
          <w:rFonts w:hint="eastAsia" w:ascii="宋体" w:hAnsi="宋体" w:cs="宋体"/>
          <w:b/>
          <w:bCs/>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4.1供应商应自行承担所有与参加谈判有关的费用，无论谈判过程中的做法和结果如何，（代理公司）(以下简称代理机构)在任何情况下均无义务和责任承担这些费用。</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4.2</w:t>
      </w:r>
      <w:bookmarkStart w:id="23" w:name="_Hlk115095815"/>
      <w:r>
        <w:rPr>
          <w:rFonts w:hint="eastAsia" w:ascii="宋体" w:hAnsi="宋体" w:cs="宋体"/>
          <w:color w:val="000000"/>
        </w:rPr>
        <w:t xml:space="preserve">本次采购由成交单位在领取成交通知书前</w:t>
      </w:r>
      <w:r>
        <w:rPr>
          <w:rFonts w:hint="eastAsia" w:ascii="宋体" w:hAnsi="宋体" w:cs="宋体"/>
          <w:color w:val="000000"/>
          <w:lang w:eastAsia="zh-CN"/>
        </w:rPr>
        <w:t xml:space="preserve">按照《高邮城南经济新区(车逻镇)建设工程招标、采购管理办法(试行)》（邮新管【2023】58号）文件工程类</w:t>
      </w:r>
      <w:r>
        <w:rPr>
          <w:rFonts w:hint="eastAsia" w:ascii="宋体" w:hAnsi="宋体" w:cs="宋体"/>
          <w:color w:val="000000"/>
        </w:rPr>
        <w:t xml:space="preserve">标准一次性支付给招标代理机构代理服务费。</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（1）代理服务费以人民币支付；</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（2）代理服务费一次性以电汇、转账等非现金形式支付；</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（3）招标代理服务费不在谈判报价中单列，包含在谈判总价中，由成交单位支付给代理机构。</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4.3</w:t>
      </w:r>
      <w:bookmarkEnd w:id="23"/>
      <w:r>
        <w:rPr>
          <w:rFonts w:hint="eastAsia" w:ascii="宋体" w:hAnsi="宋体" w:cs="宋体"/>
          <w:color w:val="000000"/>
        </w:rPr>
        <w:t xml:space="preserve">专家评审费按扬财购[2020]40号文《关于进一步规范扬州市政府采购专家评审费标准的通知》执行。</w:t>
      </w:r>
      <w:r>
        <w:rPr>
          <w:rFonts w:hint="eastAsia" w:ascii="宋体" w:hAnsi="宋体" w:cs="宋体"/>
          <w:color w:val="000000"/>
        </w:rPr>
      </w:r>
      <w:r/>
    </w:p>
    <w:p>
      <w:pPr>
        <w:pStyle w:val="1151"/>
        <w:ind w:firstLine="422"/>
        <w:spacing w:line="360" w:lineRule="auto"/>
        <w:rPr>
          <w:rFonts w:hint="eastAsia" w:ascii="宋体" w:hAnsi="宋体" w:cs="宋体"/>
          <w:b/>
          <w:bCs/>
          <w:color w:val="000000"/>
        </w:rPr>
      </w:pPr>
      <w:r>
        <w:rPr>
          <w:rFonts w:hint="eastAsia" w:ascii="宋体" w:hAnsi="宋体" w:cs="宋体"/>
          <w:b/>
          <w:bCs/>
          <w:color w:val="000000"/>
        </w:rPr>
        <w:t xml:space="preserve">5、采购文件的约束力</w:t>
      </w:r>
      <w:r>
        <w:rPr>
          <w:rFonts w:hint="eastAsia" w:ascii="宋体" w:hAnsi="宋体" w:cs="宋体"/>
          <w:b/>
          <w:bCs/>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5.1供应商一旦参加本项目采购活动，即被认为接受了本采购文件的规定和约束。</w:t>
      </w:r>
      <w:r>
        <w:rPr>
          <w:rFonts w:hint="eastAsia" w:ascii="宋体" w:hAnsi="宋体" w:cs="宋体"/>
          <w:color w:val="000000"/>
        </w:rPr>
      </w:r>
      <w:r/>
    </w:p>
    <w:p>
      <w:pPr>
        <w:pStyle w:val="1151"/>
        <w:ind w:firstLine="422"/>
        <w:spacing w:line="360" w:lineRule="auto"/>
        <w:rPr>
          <w:rFonts w:hint="eastAsia" w:ascii="宋体" w:hAnsi="宋体" w:cs="宋体"/>
          <w:b/>
          <w:bCs/>
          <w:color w:val="000000"/>
        </w:rPr>
      </w:pPr>
      <w:r>
        <w:rPr>
          <w:rFonts w:hint="eastAsia" w:ascii="宋体" w:hAnsi="宋体" w:cs="宋体"/>
          <w:b/>
          <w:bCs/>
          <w:color w:val="000000"/>
        </w:rPr>
        <w:t xml:space="preserve">6、采购文件构成</w:t>
      </w:r>
      <w:r>
        <w:rPr>
          <w:rFonts w:hint="eastAsia" w:ascii="宋体" w:hAnsi="宋体" w:cs="宋体"/>
          <w:b/>
          <w:bCs/>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6.1采购文件有以下部分组成：</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（1）采购公告</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（2）供应商须知</w:t>
      </w:r>
      <w:r>
        <w:rPr>
          <w:rFonts w:hint="eastAsia" w:ascii="宋体" w:hAnsi="宋体" w:cs="宋体"/>
          <w:color w:val="000000"/>
        </w:rPr>
        <w:tab/>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（3）合同条款及格式</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（4）项目需求</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（5）响应文件格式</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请仔细检查采购文件是否齐全，如有缺漏请立即与代理机构联系解决。</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6.2谈判的最小单位是包。采购</w:t>
      </w:r>
      <w:r>
        <w:rPr>
          <w:rFonts w:hint="eastAsia" w:ascii="宋体" w:hAnsi="宋体" w:cs="宋体"/>
          <w:color w:val="000000"/>
          <w:lang w:eastAsia="zh-CN"/>
        </w:rPr>
        <w:t xml:space="preserve">项目</w:t>
      </w:r>
      <w:r>
        <w:rPr>
          <w:rFonts w:hint="eastAsia" w:ascii="宋体" w:hAnsi="宋体" w:cs="宋体"/>
          <w:color w:val="000000"/>
        </w:rPr>
        <w:t xml:space="preserve">数量及技术要求中未分包的，供应商对要求提供的</w:t>
      </w:r>
      <w:r>
        <w:rPr>
          <w:rFonts w:hint="eastAsia" w:ascii="宋体" w:hAnsi="宋体" w:cs="宋体"/>
          <w:color w:val="000000"/>
          <w:lang w:eastAsia="zh-CN"/>
        </w:rPr>
        <w:t xml:space="preserve">项目</w:t>
      </w:r>
      <w:r>
        <w:rPr>
          <w:rFonts w:hint="eastAsia" w:ascii="宋体" w:hAnsi="宋体" w:cs="宋体"/>
          <w:color w:val="000000"/>
        </w:rPr>
        <w:t xml:space="preserve">不得部分响应；采购服务数量及技术要求中已经分包的，应当以包为单位响应。</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6.3采购文件如果要求供应商提交备选响应方案的，供应商可以提交备选方案；否则，备选方案将被拒绝。</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cs="宋体"/>
          <w:color w:val="000000"/>
        </w:rPr>
      </w:r>
      <w:r/>
    </w:p>
    <w:p>
      <w:pPr>
        <w:pStyle w:val="1151"/>
        <w:ind w:firstLine="422"/>
        <w:spacing w:line="360" w:lineRule="auto"/>
        <w:rPr>
          <w:rFonts w:hint="eastAsia" w:ascii="宋体" w:hAnsi="宋体" w:cs="宋体"/>
          <w:b/>
          <w:bCs/>
          <w:color w:val="000000"/>
        </w:rPr>
      </w:pPr>
      <w:r>
        <w:rPr>
          <w:rFonts w:hint="eastAsia" w:ascii="宋体" w:hAnsi="宋体" w:cs="宋体"/>
          <w:b/>
          <w:bCs/>
          <w:color w:val="000000"/>
        </w:rPr>
        <w:t xml:space="preserve">7、采购文件的澄清</w:t>
      </w:r>
      <w:r>
        <w:rPr>
          <w:rFonts w:hint="eastAsia" w:ascii="宋体" w:hAnsi="宋体" w:cs="宋体"/>
          <w:b/>
          <w:bCs/>
          <w:color w:val="000000"/>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7.1 任何要求对采购文件进行澄清的供应商，应在提交首次响应文件截止之日前按采购公告中的通讯地址，以书面形式通知代理机构。</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bCs/>
          <w:color w:val="000000"/>
          <w:szCs w:val="21"/>
        </w:rPr>
        <w:t xml:space="preserve">7.2</w:t>
      </w:r>
      <w:r>
        <w:rPr>
          <w:rFonts w:hint="eastAsia" w:ascii="宋体" w:hAnsi="宋体"/>
          <w:color w:val="000000"/>
          <w:szCs w:val="21"/>
        </w:rPr>
        <w:t xml:space="preserve"> 在提交首次响应文件截止之日前，采购人、代理机构或者谈判小组可以对已发出的采购文件进行必要澄清和修改。</w:t>
      </w:r>
      <w:r>
        <w:rPr>
          <w:rFonts w:hint="eastAsia" w:ascii="宋体" w:hAnsi="宋体"/>
          <w:color w:val="000000"/>
          <w:szCs w:val="21"/>
        </w:rPr>
      </w:r>
      <w:r/>
    </w:p>
    <w:p>
      <w:pPr>
        <w:pStyle w:val="1151"/>
        <w:ind w:firstLine="420"/>
        <w:spacing w:line="360" w:lineRule="auto"/>
        <w:rPr>
          <w:rFonts w:hint="eastAsia" w:ascii="宋体" w:hAnsi="宋体"/>
          <w:bCs/>
          <w:color w:val="000000"/>
          <w:szCs w:val="21"/>
        </w:rPr>
      </w:pPr>
      <w:r>
        <w:rPr>
          <w:rFonts w:hint="eastAsia" w:ascii="宋体" w:hAnsi="宋体"/>
          <w:bCs/>
          <w:color w:val="000000"/>
          <w:szCs w:val="21"/>
        </w:rPr>
        <w:t xml:space="preserve">7.3澄清或修改的内容可能影响响应文件编制的，采购人，</w:t>
      </w:r>
      <w:r>
        <w:rPr>
          <w:rFonts w:hint="eastAsia" w:ascii="宋体" w:hAnsi="宋体"/>
          <w:color w:val="000000"/>
          <w:szCs w:val="21"/>
        </w:rPr>
        <w:t xml:space="preserve">代理机构</w:t>
      </w:r>
      <w:r>
        <w:rPr>
          <w:rFonts w:hint="eastAsia" w:ascii="宋体" w:hAnsi="宋体"/>
          <w:bCs/>
          <w:color w:val="000000"/>
          <w:szCs w:val="21"/>
        </w:rPr>
        <w:t xml:space="preserve">或谈判小组应当在提交首次响应文件截止之日3个工作日前，在原采购信息发布媒体上发布变更公告。不足3个工作日的，应当顺延提交首次响应文件截止之日。</w:t>
      </w:r>
      <w:r>
        <w:rPr>
          <w:rFonts w:hint="eastAsia" w:ascii="宋体" w:hAnsi="宋体"/>
          <w:bCs/>
          <w:color w:val="000000"/>
          <w:szCs w:val="21"/>
        </w:rPr>
      </w:r>
      <w:r/>
    </w:p>
    <w:p>
      <w:pPr>
        <w:pStyle w:val="1151"/>
        <w:ind w:firstLine="420"/>
        <w:spacing w:line="360" w:lineRule="auto"/>
        <w:rPr>
          <w:rFonts w:hint="eastAsia" w:ascii="宋体" w:hAnsi="宋体"/>
          <w:color w:val="000000"/>
          <w:szCs w:val="21"/>
        </w:rPr>
      </w:pPr>
      <w:r>
        <w:rPr>
          <w:rFonts w:hint="eastAsia" w:ascii="宋体" w:hAnsi="宋体"/>
          <w:bCs/>
          <w:color w:val="000000"/>
          <w:szCs w:val="21"/>
        </w:rPr>
        <w:t xml:space="preserve">7.4</w:t>
      </w:r>
      <w:r>
        <w:rPr>
          <w:rFonts w:hint="eastAsia" w:ascii="宋体" w:hAnsi="宋体"/>
          <w:color w:val="000000"/>
          <w:szCs w:val="21"/>
        </w:rPr>
        <w:t xml:space="preserve">采购文件的澄清或修改将在“扬州市政府采购网”、“江苏省政府采购网”公布，澄清或修改的内容作为采购文件的组成部分，并对供应商具有约束力。</w:t>
      </w:r>
      <w:r>
        <w:rPr>
          <w:rFonts w:hint="eastAsia" w:ascii="宋体" w:hAnsi="宋体"/>
          <w:color w:val="000000"/>
          <w:szCs w:val="21"/>
        </w:rPr>
      </w:r>
      <w:r/>
    </w:p>
    <w:p>
      <w:pPr>
        <w:pStyle w:val="1151"/>
        <w:ind w:firstLine="420"/>
        <w:spacing w:line="360" w:lineRule="auto"/>
        <w:rPr>
          <w:rFonts w:hint="eastAsia" w:ascii="宋体" w:hAnsi="宋体" w:cs="宋体"/>
          <w:color w:val="000000"/>
        </w:rPr>
      </w:pPr>
      <w:r>
        <w:rPr>
          <w:rFonts w:hint="eastAsia" w:ascii="宋体" w:hAnsi="宋体"/>
          <w:color w:val="000000"/>
          <w:szCs w:val="21"/>
        </w:rPr>
        <w:t xml:space="preserve">7.5供应商应在提交首次响应文件截止之日前关注原采购信息发布媒体上有关本采购项目有无变更公告。</w:t>
      </w:r>
      <w:r>
        <w:rPr>
          <w:rFonts w:hint="eastAsia" w:ascii="宋体" w:hAnsi="宋体" w:cs="宋体"/>
          <w:color w:val="000000"/>
        </w:rPr>
      </w:r>
      <w:r/>
    </w:p>
    <w:p>
      <w:pPr>
        <w:pStyle w:val="1151"/>
        <w:ind w:firstLine="422"/>
        <w:spacing w:line="360" w:lineRule="auto"/>
        <w:rPr>
          <w:rFonts w:hint="eastAsia" w:ascii="宋体" w:hAnsi="宋体" w:cs="宋体"/>
          <w:b/>
          <w:bCs/>
          <w:color w:val="000000"/>
        </w:rPr>
      </w:pPr>
      <w:r>
        <w:rPr>
          <w:rFonts w:hint="eastAsia" w:ascii="宋体" w:hAnsi="宋体" w:cs="宋体"/>
          <w:b/>
          <w:bCs/>
          <w:color w:val="000000"/>
        </w:rPr>
        <w:t xml:space="preserve">8、</w:t>
      </w:r>
      <w:r>
        <w:rPr>
          <w:rFonts w:hint="eastAsia" w:ascii="宋体" w:hAnsi="宋体"/>
          <w:b/>
          <w:bCs/>
          <w:color w:val="000000"/>
          <w:szCs w:val="21"/>
        </w:rPr>
        <w:t xml:space="preserve">采购文件的语言、度量衡单位、货币</w:t>
      </w:r>
      <w:r>
        <w:rPr>
          <w:rFonts w:hint="eastAsia" w:ascii="宋体" w:hAnsi="宋体" w:cs="宋体"/>
          <w:b/>
          <w:bCs/>
          <w:color w:val="000000"/>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8.1供应商提交的响应文件以及供应商与代理机构就有关谈判的所有来往通知、函件和文件均应使用简体中文。</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8.2 除技术性能另有规定外，采购文件所使用的度量衡单位，均须采用国家法定计量单位。</w:t>
      </w:r>
      <w:r>
        <w:rPr>
          <w:rFonts w:hint="eastAsia" w:ascii="宋体" w:hAnsi="宋体"/>
          <w:color w:val="000000"/>
          <w:szCs w:val="21"/>
        </w:rPr>
      </w:r>
      <w:r/>
    </w:p>
    <w:p>
      <w:pPr>
        <w:pStyle w:val="1151"/>
        <w:ind w:firstLine="420"/>
        <w:spacing w:line="360" w:lineRule="auto"/>
        <w:rPr>
          <w:rFonts w:hint="eastAsia" w:ascii="宋体" w:hAnsi="宋体" w:cs="宋体"/>
          <w:color w:val="000000"/>
        </w:rPr>
      </w:pPr>
      <w:r>
        <w:rPr>
          <w:rFonts w:hint="eastAsia" w:ascii="宋体" w:hAnsi="宋体"/>
          <w:color w:val="000000"/>
          <w:szCs w:val="21"/>
        </w:rPr>
        <w:t xml:space="preserve">8.3供应商应使用人民币报价。</w:t>
      </w:r>
      <w:r>
        <w:rPr>
          <w:rFonts w:hint="eastAsia" w:ascii="宋体" w:hAnsi="宋体" w:cs="宋体"/>
          <w:color w:val="000000"/>
        </w:rPr>
      </w:r>
      <w:r/>
    </w:p>
    <w:p>
      <w:pPr>
        <w:pStyle w:val="1151"/>
        <w:ind w:firstLine="422"/>
        <w:spacing w:line="360" w:lineRule="auto"/>
        <w:rPr>
          <w:rFonts w:hint="eastAsia" w:ascii="宋体" w:hAnsi="宋体" w:cs="宋体"/>
          <w:b/>
          <w:bCs/>
          <w:color w:val="000000"/>
        </w:rPr>
      </w:pPr>
      <w:r>
        <w:rPr>
          <w:rFonts w:hint="eastAsia" w:ascii="宋体" w:hAnsi="宋体" w:cs="宋体"/>
          <w:b/>
          <w:bCs/>
          <w:color w:val="000000"/>
        </w:rPr>
        <w:t xml:space="preserve">9、响应文件构成</w:t>
      </w:r>
      <w:r>
        <w:rPr>
          <w:rFonts w:hint="eastAsia" w:ascii="宋体" w:hAnsi="宋体" w:cs="宋体"/>
          <w:b/>
          <w:bCs/>
          <w:color w:val="000000"/>
        </w:rPr>
      </w:r>
      <w:r/>
    </w:p>
    <w:p>
      <w:pPr>
        <w:pStyle w:val="1151"/>
        <w:ind w:firstLine="420"/>
        <w:spacing w:line="360" w:lineRule="auto"/>
        <w:rPr>
          <w:rFonts w:ascii="宋体" w:hAnsi="宋体"/>
          <w:color w:val="000000"/>
          <w:szCs w:val="21"/>
        </w:rPr>
      </w:pPr>
      <w:r>
        <w:rPr>
          <w:rFonts w:hint="eastAsia" w:ascii="宋体" w:hAnsi="宋体"/>
          <w:bCs/>
          <w:color w:val="000000"/>
          <w:szCs w:val="21"/>
        </w:rPr>
        <w:t xml:space="preserve">9.1</w:t>
      </w:r>
      <w:r>
        <w:rPr>
          <w:rFonts w:hint="eastAsia" w:ascii="宋体" w:hAnsi="宋体"/>
          <w:color w:val="000000"/>
          <w:szCs w:val="21"/>
        </w:rPr>
        <w:t xml:space="preserve"> 供应商编写的响应文件应包括：</w:t>
      </w:r>
      <w:r>
        <w:rPr>
          <w:rFonts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（1）资格审查响应对照表</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（2）符合性审查响应对照表</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（3）非实质性响应对照表</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（4）报价一览表</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（5）分项报价表</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（6）技术参数响应及偏离表</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（7）商务条款响应及偏离表</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（8）其他（供应商认为有必要提供的声明和文件，如有自拟并自行添加）</w:t>
      </w:r>
      <w:r>
        <w:rPr>
          <w:rFonts w:hint="eastAsia" w:ascii="宋体" w:hAnsi="宋体"/>
          <w:color w:val="000000"/>
          <w:szCs w:val="21"/>
        </w:rPr>
      </w:r>
      <w:r/>
    </w:p>
    <w:p>
      <w:pPr>
        <w:pStyle w:val="1151"/>
        <w:ind w:firstLine="420"/>
        <w:spacing w:line="360" w:lineRule="auto"/>
        <w:rPr>
          <w:rFonts w:hint="eastAsia" w:ascii="宋体" w:hAnsi="宋体" w:cs="宋体"/>
          <w:color w:val="000000"/>
        </w:rPr>
      </w:pPr>
      <w:r>
        <w:rPr>
          <w:rFonts w:hint="eastAsia" w:ascii="宋体" w:hAnsi="宋体"/>
          <w:color w:val="000000"/>
          <w:szCs w:val="21"/>
        </w:rPr>
        <w:t xml:space="preserve">9.2 供应商应当根据采购文件要求编制响应文件，响应文件应对采购文件提出的要求和条件作出实质性响应，并在相应的响应文件中逐条标明满足与否。</w:t>
      </w:r>
      <w:r>
        <w:rPr>
          <w:rFonts w:hint="eastAsia" w:ascii="宋体" w:hAnsi="宋体" w:cs="宋体"/>
          <w:color w:val="000000"/>
        </w:rPr>
      </w:r>
      <w:r/>
    </w:p>
    <w:p>
      <w:pPr>
        <w:pStyle w:val="1151"/>
        <w:ind w:firstLine="422"/>
        <w:spacing w:line="360" w:lineRule="auto"/>
        <w:rPr>
          <w:rFonts w:hint="eastAsia" w:ascii="宋体" w:hAnsi="宋体" w:cs="宋体"/>
          <w:b/>
          <w:bCs/>
          <w:color w:val="000000"/>
        </w:rPr>
        <w:outlineLvl w:val="3"/>
      </w:pPr>
      <w:r>
        <w:rPr>
          <w:rFonts w:hint="eastAsia" w:ascii="宋体" w:hAnsi="宋体" w:cs="宋体"/>
          <w:b/>
          <w:bCs/>
          <w:color w:val="000000"/>
        </w:rPr>
        <w:t xml:space="preserve">10、</w:t>
      </w:r>
      <w:r>
        <w:rPr>
          <w:rFonts w:hint="eastAsia" w:ascii="宋体" w:hAnsi="宋体"/>
          <w:b/>
          <w:color w:val="000000"/>
          <w:szCs w:val="21"/>
        </w:rPr>
        <w:t xml:space="preserve">证明供应商资格及符合采购文件规定的文件</w:t>
      </w:r>
      <w:r>
        <w:rPr>
          <w:rFonts w:hint="eastAsia" w:ascii="宋体" w:hAnsi="宋体" w:cs="宋体"/>
          <w:b/>
          <w:bCs/>
          <w:color w:val="000000"/>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10.1供应商应按要求提交资格证明文件及符合采购文件规定的文件。</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10.2供应商应提交证明其有资格参加谈判和成交后有能力独立履行合同的文件。</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10.3供应商除必须具有履行合同所需提供的服务的能力外，还必须具备相应的财务、技术方面的能力。</w:t>
      </w:r>
      <w:r>
        <w:rPr>
          <w:rFonts w:hint="eastAsia" w:ascii="宋体" w:hAnsi="宋体"/>
          <w:color w:val="000000"/>
          <w:szCs w:val="21"/>
        </w:rPr>
      </w:r>
      <w:r/>
    </w:p>
    <w:p>
      <w:pPr>
        <w:pStyle w:val="1151"/>
        <w:ind w:firstLine="200"/>
        <w:spacing w:line="360" w:lineRule="auto"/>
        <w:rPr>
          <w:rFonts w:hint="eastAsia" w:ascii="宋体" w:hAnsi="宋体"/>
          <w:color w:val="000000"/>
          <w:szCs w:val="21"/>
        </w:rPr>
      </w:pPr>
      <w:r>
        <w:rPr>
          <w:rFonts w:hint="eastAsia" w:ascii="宋体" w:hAnsi="宋体"/>
          <w:color w:val="000000"/>
          <w:szCs w:val="21"/>
        </w:rPr>
        <w:t xml:space="preserve">  10.4供应商应提交根据合同要求提供的证明产品质量合格以及符合采购文件规定的证明文件。</w:t>
      </w:r>
      <w:r>
        <w:rPr>
          <w:rFonts w:hint="eastAsia" w:ascii="宋体" w:hAnsi="宋体"/>
          <w:color w:val="000000"/>
          <w:szCs w:val="21"/>
        </w:rPr>
      </w:r>
      <w:r/>
    </w:p>
    <w:p>
      <w:pPr>
        <w:pStyle w:val="1151"/>
        <w:ind w:firstLine="420"/>
        <w:spacing w:line="360" w:lineRule="auto"/>
        <w:rPr>
          <w:rFonts w:hint="eastAsia" w:ascii="宋体" w:hAnsi="宋体" w:cs="宋体"/>
          <w:color w:val="000000"/>
        </w:rPr>
      </w:pPr>
      <w:r>
        <w:rPr>
          <w:rFonts w:hint="eastAsia" w:ascii="宋体" w:hAnsi="宋体"/>
          <w:color w:val="000000"/>
          <w:szCs w:val="21"/>
        </w:rPr>
        <w:t xml:space="preserve">10.5证明供应商所提供服务与采购文件的要求相一致</w:t>
      </w:r>
      <w:r>
        <w:rPr>
          <w:rFonts w:hint="eastAsia" w:ascii="宋体" w:hAnsi="宋体"/>
          <w:bCs/>
          <w:color w:val="000000"/>
          <w:szCs w:val="21"/>
        </w:rPr>
        <w:t xml:space="preserve">。</w:t>
      </w:r>
      <w:r>
        <w:rPr>
          <w:rFonts w:hint="eastAsia" w:ascii="宋体" w:hAnsi="宋体" w:cs="宋体"/>
          <w:color w:val="000000"/>
        </w:rPr>
      </w:r>
      <w:r/>
    </w:p>
    <w:p>
      <w:pPr>
        <w:pStyle w:val="1151"/>
        <w:ind w:firstLine="422"/>
        <w:spacing w:line="360" w:lineRule="auto"/>
        <w:rPr>
          <w:rFonts w:hint="eastAsia" w:ascii="宋体" w:hAnsi="宋体" w:cs="宋体"/>
          <w:b/>
          <w:bCs/>
          <w:color w:val="000000"/>
        </w:rPr>
        <w:outlineLvl w:val="3"/>
      </w:pPr>
      <w:r>
        <w:rPr>
          <w:rFonts w:hint="eastAsia" w:ascii="宋体" w:hAnsi="宋体" w:cs="宋体"/>
          <w:b/>
          <w:bCs/>
          <w:color w:val="000000"/>
        </w:rPr>
        <w:t xml:space="preserve">11、</w:t>
      </w:r>
      <w:r>
        <w:rPr>
          <w:rFonts w:hint="eastAsia" w:ascii="宋体" w:hAnsi="宋体"/>
          <w:b/>
          <w:color w:val="000000"/>
          <w:szCs w:val="21"/>
        </w:rPr>
        <w:t xml:space="preserve">报价一览表、配置与分项报价表</w:t>
      </w:r>
      <w:r>
        <w:rPr>
          <w:rFonts w:hint="eastAsia" w:ascii="宋体" w:hAnsi="宋体" w:cs="宋体"/>
          <w:b/>
          <w:bCs/>
          <w:color w:val="000000"/>
        </w:rPr>
      </w:r>
      <w:r/>
    </w:p>
    <w:p>
      <w:pPr>
        <w:pStyle w:val="1151"/>
        <w:ind w:firstLine="420"/>
        <w:spacing w:line="360" w:lineRule="auto"/>
        <w:rPr>
          <w:rFonts w:hint="eastAsia" w:ascii="宋体" w:hAnsi="宋体"/>
          <w:bCs/>
          <w:color w:val="000000"/>
          <w:szCs w:val="21"/>
        </w:rPr>
      </w:pPr>
      <w:r>
        <w:rPr>
          <w:rFonts w:hint="eastAsia" w:ascii="宋体" w:hAnsi="宋体"/>
          <w:bCs/>
          <w:color w:val="000000"/>
          <w:szCs w:val="21"/>
        </w:rPr>
        <w:t xml:space="preserve">11.1</w:t>
      </w:r>
      <w:r>
        <w:rPr>
          <w:rFonts w:hint="eastAsia" w:ascii="宋体" w:hAnsi="宋体"/>
          <w:color w:val="000000"/>
          <w:szCs w:val="21"/>
        </w:rPr>
        <w:t xml:space="preserve"> 供应商应按照采购文件规定格式填报报价一览表、配置与分项报价表。每项服务等只允许有一个报价，任何有选择的报价将不予接受(如有备选配件，备选配件的报价不属于选择的报价)。</w:t>
      </w:r>
      <w:r>
        <w:rPr>
          <w:rFonts w:hint="eastAsia" w:ascii="宋体" w:hAnsi="宋体"/>
          <w:bCs/>
          <w:color w:val="000000"/>
          <w:szCs w:val="21"/>
        </w:rPr>
      </w:r>
      <w:r/>
    </w:p>
    <w:p>
      <w:pPr>
        <w:pStyle w:val="1151"/>
        <w:ind w:firstLine="420"/>
        <w:spacing w:line="360" w:lineRule="auto"/>
        <w:rPr>
          <w:rFonts w:hint="eastAsia" w:ascii="宋体" w:hAnsi="宋体"/>
          <w:color w:val="000000"/>
          <w:szCs w:val="21"/>
        </w:rPr>
      </w:pPr>
      <w:r>
        <w:rPr>
          <w:rFonts w:hint="eastAsia" w:ascii="宋体" w:hAnsi="宋体"/>
          <w:bCs/>
          <w:color w:val="000000"/>
          <w:szCs w:val="21"/>
        </w:rPr>
        <w:t xml:space="preserve">11.2</w:t>
      </w:r>
      <w:r>
        <w:rPr>
          <w:rFonts w:hint="eastAsia" w:ascii="宋体" w:hAnsi="宋体"/>
          <w:color w:val="000000"/>
          <w:szCs w:val="21"/>
        </w:rPr>
        <w:t xml:space="preserve"> 标的物</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bCs/>
          <w:color w:val="000000"/>
          <w:szCs w:val="21"/>
        </w:rPr>
        <w:t xml:space="preserve">详见项目需求</w:t>
      </w:r>
      <w:r>
        <w:rPr>
          <w:rFonts w:hint="eastAsia" w:ascii="宋体" w:hAnsi="宋体"/>
          <w:color w:val="000000"/>
          <w:szCs w:val="21"/>
        </w:rPr>
        <w:t xml:space="preserve">。</w:t>
      </w:r>
      <w:r>
        <w:rPr>
          <w:rFonts w:hint="eastAsia" w:ascii="宋体" w:hAnsi="宋体"/>
          <w:color w:val="000000"/>
          <w:szCs w:val="21"/>
        </w:rPr>
      </w:r>
      <w:r/>
    </w:p>
    <w:p>
      <w:pPr>
        <w:pStyle w:val="1151"/>
        <w:ind w:firstLine="420"/>
        <w:spacing w:line="360" w:lineRule="auto"/>
        <w:rPr>
          <w:rFonts w:hint="eastAsia" w:ascii="宋体" w:hAnsi="宋体"/>
          <w:bCs/>
          <w:color w:val="000000"/>
          <w:szCs w:val="21"/>
        </w:rPr>
      </w:pPr>
      <w:r>
        <w:rPr>
          <w:rFonts w:hint="eastAsia" w:ascii="宋体" w:hAnsi="宋体"/>
          <w:color w:val="000000"/>
          <w:szCs w:val="21"/>
        </w:rPr>
        <w:t xml:space="preserve">11.3</w:t>
      </w:r>
      <w:r>
        <w:rPr>
          <w:rFonts w:hint="eastAsia" w:ascii="宋体" w:hAnsi="宋体"/>
          <w:bCs/>
          <w:color w:val="000000"/>
          <w:szCs w:val="21"/>
        </w:rPr>
        <w:t xml:space="preserve">有关费用处理</w:t>
      </w:r>
      <w:r>
        <w:rPr>
          <w:rFonts w:hint="eastAsia" w:ascii="宋体" w:hAnsi="宋体"/>
          <w:bCs/>
          <w:color w:val="000000"/>
          <w:szCs w:val="21"/>
        </w:rPr>
      </w:r>
      <w:r/>
    </w:p>
    <w:p>
      <w:pPr>
        <w:pStyle w:val="1151"/>
        <w:ind w:firstLine="420"/>
        <w:spacing w:line="360" w:lineRule="auto"/>
        <w:rPr>
          <w:rFonts w:hint="eastAsia" w:ascii="宋体" w:hAnsi="宋体"/>
          <w:bCs/>
          <w:color w:val="000000"/>
          <w:szCs w:val="21"/>
        </w:rPr>
      </w:pPr>
      <w:r>
        <w:rPr>
          <w:rFonts w:hint="eastAsia" w:ascii="宋体" w:hAnsi="宋体"/>
          <w:color w:val="000000"/>
          <w:szCs w:val="21"/>
        </w:rPr>
        <w:t xml:space="preserve">本次采购供应商的总报价应包括为完成本项目发生的所有费用，采购文件中另有规定的除外。</w:t>
      </w:r>
      <w:r>
        <w:rPr>
          <w:rFonts w:hint="eastAsia" w:ascii="宋体" w:hAnsi="宋体"/>
          <w:bCs/>
          <w:color w:val="000000"/>
          <w:szCs w:val="21"/>
        </w:rPr>
      </w:r>
      <w:r/>
    </w:p>
    <w:p>
      <w:pPr>
        <w:pStyle w:val="1151"/>
        <w:ind w:firstLine="420"/>
        <w:spacing w:line="360" w:lineRule="auto"/>
        <w:rPr>
          <w:rFonts w:hint="eastAsia" w:ascii="宋体" w:hAnsi="宋体"/>
          <w:bCs/>
          <w:color w:val="000000"/>
          <w:szCs w:val="21"/>
        </w:rPr>
      </w:pPr>
      <w:r>
        <w:rPr>
          <w:rFonts w:hint="eastAsia" w:ascii="宋体" w:hAnsi="宋体"/>
          <w:color w:val="000000"/>
          <w:szCs w:val="21"/>
        </w:rPr>
        <w:t xml:space="preserve">11.4</w:t>
      </w:r>
      <w:r>
        <w:rPr>
          <w:rFonts w:hint="eastAsia" w:ascii="宋体" w:hAnsi="宋体"/>
          <w:bCs/>
          <w:color w:val="000000"/>
          <w:szCs w:val="21"/>
        </w:rPr>
        <w:t xml:space="preserve">其它费用处理</w:t>
      </w:r>
      <w:r>
        <w:rPr>
          <w:rFonts w:hint="eastAsia" w:ascii="宋体" w:hAnsi="宋体"/>
          <w:bCs/>
          <w:color w:val="000000"/>
          <w:szCs w:val="21"/>
        </w:rPr>
      </w:r>
      <w:r/>
    </w:p>
    <w:p>
      <w:pPr>
        <w:pStyle w:val="1151"/>
        <w:ind w:firstLine="420"/>
        <w:spacing w:line="360" w:lineRule="auto"/>
        <w:rPr>
          <w:rFonts w:hint="eastAsia" w:ascii="宋体" w:hAnsi="宋体"/>
          <w:bCs/>
          <w:color w:val="000000"/>
          <w:szCs w:val="21"/>
        </w:rPr>
      </w:pPr>
      <w:r>
        <w:rPr>
          <w:rFonts w:hint="eastAsia" w:ascii="宋体" w:hAnsi="宋体"/>
          <w:bCs/>
          <w:color w:val="000000"/>
          <w:szCs w:val="21"/>
        </w:rPr>
        <w:t xml:space="preserve">采购文件未列明，而供应商认为必需的费用也需列入报价。</w:t>
      </w:r>
      <w:r>
        <w:rPr>
          <w:rFonts w:hint="eastAsia" w:ascii="宋体" w:hAnsi="宋体"/>
          <w:bCs/>
          <w:color w:val="000000"/>
          <w:szCs w:val="21"/>
        </w:rPr>
      </w:r>
      <w:r/>
    </w:p>
    <w:p>
      <w:pPr>
        <w:pStyle w:val="1151"/>
        <w:ind w:firstLine="420"/>
        <w:spacing w:line="360" w:lineRule="auto"/>
        <w:rPr>
          <w:rFonts w:hint="eastAsia" w:ascii="宋体" w:hAnsi="宋体"/>
          <w:bCs/>
          <w:color w:val="000000"/>
          <w:szCs w:val="21"/>
        </w:rPr>
      </w:pPr>
      <w:r>
        <w:rPr>
          <w:rFonts w:hint="eastAsia" w:ascii="宋体" w:hAnsi="宋体"/>
          <w:color w:val="000000"/>
          <w:szCs w:val="21"/>
        </w:rPr>
        <w:t xml:space="preserve">11.5</w:t>
      </w:r>
      <w:r>
        <w:rPr>
          <w:rFonts w:hint="eastAsia" w:ascii="宋体" w:hAnsi="宋体"/>
          <w:bCs/>
          <w:color w:val="000000"/>
          <w:szCs w:val="21"/>
        </w:rPr>
        <w:t xml:space="preserve">货币</w:t>
      </w:r>
      <w:r>
        <w:rPr>
          <w:rFonts w:hint="eastAsia" w:ascii="宋体" w:hAnsi="宋体"/>
          <w:bCs/>
          <w:color w:val="000000"/>
          <w:szCs w:val="21"/>
        </w:rPr>
      </w:r>
      <w:r/>
    </w:p>
    <w:p>
      <w:pPr>
        <w:pStyle w:val="1151"/>
        <w:ind w:firstLine="420"/>
        <w:spacing w:line="360" w:lineRule="auto"/>
        <w:rPr>
          <w:rFonts w:hint="eastAsia" w:ascii="宋体" w:hAnsi="宋体"/>
          <w:bCs/>
          <w:color w:val="000000"/>
          <w:szCs w:val="21"/>
        </w:rPr>
      </w:pPr>
      <w:r>
        <w:rPr>
          <w:rFonts w:hint="eastAsia" w:ascii="宋体" w:hAnsi="宋体"/>
          <w:bCs/>
          <w:color w:val="000000"/>
          <w:szCs w:val="21"/>
        </w:rPr>
        <w:t xml:space="preserve">响应文件中的单价和总价无特殊规定的采用人民币报价，以元为单位标注。</w:t>
      </w:r>
      <w:r>
        <w:rPr>
          <w:rFonts w:hint="eastAsia" w:ascii="宋体" w:hAnsi="宋体"/>
          <w:color w:val="000000"/>
          <w:szCs w:val="21"/>
        </w:rPr>
        <w:t xml:space="preserve">采购文件中另有规定的按规定执行。</w:t>
      </w:r>
      <w:r>
        <w:rPr>
          <w:rFonts w:hint="eastAsia" w:ascii="宋体" w:hAnsi="宋体"/>
          <w:bCs/>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11.6</w:t>
      </w:r>
      <w:r>
        <w:rPr>
          <w:rFonts w:hint="eastAsia" w:ascii="宋体" w:hAnsi="宋体"/>
          <w:bCs/>
          <w:color w:val="000000"/>
          <w:szCs w:val="21"/>
        </w:rPr>
        <w:t xml:space="preserve"> 配置与分项报价表上的价格应按下列方式分开填写</w:t>
      </w:r>
      <w:r>
        <w:rPr>
          <w:rFonts w:hint="eastAsia" w:ascii="宋体" w:hAnsi="宋体"/>
          <w:color w:val="000000"/>
          <w:szCs w:val="21"/>
        </w:rPr>
        <w:t xml:space="preserve">：</w:t>
      </w:r>
      <w:r>
        <w:rPr>
          <w:rFonts w:hint="eastAsia" w:ascii="宋体" w:hAnsi="宋体"/>
          <w:color w:val="000000"/>
          <w:szCs w:val="21"/>
        </w:rPr>
      </w:r>
      <w:r/>
    </w:p>
    <w:p>
      <w:pPr>
        <w:pStyle w:val="1151"/>
        <w:ind w:firstLine="420"/>
        <w:spacing w:line="360" w:lineRule="auto"/>
        <w:rPr>
          <w:rFonts w:hint="eastAsia" w:ascii="宋体" w:hAnsi="宋体"/>
          <w:bCs/>
          <w:color w:val="000000"/>
          <w:szCs w:val="21"/>
        </w:rPr>
      </w:pPr>
      <w:r>
        <w:rPr>
          <w:rFonts w:hint="eastAsia" w:ascii="宋体" w:hAnsi="宋体"/>
          <w:bCs/>
          <w:color w:val="000000"/>
          <w:szCs w:val="21"/>
        </w:rPr>
        <w:t xml:space="preserve">11.6.1</w:t>
      </w:r>
      <w:r>
        <w:rPr>
          <w:rFonts w:hint="eastAsia" w:ascii="宋体" w:hAnsi="宋体"/>
          <w:color w:val="000000"/>
          <w:szCs w:val="21"/>
        </w:rPr>
        <w:t xml:space="preserve">项目总价：包括</w:t>
      </w:r>
      <w:r>
        <w:rPr>
          <w:rFonts w:hint="eastAsia" w:ascii="宋体" w:hAnsi="宋体"/>
          <w:bCs/>
          <w:color w:val="000000"/>
          <w:szCs w:val="21"/>
        </w:rPr>
        <w:t xml:space="preserve">采购人需求的服务价格</w:t>
      </w:r>
      <w:r>
        <w:rPr>
          <w:rFonts w:hint="eastAsia" w:ascii="宋体" w:hAnsi="宋体"/>
          <w:color w:val="000000"/>
          <w:szCs w:val="21"/>
        </w:rPr>
        <w:t xml:space="preserve">、</w:t>
      </w:r>
      <w:r>
        <w:rPr>
          <w:rFonts w:hint="eastAsia" w:ascii="宋体" w:hAnsi="宋体"/>
          <w:bCs/>
          <w:color w:val="000000"/>
          <w:szCs w:val="21"/>
        </w:rPr>
        <w:t xml:space="preserve">质量保证费用、培训费用及售后服务费用，项目在指定地点、环境交付、安装、调试、验收所需费用和所有</w:t>
      </w:r>
      <w:r>
        <w:rPr>
          <w:rFonts w:hint="eastAsia" w:ascii="宋体" w:hAnsi="宋体"/>
          <w:color w:val="000000"/>
          <w:szCs w:val="21"/>
        </w:rPr>
        <w:t xml:space="preserve">相关税金费用</w:t>
      </w:r>
      <w:r>
        <w:rPr>
          <w:rFonts w:hint="eastAsia" w:ascii="宋体" w:hAnsi="宋体"/>
          <w:bCs/>
          <w:color w:val="000000"/>
          <w:szCs w:val="21"/>
        </w:rPr>
        <w:t xml:space="preserve">及为完成整个项目所产生的其它所有费用。</w:t>
      </w:r>
      <w:r>
        <w:rPr>
          <w:rFonts w:hint="eastAsia" w:ascii="宋体" w:hAnsi="宋体"/>
          <w:bCs/>
          <w:color w:val="000000"/>
          <w:szCs w:val="21"/>
        </w:rPr>
      </w:r>
      <w:r/>
    </w:p>
    <w:p>
      <w:pPr>
        <w:pStyle w:val="1151"/>
        <w:ind w:firstLine="420"/>
        <w:spacing w:line="360" w:lineRule="auto"/>
        <w:rPr>
          <w:rFonts w:hint="eastAsia" w:ascii="宋体" w:hAnsi="宋体"/>
          <w:bCs/>
          <w:color w:val="000000"/>
          <w:szCs w:val="21"/>
        </w:rPr>
      </w:pPr>
      <w:r>
        <w:rPr>
          <w:rFonts w:hint="eastAsia" w:ascii="宋体" w:hAnsi="宋体"/>
          <w:color w:val="000000"/>
          <w:szCs w:val="21"/>
        </w:rPr>
        <w:t xml:space="preserve">11.6.2</w:t>
      </w:r>
      <w:r>
        <w:rPr>
          <w:rFonts w:hint="eastAsia" w:ascii="宋体" w:hAnsi="宋体"/>
          <w:bCs/>
          <w:color w:val="000000"/>
          <w:szCs w:val="21"/>
        </w:rPr>
        <w:t xml:space="preserve">项目单价按配置及分项报价表中要求填报。</w:t>
      </w:r>
      <w:r>
        <w:rPr>
          <w:rFonts w:hint="eastAsia" w:ascii="宋体" w:hAnsi="宋体"/>
          <w:bCs/>
          <w:color w:val="000000"/>
          <w:szCs w:val="21"/>
        </w:rPr>
      </w:r>
      <w:r/>
    </w:p>
    <w:p>
      <w:pPr>
        <w:pStyle w:val="1151"/>
        <w:ind w:firstLine="422"/>
        <w:spacing w:line="360" w:lineRule="auto"/>
        <w:rPr>
          <w:rFonts w:hint="eastAsia" w:ascii="宋体" w:hAnsi="宋体" w:cs="宋体"/>
          <w:b/>
          <w:bCs/>
          <w:color w:val="000000"/>
        </w:rPr>
      </w:pPr>
      <w:r>
        <w:rPr>
          <w:rFonts w:hint="eastAsia" w:ascii="宋体" w:hAnsi="宋体" w:cs="宋体"/>
          <w:b/>
          <w:bCs/>
          <w:color w:val="000000"/>
        </w:rPr>
        <w:t xml:space="preserve">12、</w:t>
      </w:r>
      <w:r>
        <w:rPr>
          <w:rFonts w:hint="eastAsia" w:ascii="宋体" w:hAnsi="宋体"/>
          <w:b/>
          <w:color w:val="000000"/>
          <w:szCs w:val="21"/>
        </w:rPr>
        <w:t xml:space="preserve">技术参数响应及偏离表、商务条款响应及偏离表及服务说明</w:t>
      </w:r>
      <w:r>
        <w:rPr>
          <w:rFonts w:hint="eastAsia" w:ascii="宋体" w:hAnsi="宋体" w:cs="宋体"/>
          <w:b/>
          <w:bCs/>
          <w:color w:val="000000"/>
        </w:rPr>
      </w:r>
      <w:r/>
    </w:p>
    <w:p>
      <w:pPr>
        <w:pStyle w:val="1151"/>
        <w:ind w:firstLine="420"/>
        <w:spacing w:line="360" w:lineRule="auto"/>
        <w:rPr>
          <w:rFonts w:hint="eastAsia" w:ascii="宋体" w:hAnsi="宋体" w:cs="宋体"/>
          <w:color w:val="000000"/>
          <w:szCs w:val="21"/>
          <w:lang w:val="zh-CN"/>
        </w:rPr>
      </w:pPr>
      <w:r>
        <w:rPr>
          <w:rFonts w:hint="eastAsia" w:ascii="宋体" w:hAnsi="宋体" w:cs="宋体"/>
          <w:bCs/>
          <w:color w:val="000000"/>
          <w:szCs w:val="21"/>
          <w:lang w:val="zh-CN"/>
        </w:rPr>
        <w:t xml:space="preserve">12.1</w:t>
      </w:r>
      <w:r>
        <w:rPr>
          <w:rFonts w:hint="eastAsia" w:ascii="宋体" w:hAnsi="宋体" w:cs="宋体"/>
          <w:color w:val="000000"/>
          <w:szCs w:val="21"/>
          <w:lang w:val="zh-CN"/>
        </w:rPr>
        <w:t xml:space="preserve"> 对采购文件中的技术与商务条款要求逐项作出响应或偏离，并说明原因；</w:t>
      </w:r>
      <w:r>
        <w:rPr>
          <w:rFonts w:hint="eastAsia" w:ascii="宋体" w:hAnsi="宋体" w:cs="宋体"/>
          <w:color w:val="000000"/>
          <w:szCs w:val="21"/>
          <w:lang w:val="zh-CN"/>
        </w:rPr>
      </w:r>
      <w:r/>
    </w:p>
    <w:p>
      <w:pPr>
        <w:pStyle w:val="1151"/>
        <w:ind w:firstLine="420"/>
        <w:spacing w:line="360" w:lineRule="auto"/>
        <w:tabs>
          <w:tab w:val="left" w:pos="1035" w:leader="none"/>
        </w:tabs>
        <w:rPr>
          <w:rFonts w:hint="eastAsia" w:ascii="宋体" w:hAnsi="宋体" w:cs="宋体"/>
          <w:color w:val="000000"/>
          <w:szCs w:val="21"/>
          <w:lang w:val="zh-CN"/>
        </w:rPr>
      </w:pPr>
      <w:r>
        <w:rPr>
          <w:rFonts w:hint="eastAsia" w:ascii="宋体" w:hAnsi="宋体" w:cs="宋体"/>
          <w:color w:val="000000"/>
          <w:szCs w:val="21"/>
          <w:lang w:val="zh-CN"/>
        </w:rPr>
        <w:t xml:space="preserve">12.2 提供参加本项目类似案例简介；</w:t>
      </w:r>
      <w:r>
        <w:rPr>
          <w:rFonts w:hint="eastAsia" w:ascii="宋体" w:hAnsi="宋体" w:cs="宋体"/>
          <w:color w:val="000000"/>
          <w:szCs w:val="21"/>
          <w:lang w:val="zh-CN"/>
        </w:rPr>
      </w:r>
      <w:r/>
    </w:p>
    <w:p>
      <w:pPr>
        <w:pStyle w:val="1154"/>
        <w:ind w:firstLine="420"/>
        <w:spacing w:before="0" w:after="0" w:line="360" w:lineRule="auto"/>
        <w:rPr>
          <w:rFonts w:hint="eastAsia" w:ascii="宋体" w:hAnsi="宋体" w:cs="宋体"/>
          <w:b w:val="0"/>
          <w:bCs w:val="0"/>
          <w:color w:val="000000"/>
          <w:sz w:val="21"/>
          <w:szCs w:val="21"/>
        </w:rPr>
      </w:pPr>
      <w:r>
        <w:rPr>
          <w:rFonts w:hint="eastAsia" w:ascii="宋体" w:hAnsi="宋体" w:cs="宋体"/>
          <w:b w:val="0"/>
          <w:bCs w:val="0"/>
          <w:color w:val="000000"/>
          <w:sz w:val="21"/>
          <w:szCs w:val="21"/>
          <w:lang w:val="zh-CN"/>
        </w:rPr>
        <w:t xml:space="preserve">12.3</w:t>
      </w:r>
      <w:r>
        <w:rPr>
          <w:rFonts w:hint="eastAsia" w:ascii="宋体" w:hAnsi="宋体" w:cs="宋体"/>
          <w:b w:val="0"/>
          <w:bCs w:val="0"/>
          <w:color w:val="000000"/>
          <w:sz w:val="21"/>
          <w:szCs w:val="21"/>
        </w:rPr>
        <w:t xml:space="preserve"> 培训计划；</w:t>
      </w:r>
      <w:r>
        <w:rPr>
          <w:rFonts w:hint="eastAsia" w:ascii="宋体" w:hAnsi="宋体" w:cs="宋体"/>
          <w:b w:val="0"/>
          <w:bCs w:val="0"/>
          <w:color w:val="000000"/>
          <w:sz w:val="21"/>
          <w:szCs w:val="21"/>
        </w:rPr>
      </w:r>
      <w:r/>
    </w:p>
    <w:p>
      <w:pPr>
        <w:pStyle w:val="1151"/>
        <w:ind w:firstLine="420"/>
        <w:spacing w:line="360" w:lineRule="auto"/>
        <w:tabs>
          <w:tab w:val="left" w:pos="1035" w:leader="none"/>
        </w:tabs>
        <w:rPr>
          <w:rFonts w:hint="eastAsia" w:ascii="宋体" w:hAnsi="宋体" w:cs="宋体"/>
          <w:color w:val="000000"/>
          <w:szCs w:val="21"/>
          <w:lang w:val="zh-CN"/>
        </w:rPr>
      </w:pPr>
      <w:r>
        <w:rPr>
          <w:rFonts w:hint="eastAsia" w:ascii="宋体" w:hAnsi="宋体" w:cs="宋体"/>
          <w:color w:val="000000"/>
          <w:szCs w:val="21"/>
          <w:lang w:val="zh-CN"/>
        </w:rPr>
        <w:t xml:space="preserve">12.</w:t>
      </w:r>
      <w:r>
        <w:rPr>
          <w:rFonts w:hint="eastAsia" w:ascii="宋体" w:hAnsi="宋体" w:cs="宋体"/>
          <w:color w:val="000000"/>
          <w:szCs w:val="21"/>
        </w:rPr>
        <w:t xml:space="preserve">4 </w:t>
      </w:r>
      <w:r>
        <w:rPr>
          <w:rFonts w:hint="eastAsia" w:ascii="宋体" w:hAnsi="宋体" w:cs="宋体"/>
          <w:color w:val="000000"/>
          <w:szCs w:val="21"/>
          <w:lang w:val="zh-CN"/>
        </w:rPr>
        <w:t xml:space="preserve">详细阐述所投</w:t>
      </w:r>
      <w:r>
        <w:rPr>
          <w:rFonts w:hint="eastAsia" w:ascii="宋体" w:hAnsi="宋体" w:cs="宋体"/>
          <w:color w:val="000000"/>
          <w:szCs w:val="21"/>
        </w:rPr>
        <w:t xml:space="preserve">服务</w:t>
      </w:r>
      <w:r>
        <w:rPr>
          <w:rFonts w:hint="eastAsia" w:ascii="宋体" w:hAnsi="宋体" w:cs="宋体"/>
          <w:color w:val="000000"/>
          <w:szCs w:val="21"/>
          <w:lang w:val="zh-CN"/>
        </w:rPr>
        <w:t xml:space="preserve">的主要组成部分、功能设计、实现思路及关键技术；</w:t>
      </w:r>
      <w:r>
        <w:rPr>
          <w:rFonts w:hint="eastAsia" w:ascii="宋体" w:hAnsi="宋体" w:cs="宋体"/>
          <w:color w:val="000000"/>
          <w:szCs w:val="21"/>
          <w:lang w:val="zh-CN"/>
        </w:rPr>
      </w:r>
      <w:r/>
    </w:p>
    <w:p>
      <w:pPr>
        <w:pStyle w:val="1151"/>
        <w:ind w:firstLine="420"/>
        <w:spacing w:line="360" w:lineRule="auto"/>
        <w:rPr>
          <w:rFonts w:hint="eastAsia" w:ascii="宋体" w:hAnsi="宋体" w:cs="宋体"/>
          <w:color w:val="000000"/>
        </w:rPr>
      </w:pPr>
      <w:r>
        <w:rPr>
          <w:rFonts w:hint="eastAsia" w:ascii="宋体" w:hAnsi="宋体" w:cs="宋体"/>
          <w:color w:val="000000"/>
          <w:szCs w:val="21"/>
          <w:lang w:val="zh-CN"/>
        </w:rPr>
        <w:t xml:space="preserve">12.</w:t>
      </w:r>
      <w:r>
        <w:rPr>
          <w:rFonts w:hint="eastAsia" w:ascii="宋体" w:hAnsi="宋体" w:cs="宋体"/>
          <w:color w:val="000000"/>
          <w:szCs w:val="21"/>
        </w:rPr>
        <w:t xml:space="preserve">5</w:t>
      </w:r>
      <w:r>
        <w:rPr>
          <w:rFonts w:hint="eastAsia" w:ascii="宋体" w:hAnsi="宋体" w:cs="宋体"/>
          <w:color w:val="000000"/>
          <w:szCs w:val="21"/>
          <w:lang w:val="zh-CN"/>
        </w:rPr>
        <w:t xml:space="preserve"> 供应商认为需要的其他技术文件或说明。</w:t>
      </w:r>
      <w:r>
        <w:rPr>
          <w:rFonts w:hint="eastAsia" w:ascii="宋体" w:hAnsi="宋体" w:cs="宋体"/>
          <w:color w:val="000000"/>
        </w:rPr>
      </w:r>
      <w:r/>
    </w:p>
    <w:p>
      <w:pPr>
        <w:pStyle w:val="1151"/>
        <w:ind w:firstLine="422"/>
        <w:spacing w:line="360" w:lineRule="auto"/>
        <w:rPr>
          <w:rFonts w:hint="eastAsia" w:ascii="宋体" w:hAnsi="宋体"/>
          <w:b/>
          <w:bCs/>
          <w:color w:val="000000"/>
          <w:szCs w:val="21"/>
        </w:rPr>
      </w:pPr>
      <w:r>
        <w:rPr>
          <w:rFonts w:hint="eastAsia" w:ascii="宋体" w:hAnsi="宋体" w:cs="宋体"/>
          <w:b/>
          <w:bCs/>
          <w:color w:val="000000"/>
        </w:rPr>
        <w:t xml:space="preserve">13、</w:t>
      </w:r>
      <w:r>
        <w:rPr>
          <w:rFonts w:hint="eastAsia" w:ascii="宋体" w:hAnsi="宋体"/>
          <w:b/>
          <w:bCs/>
          <w:color w:val="000000"/>
          <w:szCs w:val="21"/>
        </w:rPr>
        <w:t xml:space="preserve">服务承诺及售后服务机构、人员的情况介绍</w:t>
      </w:r>
      <w:r>
        <w:rPr>
          <w:rFonts w:hint="eastAsia" w:ascii="宋体" w:hAnsi="宋体"/>
          <w:b/>
          <w:bCs/>
          <w:color w:val="000000"/>
          <w:szCs w:val="21"/>
        </w:rPr>
      </w:r>
      <w:r/>
    </w:p>
    <w:p>
      <w:pPr>
        <w:pStyle w:val="1151"/>
        <w:ind w:firstLine="420"/>
        <w:spacing w:line="360" w:lineRule="auto"/>
        <w:rPr>
          <w:rFonts w:hint="eastAsia" w:ascii="宋体" w:hAnsi="宋体"/>
          <w:color w:val="000000"/>
          <w:szCs w:val="21"/>
        </w:rPr>
      </w:pPr>
      <w:r>
        <w:rPr>
          <w:rFonts w:hint="eastAsia" w:ascii="宋体" w:hAnsi="宋体"/>
          <w:bCs/>
          <w:color w:val="000000"/>
          <w:szCs w:val="21"/>
        </w:rPr>
        <w:t xml:space="preserve">13、1</w:t>
      </w:r>
      <w:r>
        <w:rPr>
          <w:rFonts w:hint="eastAsia" w:ascii="宋体" w:hAnsi="宋体"/>
          <w:color w:val="000000"/>
          <w:szCs w:val="21"/>
        </w:rPr>
        <w:t xml:space="preserve">供应商的服务承诺应按不低于采购文件中商务要求的标准。</w:t>
      </w:r>
      <w:r>
        <w:rPr>
          <w:rFonts w:hint="eastAsia" w:ascii="宋体" w:hAnsi="宋体"/>
          <w:color w:val="000000"/>
          <w:szCs w:val="21"/>
        </w:rPr>
      </w:r>
      <w:r/>
    </w:p>
    <w:p>
      <w:pPr>
        <w:pStyle w:val="1151"/>
        <w:ind w:firstLine="420"/>
        <w:spacing w:line="360" w:lineRule="auto"/>
        <w:rPr>
          <w:rFonts w:hint="eastAsia" w:ascii="宋体" w:hAnsi="宋体" w:cs="宋体"/>
          <w:color w:val="000000"/>
        </w:rPr>
      </w:pPr>
      <w:r>
        <w:rPr>
          <w:rFonts w:hint="eastAsia" w:ascii="宋体" w:hAnsi="宋体"/>
          <w:bCs/>
          <w:color w:val="000000"/>
          <w:szCs w:val="21"/>
        </w:rPr>
        <w:t xml:space="preserve">13、2</w:t>
      </w:r>
      <w:r>
        <w:rPr>
          <w:rFonts w:hint="eastAsia" w:ascii="宋体" w:hAnsi="宋体"/>
          <w:color w:val="000000"/>
          <w:szCs w:val="21"/>
        </w:rPr>
        <w:t xml:space="preserve">提供供应商有关售后服务的管理制度、售后服务机构的分布情况、售后服务人员的数量、素质、技术水平及售后服务的反应能力。</w:t>
      </w:r>
      <w:r>
        <w:rPr>
          <w:rFonts w:hint="eastAsia" w:ascii="宋体" w:hAnsi="宋体" w:cs="宋体"/>
          <w:color w:val="000000"/>
        </w:rPr>
      </w:r>
      <w:r/>
    </w:p>
    <w:p>
      <w:pPr>
        <w:pStyle w:val="1151"/>
        <w:ind w:firstLine="422"/>
        <w:spacing w:line="360" w:lineRule="auto"/>
        <w:rPr>
          <w:rFonts w:hint="eastAsia" w:ascii="宋体" w:hAnsi="宋体" w:cs="宋体"/>
          <w:b/>
          <w:bCs/>
          <w:color w:val="000000"/>
        </w:rPr>
      </w:pPr>
      <w:r>
        <w:rPr>
          <w:rFonts w:hint="eastAsia" w:ascii="宋体" w:hAnsi="宋体" w:cs="宋体"/>
          <w:b/>
          <w:bCs/>
          <w:color w:val="000000"/>
        </w:rPr>
        <w:t xml:space="preserve">14、</w:t>
      </w:r>
      <w:r>
        <w:rPr>
          <w:rFonts w:hint="eastAsia" w:ascii="宋体" w:hAnsi="宋体"/>
          <w:b/>
          <w:bCs/>
          <w:color w:val="000000"/>
          <w:szCs w:val="21"/>
        </w:rPr>
        <w:t xml:space="preserve">谈判响应函</w:t>
      </w:r>
      <w:r>
        <w:rPr>
          <w:rFonts w:hint="eastAsia" w:ascii="宋体" w:hAnsi="宋体" w:cs="宋体"/>
          <w:b/>
          <w:bCs/>
          <w:color w:val="000000"/>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14.1 供应商应按照</w:t>
      </w:r>
      <w:r>
        <w:rPr>
          <w:rFonts w:hint="eastAsia" w:ascii="宋体" w:hAnsi="宋体"/>
          <w:b/>
          <w:bCs/>
          <w:color w:val="000000"/>
          <w:szCs w:val="21"/>
        </w:rPr>
        <w:t xml:space="preserve">“政府采购管理交易系统（苏采云）”</w:t>
      </w:r>
      <w:r>
        <w:rPr>
          <w:rFonts w:hint="eastAsia" w:ascii="宋体" w:hAnsi="宋体"/>
          <w:color w:val="000000"/>
          <w:szCs w:val="21"/>
        </w:rPr>
        <w:t xml:space="preserve">提供的格式完整、正确填写谈判响应函。</w:t>
      </w:r>
      <w:r>
        <w:rPr>
          <w:rFonts w:hint="eastAsia" w:ascii="宋体" w:hAnsi="宋体"/>
          <w:color w:val="000000"/>
          <w:szCs w:val="21"/>
        </w:rPr>
      </w:r>
      <w:r/>
    </w:p>
    <w:p>
      <w:pPr>
        <w:pStyle w:val="1151"/>
        <w:ind w:firstLine="422"/>
        <w:spacing w:line="360" w:lineRule="auto"/>
        <w:rPr>
          <w:rFonts w:hint="eastAsia" w:ascii="宋体" w:hAnsi="宋体" w:cs="宋体"/>
          <w:b/>
          <w:bCs/>
          <w:color w:val="000000"/>
        </w:rPr>
      </w:pPr>
      <w:r>
        <w:rPr>
          <w:rFonts w:hint="eastAsia" w:ascii="宋体" w:hAnsi="宋体" w:cs="宋体"/>
          <w:b/>
          <w:bCs/>
          <w:color w:val="000000"/>
        </w:rPr>
        <w:t xml:space="preserve">15、</w:t>
      </w:r>
      <w:r>
        <w:rPr>
          <w:rFonts w:hint="eastAsia" w:ascii="宋体" w:hAnsi="宋体"/>
          <w:b/>
          <w:color w:val="000000"/>
          <w:szCs w:val="21"/>
        </w:rPr>
        <w:t xml:space="preserve">谈判有效期</w:t>
      </w:r>
      <w:r>
        <w:rPr>
          <w:rFonts w:hint="eastAsia" w:ascii="宋体" w:hAnsi="宋体" w:cs="宋体"/>
          <w:b/>
          <w:bCs/>
          <w:color w:val="000000"/>
        </w:rPr>
      </w:r>
      <w:r/>
    </w:p>
    <w:p>
      <w:pPr>
        <w:pStyle w:val="1151"/>
        <w:ind w:firstLine="420"/>
        <w:spacing w:line="360" w:lineRule="auto"/>
        <w:rPr>
          <w:rFonts w:hint="eastAsia" w:ascii="宋体" w:hAnsi="宋体"/>
          <w:bCs/>
          <w:color w:val="000000"/>
          <w:szCs w:val="21"/>
        </w:rPr>
      </w:pPr>
      <w:r>
        <w:rPr>
          <w:rFonts w:hint="eastAsia" w:ascii="宋体" w:hAnsi="宋体"/>
          <w:color w:val="000000"/>
          <w:szCs w:val="21"/>
        </w:rPr>
        <w:t xml:space="preserve">15.1</w:t>
      </w:r>
      <w:r>
        <w:rPr>
          <w:rFonts w:hint="eastAsia" w:ascii="宋体" w:hAnsi="宋体"/>
          <w:bCs/>
          <w:color w:val="000000"/>
          <w:szCs w:val="21"/>
        </w:rPr>
        <w:t xml:space="preserve"> 谈判有效期为开标之日起</w:t>
      </w:r>
      <w:r>
        <w:rPr>
          <w:rFonts w:hint="eastAsia" w:ascii="宋体" w:hAnsi="宋体"/>
          <w:b/>
          <w:color w:val="000000"/>
          <w:szCs w:val="21"/>
          <w:u w:val="single"/>
        </w:rPr>
        <w:t xml:space="preserve">六十（60）天</w:t>
      </w:r>
      <w:r>
        <w:rPr>
          <w:rFonts w:hint="eastAsia" w:ascii="宋体" w:hAnsi="宋体"/>
          <w:bCs/>
          <w:color w:val="000000"/>
          <w:szCs w:val="21"/>
        </w:rPr>
        <w:t xml:space="preserve">。谈判有效期比规定短的将被视为非响应而予以拒绝。</w:t>
      </w:r>
      <w:r>
        <w:rPr>
          <w:rFonts w:hint="eastAsia" w:ascii="宋体" w:hAnsi="宋体"/>
          <w:bCs/>
          <w:color w:val="000000"/>
          <w:szCs w:val="21"/>
        </w:rPr>
      </w:r>
      <w:r/>
    </w:p>
    <w:p>
      <w:pPr>
        <w:pStyle w:val="1151"/>
        <w:ind w:firstLine="420"/>
        <w:spacing w:line="360" w:lineRule="auto"/>
        <w:rPr>
          <w:rFonts w:hint="eastAsia" w:ascii="宋体" w:hAnsi="宋体" w:cs="宋体"/>
          <w:color w:val="000000"/>
        </w:rPr>
      </w:pPr>
      <w:r>
        <w:rPr>
          <w:rFonts w:hint="eastAsia" w:ascii="宋体" w:hAnsi="宋体"/>
          <w:color w:val="000000"/>
          <w:szCs w:val="21"/>
        </w:rPr>
        <w:t xml:space="preserve">15.2</w:t>
      </w:r>
      <w:r>
        <w:rPr>
          <w:rFonts w:hint="eastAsia" w:ascii="宋体" w:hAnsi="宋体"/>
          <w:bCs/>
          <w:color w:val="000000"/>
          <w:szCs w:val="21"/>
        </w:rPr>
        <w:t xml:space="preserve"> 在特殊情况下，</w:t>
      </w:r>
      <w:r>
        <w:rPr>
          <w:rFonts w:hint="eastAsia" w:ascii="宋体" w:hAnsi="宋体"/>
          <w:color w:val="000000"/>
          <w:szCs w:val="21"/>
        </w:rPr>
        <w:t xml:space="preserve">代理机构</w:t>
      </w:r>
      <w:r>
        <w:rPr>
          <w:rFonts w:hint="eastAsia" w:ascii="宋体" w:hAnsi="宋体"/>
          <w:bCs/>
          <w:color w:val="000000"/>
          <w:szCs w:val="21"/>
        </w:rPr>
        <w:t xml:space="preserve">于原谈判有效期满之前，可向供应商提出延长谈判有效期的要求。这种要求与答复均应采用书面形式。供应商可以拒绝</w:t>
      </w:r>
      <w:r>
        <w:rPr>
          <w:rFonts w:hint="eastAsia" w:ascii="宋体" w:hAnsi="宋体"/>
          <w:color w:val="000000"/>
          <w:szCs w:val="21"/>
        </w:rPr>
        <w:t xml:space="preserve">代理机构</w:t>
      </w:r>
      <w:r>
        <w:rPr>
          <w:rFonts w:hint="eastAsia" w:ascii="宋体" w:hAnsi="宋体"/>
          <w:bCs/>
          <w:color w:val="000000"/>
          <w:szCs w:val="21"/>
        </w:rPr>
        <w:t xml:space="preserve">的这一要求而放弃谈判。同意延长谈判有效期的供应商既不能要求也不允许修改其响应文件，</w:t>
      </w:r>
      <w:r>
        <w:rPr>
          <w:rFonts w:hint="eastAsia" w:ascii="宋体" w:hAnsi="宋体"/>
          <w:color w:val="000000"/>
          <w:szCs w:val="21"/>
        </w:rPr>
        <w:t xml:space="preserve">受谈判有效期约束的所有权利与义务均延长至新的有效期</w:t>
      </w:r>
      <w:r>
        <w:rPr>
          <w:rFonts w:hint="eastAsia" w:ascii="宋体" w:hAnsi="宋体"/>
          <w:bCs/>
          <w:color w:val="000000"/>
          <w:szCs w:val="21"/>
        </w:rPr>
        <w:t xml:space="preserve">。</w:t>
      </w:r>
      <w:r>
        <w:rPr>
          <w:rFonts w:hint="eastAsia" w:ascii="宋体" w:hAnsi="宋体" w:cs="宋体"/>
          <w:color w:val="000000"/>
        </w:rPr>
      </w:r>
      <w:r/>
    </w:p>
    <w:p>
      <w:pPr>
        <w:pStyle w:val="1151"/>
        <w:ind w:firstLine="422"/>
        <w:spacing w:line="360" w:lineRule="auto"/>
        <w:rPr>
          <w:rFonts w:hint="eastAsia" w:ascii="宋体" w:hAnsi="宋体" w:cs="宋体"/>
          <w:b/>
          <w:bCs/>
          <w:color w:val="000000"/>
        </w:rPr>
      </w:pPr>
      <w:r>
        <w:rPr>
          <w:rFonts w:hint="eastAsia" w:ascii="宋体" w:hAnsi="宋体" w:cs="宋体"/>
          <w:b/>
          <w:bCs/>
          <w:color w:val="000000"/>
        </w:rPr>
        <w:t xml:space="preserve">16、</w:t>
      </w:r>
      <w:r>
        <w:rPr>
          <w:rFonts w:hint="eastAsia" w:ascii="宋体" w:hAnsi="宋体"/>
          <w:b/>
          <w:bCs/>
          <w:color w:val="000000"/>
          <w:szCs w:val="21"/>
        </w:rPr>
        <w:t xml:space="preserve">谈判响应文件的递交</w:t>
      </w:r>
      <w:r>
        <w:rPr>
          <w:rFonts w:hint="eastAsia" w:ascii="宋体" w:hAnsi="宋体" w:cs="宋体"/>
          <w:b/>
          <w:bCs/>
          <w:color w:val="000000"/>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16.1 电子响应文件的递交供应商应当按照《操作手册》规定，在</w:t>
      </w:r>
      <w:r>
        <w:rPr>
          <w:rFonts w:hint="eastAsia" w:ascii="宋体" w:hAnsi="宋体"/>
          <w:bCs/>
          <w:color w:val="000000"/>
          <w:szCs w:val="21"/>
        </w:rPr>
        <w:t xml:space="preserve">谈判响应文件接收</w:t>
      </w:r>
      <w:r>
        <w:rPr>
          <w:rFonts w:hint="eastAsia" w:ascii="宋体" w:hAnsi="宋体"/>
          <w:color w:val="000000"/>
          <w:szCs w:val="21"/>
        </w:rPr>
        <w:t xml:space="preserve">截止时间前制作并上传电子响应文件。</w:t>
      </w:r>
      <w:r>
        <w:rPr>
          <w:rFonts w:hint="eastAsia" w:ascii="宋体" w:hAnsi="宋体"/>
          <w:color w:val="000000"/>
          <w:szCs w:val="21"/>
        </w:rPr>
      </w:r>
      <w:r/>
    </w:p>
    <w:p>
      <w:pPr>
        <w:pStyle w:val="1151"/>
        <w:ind w:firstLine="422"/>
        <w:spacing w:line="360" w:lineRule="auto"/>
        <w:rPr>
          <w:rFonts w:hint="eastAsia" w:ascii="宋体" w:hAnsi="宋体"/>
          <w:b/>
          <w:color w:val="000000"/>
          <w:szCs w:val="21"/>
        </w:rPr>
      </w:pPr>
      <w:r>
        <w:rPr>
          <w:rFonts w:hint="eastAsia" w:ascii="宋体" w:hAnsi="宋体"/>
          <w:b/>
          <w:color w:val="000000"/>
          <w:szCs w:val="21"/>
        </w:rPr>
        <w:t xml:space="preserve">16.2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相关要求是本招标文件的组成部分。</w:t>
      </w:r>
      <w:r>
        <w:rPr>
          <w:rFonts w:hint="eastAsia" w:ascii="宋体" w:hAnsi="宋体"/>
          <w:b/>
          <w:color w:val="000000"/>
          <w:szCs w:val="21"/>
        </w:rPr>
      </w:r>
      <w:r/>
    </w:p>
    <w:p>
      <w:pPr>
        <w:pStyle w:val="1151"/>
        <w:ind w:firstLine="422"/>
        <w:spacing w:line="360" w:lineRule="auto"/>
        <w:rPr>
          <w:rFonts w:hint="eastAsia" w:ascii="宋体" w:hAnsi="宋体"/>
          <w:b/>
          <w:color w:val="000000"/>
          <w:szCs w:val="21"/>
        </w:rPr>
      </w:pPr>
      <w:r>
        <w:rPr>
          <w:rFonts w:hint="eastAsia" w:ascii="宋体" w:hAnsi="宋体"/>
          <w:b/>
          <w:color w:val="000000"/>
          <w:szCs w:val="21"/>
        </w:rPr>
        <w:t xml:space="preserve">16.3供应商应对 CA 证书妥善保管，如被他人盗用，因此带来的结果均由供应商自行承担。</w:t>
      </w:r>
      <w:r>
        <w:rPr>
          <w:rFonts w:hint="eastAsia" w:ascii="宋体" w:hAnsi="宋体"/>
          <w:b/>
          <w:color w:val="000000"/>
          <w:szCs w:val="21"/>
        </w:rPr>
      </w:r>
      <w:r/>
    </w:p>
    <w:p>
      <w:pPr>
        <w:pStyle w:val="1151"/>
        <w:ind w:firstLine="422"/>
        <w:spacing w:line="360" w:lineRule="auto"/>
        <w:rPr>
          <w:rFonts w:hint="eastAsia" w:ascii="宋体" w:hAnsi="宋体"/>
          <w:b/>
          <w:color w:val="000000"/>
          <w:szCs w:val="21"/>
        </w:rPr>
      </w:pPr>
      <w:r>
        <w:rPr>
          <w:rFonts w:hint="eastAsia" w:ascii="宋体" w:hAnsi="宋体"/>
          <w:b/>
          <w:color w:val="000000"/>
          <w:szCs w:val="21"/>
        </w:rPr>
        <w:t xml:space="preserve">16.4供应商应当对采购文件提出的要求和条件作出实质性响应，并在电子投标系统逐条应答。</w:t>
      </w:r>
      <w:r>
        <w:rPr>
          <w:rFonts w:hint="eastAsia" w:ascii="宋体" w:hAnsi="宋体"/>
          <w:b/>
          <w:color w:val="000000"/>
          <w:szCs w:val="21"/>
        </w:rPr>
      </w:r>
      <w:r/>
    </w:p>
    <w:p>
      <w:pPr>
        <w:pStyle w:val="1151"/>
        <w:ind w:firstLine="422"/>
        <w:spacing w:line="360" w:lineRule="auto"/>
        <w:rPr>
          <w:rFonts w:hint="eastAsia" w:ascii="宋体" w:hAnsi="宋体"/>
          <w:b/>
          <w:color w:val="000000"/>
          <w:szCs w:val="21"/>
        </w:rPr>
      </w:pPr>
      <w:r>
        <w:rPr>
          <w:rFonts w:hint="eastAsia" w:ascii="宋体" w:hAnsi="宋体"/>
          <w:b/>
          <w:color w:val="000000"/>
          <w:szCs w:val="21"/>
        </w:rPr>
        <w:t xml:space="preserve">16.5</w:t>
      </w:r>
      <w:r>
        <w:rPr>
          <w:rFonts w:hint="eastAsia" w:ascii="宋体" w:hAnsi="宋体" w:cs="宋体"/>
          <w:b/>
          <w:bCs/>
          <w:color w:val="000000"/>
          <w:szCs w:val="21"/>
        </w:rPr>
        <w:t xml:space="preserve">供应商</w:t>
      </w:r>
      <w:r>
        <w:rPr>
          <w:rFonts w:hint="eastAsia" w:ascii="宋体" w:hAnsi="宋体"/>
          <w:b/>
          <w:color w:val="000000"/>
          <w:szCs w:val="21"/>
        </w:rPr>
        <w:t xml:space="preserve">应对要求提供的资格证明文件（如资质证书、资格证书）、技术资料（如白皮书、彩页、手册、检测报告等）扫描上传至投标系统。</w:t>
      </w:r>
      <w:r>
        <w:rPr>
          <w:rFonts w:hint="eastAsia" w:ascii="宋体" w:hAnsi="宋体"/>
          <w:b/>
          <w:color w:val="000000"/>
          <w:szCs w:val="21"/>
        </w:rPr>
      </w:r>
      <w:r/>
    </w:p>
    <w:p>
      <w:pPr>
        <w:pStyle w:val="1151"/>
        <w:ind w:firstLine="422"/>
        <w:spacing w:line="360" w:lineRule="auto"/>
        <w:rPr>
          <w:rFonts w:hint="eastAsia" w:ascii="宋体" w:hAnsi="宋体" w:cs="宋体"/>
          <w:color w:val="000000"/>
        </w:rPr>
      </w:pPr>
      <w:r>
        <w:rPr>
          <w:rFonts w:hint="eastAsia" w:ascii="宋体" w:hAnsi="宋体"/>
          <w:b/>
          <w:color w:val="000000"/>
          <w:szCs w:val="21"/>
        </w:rPr>
        <w:t xml:space="preserve">16.6各</w:t>
      </w:r>
      <w:r>
        <w:rPr>
          <w:rFonts w:hint="eastAsia" w:ascii="宋体" w:hAnsi="宋体" w:cs="宋体"/>
          <w:b/>
          <w:bCs/>
          <w:color w:val="000000"/>
          <w:szCs w:val="21"/>
        </w:rPr>
        <w:t xml:space="preserve">供应商</w:t>
      </w:r>
      <w:r>
        <w:rPr>
          <w:rFonts w:hint="eastAsia" w:ascii="宋体" w:hAnsi="宋体"/>
          <w:b/>
          <w:color w:val="000000"/>
          <w:szCs w:val="21"/>
        </w:rPr>
        <w:t xml:space="preserve">应在规定时间内凭CA证书进行网上解密。</w:t>
      </w:r>
      <w:r>
        <w:rPr>
          <w:rFonts w:hint="eastAsia" w:ascii="宋体" w:hAnsi="宋体" w:cs="宋体"/>
          <w:color w:val="000000"/>
        </w:rPr>
      </w:r>
      <w:r/>
    </w:p>
    <w:p>
      <w:pPr>
        <w:pStyle w:val="1151"/>
        <w:ind w:firstLine="422"/>
        <w:spacing w:line="360" w:lineRule="auto"/>
        <w:rPr>
          <w:rFonts w:hint="eastAsia" w:ascii="宋体" w:hAnsi="宋体" w:cs="宋体"/>
          <w:b/>
          <w:bCs/>
          <w:color w:val="000000"/>
        </w:rPr>
        <w:outlineLvl w:val="3"/>
      </w:pPr>
      <w:r/>
      <w:bookmarkStart w:id="24" w:name="_Toc20823297"/>
      <w:r/>
      <w:bookmarkStart w:id="25" w:name="_Toc16938541"/>
      <w:r>
        <w:rPr>
          <w:rFonts w:hint="eastAsia" w:ascii="宋体" w:hAnsi="宋体" w:cs="宋体"/>
          <w:b/>
          <w:bCs/>
          <w:color w:val="000000"/>
        </w:rPr>
        <w:t xml:space="preserve">17、</w:t>
      </w:r>
      <w:bookmarkEnd w:id="24"/>
      <w:r/>
      <w:bookmarkEnd w:id="25"/>
      <w:r>
        <w:rPr>
          <w:rFonts w:hint="eastAsia" w:ascii="宋体" w:hAnsi="宋体"/>
          <w:b/>
          <w:color w:val="000000"/>
          <w:szCs w:val="21"/>
        </w:rPr>
        <w:t xml:space="preserve">谈判响应文件接收截止时间</w:t>
      </w:r>
      <w:r>
        <w:rPr>
          <w:rFonts w:hint="eastAsia" w:ascii="宋体" w:hAnsi="宋体" w:cs="宋体"/>
          <w:b/>
          <w:bCs/>
          <w:color w:val="000000"/>
        </w:rPr>
      </w:r>
      <w:r/>
    </w:p>
    <w:p>
      <w:pPr>
        <w:pStyle w:val="1151"/>
        <w:ind w:firstLine="420"/>
        <w:spacing w:line="360" w:lineRule="auto"/>
        <w:rPr>
          <w:rFonts w:hint="eastAsia" w:ascii="宋体" w:hAnsi="宋体"/>
          <w:bCs/>
          <w:i/>
          <w:color w:val="000000"/>
          <w:szCs w:val="21"/>
          <w:u w:val="single"/>
        </w:rPr>
      </w:pPr>
      <w:r/>
      <w:bookmarkStart w:id="26" w:name="_Toc16938542"/>
      <w:r/>
      <w:bookmarkStart w:id="27" w:name="_Toc20823298"/>
      <w:r>
        <w:rPr>
          <w:rFonts w:hint="eastAsia" w:ascii="宋体" w:hAnsi="宋体"/>
          <w:i/>
          <w:color w:val="000000"/>
          <w:szCs w:val="21"/>
          <w:u w:val="single"/>
        </w:rPr>
        <w:t xml:space="preserve">17.1</w:t>
      </w:r>
      <w:r>
        <w:rPr>
          <w:rFonts w:hint="eastAsia" w:ascii="宋体" w:hAnsi="宋体"/>
          <w:bCs/>
          <w:i/>
          <w:color w:val="000000"/>
          <w:szCs w:val="21"/>
          <w:u w:val="single"/>
        </w:rPr>
        <w:t xml:space="preserve"> 供应商上传电子响应文件的时间不得迟于采购公告中规定的谈判响应文件提交截止时间。</w:t>
      </w:r>
      <w:r>
        <w:rPr>
          <w:rFonts w:hint="eastAsia" w:ascii="宋体" w:hAnsi="宋体"/>
          <w:bCs/>
          <w:i/>
          <w:color w:val="000000"/>
          <w:szCs w:val="21"/>
          <w:u w:val="single"/>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供应商应充分考虑到网络环境、网络带宽等风险因素，如因供应商自身原因造成的电子响应文件上传不成功由供应商自行承担全部责任。</w:t>
      </w:r>
      <w:r>
        <w:rPr>
          <w:rFonts w:hint="eastAsia" w:ascii="宋体" w:hAnsi="宋体"/>
          <w:color w:val="000000"/>
          <w:szCs w:val="21"/>
        </w:rPr>
      </w:r>
      <w:r/>
    </w:p>
    <w:p>
      <w:pPr>
        <w:pStyle w:val="1151"/>
        <w:ind w:firstLine="420"/>
        <w:spacing w:line="360" w:lineRule="auto"/>
        <w:rPr>
          <w:rFonts w:hint="eastAsia" w:ascii="宋体" w:hAnsi="宋体" w:cs="宋体"/>
          <w:color w:val="000000"/>
        </w:rPr>
      </w:pPr>
      <w:r>
        <w:rPr>
          <w:rFonts w:hint="eastAsia" w:ascii="宋体" w:hAnsi="宋体"/>
          <w:color w:val="000000"/>
          <w:szCs w:val="21"/>
        </w:rPr>
        <w:t xml:space="preserve">17.2 代理机构可以按照规定，通过修改采购文件延长谈判截止日期，在此情况下，供应商的所有权利和义务以及供应商受制的截止日期均应以延长后新的截止日期为准。</w:t>
      </w:r>
      <w:r>
        <w:rPr>
          <w:rFonts w:hint="eastAsia" w:ascii="宋体" w:hAnsi="宋体" w:cs="宋体"/>
          <w:color w:val="000000"/>
        </w:rPr>
      </w:r>
      <w:r/>
    </w:p>
    <w:p>
      <w:pPr>
        <w:pStyle w:val="1151"/>
        <w:ind w:firstLine="422"/>
        <w:spacing w:line="360" w:lineRule="auto"/>
        <w:rPr>
          <w:rFonts w:hint="eastAsia" w:ascii="宋体" w:hAnsi="宋体" w:cs="宋体"/>
          <w:bCs/>
          <w:color w:val="000000"/>
          <w:sz w:val="24"/>
        </w:rPr>
      </w:pPr>
      <w:r>
        <w:rPr>
          <w:rFonts w:hint="eastAsia" w:ascii="宋体" w:hAnsi="宋体" w:cs="宋体"/>
          <w:b/>
          <w:bCs/>
          <w:color w:val="000000"/>
        </w:rPr>
        <w:t xml:space="preserve">18、</w:t>
      </w:r>
      <w:bookmarkEnd w:id="26"/>
      <w:r/>
      <w:bookmarkEnd w:id="27"/>
      <w:r>
        <w:rPr>
          <w:rFonts w:hint="eastAsia" w:ascii="宋体" w:hAnsi="宋体"/>
          <w:b/>
          <w:color w:val="000000"/>
          <w:szCs w:val="21"/>
        </w:rPr>
        <w:t xml:space="preserve">响应文件的拒收</w:t>
      </w:r>
      <w:r>
        <w:rPr>
          <w:rFonts w:hint="eastAsia" w:ascii="宋体" w:hAnsi="宋体" w:cs="宋体"/>
          <w:bCs/>
          <w:color w:val="000000"/>
          <w:sz w:val="24"/>
        </w:rPr>
      </w:r>
      <w:r/>
    </w:p>
    <w:p>
      <w:pPr>
        <w:pStyle w:val="1151"/>
        <w:ind w:firstLine="420"/>
        <w:spacing w:line="360" w:lineRule="auto"/>
        <w:rPr>
          <w:rFonts w:hint="eastAsia" w:ascii="宋体" w:hAnsi="宋体"/>
          <w:color w:val="000000"/>
          <w:szCs w:val="21"/>
        </w:rPr>
        <w:outlineLvl w:val="3"/>
      </w:pPr>
      <w:r/>
      <w:bookmarkStart w:id="28" w:name="_Toc16938543"/>
      <w:r/>
      <w:bookmarkStart w:id="29" w:name="_Toc20823299"/>
      <w:r>
        <w:rPr>
          <w:rFonts w:hint="eastAsia" w:ascii="宋体" w:hAnsi="宋体"/>
          <w:color w:val="000000"/>
          <w:szCs w:val="21"/>
        </w:rPr>
        <w:t xml:space="preserve">18.1代理机构拒绝接收在其规定的接收截止时间后上传的任何响应文件。</w:t>
      </w:r>
      <w:r>
        <w:rPr>
          <w:rFonts w:hint="eastAsia" w:ascii="宋体" w:hAnsi="宋体"/>
          <w:color w:val="000000"/>
          <w:szCs w:val="21"/>
        </w:rPr>
      </w:r>
      <w:r/>
    </w:p>
    <w:p>
      <w:pPr>
        <w:pStyle w:val="1151"/>
        <w:ind w:firstLine="422"/>
        <w:spacing w:line="360" w:lineRule="auto"/>
        <w:rPr>
          <w:rFonts w:hint="eastAsia" w:ascii="宋体" w:hAnsi="宋体" w:cs="宋体"/>
          <w:b/>
          <w:bCs/>
          <w:color w:val="000000"/>
        </w:rPr>
      </w:pPr>
      <w:r>
        <w:rPr>
          <w:rFonts w:hint="eastAsia" w:ascii="宋体" w:hAnsi="宋体" w:cs="宋体"/>
          <w:b/>
          <w:bCs/>
          <w:color w:val="000000"/>
        </w:rPr>
        <w:t xml:space="preserve">19、</w:t>
      </w:r>
      <w:bookmarkEnd w:id="28"/>
      <w:r/>
      <w:bookmarkEnd w:id="29"/>
      <w:r>
        <w:rPr>
          <w:rFonts w:hint="eastAsia" w:ascii="宋体" w:hAnsi="宋体"/>
          <w:b/>
          <w:color w:val="000000"/>
          <w:szCs w:val="21"/>
        </w:rPr>
        <w:t xml:space="preserve">响应文件的修改和撤回</w:t>
      </w:r>
      <w:r>
        <w:rPr>
          <w:rFonts w:hint="eastAsia" w:ascii="宋体" w:hAnsi="宋体" w:cs="宋体"/>
          <w:b/>
          <w:bCs/>
          <w:color w:val="000000"/>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19.1 响应文件的撤回</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19.1.1 电子响应文件的撤回</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供应商可在响应截止时间前，撤回其电子响应文件，具体操作方法见《操作手册》。</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19.1.2 供应商撤回电子响应文件，则认为其不再参与本项目谈判活动。</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19.2 响应文件的修改</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供应商可在响应截止时间前，对其电子响应文件进行修改，具体操作方法见《操作手册》。</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19.3 在响应截止时间之后，供应商不得对其电子响应文件作任何修改。</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19.4 在响应截止时间至采购文件中规定的响应有效期满之间的这段时间内，供应商不得撤回其响应。</w:t>
      </w:r>
      <w:r>
        <w:rPr>
          <w:rFonts w:hint="eastAsia" w:ascii="宋体" w:hAnsi="宋体"/>
          <w:color w:val="000000"/>
          <w:szCs w:val="21"/>
        </w:rPr>
      </w:r>
      <w:r/>
    </w:p>
    <w:p>
      <w:pPr>
        <w:pStyle w:val="1151"/>
        <w:ind w:firstLine="422"/>
        <w:spacing w:line="360" w:lineRule="auto"/>
        <w:rPr>
          <w:rFonts w:hint="eastAsia" w:ascii="宋体" w:hAnsi="宋体"/>
          <w:b/>
          <w:color w:val="000000"/>
          <w:szCs w:val="21"/>
        </w:rPr>
      </w:pPr>
      <w:r/>
      <w:bookmarkStart w:id="30" w:name="_Toc20823302"/>
      <w:r/>
      <w:bookmarkStart w:id="31" w:name="_Toc16938546"/>
      <w:r/>
      <w:bookmarkStart w:id="32" w:name="_Toc513029230"/>
      <w:r>
        <w:rPr>
          <w:rFonts w:hint="eastAsia" w:ascii="宋体" w:hAnsi="宋体"/>
          <w:b/>
          <w:color w:val="000000"/>
          <w:szCs w:val="21"/>
        </w:rPr>
        <w:t xml:space="preserve">20、</w:t>
      </w:r>
      <w:bookmarkEnd w:id="30"/>
      <w:r/>
      <w:bookmarkEnd w:id="31"/>
      <w:r/>
      <w:bookmarkEnd w:id="32"/>
      <w:r>
        <w:rPr>
          <w:rFonts w:hint="eastAsia" w:ascii="宋体" w:hAnsi="宋体"/>
          <w:b/>
          <w:color w:val="000000"/>
          <w:szCs w:val="21"/>
        </w:rPr>
        <w:t xml:space="preserve">谈判</w:t>
      </w:r>
      <w:r>
        <w:rPr>
          <w:rFonts w:hint="eastAsia" w:ascii="宋体" w:hAnsi="宋体"/>
          <w:b/>
          <w:color w:val="000000"/>
          <w:szCs w:val="21"/>
        </w:rPr>
      </w:r>
      <w:r/>
    </w:p>
    <w:p>
      <w:pPr>
        <w:pStyle w:val="1151"/>
        <w:ind w:firstLine="420"/>
        <w:spacing w:line="360" w:lineRule="auto"/>
        <w:rPr>
          <w:rFonts w:hint="eastAsia" w:ascii="宋体" w:hAnsi="宋体"/>
          <w:color w:val="000000"/>
          <w:szCs w:val="21"/>
        </w:rPr>
      </w:pPr>
      <w:r/>
      <w:bookmarkStart w:id="33" w:name="_Toc20823303"/>
      <w:r/>
      <w:bookmarkStart w:id="34" w:name="_Toc513029231"/>
      <w:r/>
      <w:bookmarkStart w:id="35" w:name="_Toc16938547"/>
      <w:r>
        <w:rPr>
          <w:rFonts w:hint="eastAsia" w:ascii="宋体" w:hAnsi="宋体"/>
          <w:color w:val="000000"/>
          <w:szCs w:val="21"/>
        </w:rPr>
        <w:t xml:space="preserve">20.1 代理机构将在采购公告中规定的时间和地点组织谈判开始仪式。供应商应当按照《操作手册》规定，参加谈判活动。</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20.2供应商在谈判过程中涉及到的响应文件解密等工作，应按照《操作手册》规定执行。</w:t>
      </w:r>
      <w:r>
        <w:rPr>
          <w:rFonts w:hint="eastAsia" w:ascii="宋体" w:hAnsi="宋体"/>
          <w:color w:val="000000"/>
          <w:szCs w:val="21"/>
        </w:rPr>
      </w:r>
      <w:r/>
    </w:p>
    <w:p>
      <w:pPr>
        <w:pStyle w:val="1151"/>
        <w:ind w:firstLine="422"/>
        <w:spacing w:line="360" w:lineRule="auto"/>
        <w:rPr>
          <w:rFonts w:hint="eastAsia" w:ascii="宋体" w:hAnsi="宋体"/>
          <w:color w:val="000000"/>
          <w:szCs w:val="21"/>
        </w:rPr>
        <w:outlineLvl w:val="3"/>
      </w:pPr>
      <w:r>
        <w:rPr>
          <w:rFonts w:hint="eastAsia" w:ascii="宋体" w:hAnsi="宋体"/>
          <w:b/>
          <w:color w:val="000000"/>
          <w:szCs w:val="21"/>
        </w:rPr>
        <w:t xml:space="preserve">21、谈判小组</w:t>
      </w:r>
      <w:r>
        <w:rPr>
          <w:rFonts w:hint="eastAsia" w:ascii="宋体" w:hAnsi="宋体"/>
          <w:color w:val="000000"/>
          <w:szCs w:val="21"/>
        </w:rPr>
      </w:r>
      <w:r/>
    </w:p>
    <w:p>
      <w:pPr>
        <w:pStyle w:val="1151"/>
        <w:ind w:firstLine="200"/>
        <w:spacing w:line="360" w:lineRule="auto"/>
        <w:rPr>
          <w:rFonts w:hint="eastAsia" w:ascii="宋体" w:hAnsi="宋体"/>
          <w:b/>
          <w:color w:val="000000"/>
          <w:szCs w:val="21"/>
        </w:rPr>
      </w:pPr>
      <w:r>
        <w:rPr>
          <w:rFonts w:hint="eastAsia" w:ascii="宋体" w:hAnsi="宋体"/>
          <w:b/>
          <w:color w:val="000000"/>
          <w:szCs w:val="21"/>
        </w:rPr>
        <w:t xml:space="preserve">  </w:t>
      </w:r>
      <w:r>
        <w:rPr>
          <w:rFonts w:hint="eastAsia" w:ascii="宋体" w:hAnsi="宋体"/>
          <w:color w:val="000000"/>
          <w:szCs w:val="21"/>
        </w:rPr>
        <w:t xml:space="preserve">21.1</w:t>
      </w:r>
      <w:r>
        <w:rPr>
          <w:rFonts w:hint="eastAsia" w:ascii="宋体" w:hAnsi="宋体"/>
          <w:b/>
          <w:color w:val="000000"/>
          <w:szCs w:val="21"/>
        </w:rPr>
        <w:t xml:space="preserve"> </w:t>
      </w:r>
      <w:r>
        <w:rPr>
          <w:rFonts w:hint="eastAsia" w:ascii="宋体" w:hAnsi="宋体"/>
          <w:color w:val="000000"/>
          <w:szCs w:val="21"/>
        </w:rPr>
        <w:t xml:space="preserve">谈判开始后，代理机构将立即组织谈判小组进行评审和谈判。</w:t>
      </w:r>
      <w:r>
        <w:rPr>
          <w:rFonts w:hint="eastAsia" w:ascii="宋体" w:hAnsi="宋体"/>
          <w:b/>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21.2 谈判小组由采购人代表和评审专家组成，且人员构成符合政府采购有关规定。</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21.3谈判小组根据采购文件的规定独立进行评审。</w:t>
      </w:r>
      <w:r>
        <w:rPr>
          <w:rFonts w:hint="eastAsia" w:ascii="宋体" w:hAnsi="宋体"/>
          <w:color w:val="000000"/>
          <w:szCs w:val="21"/>
        </w:rPr>
      </w:r>
      <w:r/>
    </w:p>
    <w:p>
      <w:pPr>
        <w:pStyle w:val="1151"/>
        <w:ind w:firstLine="422"/>
        <w:spacing w:line="360" w:lineRule="auto"/>
        <w:rPr>
          <w:rFonts w:ascii="宋体" w:hAnsi="宋体"/>
          <w:color w:val="000000"/>
          <w:szCs w:val="21"/>
        </w:rPr>
        <w:outlineLvl w:val="3"/>
      </w:pPr>
      <w:r>
        <w:rPr>
          <w:rFonts w:hint="eastAsia" w:ascii="宋体" w:hAnsi="宋体"/>
          <w:b/>
          <w:color w:val="000000"/>
          <w:szCs w:val="21"/>
        </w:rPr>
        <w:t xml:space="preserve">22、谈判过程的保密与公正</w:t>
      </w:r>
      <w:r>
        <w:rPr>
          <w:rFonts w:ascii="宋体" w:hAnsi="宋体"/>
          <w:color w:val="000000"/>
          <w:szCs w:val="21"/>
        </w:rPr>
      </w:r>
      <w:r/>
    </w:p>
    <w:p>
      <w:pPr>
        <w:pStyle w:val="1151"/>
        <w:ind w:firstLine="420"/>
        <w:spacing w:line="360" w:lineRule="auto"/>
        <w:rPr>
          <w:rFonts w:hint="eastAsia" w:ascii="宋体" w:hAnsi="宋体"/>
          <w:bCs/>
          <w:color w:val="000000"/>
          <w:szCs w:val="21"/>
        </w:rPr>
      </w:pPr>
      <w:r/>
      <w:bookmarkEnd w:id="33"/>
      <w:r/>
      <w:bookmarkEnd w:id="34"/>
      <w:r/>
      <w:bookmarkEnd w:id="35"/>
      <w:r>
        <w:rPr>
          <w:rFonts w:hint="eastAsia" w:ascii="宋体" w:hAnsi="宋体"/>
          <w:color w:val="000000"/>
          <w:szCs w:val="21"/>
        </w:rPr>
        <w:t xml:space="preserve">22.1谈判小组应当遵守评审工作纪律，不得泄露评审情况和评审中获悉的商业秘密。</w:t>
      </w:r>
      <w:r>
        <w:rPr>
          <w:rFonts w:hint="eastAsia" w:ascii="宋体" w:hAnsi="宋体"/>
          <w:bCs/>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22.2在谈判过程中，供应商不得以任何行为影响谈判过程，否则其响应文件将被作为无效响应文件。</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22.3 在谈判期间，代理机构将设专门工作人员与供应商联系。</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22.4代理机构和谈判小组不向未成交的供应商解释未成交原因，也不公布谈判过程中的相关细节。</w:t>
      </w:r>
      <w:r>
        <w:rPr>
          <w:rFonts w:hint="eastAsia" w:ascii="宋体" w:hAnsi="宋体"/>
          <w:color w:val="000000"/>
          <w:szCs w:val="21"/>
        </w:rPr>
      </w:r>
      <w:r/>
    </w:p>
    <w:p>
      <w:pPr>
        <w:pStyle w:val="1151"/>
        <w:ind w:firstLine="422"/>
        <w:spacing w:line="360" w:lineRule="auto"/>
        <w:rPr>
          <w:rFonts w:hint="eastAsia" w:ascii="宋体" w:hAnsi="宋体"/>
          <w:color w:val="000000"/>
          <w:szCs w:val="21"/>
        </w:rPr>
        <w:outlineLvl w:val="3"/>
      </w:pPr>
      <w:r/>
      <w:bookmarkStart w:id="36" w:name="_Toc513029232"/>
      <w:r/>
      <w:bookmarkStart w:id="37" w:name="_Toc16938548"/>
      <w:r/>
      <w:bookmarkStart w:id="38" w:name="_Toc20823304"/>
      <w:r>
        <w:rPr>
          <w:rFonts w:hint="eastAsia" w:ascii="宋体" w:hAnsi="宋体"/>
          <w:b/>
          <w:color w:val="000000"/>
          <w:szCs w:val="21"/>
        </w:rPr>
        <w:t xml:space="preserve">23、谈判的澄清</w:t>
      </w:r>
      <w:bookmarkEnd w:id="36"/>
      <w:r/>
      <w:bookmarkEnd w:id="37"/>
      <w:r/>
      <w:bookmarkEnd w:id="38"/>
      <w:r>
        <w:rPr>
          <w:rFonts w:hint="eastAsia" w:ascii="宋体" w:hAnsi="宋体"/>
          <w:color w:val="000000"/>
          <w:szCs w:val="21"/>
        </w:rPr>
      </w:r>
      <w:r/>
    </w:p>
    <w:p>
      <w:pPr>
        <w:pStyle w:val="1151"/>
        <w:ind w:firstLine="420"/>
        <w:spacing w:line="360" w:lineRule="auto"/>
        <w:rPr>
          <w:rFonts w:hint="eastAsia" w:ascii="宋体" w:hAnsi="宋体"/>
          <w:color w:val="000000"/>
          <w:szCs w:val="21"/>
        </w:rPr>
      </w:pPr>
      <w:r/>
      <w:bookmarkStart w:id="39" w:name="_Toc513029233"/>
      <w:r/>
      <w:bookmarkStart w:id="40" w:name="_Toc20823305"/>
      <w:r/>
      <w:bookmarkStart w:id="41" w:name="_Toc16938549"/>
      <w:r>
        <w:rPr>
          <w:rFonts w:hint="eastAsia" w:ascii="宋体" w:hAnsi="宋体"/>
          <w:color w:val="000000"/>
          <w:szCs w:val="21"/>
        </w:rPr>
        <w:t xml:space="preserve">23.1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r>
        <w:rPr>
          <w:rFonts w:hint="eastAsia" w:ascii="宋体" w:hAnsi="宋体"/>
          <w:color w:val="000000"/>
          <w:szCs w:val="21"/>
        </w:rPr>
      </w:r>
      <w:r/>
    </w:p>
    <w:p>
      <w:pPr>
        <w:pStyle w:val="1151"/>
        <w:ind w:firstLine="420"/>
        <w:spacing w:line="360" w:lineRule="auto"/>
        <w:rPr>
          <w:rFonts w:ascii="宋体" w:hAnsi="宋体"/>
          <w:color w:val="000000"/>
          <w:szCs w:val="21"/>
        </w:rPr>
      </w:pPr>
      <w:r>
        <w:rPr>
          <w:rFonts w:hint="eastAsia" w:ascii="宋体" w:hAnsi="宋体"/>
          <w:color w:val="000000"/>
          <w:szCs w:val="21"/>
        </w:rPr>
        <w:t xml:space="preserve">23.2接到谈判小组澄清要求的供应商应按谈判小组规定的时间和格式在</w:t>
      </w:r>
      <w:r>
        <w:rPr>
          <w:rFonts w:hint="eastAsia" w:ascii="宋体" w:hAnsi="宋体"/>
          <w:b/>
          <w:bCs/>
          <w:color w:val="000000"/>
          <w:szCs w:val="21"/>
        </w:rPr>
        <w:t xml:space="preserve">“政府采购管理交易系统（苏采云）”</w:t>
      </w:r>
      <w:r>
        <w:rPr>
          <w:rFonts w:hint="eastAsia" w:ascii="宋体" w:hAnsi="宋体"/>
          <w:color w:val="000000"/>
          <w:szCs w:val="21"/>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bCs/>
          <w:color w:val="000000"/>
          <w:szCs w:val="21"/>
        </w:rPr>
        <w:t xml:space="preserve">《操作手册》</w:t>
      </w:r>
      <w:r>
        <w:rPr>
          <w:rFonts w:hint="eastAsia" w:ascii="宋体" w:hAnsi="宋体"/>
          <w:color w:val="000000"/>
          <w:szCs w:val="21"/>
        </w:rPr>
        <w:t xml:space="preserve">。</w:t>
      </w:r>
      <w:r>
        <w:rPr>
          <w:rFonts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23.3 接到谈判小组澄清要求的供应商如未按规定做出澄清，其风险由供应商自行承担。</w:t>
      </w:r>
      <w:r>
        <w:rPr>
          <w:rFonts w:hint="eastAsia" w:ascii="宋体" w:hAnsi="宋体"/>
          <w:color w:val="000000"/>
          <w:szCs w:val="21"/>
        </w:rPr>
      </w:r>
      <w:r/>
    </w:p>
    <w:p>
      <w:pPr>
        <w:pStyle w:val="1151"/>
        <w:ind w:firstLine="422"/>
        <w:spacing w:line="360" w:lineRule="auto"/>
        <w:rPr>
          <w:rFonts w:hint="eastAsia" w:ascii="宋体" w:hAnsi="宋体"/>
          <w:color w:val="000000"/>
          <w:szCs w:val="21"/>
        </w:rPr>
      </w:pPr>
      <w:r>
        <w:rPr>
          <w:rFonts w:hint="eastAsia" w:ascii="宋体" w:hAnsi="宋体"/>
          <w:b/>
          <w:bCs/>
          <w:color w:val="000000"/>
          <w:szCs w:val="21"/>
        </w:rPr>
        <w:t xml:space="preserve">24、对响应文件的初审</w:t>
      </w:r>
      <w:bookmarkEnd w:id="39"/>
      <w:r/>
      <w:bookmarkEnd w:id="40"/>
      <w:r/>
      <w:bookmarkEnd w:id="41"/>
      <w:r>
        <w:rPr>
          <w:rFonts w:hint="eastAsia" w:ascii="宋体" w:hAnsi="宋体"/>
          <w:color w:val="000000"/>
          <w:szCs w:val="21"/>
        </w:rPr>
      </w:r>
      <w:r/>
    </w:p>
    <w:p>
      <w:pPr>
        <w:pStyle w:val="1151"/>
        <w:ind w:firstLine="420"/>
        <w:spacing w:line="360" w:lineRule="auto"/>
        <w:rPr>
          <w:rFonts w:hint="eastAsia" w:ascii="宋体" w:hAnsi="宋体"/>
          <w:bCs/>
          <w:color w:val="000000"/>
          <w:szCs w:val="21"/>
        </w:rPr>
      </w:pPr>
      <w:r>
        <w:rPr>
          <w:rFonts w:hint="eastAsia" w:ascii="宋体" w:hAnsi="宋体"/>
          <w:color w:val="000000"/>
          <w:szCs w:val="21"/>
        </w:rPr>
        <w:t xml:space="preserve">24.1响应</w:t>
      </w:r>
      <w:r>
        <w:rPr>
          <w:rFonts w:hint="eastAsia" w:ascii="宋体" w:hAnsi="宋体"/>
          <w:bCs/>
          <w:color w:val="000000"/>
          <w:szCs w:val="21"/>
        </w:rPr>
        <w:t xml:space="preserve">文件初审分为资格性检查和符合性检查。</w:t>
      </w:r>
      <w:r>
        <w:rPr>
          <w:rFonts w:hint="eastAsia" w:ascii="宋体" w:hAnsi="宋体"/>
          <w:bCs/>
          <w:color w:val="000000"/>
          <w:szCs w:val="21"/>
        </w:rPr>
      </w:r>
      <w:r/>
    </w:p>
    <w:p>
      <w:pPr>
        <w:pStyle w:val="1151"/>
        <w:ind w:firstLine="420"/>
        <w:jc w:val="left"/>
        <w:spacing w:line="360" w:lineRule="auto"/>
        <w:rPr>
          <w:rFonts w:hint="eastAsia" w:ascii="宋体" w:hAnsi="宋体"/>
          <w:bCs/>
          <w:color w:val="000000"/>
          <w:szCs w:val="21"/>
        </w:rPr>
      </w:pPr>
      <w:r>
        <w:rPr>
          <w:rFonts w:hint="eastAsia" w:ascii="宋体" w:hAnsi="宋体"/>
          <w:color w:val="000000"/>
          <w:szCs w:val="21"/>
        </w:rPr>
        <w:t xml:space="preserve">24.1.1</w:t>
      </w:r>
      <w:r>
        <w:rPr>
          <w:rFonts w:hint="eastAsia" w:ascii="宋体" w:hAnsi="宋体"/>
          <w:bCs/>
          <w:color w:val="000000"/>
          <w:szCs w:val="21"/>
        </w:rPr>
        <w:t xml:space="preserve">资格性审查：依据法律法规和采购文件的规定，由谈判小组对响应文件中的资格证明文件进行审查。</w:t>
      </w:r>
      <w:r>
        <w:rPr>
          <w:rFonts w:hint="eastAsia" w:ascii="宋体" w:hAnsi="宋体"/>
          <w:color w:val="000000"/>
          <w:szCs w:val="21"/>
        </w:rPr>
        <w:t xml:space="preserve">以确定供应商是否具备参加谈判的资格。</w:t>
      </w:r>
      <w:r>
        <w:rPr>
          <w:rFonts w:hint="eastAsia" w:ascii="宋体" w:hAnsi="宋体"/>
          <w:bCs/>
          <w:color w:val="000000"/>
          <w:szCs w:val="21"/>
        </w:rPr>
      </w:r>
      <w:r/>
    </w:p>
    <w:p>
      <w:pPr>
        <w:pStyle w:val="1151"/>
        <w:ind w:firstLine="420"/>
        <w:spacing w:line="360" w:lineRule="auto"/>
        <w:rPr>
          <w:rFonts w:hint="eastAsia" w:ascii="宋体" w:hAnsi="宋体"/>
          <w:bCs/>
          <w:color w:val="000000"/>
          <w:szCs w:val="21"/>
        </w:rPr>
      </w:pPr>
      <w:r>
        <w:rPr>
          <w:rFonts w:hint="eastAsia" w:ascii="宋体" w:hAnsi="宋体"/>
          <w:color w:val="000000"/>
          <w:szCs w:val="21"/>
        </w:rPr>
        <w:t xml:space="preserve">24.1.2</w:t>
      </w:r>
      <w:r>
        <w:rPr>
          <w:rFonts w:hint="eastAsia" w:ascii="宋体" w:hAnsi="宋体"/>
          <w:bCs/>
          <w:color w:val="000000"/>
          <w:szCs w:val="21"/>
        </w:rPr>
        <w:t xml:space="preserve">符合性检查：依据采购文件的规定，由谈判小组从响应文件的有效性、完整性和对采购文件的响应程度进行审查，以确定是否对采购文件的实质性要求作出响应。</w:t>
      </w:r>
      <w:r>
        <w:rPr>
          <w:rFonts w:hint="eastAsia" w:ascii="宋体" w:hAnsi="宋体"/>
          <w:bCs/>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24.1.3 未通过资格审查或符合性审查的供应商，代理机构将在</w:t>
      </w:r>
      <w:r>
        <w:rPr>
          <w:rFonts w:hint="eastAsia" w:ascii="宋体" w:hAnsi="宋体"/>
          <w:b/>
          <w:bCs/>
          <w:color w:val="000000"/>
          <w:szCs w:val="21"/>
        </w:rPr>
        <w:t xml:space="preserve">“政府采购管理交易系统（苏采云）”</w:t>
      </w:r>
      <w:r>
        <w:rPr>
          <w:rFonts w:hint="eastAsia" w:ascii="宋体" w:hAnsi="宋体"/>
          <w:color w:val="000000"/>
          <w:szCs w:val="21"/>
        </w:rPr>
        <w:t xml:space="preserve">中告知未通过资格审查或符合性审查的原因，评审结束后，代理机构将不再告知未通过资格审查或符合性审查的原因。</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24.2在正式谈判之前，谈判小组将首先审查每份响应文件是否实质性响应了采购文件的要求。实质性响应的响应文件应该是与采购文件要求的全部条款、条件和规格相符，没有重大偏离或保留。</w:t>
      </w:r>
      <w:r>
        <w:rPr>
          <w:rFonts w:hint="eastAsia" w:ascii="宋体" w:hAnsi="宋体"/>
          <w:color w:val="000000"/>
          <w:szCs w:val="21"/>
        </w:rPr>
      </w:r>
      <w:r/>
    </w:p>
    <w:p>
      <w:pPr>
        <w:pStyle w:val="1151"/>
        <w:ind w:firstLine="420"/>
        <w:spacing w:line="360" w:lineRule="auto"/>
        <w:rPr>
          <w:rFonts w:hint="eastAsia" w:ascii="宋体" w:hAnsi="宋体"/>
          <w:bCs/>
          <w:color w:val="000000"/>
          <w:szCs w:val="21"/>
        </w:rPr>
      </w:pPr>
      <w:r>
        <w:rPr>
          <w:rFonts w:hint="eastAsia" w:ascii="宋体" w:hAnsi="宋体"/>
          <w:color w:val="000000"/>
          <w:szCs w:val="21"/>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w:t>
      </w:r>
      <w:r>
        <w:rPr>
          <w:rFonts w:hint="eastAsia" w:ascii="宋体" w:hAnsi="宋体"/>
          <w:bCs/>
          <w:color w:val="000000"/>
          <w:szCs w:val="21"/>
        </w:rPr>
        <w:t xml:space="preserve">谈判小组决定响应文件的响应性只根据响应文件本身的内容，而不寻求外部的证据。</w:t>
      </w:r>
      <w:r>
        <w:rPr>
          <w:rFonts w:hint="eastAsia" w:ascii="宋体" w:hAnsi="宋体"/>
          <w:bCs/>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24.3如果响应文件实质上没有响应采购文件的要求，谈判小组将予以拒绝。</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24.4谈判小组将对确定为实质性响应的响应文件进行进一步审核，看其是否有计算上或累加上的算术错误，修正错误的原则如下：</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（1）响应文件中报价一览表内容与响应文件中相应内容不一致的，以报价一览表为准。</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（2）大写金额与小写金额不一致的，以大写金额为准。</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（3）单价金额小数点或者百分比有明显错位的，以报价一览表的总价为准，并修改单价。</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（4）总价金额与按单价汇总金额不一致的，以单价金额计算结果为准。</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同时出现两种以上错误的，按照前款规定的顺序修正。</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24.5谈判小组将按上述修正错误的方法调整响应文件中的响应报价，并通过</w:t>
      </w:r>
      <w:r>
        <w:rPr>
          <w:rFonts w:hint="eastAsia" w:ascii="宋体" w:hAnsi="宋体"/>
          <w:b/>
          <w:bCs/>
          <w:color w:val="000000"/>
          <w:szCs w:val="21"/>
        </w:rPr>
        <w:t xml:space="preserve">“政府采购管理交易系统（苏采云）”</w:t>
      </w:r>
      <w:r>
        <w:rPr>
          <w:rFonts w:hint="eastAsia" w:ascii="宋体" w:hAnsi="宋体"/>
          <w:color w:val="000000"/>
          <w:szCs w:val="21"/>
        </w:rPr>
        <w:t xml:space="preserve">告知供应商，调整后的价格应对供应商具有约束力。如果供应商不接受修正后的价格，则其响应文件将被拒绝。</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24.6谈判小组将允许修正响应文件中不构成重大偏离的、微小的、非正规的、不一致的或不规则的地方，但这些修改不能影响任何供应商相应的名次排列。</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24.7 供应商在谈判全过程中应保持通讯畅通，并安排专人与代理机构及谈判小组联系。</w:t>
      </w:r>
      <w:r>
        <w:rPr>
          <w:rFonts w:hint="eastAsia" w:ascii="宋体" w:hAnsi="宋体"/>
          <w:color w:val="000000"/>
          <w:szCs w:val="21"/>
        </w:rPr>
      </w:r>
      <w:r/>
    </w:p>
    <w:p>
      <w:pPr>
        <w:pStyle w:val="1151"/>
        <w:ind w:firstLine="422"/>
        <w:spacing w:line="360" w:lineRule="auto"/>
        <w:rPr>
          <w:rFonts w:hint="eastAsia" w:ascii="宋体" w:hAnsi="宋体"/>
          <w:b/>
          <w:bCs/>
          <w:color w:val="000000"/>
          <w:szCs w:val="21"/>
        </w:rPr>
      </w:pPr>
      <w:r>
        <w:rPr>
          <w:rFonts w:ascii="宋体" w:hAnsi="宋体"/>
          <w:b/>
          <w:bCs/>
          <w:color w:val="000000"/>
          <w:szCs w:val="21"/>
        </w:rPr>
        <w:t xml:space="preserve">25</w:t>
      </w:r>
      <w:r>
        <w:rPr>
          <w:rFonts w:hint="eastAsia" w:ascii="宋体" w:hAnsi="宋体"/>
          <w:b/>
          <w:bCs/>
          <w:color w:val="000000"/>
          <w:szCs w:val="21"/>
        </w:rPr>
        <w:t xml:space="preserve">、无效响应及采购活动终止的处理</w:t>
      </w:r>
      <w:r>
        <w:rPr>
          <w:rFonts w:hint="eastAsia" w:ascii="宋体" w:hAnsi="宋体"/>
          <w:b/>
          <w:bCs/>
          <w:color w:val="000000"/>
          <w:szCs w:val="21"/>
        </w:rPr>
      </w:r>
      <w:r/>
    </w:p>
    <w:p>
      <w:pPr>
        <w:pStyle w:val="1151"/>
        <w:ind w:firstLine="420"/>
        <w:spacing w:line="360" w:lineRule="auto"/>
        <w:rPr>
          <w:rFonts w:ascii="宋体" w:hAnsi="宋体"/>
          <w:bCs/>
          <w:color w:val="000000"/>
          <w:szCs w:val="21"/>
        </w:rPr>
      </w:pPr>
      <w:r>
        <w:rPr>
          <w:rFonts w:hint="eastAsia" w:ascii="宋体" w:hAnsi="宋体"/>
          <w:bCs/>
          <w:color w:val="000000"/>
          <w:szCs w:val="21"/>
        </w:rPr>
        <w:t xml:space="preserve">25.1无效响应条款</w:t>
      </w:r>
      <w:r>
        <w:rPr>
          <w:rFonts w:ascii="宋体" w:hAnsi="宋体"/>
          <w:bCs/>
          <w:color w:val="000000"/>
          <w:szCs w:val="21"/>
        </w:rPr>
      </w:r>
      <w:r/>
    </w:p>
    <w:p>
      <w:pPr>
        <w:pStyle w:val="1151"/>
        <w:ind w:firstLine="420"/>
        <w:spacing w:line="360" w:lineRule="auto"/>
        <w:rPr>
          <w:rFonts w:hint="eastAsia" w:ascii="宋体" w:hAnsi="宋体"/>
          <w:bCs/>
          <w:color w:val="000000"/>
          <w:szCs w:val="21"/>
        </w:rPr>
      </w:pPr>
      <w:r>
        <w:rPr>
          <w:rFonts w:hint="eastAsia" w:ascii="宋体" w:hAnsi="宋体"/>
          <w:bCs/>
          <w:color w:val="000000"/>
          <w:szCs w:val="21"/>
        </w:rPr>
        <w:t xml:space="preserve">25.1.1供应商未按照采购文件要求上传电子响应文件的。</w:t>
      </w:r>
      <w:r>
        <w:rPr>
          <w:rFonts w:hint="eastAsia" w:ascii="宋体" w:hAnsi="宋体"/>
          <w:bCs/>
          <w:color w:val="000000"/>
          <w:szCs w:val="21"/>
        </w:rPr>
      </w:r>
      <w:r/>
    </w:p>
    <w:p>
      <w:pPr>
        <w:pStyle w:val="1151"/>
        <w:ind w:firstLine="420"/>
        <w:spacing w:line="360" w:lineRule="auto"/>
        <w:rPr>
          <w:rFonts w:hint="eastAsia" w:ascii="宋体" w:hAnsi="宋体"/>
          <w:bCs/>
          <w:color w:val="000000"/>
          <w:szCs w:val="21"/>
        </w:rPr>
      </w:pPr>
      <w:r>
        <w:rPr>
          <w:rFonts w:hint="eastAsia" w:ascii="宋体" w:hAnsi="宋体"/>
          <w:bCs/>
          <w:color w:val="000000"/>
          <w:szCs w:val="21"/>
        </w:rPr>
        <w:t xml:space="preserve">25.1.2供应商未成功解密电子响应文件的。</w:t>
      </w:r>
      <w:r>
        <w:rPr>
          <w:rFonts w:hint="eastAsia" w:ascii="宋体" w:hAnsi="宋体"/>
          <w:bCs/>
          <w:color w:val="000000"/>
          <w:szCs w:val="21"/>
        </w:rPr>
      </w:r>
      <w:r/>
    </w:p>
    <w:p>
      <w:pPr>
        <w:pStyle w:val="1151"/>
        <w:ind w:firstLine="420"/>
        <w:spacing w:line="360" w:lineRule="auto"/>
        <w:rPr>
          <w:rFonts w:hint="eastAsia" w:ascii="宋体" w:hAnsi="宋体"/>
          <w:bCs/>
          <w:color w:val="000000"/>
          <w:szCs w:val="21"/>
        </w:rPr>
      </w:pPr>
      <w:r>
        <w:rPr>
          <w:rFonts w:hint="eastAsia" w:ascii="宋体" w:hAnsi="宋体"/>
          <w:bCs/>
          <w:color w:val="000000"/>
          <w:szCs w:val="21"/>
        </w:rPr>
        <w:t xml:space="preserve">25.1.3供应商在报价时采用选择性报价的。</w:t>
      </w:r>
      <w:r>
        <w:rPr>
          <w:rFonts w:hint="eastAsia" w:ascii="宋体" w:hAnsi="宋体"/>
          <w:bCs/>
          <w:color w:val="000000"/>
          <w:szCs w:val="21"/>
        </w:rPr>
      </w:r>
      <w:r/>
    </w:p>
    <w:p>
      <w:pPr>
        <w:pStyle w:val="1151"/>
        <w:ind w:firstLine="420"/>
        <w:spacing w:line="360" w:lineRule="auto"/>
        <w:rPr>
          <w:rFonts w:hint="eastAsia" w:ascii="宋体" w:hAnsi="宋体"/>
          <w:bCs/>
          <w:color w:val="000000"/>
          <w:szCs w:val="21"/>
        </w:rPr>
      </w:pPr>
      <w:r>
        <w:rPr>
          <w:rFonts w:hint="eastAsia" w:ascii="宋体" w:hAnsi="宋体"/>
          <w:bCs/>
          <w:color w:val="000000"/>
          <w:szCs w:val="21"/>
        </w:rPr>
        <w:t xml:space="preserve">25.1.4供应商不具备采购文件中规定资格要求的。</w:t>
      </w:r>
      <w:r>
        <w:rPr>
          <w:rFonts w:hint="eastAsia" w:ascii="宋体" w:hAnsi="宋体"/>
          <w:bCs/>
          <w:color w:val="000000"/>
          <w:szCs w:val="21"/>
        </w:rPr>
      </w:r>
      <w:r/>
    </w:p>
    <w:p>
      <w:pPr>
        <w:pStyle w:val="1151"/>
        <w:ind w:firstLine="420"/>
        <w:spacing w:line="360" w:lineRule="auto"/>
        <w:rPr>
          <w:rFonts w:hint="eastAsia" w:ascii="宋体" w:hAnsi="宋体"/>
          <w:bCs/>
          <w:color w:val="000000"/>
          <w:szCs w:val="21"/>
        </w:rPr>
      </w:pPr>
      <w:r>
        <w:rPr>
          <w:rFonts w:hint="eastAsia" w:ascii="宋体" w:hAnsi="宋体"/>
          <w:bCs/>
          <w:color w:val="000000"/>
          <w:szCs w:val="21"/>
        </w:rPr>
        <w:t xml:space="preserve">25.1.5供应商的报价超过了采购预算。</w:t>
      </w:r>
      <w:r>
        <w:rPr>
          <w:rFonts w:hint="eastAsia" w:ascii="宋体" w:hAnsi="宋体"/>
          <w:bCs/>
          <w:color w:val="000000"/>
          <w:szCs w:val="21"/>
        </w:rPr>
      </w:r>
      <w:r/>
    </w:p>
    <w:p>
      <w:pPr>
        <w:pStyle w:val="1151"/>
        <w:ind w:firstLine="420"/>
        <w:spacing w:line="360" w:lineRule="auto"/>
        <w:rPr>
          <w:rFonts w:hint="eastAsia" w:ascii="宋体" w:hAnsi="宋体"/>
          <w:bCs/>
          <w:i/>
          <w:color w:val="000000"/>
          <w:szCs w:val="21"/>
          <w:u w:val="single"/>
        </w:rPr>
      </w:pPr>
      <w:r>
        <w:rPr>
          <w:rFonts w:hint="eastAsia" w:ascii="宋体" w:hAnsi="宋体"/>
          <w:bCs/>
          <w:color w:val="000000"/>
          <w:szCs w:val="21"/>
        </w:rPr>
        <w:t xml:space="preserve">25.1.6未通过符合性审查的。</w:t>
      </w:r>
      <w:r>
        <w:rPr>
          <w:rFonts w:hint="eastAsia" w:ascii="宋体" w:hAnsi="宋体"/>
          <w:bCs/>
          <w:i/>
          <w:color w:val="000000"/>
          <w:szCs w:val="21"/>
          <w:u w:val="single"/>
        </w:rPr>
      </w:r>
      <w:r/>
    </w:p>
    <w:p>
      <w:pPr>
        <w:pStyle w:val="1151"/>
        <w:ind w:firstLine="420"/>
        <w:spacing w:line="360" w:lineRule="auto"/>
        <w:rPr>
          <w:rFonts w:hint="eastAsia" w:ascii="宋体" w:hAnsi="宋体"/>
          <w:bCs/>
          <w:i/>
          <w:color w:val="000000"/>
          <w:szCs w:val="21"/>
          <w:u w:val="single"/>
        </w:rPr>
      </w:pPr>
      <w:r>
        <w:rPr>
          <w:rFonts w:hint="eastAsia" w:ascii="宋体" w:hAnsi="宋体"/>
          <w:bCs/>
          <w:color w:val="000000"/>
          <w:szCs w:val="21"/>
        </w:rPr>
        <w:t xml:space="preserve">25.1.7不符合采购文件中规定的其他实质性要求和条件的（</w:t>
      </w:r>
      <w:r>
        <w:rPr>
          <w:rFonts w:hint="eastAsia" w:ascii="宋体" w:hAnsi="宋体"/>
          <w:bCs/>
          <w:i/>
          <w:color w:val="000000"/>
          <w:szCs w:val="21"/>
          <w:u w:val="single"/>
        </w:rPr>
        <w:t xml:space="preserve">本采购文件中斜体且有下划线部分为实质性要求和条件）。</w:t>
      </w:r>
      <w:r>
        <w:rPr>
          <w:rFonts w:hint="eastAsia" w:ascii="宋体" w:hAnsi="宋体"/>
          <w:bCs/>
          <w:i/>
          <w:color w:val="000000"/>
          <w:szCs w:val="21"/>
          <w:u w:val="single"/>
        </w:rPr>
      </w:r>
      <w:r/>
    </w:p>
    <w:p>
      <w:pPr>
        <w:pStyle w:val="1151"/>
        <w:ind w:firstLine="420"/>
        <w:spacing w:line="360" w:lineRule="auto"/>
        <w:rPr>
          <w:rFonts w:hint="eastAsia" w:ascii="宋体" w:hAnsi="宋体"/>
          <w:bCs/>
          <w:color w:val="000000"/>
          <w:szCs w:val="21"/>
        </w:rPr>
      </w:pPr>
      <w:r>
        <w:rPr>
          <w:rFonts w:hint="eastAsia" w:ascii="宋体" w:hAnsi="宋体"/>
          <w:bCs/>
          <w:color w:val="000000"/>
          <w:szCs w:val="21"/>
        </w:rPr>
        <w:t xml:space="preserve">25.1.8 </w:t>
      </w:r>
      <w:r>
        <w:rPr>
          <w:rFonts w:hint="eastAsia" w:ascii="宋体" w:hAnsi="宋体"/>
          <w:color w:val="000000"/>
          <w:szCs w:val="21"/>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Cs w:val="21"/>
        </w:rPr>
      </w:r>
      <w:r/>
    </w:p>
    <w:p>
      <w:pPr>
        <w:pStyle w:val="1151"/>
        <w:ind w:firstLine="420"/>
        <w:spacing w:line="360" w:lineRule="auto"/>
        <w:rPr>
          <w:rFonts w:hint="eastAsia" w:ascii="宋体" w:hAnsi="宋体"/>
          <w:bCs/>
          <w:color w:val="000000"/>
          <w:szCs w:val="21"/>
        </w:rPr>
      </w:pPr>
      <w:r>
        <w:rPr>
          <w:rFonts w:hint="eastAsia" w:ascii="宋体" w:hAnsi="宋体"/>
          <w:bCs/>
          <w:color w:val="000000"/>
          <w:szCs w:val="21"/>
        </w:rPr>
        <w:t xml:space="preserve">25.1.9  响应文件含有采购人不能接受的附加条件的。</w:t>
      </w:r>
      <w:r>
        <w:rPr>
          <w:rFonts w:hint="eastAsia" w:ascii="宋体" w:hAnsi="宋体"/>
          <w:bCs/>
          <w:color w:val="000000"/>
          <w:szCs w:val="21"/>
        </w:rPr>
      </w:r>
      <w:r/>
    </w:p>
    <w:p>
      <w:pPr>
        <w:pStyle w:val="1151"/>
        <w:ind w:firstLine="420"/>
        <w:spacing w:line="360" w:lineRule="auto"/>
        <w:rPr>
          <w:rFonts w:hint="eastAsia" w:ascii="宋体" w:hAnsi="宋体"/>
          <w:bCs/>
          <w:color w:val="000000"/>
          <w:szCs w:val="21"/>
        </w:rPr>
      </w:pPr>
      <w:r>
        <w:rPr>
          <w:rFonts w:hint="eastAsia" w:ascii="宋体" w:hAnsi="宋体"/>
          <w:bCs/>
          <w:color w:val="000000"/>
          <w:szCs w:val="21"/>
        </w:rPr>
        <w:t xml:space="preserve">25.1.10 本项目采购产品被财政部、国家发改委、生态环境部等列入“节能产品品目清单”、“环境标志产品品目清单”强制采购范围，而供应商所响应产品不在强制采购范围内的。</w:t>
      </w:r>
      <w:r>
        <w:rPr>
          <w:rFonts w:hint="eastAsia" w:ascii="宋体" w:hAnsi="宋体"/>
          <w:bCs/>
          <w:color w:val="000000"/>
          <w:szCs w:val="21"/>
        </w:rPr>
      </w:r>
      <w:r/>
    </w:p>
    <w:p>
      <w:pPr>
        <w:pStyle w:val="1151"/>
        <w:ind w:firstLine="420"/>
        <w:spacing w:line="360" w:lineRule="auto"/>
        <w:rPr>
          <w:rFonts w:hint="eastAsia" w:ascii="宋体" w:hAnsi="宋体"/>
          <w:bCs/>
          <w:color w:val="000000"/>
          <w:szCs w:val="21"/>
        </w:rPr>
      </w:pPr>
      <w:r>
        <w:rPr>
          <w:rFonts w:hint="eastAsia" w:ascii="宋体" w:hAnsi="宋体"/>
          <w:bCs/>
          <w:color w:val="000000"/>
          <w:szCs w:val="21"/>
        </w:rPr>
        <w:t xml:space="preserve">25.1.11 响应文件未按照采购文件要求加盖电子签章。</w:t>
      </w:r>
      <w:r>
        <w:rPr>
          <w:rFonts w:hint="eastAsia" w:ascii="宋体" w:hAnsi="宋体"/>
          <w:bCs/>
          <w:color w:val="000000"/>
          <w:szCs w:val="21"/>
        </w:rPr>
      </w:r>
      <w:r/>
    </w:p>
    <w:p>
      <w:pPr>
        <w:pStyle w:val="1151"/>
        <w:ind w:firstLine="420"/>
        <w:jc w:val="left"/>
        <w:pageBreakBefore w:val="0"/>
        <w:spacing w:line="360" w:lineRule="auto"/>
        <w:widowControl/>
        <w:rPr>
          <w:rFonts w:hint="eastAsia" w:ascii="宋体" w:hAnsi="宋体" w:eastAsia="宋体" w:cs="宋体"/>
          <w:b/>
          <w:bCs/>
          <w:color w:val="000000"/>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.1.12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b/>
          <w:bCs/>
          <w:color w:val="000000"/>
          <w:highlight w:val="none"/>
        </w:rPr>
        <w:t xml:space="preserve">评审委员会启动异常低价投标（响应）审查的情形和具体要求</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eastAsia="zh-CN"/>
        </w:rPr>
      </w:r>
      <w:r/>
    </w:p>
    <w:p>
      <w:pPr>
        <w:pStyle w:val="1151"/>
        <w:ind w:firstLine="420"/>
        <w:pageBreakBefore w:val="0"/>
        <w:spacing w:line="360" w:lineRule="auto"/>
        <w:rPr>
          <w:rFonts w:hint="eastAsia" w:ascii="宋体" w:hAnsi="宋体" w:eastAsia="宋体" w:cs="宋体"/>
          <w:bCs/>
          <w:color w:val="ff0000"/>
          <w:szCs w:val="21"/>
        </w:rPr>
      </w:pPr>
      <w:r>
        <w:rPr>
          <w:rFonts w:hint="eastAsia" w:ascii="宋体" w:hAnsi="宋体" w:eastAsia="宋体" w:cs="宋体"/>
          <w:bCs/>
          <w:color w:val="ff0000"/>
          <w:szCs w:val="21"/>
        </w:rPr>
        <w:t xml:space="preserve">（一）评审过程中出现下列情形之一的，评审委员会应当启动异常低价投标（响应）审查程序：</w:t>
      </w:r>
      <w:r>
        <w:rPr>
          <w:rFonts w:hint="eastAsia" w:ascii="宋体" w:hAnsi="宋体" w:eastAsia="宋体" w:cs="宋体"/>
          <w:bCs/>
          <w:color w:val="ff0000"/>
          <w:szCs w:val="21"/>
        </w:rPr>
      </w:r>
      <w:r/>
    </w:p>
    <w:p>
      <w:pPr>
        <w:pStyle w:val="1151"/>
        <w:ind w:firstLine="420"/>
        <w:pageBreakBefore w:val="0"/>
        <w:spacing w:line="360" w:lineRule="auto"/>
        <w:rPr>
          <w:rFonts w:hint="eastAsia" w:ascii="宋体" w:hAnsi="宋体" w:eastAsia="宋体" w:cs="宋体"/>
          <w:bCs/>
          <w:color w:val="ff0000"/>
          <w:szCs w:val="21"/>
        </w:rPr>
      </w:pPr>
      <w:r>
        <w:rPr>
          <w:rFonts w:hint="eastAsia" w:ascii="宋体" w:hAnsi="宋体" w:eastAsia="宋体" w:cs="宋体"/>
          <w:bCs/>
          <w:color w:val="ff0000"/>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Cs/>
          <w:color w:val="ff0000"/>
          <w:szCs w:val="21"/>
        </w:rPr>
      </w:r>
      <w:r/>
    </w:p>
    <w:p>
      <w:pPr>
        <w:pStyle w:val="1151"/>
        <w:ind w:firstLine="420"/>
        <w:pageBreakBefore w:val="0"/>
        <w:spacing w:line="360" w:lineRule="auto"/>
        <w:rPr>
          <w:rFonts w:hint="eastAsia" w:ascii="宋体" w:hAnsi="宋体" w:eastAsia="宋体" w:cs="宋体"/>
          <w:bCs/>
          <w:color w:val="ff0000"/>
          <w:szCs w:val="21"/>
        </w:rPr>
      </w:pPr>
      <w:r>
        <w:rPr>
          <w:rFonts w:hint="eastAsia" w:ascii="宋体" w:hAnsi="宋体" w:eastAsia="宋体" w:cs="宋体"/>
          <w:bCs/>
          <w:color w:val="ff0000"/>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Cs/>
          <w:color w:val="ff0000"/>
          <w:szCs w:val="21"/>
        </w:rPr>
      </w:r>
      <w:r/>
    </w:p>
    <w:p>
      <w:pPr>
        <w:pStyle w:val="1151"/>
        <w:ind w:firstLine="420"/>
        <w:pageBreakBefore w:val="0"/>
        <w:spacing w:line="360" w:lineRule="auto"/>
        <w:rPr>
          <w:rFonts w:hint="eastAsia" w:ascii="宋体" w:hAnsi="宋体" w:eastAsia="宋体" w:cs="宋体"/>
          <w:bCs/>
          <w:color w:val="ff0000"/>
          <w:szCs w:val="21"/>
        </w:rPr>
      </w:pPr>
      <w:r>
        <w:rPr>
          <w:rFonts w:hint="eastAsia" w:ascii="宋体" w:hAnsi="宋体" w:eastAsia="宋体" w:cs="宋体"/>
          <w:bCs/>
          <w:color w:val="ff0000"/>
          <w:szCs w:val="21"/>
        </w:rPr>
        <w:t xml:space="preserve">3.投标(响应)报价低于采购项目最高限价</w:t>
      </w:r>
      <w:r>
        <w:rPr>
          <w:rFonts w:hint="eastAsia" w:ascii="宋体" w:hAnsi="宋体" w:eastAsia="宋体" w:cs="宋体"/>
          <w:bCs/>
          <w:color w:val="ff0000"/>
          <w:szCs w:val="21"/>
          <w:lang w:val="en-US" w:eastAsia="zh-CN"/>
        </w:rPr>
        <w:t xml:space="preserve">55</w:t>
      </w:r>
      <w:r>
        <w:rPr>
          <w:rFonts w:hint="eastAsia" w:ascii="宋体" w:hAnsi="宋体" w:eastAsia="宋体" w:cs="宋体"/>
          <w:bCs/>
          <w:color w:val="ff0000"/>
          <w:szCs w:val="21"/>
        </w:rPr>
        <w:t xml:space="preserve">%的，即投标(响应)报价&lt;采购项目最高限价×</w:t>
      </w:r>
      <w:r>
        <w:rPr>
          <w:rFonts w:hint="eastAsia" w:ascii="宋体" w:hAnsi="宋体" w:eastAsia="宋体" w:cs="宋体"/>
          <w:bCs/>
          <w:color w:val="ff0000"/>
          <w:szCs w:val="21"/>
          <w:lang w:val="en-US" w:eastAsia="zh-CN"/>
        </w:rPr>
        <w:t xml:space="preserve">5</w:t>
      </w:r>
      <w:r>
        <w:rPr>
          <w:rFonts w:hint="eastAsia" w:ascii="宋体" w:hAnsi="宋体" w:eastAsia="宋体" w:cs="宋体"/>
          <w:bCs/>
          <w:color w:val="ff0000"/>
          <w:szCs w:val="21"/>
        </w:rPr>
        <w:t xml:space="preserve">5%;</w:t>
      </w:r>
      <w:r>
        <w:rPr>
          <w:rFonts w:hint="eastAsia" w:ascii="宋体" w:hAnsi="宋体" w:eastAsia="宋体" w:cs="宋体"/>
          <w:bCs/>
          <w:color w:val="ff0000"/>
          <w:szCs w:val="21"/>
        </w:rPr>
      </w:r>
      <w:r/>
    </w:p>
    <w:p>
      <w:pPr>
        <w:pStyle w:val="1151"/>
        <w:ind w:firstLine="420"/>
        <w:pageBreakBefore w:val="0"/>
        <w:spacing w:line="360" w:lineRule="auto"/>
        <w:rPr>
          <w:rFonts w:hint="eastAsia" w:ascii="宋体" w:hAnsi="宋体" w:eastAsia="宋体" w:cs="宋体"/>
          <w:bCs/>
          <w:color w:val="ff0000"/>
          <w:szCs w:val="21"/>
        </w:rPr>
      </w:pPr>
      <w:r>
        <w:rPr>
          <w:rFonts w:hint="eastAsia" w:ascii="宋体" w:hAnsi="宋体" w:eastAsia="宋体" w:cs="宋体"/>
          <w:bCs/>
          <w:color w:val="ff0000"/>
          <w:szCs w:val="21"/>
        </w:rPr>
        <w:t xml:space="preserve">4.评审委员会基于专业判断，认为供应商报价过低，有可能影响产品质量或者不能诚信履约的其他情形。</w:t>
      </w:r>
      <w:r>
        <w:rPr>
          <w:rFonts w:hint="eastAsia" w:ascii="宋体" w:hAnsi="宋体" w:eastAsia="宋体" w:cs="宋体"/>
          <w:bCs/>
          <w:color w:val="ff0000"/>
          <w:szCs w:val="21"/>
        </w:rPr>
      </w:r>
      <w:r/>
    </w:p>
    <w:p>
      <w:pPr>
        <w:pStyle w:val="1151"/>
        <w:ind w:firstLine="420"/>
        <w:pageBreakBefore w:val="0"/>
        <w:spacing w:line="360" w:lineRule="auto"/>
        <w:rPr>
          <w:rFonts w:hint="eastAsia" w:ascii="宋体" w:hAnsi="宋体" w:eastAsia="宋体" w:cs="宋体"/>
          <w:bCs/>
          <w:color w:val="ff0000"/>
          <w:szCs w:val="21"/>
        </w:rPr>
      </w:pPr>
      <w:r>
        <w:rPr>
          <w:rFonts w:hint="eastAsia" w:ascii="宋体" w:hAnsi="宋体" w:eastAsia="宋体" w:cs="宋体"/>
          <w:bCs/>
          <w:color w:val="ff0000"/>
          <w:szCs w:val="21"/>
          <w:lang w:eastAsia="zh-CN"/>
        </w:rPr>
        <w:t xml:space="preserve">（</w:t>
      </w:r>
      <w:r>
        <w:rPr>
          <w:rFonts w:hint="eastAsia" w:ascii="宋体" w:hAnsi="宋体" w:eastAsia="宋体" w:cs="宋体"/>
          <w:bCs/>
          <w:color w:val="ff0000"/>
          <w:szCs w:val="21"/>
          <w:lang w:val="en-US" w:eastAsia="zh-CN"/>
        </w:rPr>
        <w:t xml:space="preserve">二</w:t>
      </w:r>
      <w:r>
        <w:rPr>
          <w:rFonts w:hint="eastAsia" w:ascii="宋体" w:hAnsi="宋体" w:eastAsia="宋体" w:cs="宋体"/>
          <w:bCs/>
          <w:color w:val="ff0000"/>
          <w:szCs w:val="21"/>
          <w:lang w:eastAsia="zh-CN"/>
        </w:rPr>
        <w:t xml:space="preserve">）</w:t>
      </w:r>
      <w:r>
        <w:rPr>
          <w:rFonts w:hint="eastAsia" w:ascii="宋体" w:hAnsi="宋体" w:eastAsia="宋体" w:cs="宋体"/>
          <w:bCs/>
          <w:color w:val="ff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color w:val="ff0000"/>
          <w:szCs w:val="21"/>
        </w:rPr>
      </w:r>
      <w:r/>
    </w:p>
    <w:p>
      <w:pPr>
        <w:pStyle w:val="1151"/>
        <w:ind w:firstLine="420"/>
        <w:pageBreakBefore w:val="0"/>
        <w:spacing w:line="360" w:lineRule="auto"/>
        <w:rPr>
          <w:rFonts w:hint="eastAsia" w:ascii="宋体" w:hAnsi="宋体" w:eastAsia="宋体" w:cs="宋体"/>
          <w:bCs/>
          <w:color w:val="ff0000"/>
          <w:szCs w:val="21"/>
        </w:rPr>
      </w:pPr>
      <w:r>
        <w:rPr>
          <w:rFonts w:hint="eastAsia" w:ascii="宋体" w:hAnsi="宋体" w:eastAsia="宋体" w:cs="宋体"/>
          <w:bCs/>
          <w:color w:val="ff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ff0000"/>
          <w:szCs w:val="21"/>
        </w:rPr>
      </w:r>
      <w:r/>
    </w:p>
    <w:p>
      <w:pPr>
        <w:pStyle w:val="1151"/>
        <w:ind w:firstLine="420"/>
        <w:pageBreakBefore w:val="0"/>
        <w:spacing w:line="360" w:lineRule="auto"/>
        <w:rPr>
          <w:rFonts w:hint="eastAsia" w:ascii="宋体" w:hAnsi="宋体" w:eastAsia="宋体" w:cs="宋体"/>
          <w:bCs/>
          <w:color w:val="000000"/>
          <w:szCs w:val="21"/>
        </w:rPr>
      </w:pPr>
      <w:r>
        <w:rPr>
          <w:rFonts w:hint="eastAsia" w:ascii="宋体" w:hAnsi="宋体" w:eastAsia="宋体" w:cs="宋体"/>
          <w:bCs/>
          <w:color w:val="ff0000"/>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Cs w:val="21"/>
        </w:rPr>
      </w:r>
      <w:r/>
    </w:p>
    <w:p>
      <w:pPr>
        <w:pStyle w:val="1151"/>
        <w:ind w:firstLine="420"/>
        <w:spacing w:line="360" w:lineRule="auto"/>
        <w:rPr>
          <w:rFonts w:hint="eastAsia" w:ascii="宋体" w:hAnsi="宋体"/>
          <w:bCs/>
          <w:color w:val="000000"/>
          <w:szCs w:val="21"/>
        </w:rPr>
      </w:pPr>
      <w:r>
        <w:rPr>
          <w:rFonts w:hint="eastAsia" w:ascii="宋体" w:hAnsi="宋体"/>
          <w:bCs/>
          <w:color w:val="000000"/>
          <w:szCs w:val="21"/>
        </w:rPr>
        <w:t xml:space="preserve">25.1.1</w:t>
      </w:r>
      <w:r>
        <w:rPr>
          <w:rFonts w:hint="eastAsia" w:ascii="宋体" w:hAnsi="宋体"/>
          <w:bCs/>
          <w:color w:val="000000"/>
          <w:szCs w:val="21"/>
          <w:lang w:val="en-US" w:eastAsia="zh-CN"/>
        </w:rPr>
        <w:t xml:space="preserve">3</w:t>
      </w:r>
      <w:r>
        <w:rPr>
          <w:rFonts w:hint="eastAsia" w:ascii="宋体" w:hAnsi="宋体"/>
          <w:bCs/>
          <w:color w:val="000000"/>
          <w:szCs w:val="21"/>
        </w:rPr>
        <w:t xml:space="preserve">其他法律、法规及本采购文件规定的属无效响应的情形。</w:t>
      </w:r>
      <w:r>
        <w:rPr>
          <w:rFonts w:hint="eastAsia" w:ascii="宋体" w:hAnsi="宋体"/>
          <w:bCs/>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25.2 采购活动终止的情况</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出现下列情形之一的，本次竞争性谈判采购活动将被终止：</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25.2.1因情况变化，不再符合规定的竞争性谈判采购方式适用情形的；</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25.2.2出现影响采购公正的违法、违规行为的；</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25.2.3在采购过程中符合竞争要求的供应商或者报价未超过采购预算的供应商不足3家的，但《政府采购非招标采购方式管理办法》（第74号令）第二十七条第二款规定的情形除外。</w:t>
      </w:r>
      <w:r>
        <w:rPr>
          <w:rFonts w:hint="eastAsia" w:ascii="宋体" w:hAnsi="宋体"/>
          <w:color w:val="000000"/>
          <w:szCs w:val="21"/>
        </w:rPr>
      </w:r>
      <w:r/>
    </w:p>
    <w:p>
      <w:pPr>
        <w:pStyle w:val="1151"/>
        <w:ind w:firstLine="420"/>
        <w:spacing w:line="360" w:lineRule="auto"/>
        <w:rPr>
          <w:rFonts w:hint="eastAsia" w:ascii="宋体" w:hAnsi="宋体"/>
          <w:bCs/>
          <w:color w:val="000000"/>
          <w:szCs w:val="21"/>
        </w:rPr>
      </w:pPr>
      <w:r>
        <w:rPr>
          <w:rFonts w:hint="eastAsia" w:ascii="宋体" w:hAnsi="宋体"/>
          <w:color w:val="000000"/>
          <w:szCs w:val="21"/>
        </w:rPr>
        <w:t xml:space="preserve">25.2.4因重大变故，采购任务取消的。</w:t>
      </w:r>
      <w:r>
        <w:rPr>
          <w:rFonts w:hint="eastAsia" w:ascii="宋体" w:hAnsi="宋体"/>
          <w:bCs/>
          <w:color w:val="000000"/>
          <w:szCs w:val="21"/>
        </w:rPr>
      </w:r>
      <w:r/>
    </w:p>
    <w:p>
      <w:pPr>
        <w:pStyle w:val="1151"/>
        <w:ind w:firstLine="422"/>
        <w:jc w:val="left"/>
        <w:spacing w:line="360" w:lineRule="auto"/>
        <w:rPr>
          <w:rFonts w:hint="eastAsia" w:ascii="宋体" w:hAnsi="宋体"/>
          <w:b/>
          <w:color w:val="000000"/>
          <w:szCs w:val="21"/>
        </w:rPr>
      </w:pPr>
      <w:r>
        <w:rPr>
          <w:rFonts w:hint="eastAsia" w:ascii="宋体" w:hAnsi="宋体"/>
          <w:b/>
          <w:color w:val="000000"/>
          <w:szCs w:val="21"/>
        </w:rPr>
        <w:t xml:space="preserve">26、谈判程序及评审方法</w:t>
      </w:r>
      <w:r>
        <w:rPr>
          <w:rFonts w:hint="eastAsia" w:ascii="宋体" w:hAnsi="宋体"/>
          <w:b/>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26.1谈判程序</w:t>
      </w:r>
      <w:r>
        <w:rPr>
          <w:rFonts w:hint="eastAsia" w:ascii="宋体" w:hAnsi="宋体"/>
          <w:color w:val="000000"/>
          <w:szCs w:val="21"/>
        </w:rPr>
      </w:r>
      <w:r/>
    </w:p>
    <w:p>
      <w:pPr>
        <w:pStyle w:val="1154"/>
        <w:ind w:firstLine="420"/>
        <w:spacing w:before="0" w:after="0" w:line="360" w:lineRule="auto"/>
        <w:rPr>
          <w:rFonts w:hint="eastAsia" w:ascii="宋体" w:hAnsi="宋体"/>
          <w:b w:val="0"/>
          <w:bCs w:val="0"/>
          <w:color w:val="000000"/>
          <w:sz w:val="21"/>
          <w:szCs w:val="21"/>
        </w:rPr>
      </w:pPr>
      <w:r>
        <w:rPr>
          <w:rFonts w:hint="eastAsia" w:ascii="宋体" w:hAnsi="宋体"/>
          <w:b w:val="0"/>
          <w:bCs w:val="0"/>
          <w:color w:val="000000"/>
          <w:sz w:val="21"/>
          <w:szCs w:val="21"/>
        </w:rPr>
        <w:t xml:space="preserve">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rPr>
          <w:rFonts w:hint="eastAsia" w:ascii="宋体" w:hAnsi="宋体"/>
          <w:b w:val="0"/>
          <w:bCs w:val="0"/>
          <w:color w:val="000000"/>
          <w:sz w:val="21"/>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26.1.2 谈判小组所有成员应当集中与单一供应商分别进行谈判，并给予所有参加谈判的供应商平等的谈判机会。</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对采购文件作出的实质性变动是采购文件的有效组成部分，谈判小组将以电子函件形式同时通知所有参加谈判的供应商。供应商应当按照采购文件的变动情况和谈判小组的要求重新提交响应文件，并加盖电子签章。</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26.1.4采购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26.1.5谈判供应商未在谈判小组规定的时间内完成最后报价的视为放弃谈判，其谈判响应按无效响应处理。最后报价须加盖电子签章。已提交响应文件的供应商，在提交最后报价之前，可以根据谈判情况退出谈判。</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26.2 评审方法</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highlight w:val="yellow"/>
        </w:rPr>
      </w:pPr>
      <w:r>
        <w:rPr>
          <w:rFonts w:hint="eastAsia" w:ascii="宋体" w:hAnsi="宋体"/>
          <w:color w:val="000000"/>
          <w:szCs w:val="21"/>
        </w:rPr>
        <w:t xml:space="preserve">26.2.1谈判小组应从质量和服务均能满足采购文件实质性响应要求的供应商中，按照最后报价由低到高顺序推荐3名以上成交候选人。</w:t>
      </w:r>
      <w:r>
        <w:rPr>
          <w:rFonts w:hint="eastAsia" w:ascii="宋体" w:hAnsi="宋体"/>
          <w:color w:val="000000"/>
          <w:szCs w:val="21"/>
          <w:highlight w:val="yellow"/>
        </w:rPr>
      </w:r>
      <w:r/>
    </w:p>
    <w:p>
      <w:pPr>
        <w:pStyle w:val="1151"/>
        <w:ind w:firstLine="420"/>
        <w:jc w:val="left"/>
        <w:spacing w:line="360" w:lineRule="auto"/>
        <w:rPr>
          <w:rFonts w:hint="eastAsia" w:ascii="宋体" w:hAnsi="宋体"/>
          <w:color w:val="000000"/>
          <w:szCs w:val="21"/>
          <w:highlight w:val="yellow"/>
        </w:rPr>
      </w:pPr>
      <w:r>
        <w:rPr>
          <w:rFonts w:hint="eastAsia" w:ascii="宋体" w:hAnsi="宋体"/>
          <w:color w:val="000000"/>
          <w:szCs w:val="21"/>
        </w:rPr>
        <w:t xml:space="preserve">26.2.2供应商的最后报价如相同，则将优先采购交货期短者；若交货期相同，则由采购人代表现场随机抽签确定成交供应商</w:t>
      </w:r>
      <w:r>
        <w:rPr>
          <w:rFonts w:hint="eastAsia" w:ascii="宋体" w:hAnsi="宋体" w:cs="宋体"/>
          <w:color w:val="000000"/>
          <w:szCs w:val="21"/>
        </w:rPr>
        <w:t xml:space="preserve">。</w:t>
      </w:r>
      <w:r>
        <w:rPr>
          <w:rFonts w:hint="eastAsia" w:ascii="宋体" w:hAnsi="宋体"/>
          <w:color w:val="000000"/>
          <w:szCs w:val="21"/>
          <w:highlight w:val="yellow"/>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环境标志产品是指列入财政部、生态环境部最新公布的《环境标志产品政府采购品目清单》内的产品；节能产品是指列入财政部、发展改革委最新公布的《节能产品政府采购品目清单》内的产品。</w:t>
      </w:r>
      <w:r>
        <w:rPr>
          <w:rFonts w:hint="eastAsia" w:ascii="宋体" w:hAnsi="宋体"/>
          <w:color w:val="000000"/>
          <w:szCs w:val="21"/>
        </w:rPr>
      </w:r>
      <w:r/>
    </w:p>
    <w:p>
      <w:pPr>
        <w:pStyle w:val="1210"/>
        <w:ind w:firstLine="42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eastAsia="宋体" w:cs="宋体"/>
          <w:b w:val="0"/>
          <w:bCs w:val="0"/>
          <w:color w:val="000000"/>
          <w:sz w:val="21"/>
          <w:szCs w:val="21"/>
          <w:highlight w:val="none"/>
        </w:rPr>
        <w:t xml:space="preserve">26.2.3</w:t>
      </w:r>
      <w:r>
        <w:rPr>
          <w:rFonts w:hint="eastAsia" w:ascii="宋体" w:hAnsi="宋体"/>
          <w:b w:val="0"/>
          <w:bCs w:val="0"/>
          <w:color w:val="000000"/>
          <w:sz w:val="21"/>
          <w:szCs w:val="21"/>
          <w:highlight w:val="none"/>
        </w:rPr>
        <w:t xml:space="preserve">按</w:t>
      </w:r>
      <w:r>
        <w:rPr>
          <w:rFonts w:hint="eastAsia" w:ascii="宋体" w:hAnsi="宋体"/>
          <w:color w:val="000000"/>
          <w:sz w:val="21"/>
          <w:szCs w:val="21"/>
          <w:highlight w:val="none"/>
        </w:rPr>
        <w:t xml:space="preserve">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olor w:val="000000"/>
          <w:sz w:val="21"/>
          <w:szCs w:val="21"/>
          <w:highlight w:val="none"/>
        </w:rPr>
      </w:r>
      <w:r/>
    </w:p>
    <w:p>
      <w:pPr>
        <w:pStyle w:val="1210"/>
        <w:ind w:firstLine="42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1、小微型企业价格扣除</w:t>
      </w:r>
      <w:r>
        <w:rPr>
          <w:rFonts w:hint="eastAsia" w:ascii="宋体" w:hAnsi="宋体"/>
          <w:color w:val="000000"/>
          <w:sz w:val="21"/>
          <w:szCs w:val="21"/>
          <w:highlight w:val="none"/>
        </w:rPr>
      </w:r>
      <w:r/>
    </w:p>
    <w:p>
      <w:pPr>
        <w:pStyle w:val="1210"/>
        <w:ind w:firstLine="42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（1）本项目对小型和微型企业产品给予20%的扣除价格，用扣除后的价格参与评审。</w:t>
      </w:r>
      <w:r>
        <w:rPr>
          <w:rFonts w:hint="eastAsia" w:ascii="宋体" w:hAnsi="宋体"/>
          <w:color w:val="000000"/>
          <w:sz w:val="21"/>
          <w:szCs w:val="21"/>
          <w:highlight w:val="none"/>
        </w:rPr>
      </w:r>
      <w:r/>
    </w:p>
    <w:p>
      <w:pPr>
        <w:pStyle w:val="1210"/>
        <w:ind w:firstLine="42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（2）供应商需按照采购文件的要求提供相应的《企业声明函》。</w:t>
      </w:r>
      <w:r>
        <w:rPr>
          <w:rFonts w:hint="eastAsia" w:ascii="宋体" w:hAnsi="宋体"/>
          <w:color w:val="000000"/>
          <w:sz w:val="21"/>
          <w:szCs w:val="21"/>
          <w:highlight w:val="none"/>
        </w:rPr>
      </w:r>
      <w:r/>
    </w:p>
    <w:p>
      <w:pPr>
        <w:pStyle w:val="1210"/>
        <w:ind w:firstLine="42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2、残疾人福利单位价格扣除</w:t>
      </w:r>
      <w:r>
        <w:rPr>
          <w:rFonts w:hint="eastAsia" w:ascii="宋体" w:hAnsi="宋体"/>
          <w:color w:val="000000"/>
          <w:sz w:val="21"/>
          <w:szCs w:val="21"/>
          <w:highlight w:val="none"/>
        </w:rPr>
      </w:r>
      <w:r/>
    </w:p>
    <w:p>
      <w:pPr>
        <w:pStyle w:val="1210"/>
        <w:ind w:firstLine="42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（1）本项目对残疾人福利性单位视同小型、微型企业，给予20%的价格扣除，用扣除后的价格参与评审。</w:t>
      </w:r>
      <w:r>
        <w:rPr>
          <w:rFonts w:hint="eastAsia" w:ascii="宋体" w:hAnsi="宋体"/>
          <w:color w:val="000000"/>
          <w:sz w:val="21"/>
          <w:szCs w:val="21"/>
          <w:highlight w:val="none"/>
        </w:rPr>
      </w:r>
      <w:r/>
    </w:p>
    <w:p>
      <w:pPr>
        <w:pStyle w:val="1210"/>
        <w:ind w:firstLine="42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（2）残疾人福利单位需按照采购文件的要求提供《残疾人福利性单位声明函》。</w:t>
      </w:r>
      <w:r>
        <w:rPr>
          <w:rFonts w:hint="eastAsia" w:ascii="宋体" w:hAnsi="宋体"/>
          <w:color w:val="000000"/>
          <w:sz w:val="21"/>
          <w:szCs w:val="21"/>
          <w:highlight w:val="none"/>
        </w:rPr>
      </w:r>
      <w:r/>
    </w:p>
    <w:p>
      <w:pPr>
        <w:pStyle w:val="1210"/>
        <w:ind w:firstLine="42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（3）残疾人福利单位标准请参照《关于促进残疾人就业政府采购政策的通知》（财库〔2017〕141号）。</w:t>
      </w:r>
      <w:r>
        <w:rPr>
          <w:rFonts w:hint="eastAsia" w:ascii="宋体" w:hAnsi="宋体"/>
          <w:color w:val="000000"/>
          <w:sz w:val="21"/>
          <w:szCs w:val="21"/>
          <w:highlight w:val="none"/>
        </w:rPr>
      </w:r>
      <w:r/>
    </w:p>
    <w:p>
      <w:pPr>
        <w:pStyle w:val="1210"/>
        <w:ind w:firstLine="42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3、监狱和戒毒企业价格扣除</w:t>
      </w:r>
      <w:r>
        <w:rPr>
          <w:rFonts w:hint="eastAsia" w:ascii="宋体" w:hAnsi="宋体"/>
          <w:color w:val="000000"/>
          <w:sz w:val="21"/>
          <w:szCs w:val="21"/>
          <w:highlight w:val="none"/>
        </w:rPr>
      </w:r>
      <w:r/>
    </w:p>
    <w:p>
      <w:pPr>
        <w:pStyle w:val="1210"/>
        <w:ind w:firstLine="42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（1）本项目对监狱和戒毒企业（简称监狱企业）视同小型、微型企业，给予20%的价格扣除，用扣除后的价格参与评审。</w:t>
      </w:r>
      <w:r>
        <w:rPr>
          <w:rFonts w:hint="eastAsia" w:ascii="宋体" w:hAnsi="宋体"/>
          <w:color w:val="000000"/>
          <w:sz w:val="21"/>
          <w:szCs w:val="21"/>
          <w:highlight w:val="none"/>
        </w:rPr>
      </w:r>
      <w:r/>
    </w:p>
    <w:p>
      <w:pPr>
        <w:pStyle w:val="1210"/>
        <w:ind w:firstLine="42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olor w:val="000000"/>
          <w:sz w:val="21"/>
          <w:szCs w:val="21"/>
          <w:highlight w:val="none"/>
        </w:rPr>
      </w:r>
      <w:r/>
    </w:p>
    <w:p>
      <w:pPr>
        <w:pStyle w:val="1210"/>
        <w:ind w:firstLine="42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（3）监狱企业标准请参照《关于政府采购支持监狱企业发展有关问题的通知》（财库[2014]68号）。</w:t>
      </w:r>
      <w:r>
        <w:rPr>
          <w:rFonts w:hint="eastAsia" w:ascii="宋体" w:hAnsi="宋体"/>
          <w:color w:val="000000"/>
          <w:sz w:val="21"/>
          <w:szCs w:val="21"/>
          <w:highlight w:val="none"/>
        </w:rPr>
      </w:r>
      <w:r/>
    </w:p>
    <w:p>
      <w:pPr>
        <w:pStyle w:val="1210"/>
        <w:ind w:firstLine="42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4、残疾人福利单位、监狱企业属于小型、微型企业的，不重复享受政策。</w:t>
      </w:r>
      <w:r>
        <w:rPr>
          <w:rFonts w:hint="eastAsia" w:ascii="宋体" w:hAnsi="宋体"/>
          <w:color w:val="000000"/>
          <w:sz w:val="21"/>
          <w:szCs w:val="21"/>
          <w:highlight w:val="none"/>
        </w:rPr>
      </w:r>
      <w:r/>
    </w:p>
    <w:p>
      <w:pPr>
        <w:pStyle w:val="1210"/>
        <w:ind w:firstLine="42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宋体" w:hAnsi="宋体"/>
          <w:color w:val="000000"/>
          <w:sz w:val="21"/>
          <w:szCs w:val="21"/>
          <w:highlight w:val="none"/>
        </w:rPr>
      </w:r>
      <w:r/>
    </w:p>
    <w:p>
      <w:pPr>
        <w:pStyle w:val="1210"/>
        <w:ind w:firstLine="42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6、联合体各方均为小型、微型企业（残疾人福利单位、监狱企业）的，联合体享受20%价格扣除，用扣除后的价格参与评审。</w:t>
      </w:r>
      <w:r>
        <w:rPr>
          <w:rFonts w:hint="eastAsia" w:ascii="宋体" w:hAnsi="宋体"/>
          <w:color w:val="000000"/>
          <w:sz w:val="21"/>
          <w:szCs w:val="21"/>
          <w:highlight w:val="none"/>
        </w:rPr>
      </w:r>
      <w:r/>
    </w:p>
    <w:p>
      <w:pPr>
        <w:pStyle w:val="1210"/>
        <w:ind w:firstLine="420"/>
        <w:keepLines w:val="0"/>
        <w:keepNext w:val="0"/>
        <w:pageBreakBefore w:val="0"/>
        <w:spacing w:line="24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宋体" w:hAnsi="宋体"/>
          <w:color w:val="000000"/>
          <w:sz w:val="21"/>
          <w:szCs w:val="21"/>
          <w:highlight w:val="none"/>
        </w:rPr>
      </w:r>
      <w:r/>
    </w:p>
    <w:p>
      <w:pPr>
        <w:pStyle w:val="1151"/>
        <w:ind w:firstLine="422"/>
        <w:jc w:val="left"/>
        <w:spacing w:line="360" w:lineRule="auto"/>
        <w:rPr>
          <w:rFonts w:hint="eastAsia" w:ascii="宋体" w:hAnsi="宋体"/>
          <w:b/>
          <w:color w:val="000000"/>
          <w:szCs w:val="21"/>
        </w:rPr>
      </w:pPr>
      <w:r>
        <w:rPr>
          <w:rFonts w:hint="eastAsia" w:ascii="宋体" w:hAnsi="宋体"/>
          <w:b/>
          <w:color w:val="000000"/>
          <w:szCs w:val="21"/>
        </w:rPr>
        <w:t xml:space="preserve">27、成交</w:t>
      </w:r>
      <w:r>
        <w:rPr>
          <w:rFonts w:hint="eastAsia" w:ascii="宋体" w:hAnsi="宋体"/>
          <w:b/>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27.1谈判小组应从质量和服务均能满足采购文件实质性响应要求的供应商中，按照最后报价由低到高顺序推荐3名以上成交候选人，并编写评审报告。</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s="宋体"/>
          <w:color w:val="000000"/>
          <w:szCs w:val="21"/>
        </w:rPr>
        <w:t xml:space="preserve">27.2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rPr>
          <w:rFonts w:hint="eastAsia" w:ascii="宋体" w:hAnsi="宋体"/>
          <w:color w:val="000000"/>
          <w:szCs w:val="21"/>
        </w:rPr>
      </w:r>
      <w:r/>
    </w:p>
    <w:p>
      <w:pPr>
        <w:pStyle w:val="1151"/>
        <w:ind w:firstLine="420"/>
        <w:spacing w:line="360" w:lineRule="auto"/>
        <w:rPr>
          <w:rFonts w:ascii="宋体" w:hAnsi="宋体"/>
          <w:color w:val="000000"/>
          <w:szCs w:val="21"/>
        </w:rPr>
      </w:pPr>
      <w:r>
        <w:rPr>
          <w:rFonts w:hint="eastAsia" w:ascii="宋体" w:hAnsi="宋体"/>
          <w:color w:val="000000"/>
          <w:szCs w:val="21"/>
        </w:rPr>
        <w:t xml:space="preserve">27.3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rPr>
          <w:rFonts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27.4 代理机构将在“扬州市政府采购网”、“江苏省政府采购网”发布成交结果公告，公告期限为1个工作日。</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27.4若有充分证据证明，成交供应商出现下列情况之一的，一经查实，将被取消成交资格：</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27.4.1提供虚假材料谋取成交的；</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27.4.2向采购人、谈判小组和代理机构行贿或者提供其他不正当利益的；</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27.4.3恶意竞争，响应总报价明显低于其自身合理成本且又无法提供证明的；</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27.4.4属于本文件规定的无效条件，但在评审过程中又未被谈判小组发现的；</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27.4.5与采购人或者其他供应商恶意串通的；</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27.4.6采取不正当手段诋毁、排挤其他供应商的；</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27.4.7不符合法律、法规的规定的。</w:t>
      </w:r>
      <w:r>
        <w:rPr>
          <w:rFonts w:hint="eastAsia" w:ascii="宋体" w:hAnsi="宋体"/>
          <w:color w:val="000000"/>
          <w:szCs w:val="21"/>
        </w:rPr>
      </w:r>
      <w:r/>
    </w:p>
    <w:p>
      <w:pPr>
        <w:pStyle w:val="1151"/>
        <w:ind w:firstLine="422"/>
        <w:jc w:val="left"/>
        <w:spacing w:line="360" w:lineRule="auto"/>
        <w:rPr>
          <w:rFonts w:hint="eastAsia" w:ascii="宋体" w:hAnsi="宋体"/>
          <w:b/>
          <w:color w:val="000000"/>
          <w:szCs w:val="21"/>
        </w:rPr>
      </w:pPr>
      <w:r>
        <w:rPr>
          <w:rFonts w:hint="eastAsia" w:ascii="宋体" w:hAnsi="宋体"/>
          <w:b/>
          <w:color w:val="000000"/>
          <w:szCs w:val="21"/>
        </w:rPr>
        <w:t xml:space="preserve">28、质疑处理</w:t>
      </w:r>
      <w:r>
        <w:rPr>
          <w:rFonts w:hint="eastAsia" w:ascii="宋体" w:hAnsi="宋体"/>
          <w:b/>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28.1提出质疑的供应商应当是参与所质疑项目采购活动的供应商。潜在供应商依法获取其可质疑的采购文件的，可以对采购文件提出质疑。</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对项目需求部分的质疑，潜在供应商应向采购人提出，由采购人负责答复。</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28.2供应商认为采购文件、采购过程和成交或成交结果使自己的权益受到损害的，可以在知道或应知其权益受到损害之日起7个工作日内，以书面形式向采购人或代理机构提出质疑。</w:t>
      </w:r>
      <w:r>
        <w:rPr>
          <w:rFonts w:hint="eastAsia" w:ascii="宋体" w:hAnsi="宋体"/>
          <w:color w:val="000000"/>
          <w:szCs w:val="21"/>
        </w:rPr>
      </w:r>
      <w:r/>
    </w:p>
    <w:p>
      <w:pPr>
        <w:pStyle w:val="1151"/>
        <w:ind w:firstLine="420"/>
        <w:jc w:val="left"/>
        <w:spacing w:line="360" w:lineRule="auto"/>
        <w:rPr>
          <w:rFonts w:hint="eastAsia" w:ascii="宋体" w:hAnsi="宋体"/>
          <w:color w:val="000000"/>
          <w:szCs w:val="21"/>
        </w:rPr>
      </w:pPr>
      <w:r>
        <w:rPr>
          <w:rFonts w:hint="eastAsia" w:ascii="宋体" w:hAnsi="宋体"/>
          <w:color w:val="000000"/>
          <w:szCs w:val="21"/>
        </w:rPr>
        <w:t xml:space="preserve">28.2.1对采购文件提出质疑的，应当在获取采购文件之日或者采购文件公告期限届满之日起7个工作日内提出。</w:t>
      </w:r>
      <w:r>
        <w:rPr>
          <w:rFonts w:hint="eastAsia" w:ascii="宋体" w:hAnsi="宋体"/>
          <w:color w:val="000000"/>
          <w:szCs w:val="21"/>
        </w:rPr>
        <w:br w:type="textWrapping" w:clear="all"/>
      </w:r>
      <w:r>
        <w:rPr>
          <w:rFonts w:hint="eastAsia" w:ascii="宋体" w:hAnsi="宋体"/>
          <w:color w:val="000000"/>
          <w:szCs w:val="21"/>
        </w:rPr>
        <w:t xml:space="preserve">    28.2.2对采购过程提出质疑的，为各采购程序环节结束之日起7个工作日内提出。</w:t>
      </w:r>
      <w:r>
        <w:rPr>
          <w:rFonts w:hint="eastAsia" w:ascii="宋体" w:hAnsi="宋体"/>
          <w:color w:val="000000"/>
          <w:szCs w:val="21"/>
        </w:rPr>
        <w:br w:type="textWrapping" w:clear="all"/>
      </w:r>
      <w:r>
        <w:rPr>
          <w:rFonts w:hint="eastAsia" w:ascii="宋体" w:hAnsi="宋体"/>
          <w:color w:val="000000"/>
          <w:szCs w:val="21"/>
        </w:rPr>
        <w:t xml:space="preserve">    28.2.3对成交结果提出质疑的，为成交结果公告期限届满之日起7个工作日内提出。</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olor w:val="000000"/>
          <w:szCs w:val="21"/>
        </w:rPr>
      </w:r>
      <w:r/>
    </w:p>
    <w:p>
      <w:pPr>
        <w:pStyle w:val="1151"/>
        <w:ind w:firstLine="409"/>
        <w:spacing w:line="360" w:lineRule="auto"/>
        <w:rPr>
          <w:rFonts w:hint="eastAsia" w:ascii="宋体" w:hAnsi="宋体"/>
          <w:color w:val="000000"/>
          <w:szCs w:val="21"/>
        </w:rPr>
      </w:pPr>
      <w:r>
        <w:rPr>
          <w:rFonts w:hint="eastAsia" w:ascii="宋体" w:hAnsi="宋体"/>
          <w:color w:val="000000"/>
          <w:szCs w:val="21"/>
        </w:rPr>
        <w:t xml:space="preserve">28.4质疑函必须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r>
        <w:rPr>
          <w:rFonts w:hint="eastAsia" w:ascii="宋体" w:hAnsi="宋体"/>
          <w:color w:val="000000"/>
          <w:szCs w:val="21"/>
        </w:rPr>
      </w:r>
      <w:r/>
    </w:p>
    <w:p>
      <w:pPr>
        <w:pStyle w:val="1151"/>
        <w:ind w:firstLine="409"/>
        <w:spacing w:line="360" w:lineRule="auto"/>
        <w:rPr>
          <w:rFonts w:hint="eastAsia" w:ascii="宋体" w:hAnsi="宋体"/>
          <w:color w:val="000000"/>
          <w:szCs w:val="21"/>
        </w:rPr>
      </w:pPr>
      <w:r>
        <w:rPr>
          <w:rFonts w:hint="eastAsia" w:ascii="宋体" w:hAnsi="宋体"/>
          <w:color w:val="000000"/>
          <w:szCs w:val="21"/>
        </w:rPr>
        <w:t xml:space="preserve">28.5 采购人只接收以纸质原件形式送达的质疑。</w:t>
      </w:r>
      <w:r>
        <w:rPr>
          <w:rFonts w:hint="eastAsia" w:ascii="宋体" w:hAnsi="宋体"/>
          <w:color w:val="000000"/>
          <w:szCs w:val="21"/>
        </w:rPr>
      </w:r>
      <w:r/>
    </w:p>
    <w:p>
      <w:pPr>
        <w:pStyle w:val="1151"/>
        <w:ind w:firstLine="409"/>
        <w:spacing w:line="360" w:lineRule="auto"/>
        <w:rPr>
          <w:rFonts w:hint="eastAsia" w:ascii="宋体" w:hAnsi="宋体"/>
          <w:color w:val="000000"/>
          <w:szCs w:val="21"/>
        </w:rPr>
      </w:pPr>
      <w:r>
        <w:rPr>
          <w:rFonts w:hint="eastAsia" w:ascii="宋体" w:hAnsi="宋体"/>
          <w:color w:val="000000"/>
          <w:szCs w:val="21"/>
        </w:rPr>
        <w:t xml:space="preserve">采购人质疑接收人及联系方式见采购文件第一章。</w:t>
      </w:r>
      <w:r>
        <w:rPr>
          <w:rFonts w:hint="eastAsia" w:ascii="宋体" w:hAnsi="宋体"/>
          <w:color w:val="000000"/>
          <w:szCs w:val="21"/>
        </w:rPr>
      </w:r>
      <w:r/>
    </w:p>
    <w:p>
      <w:pPr>
        <w:pStyle w:val="1151"/>
        <w:ind w:firstLine="409"/>
        <w:spacing w:line="360" w:lineRule="auto"/>
        <w:rPr>
          <w:rFonts w:hint="eastAsia" w:ascii="宋体" w:hAnsi="宋体"/>
          <w:color w:val="000000"/>
          <w:szCs w:val="21"/>
        </w:rPr>
      </w:pPr>
      <w:r>
        <w:rPr>
          <w:rFonts w:hint="eastAsia" w:ascii="宋体" w:hAnsi="宋体"/>
          <w:color w:val="000000"/>
          <w:szCs w:val="21"/>
        </w:rPr>
        <w:t xml:space="preserve">28.6收到质疑申请后，将对质疑的形式和内容进行审查，如质疑内容、格式不符合规定，将告知质疑人进行补正。</w:t>
      </w:r>
      <w:r>
        <w:rPr>
          <w:rFonts w:hint="eastAsia" w:ascii="宋体" w:hAnsi="宋体"/>
          <w:color w:val="000000"/>
          <w:szCs w:val="21"/>
        </w:rPr>
      </w:r>
      <w:r/>
    </w:p>
    <w:p>
      <w:pPr>
        <w:pStyle w:val="1151"/>
        <w:ind w:firstLine="409"/>
        <w:spacing w:line="360" w:lineRule="auto"/>
        <w:rPr>
          <w:rFonts w:hint="eastAsia" w:ascii="宋体" w:hAnsi="宋体"/>
          <w:color w:val="000000"/>
          <w:szCs w:val="21"/>
        </w:rPr>
      </w:pPr>
      <w:r>
        <w:rPr>
          <w:rFonts w:hint="eastAsia" w:ascii="宋体" w:hAnsi="宋体"/>
          <w:color w:val="000000"/>
          <w:szCs w:val="21"/>
        </w:rPr>
        <w:t xml:space="preserve">28.7质疑人应当在法定质疑期限内进行补正并重新提交质疑函。</w:t>
      </w:r>
      <w:r>
        <w:rPr>
          <w:rFonts w:hint="eastAsia" w:ascii="宋体" w:hAnsi="宋体"/>
          <w:color w:val="000000"/>
          <w:szCs w:val="21"/>
        </w:rPr>
      </w:r>
      <w:r/>
    </w:p>
    <w:p>
      <w:pPr>
        <w:pStyle w:val="1151"/>
        <w:ind w:firstLine="409"/>
        <w:spacing w:line="360" w:lineRule="auto"/>
        <w:rPr>
          <w:rFonts w:hint="eastAsia" w:ascii="宋体" w:hAnsi="宋体"/>
          <w:color w:val="000000"/>
          <w:szCs w:val="21"/>
        </w:rPr>
      </w:pPr>
      <w:r>
        <w:rPr>
          <w:rFonts w:hint="eastAsia" w:ascii="宋体" w:hAnsi="宋体"/>
          <w:color w:val="000000"/>
          <w:szCs w:val="21"/>
        </w:rPr>
        <w:t xml:space="preserve">28.8 以下情形的质疑不予受理</w:t>
      </w:r>
      <w:r>
        <w:rPr>
          <w:rFonts w:hint="eastAsia" w:ascii="宋体" w:hAnsi="宋体"/>
          <w:color w:val="000000"/>
          <w:szCs w:val="21"/>
        </w:rPr>
      </w:r>
      <w:r/>
    </w:p>
    <w:p>
      <w:pPr>
        <w:pStyle w:val="1151"/>
        <w:ind w:firstLine="409"/>
        <w:spacing w:line="360" w:lineRule="auto"/>
        <w:rPr>
          <w:rFonts w:hint="eastAsia" w:ascii="宋体" w:hAnsi="宋体"/>
          <w:color w:val="000000"/>
          <w:szCs w:val="21"/>
        </w:rPr>
      </w:pPr>
      <w:r>
        <w:rPr>
          <w:rFonts w:hint="eastAsia" w:ascii="宋体" w:hAnsi="宋体"/>
          <w:color w:val="000000"/>
          <w:szCs w:val="21"/>
        </w:rPr>
        <w:t xml:space="preserve">28.8.1 内容不符合《政府采购质疑和投诉办法》第十二条规定的质疑。</w:t>
      </w:r>
      <w:r>
        <w:rPr>
          <w:rFonts w:hint="eastAsia" w:ascii="宋体" w:hAnsi="宋体"/>
          <w:color w:val="000000"/>
          <w:szCs w:val="21"/>
        </w:rPr>
      </w:r>
      <w:r/>
    </w:p>
    <w:p>
      <w:pPr>
        <w:pStyle w:val="1151"/>
        <w:ind w:firstLine="409"/>
        <w:spacing w:line="360" w:lineRule="auto"/>
        <w:rPr>
          <w:rFonts w:hint="eastAsia" w:ascii="宋体" w:hAnsi="宋体"/>
          <w:color w:val="000000"/>
          <w:szCs w:val="21"/>
        </w:rPr>
      </w:pPr>
      <w:r>
        <w:rPr>
          <w:rFonts w:hint="eastAsia" w:ascii="宋体" w:hAnsi="宋体"/>
          <w:color w:val="000000"/>
          <w:szCs w:val="21"/>
        </w:rPr>
        <w:t xml:space="preserve">28.8.2 超出政府采购法定期限的质疑。</w:t>
      </w:r>
      <w:r>
        <w:rPr>
          <w:rFonts w:hint="eastAsia" w:ascii="宋体" w:hAnsi="宋体"/>
          <w:color w:val="000000"/>
          <w:szCs w:val="21"/>
        </w:rPr>
      </w:r>
      <w:r/>
    </w:p>
    <w:p>
      <w:pPr>
        <w:pStyle w:val="1151"/>
        <w:ind w:firstLine="409"/>
        <w:spacing w:line="360" w:lineRule="auto"/>
        <w:rPr>
          <w:rFonts w:hint="eastAsia" w:ascii="宋体" w:hAnsi="宋体"/>
          <w:color w:val="000000"/>
          <w:szCs w:val="21"/>
        </w:rPr>
      </w:pPr>
      <w:r>
        <w:rPr>
          <w:rFonts w:hint="eastAsia" w:ascii="宋体" w:hAnsi="宋体"/>
          <w:color w:val="000000"/>
          <w:szCs w:val="21"/>
        </w:rPr>
        <w:t xml:space="preserve">28.8.3 以传真、电子邮件等方式递交的非原件形式的质疑。</w:t>
      </w:r>
      <w:r>
        <w:rPr>
          <w:rFonts w:hint="eastAsia" w:ascii="宋体" w:hAnsi="宋体"/>
          <w:color w:val="000000"/>
          <w:szCs w:val="21"/>
        </w:rPr>
      </w:r>
      <w:r/>
    </w:p>
    <w:p>
      <w:pPr>
        <w:pStyle w:val="1151"/>
        <w:ind w:firstLine="409"/>
        <w:spacing w:line="360" w:lineRule="auto"/>
        <w:rPr>
          <w:rFonts w:hint="eastAsia" w:ascii="宋体" w:hAnsi="宋体"/>
          <w:color w:val="000000"/>
          <w:szCs w:val="21"/>
        </w:rPr>
      </w:pPr>
      <w:r>
        <w:rPr>
          <w:rFonts w:hint="eastAsia" w:ascii="宋体" w:hAnsi="宋体"/>
          <w:color w:val="000000"/>
          <w:szCs w:val="21"/>
        </w:rPr>
        <w:t xml:space="preserve">28.8.4 未参加响应活动的供应商或在响应活动中自身权益未受到损害的供应商所提出的质疑。</w:t>
      </w:r>
      <w:r>
        <w:rPr>
          <w:rFonts w:hint="eastAsia" w:ascii="宋体" w:hAnsi="宋体"/>
          <w:color w:val="000000"/>
          <w:szCs w:val="21"/>
        </w:rPr>
      </w:r>
      <w:r/>
    </w:p>
    <w:p>
      <w:pPr>
        <w:pStyle w:val="1151"/>
        <w:ind w:firstLine="409"/>
        <w:spacing w:line="360" w:lineRule="auto"/>
        <w:rPr>
          <w:rFonts w:hint="eastAsia" w:ascii="宋体" w:hAnsi="宋体"/>
          <w:color w:val="000000"/>
          <w:szCs w:val="21"/>
        </w:rPr>
      </w:pPr>
      <w:r>
        <w:rPr>
          <w:rFonts w:hint="eastAsia" w:ascii="宋体" w:hAnsi="宋体"/>
          <w:color w:val="000000"/>
          <w:szCs w:val="21"/>
        </w:rPr>
        <w:t xml:space="preserve">28.8.5供应商组成联合体参加响应，联合体中任何一方或多方未按要求签字、盖章、加盖公章的质疑。</w:t>
      </w:r>
      <w:r>
        <w:rPr>
          <w:rFonts w:hint="eastAsia" w:ascii="宋体" w:hAnsi="宋体"/>
          <w:color w:val="000000"/>
          <w:szCs w:val="21"/>
        </w:rPr>
      </w:r>
      <w:r/>
    </w:p>
    <w:p>
      <w:pPr>
        <w:pStyle w:val="1151"/>
        <w:ind w:firstLine="409"/>
        <w:spacing w:line="360" w:lineRule="auto"/>
        <w:rPr>
          <w:rFonts w:hint="eastAsia" w:ascii="宋体" w:hAnsi="宋体"/>
          <w:color w:val="000000"/>
          <w:szCs w:val="21"/>
        </w:rPr>
      </w:pPr>
      <w:r>
        <w:rPr>
          <w:rFonts w:hint="eastAsia" w:ascii="宋体" w:hAnsi="宋体"/>
          <w:color w:val="000000"/>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olor w:val="000000"/>
          <w:szCs w:val="21"/>
        </w:rPr>
      </w:r>
      <w:r/>
    </w:p>
    <w:p>
      <w:pPr>
        <w:pStyle w:val="1151"/>
        <w:ind w:firstLine="409"/>
        <w:spacing w:line="360" w:lineRule="auto"/>
        <w:rPr>
          <w:rFonts w:hint="eastAsia" w:ascii="宋体" w:hAnsi="宋体"/>
          <w:color w:val="000000"/>
          <w:szCs w:val="21"/>
        </w:rPr>
      </w:pPr>
      <w:r>
        <w:rPr>
          <w:rFonts w:hint="eastAsia" w:ascii="宋体" w:hAnsi="宋体"/>
          <w:color w:val="000000"/>
          <w:szCs w:val="21"/>
        </w:rPr>
        <w:t xml:space="preserve">28.10代理机构应当在收到供应商的书面质疑后7个工作日内作出答复，并以书面形式通知质疑供应商和其他有关供应商，但答复的内容不得涉及商业秘密。</w:t>
      </w:r>
      <w:r>
        <w:rPr>
          <w:rFonts w:hint="eastAsia" w:ascii="宋体" w:hAnsi="宋体"/>
          <w:color w:val="000000"/>
          <w:szCs w:val="21"/>
        </w:rPr>
      </w:r>
      <w:r/>
    </w:p>
    <w:p>
      <w:pPr>
        <w:pStyle w:val="1151"/>
        <w:ind w:firstLine="422"/>
        <w:spacing w:line="360" w:lineRule="auto"/>
        <w:rPr>
          <w:rFonts w:hint="eastAsia" w:ascii="宋体" w:hAnsi="宋体"/>
          <w:b/>
          <w:bCs/>
          <w:color w:val="000000"/>
          <w:szCs w:val="21"/>
        </w:rPr>
      </w:pPr>
      <w:r>
        <w:rPr>
          <w:rFonts w:ascii="宋体" w:hAnsi="宋体"/>
          <w:b/>
          <w:bCs/>
          <w:color w:val="000000"/>
          <w:szCs w:val="21"/>
        </w:rPr>
        <w:t xml:space="preserve">29</w:t>
      </w:r>
      <w:r>
        <w:rPr>
          <w:rFonts w:hint="eastAsia" w:ascii="宋体" w:hAnsi="宋体"/>
          <w:b/>
          <w:bCs/>
          <w:color w:val="000000"/>
          <w:szCs w:val="21"/>
        </w:rPr>
        <w:t xml:space="preserve">、成交通知书</w:t>
      </w:r>
      <w:r>
        <w:rPr>
          <w:rFonts w:hint="eastAsia" w:ascii="宋体" w:hAnsi="宋体"/>
          <w:b/>
          <w:bCs/>
          <w:color w:val="000000"/>
          <w:szCs w:val="21"/>
        </w:rPr>
      </w:r>
      <w:r/>
    </w:p>
    <w:p>
      <w:pPr>
        <w:pStyle w:val="1151"/>
        <w:ind w:firstLine="420"/>
        <w:spacing w:line="360" w:lineRule="auto"/>
        <w:rPr>
          <w:rFonts w:ascii="宋体" w:hAnsi="宋体"/>
          <w:color w:val="000000"/>
          <w:szCs w:val="21"/>
        </w:rPr>
      </w:pPr>
      <w:r>
        <w:rPr>
          <w:rFonts w:hint="eastAsia" w:ascii="宋体" w:hAnsi="宋体"/>
          <w:color w:val="000000"/>
          <w:szCs w:val="21"/>
        </w:rPr>
        <w:t xml:space="preserve">29.l</w:t>
      </w:r>
      <w:r>
        <w:rPr>
          <w:rFonts w:hint="eastAsia" w:ascii="宋体" w:hAnsi="宋体"/>
          <w:b/>
          <w:bCs/>
          <w:color w:val="000000"/>
          <w:szCs w:val="21"/>
        </w:rPr>
        <w:t xml:space="preserve"> </w:t>
      </w:r>
      <w:r>
        <w:rPr>
          <w:rFonts w:hint="eastAsia" w:ascii="宋体" w:hAnsi="宋体"/>
          <w:color w:val="000000"/>
          <w:szCs w:val="21"/>
        </w:rPr>
        <w:t xml:space="preserve">成交结果确定后，代理机构将向成交供应商发出成交通知书。</w:t>
      </w:r>
      <w:r>
        <w:rPr>
          <w:rFonts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29.2 成交供应商可在</w:t>
      </w:r>
      <w:r>
        <w:rPr>
          <w:rFonts w:hint="eastAsia" w:ascii="宋体" w:hAnsi="宋体"/>
          <w:b/>
          <w:bCs/>
          <w:color w:val="000000"/>
          <w:szCs w:val="21"/>
        </w:rPr>
        <w:t xml:space="preserve">“政府采购管理交易系统（苏采云）”</w:t>
      </w:r>
      <w:r>
        <w:rPr>
          <w:rFonts w:hint="eastAsia" w:ascii="宋体" w:hAnsi="宋体"/>
          <w:color w:val="000000"/>
          <w:szCs w:val="21"/>
        </w:rPr>
        <w:t xml:space="preserve">成交通知书下载模块中自行下载成交通知书。</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29.3成交通知书将是合同的一个组成部分。对采购人和成交供应商均具有法律效力。成交通知书发出后，采购人改变成交结果的，或者成交供应商放弃成交项目的，应当依法承担法律责任。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Cs w:val="21"/>
        </w:rPr>
      </w:r>
      <w:r/>
    </w:p>
    <w:p>
      <w:pPr>
        <w:pStyle w:val="1151"/>
        <w:ind w:firstLine="422"/>
        <w:jc w:val="left"/>
        <w:spacing w:line="360" w:lineRule="auto"/>
        <w:rPr>
          <w:rFonts w:hint="eastAsia" w:ascii="宋体" w:hAnsi="宋体"/>
          <w:b/>
          <w:color w:val="000000"/>
          <w:szCs w:val="21"/>
        </w:rPr>
      </w:pPr>
      <w:r>
        <w:rPr>
          <w:rFonts w:hint="eastAsia" w:ascii="宋体" w:hAnsi="宋体"/>
          <w:b/>
          <w:color w:val="000000"/>
          <w:szCs w:val="21"/>
        </w:rPr>
        <w:t xml:space="preserve">30、合同签订相关事项</w:t>
      </w:r>
      <w:r>
        <w:rPr>
          <w:rFonts w:hint="eastAsia" w:ascii="宋体" w:hAnsi="宋体"/>
          <w:b/>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30.l成交供应商应在成交通知书发出之日起</w:t>
      </w:r>
      <w:r>
        <w:rPr>
          <w:rFonts w:hint="eastAsia" w:ascii="宋体" w:hAnsi="宋体"/>
          <w:color w:val="000000"/>
          <w:szCs w:val="21"/>
          <w:lang w:eastAsia="zh-CN"/>
        </w:rPr>
        <w:t xml:space="preserve">三十</w:t>
      </w:r>
      <w:r>
        <w:rPr>
          <w:rFonts w:hint="eastAsia" w:ascii="宋体" w:hAnsi="宋体"/>
          <w:color w:val="000000"/>
          <w:szCs w:val="21"/>
        </w:rPr>
        <w:t xml:space="preserve">日内，按照采购文件确定的事项与采购人签订政府采购合同。</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30.2</w:t>
      </w:r>
      <w:r>
        <w:rPr>
          <w:rFonts w:hint="eastAsia" w:ascii="宋体" w:hAnsi="宋体"/>
          <w:b/>
          <w:bCs/>
          <w:color w:val="000000"/>
          <w:szCs w:val="21"/>
        </w:rPr>
        <w:t xml:space="preserve"> </w:t>
      </w:r>
      <w:r>
        <w:rPr>
          <w:rFonts w:hint="eastAsia" w:ascii="宋体" w:hAnsi="宋体"/>
          <w:color w:val="000000"/>
          <w:szCs w:val="21"/>
        </w:rPr>
        <w:t xml:space="preserve">采购文件、成交供应商的响应文件及采购过程中有关澄清、承诺文件均应作为合同附件。</w:t>
      </w:r>
      <w:r>
        <w:rPr>
          <w:rFonts w:hint="eastAsia" w:ascii="宋体" w:hAnsi="宋体"/>
          <w:color w:val="000000"/>
          <w:szCs w:val="21"/>
        </w:rPr>
      </w:r>
      <w:r/>
    </w:p>
    <w:p>
      <w:pPr>
        <w:pStyle w:val="1151"/>
        <w:ind w:firstLine="420"/>
        <w:spacing w:line="360" w:lineRule="auto"/>
        <w:rPr>
          <w:rFonts w:hint="eastAsia" w:ascii="宋体" w:hAnsi="宋体"/>
          <w:color w:val="000000"/>
          <w:szCs w:val="21"/>
        </w:rPr>
      </w:pPr>
      <w:r>
        <w:rPr>
          <w:rFonts w:hint="eastAsia" w:ascii="宋体" w:hAnsi="宋体"/>
          <w:color w:val="000000"/>
          <w:szCs w:val="21"/>
        </w:rPr>
        <w:t xml:space="preserve">30.3 </w:t>
      </w:r>
      <w:r>
        <w:rPr>
          <w:rFonts w:hint="eastAsia" w:ascii="宋体" w:hAnsi="宋体"/>
          <w:bCs/>
          <w:color w:val="000000"/>
          <w:szCs w:val="21"/>
        </w:rPr>
        <w:t xml:space="preserve">合同在“政府采购管理交易系统（苏采云）”中签订，签订合同后，</w:t>
      </w:r>
      <w:r>
        <w:rPr>
          <w:rFonts w:hint="eastAsia" w:ascii="宋体" w:hAnsi="宋体"/>
          <w:bCs/>
          <w:i/>
          <w:iCs/>
          <w:color w:val="000000"/>
          <w:szCs w:val="21"/>
          <w:u w:val="single"/>
        </w:rPr>
        <w:t xml:space="preserve">成交供应商不得将工程及其他服务进行转包</w:t>
      </w:r>
      <w:r>
        <w:rPr>
          <w:rFonts w:hint="eastAsia" w:ascii="宋体" w:hAnsi="宋体"/>
          <w:bCs/>
          <w:color w:val="000000"/>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宋体" w:hAnsi="宋体"/>
          <w:color w:val="000000"/>
          <w:szCs w:val="21"/>
        </w:rPr>
      </w:r>
      <w:r/>
    </w:p>
    <w:p>
      <w:pPr>
        <w:pStyle w:val="1151"/>
        <w:ind w:firstLine="420"/>
        <w:spacing w:line="360" w:lineRule="auto"/>
        <w:rPr>
          <w:rFonts w:hint="eastAsia" w:ascii="宋体" w:hAnsi="宋体"/>
          <w:color w:val="000000"/>
        </w:rPr>
      </w:pPr>
      <w:r>
        <w:rPr>
          <w:rFonts w:hint="eastAsia" w:ascii="宋体" w:hAnsi="宋体"/>
          <w:color w:val="000000"/>
          <w:szCs w:val="21"/>
        </w:rPr>
        <w:t xml:space="preserve">30.4采购人不得向成交供应商提出任何不合理的要求作为签订合同的条件，不得与成交供应商私下订立背离合同实质性内容的协议。所签订的合同不得对采购文件确定事项和成交</w:t>
      </w:r>
      <w:r>
        <w:rPr>
          <w:rFonts w:hint="eastAsia" w:ascii="宋体" w:hAnsi="宋体"/>
          <w:color w:val="000000"/>
        </w:rPr>
        <w:t xml:space="preserve">供应商响应文件作实质性修改。</w:t>
      </w:r>
      <w:r>
        <w:rPr>
          <w:rFonts w:hint="eastAsia" w:ascii="宋体" w:hAnsi="宋体"/>
          <w:color w:val="000000"/>
        </w:rPr>
      </w:r>
      <w:r/>
    </w:p>
    <w:p>
      <w:pPr>
        <w:pStyle w:val="1151"/>
        <w:ind w:firstLine="422"/>
        <w:spacing w:line="360" w:lineRule="auto"/>
        <w:rPr>
          <w:rFonts w:ascii="宋体" w:hAnsi="宋体"/>
          <w:b/>
          <w:color w:val="000000"/>
          <w:szCs w:val="21"/>
        </w:rPr>
      </w:pPr>
      <w:r>
        <w:rPr>
          <w:rFonts w:hint="eastAsia" w:ascii="宋体" w:hAnsi="宋体"/>
          <w:b/>
          <w:color w:val="000000"/>
          <w:szCs w:val="21"/>
        </w:rPr>
        <w:t xml:space="preserve">30.5成交供应商在成交通知书发出之日起</w:t>
      </w:r>
      <w:r>
        <w:rPr>
          <w:rFonts w:hint="eastAsia" w:ascii="宋体" w:hAnsi="宋体"/>
          <w:b/>
          <w:color w:val="000000"/>
          <w:szCs w:val="21"/>
          <w:lang w:eastAsia="zh-CN"/>
        </w:rPr>
        <w:t xml:space="preserve">三十</w:t>
      </w:r>
      <w:r>
        <w:rPr>
          <w:rFonts w:hint="eastAsia" w:ascii="宋体" w:hAnsi="宋体"/>
          <w:b/>
          <w:color w:val="000000"/>
          <w:szCs w:val="21"/>
        </w:rPr>
        <w:t xml:space="preserve">日内不与采购人签订政府采购合同，将视为放弃中标资格，应当依法承担法律责任，并可能被列入不良行为记录名单。采购人可以根据实际情况选择向第二中标人发出成交通知书，或者选择重新招标。‌</w:t>
      </w:r>
      <w:r>
        <w:rPr>
          <w:rFonts w:ascii="宋体" w:hAnsi="宋体"/>
          <w:b/>
          <w:color w:val="000000"/>
          <w:szCs w:val="21"/>
        </w:rPr>
      </w:r>
      <w:r/>
    </w:p>
    <w:p>
      <w:pPr>
        <w:pStyle w:val="1151"/>
        <w:ind w:firstLine="422"/>
        <w:spacing w:line="360" w:lineRule="auto"/>
        <w:rPr>
          <w:rFonts w:hint="eastAsia" w:ascii="宋体" w:hAnsi="宋体"/>
          <w:b/>
          <w:bCs/>
          <w:color w:val="000000"/>
          <w:szCs w:val="21"/>
        </w:rPr>
      </w:pPr>
      <w:r>
        <w:rPr>
          <w:rFonts w:ascii="宋体" w:hAnsi="宋体"/>
          <w:b/>
          <w:bCs/>
          <w:color w:val="000000"/>
          <w:szCs w:val="21"/>
        </w:rPr>
        <w:t xml:space="preserve">3</w:t>
      </w:r>
      <w:r>
        <w:rPr>
          <w:rFonts w:hint="eastAsia" w:ascii="宋体" w:hAnsi="宋体"/>
          <w:b/>
          <w:bCs/>
          <w:color w:val="000000"/>
          <w:szCs w:val="21"/>
        </w:rPr>
        <w:t xml:space="preserve">1、其他</w:t>
      </w:r>
      <w:r>
        <w:rPr>
          <w:rFonts w:hint="eastAsia" w:ascii="宋体" w:hAnsi="宋体"/>
          <w:b/>
          <w:bCs/>
          <w:color w:val="000000"/>
          <w:szCs w:val="21"/>
        </w:rPr>
      </w:r>
      <w:r/>
    </w:p>
    <w:p>
      <w:pPr>
        <w:pStyle w:val="1151"/>
        <w:ind w:firstLine="420"/>
        <w:spacing w:line="360" w:lineRule="auto"/>
        <w:rPr>
          <w:rFonts w:hint="eastAsia"/>
          <w:color w:val="000000"/>
        </w:rPr>
      </w:pPr>
      <w:r>
        <w:rPr>
          <w:rFonts w:hint="eastAsia" w:ascii="宋体" w:hAnsi="宋体"/>
          <w:color w:val="000000"/>
          <w:szCs w:val="21"/>
        </w:rPr>
        <w:t xml:space="preserve">31.1依据《政府采购促进中小企业发展管理办法》享受扶持政策获得政府采购合同的，小微企业不得将合同分包给大中型企业，中型企业不得将合同分包给大型企业</w:t>
      </w:r>
      <w:bookmarkStart w:id="42" w:name="_Toc50734661"/>
      <w:r/>
      <w:bookmarkEnd w:id="42"/>
      <w:r>
        <w:rPr>
          <w:rFonts w:hint="eastAsia" w:ascii="宋体" w:hAnsi="宋体"/>
          <w:color w:val="000000"/>
          <w:szCs w:val="21"/>
        </w:rPr>
        <w:t xml:space="preserve">。</w:t>
      </w:r>
      <w:r>
        <w:rPr>
          <w:rFonts w:hint="eastAsia"/>
          <w:color w:val="000000"/>
        </w:rPr>
      </w:r>
      <w:r/>
    </w:p>
    <w:p>
      <w:pPr>
        <w:pStyle w:val="1151"/>
        <w:ind w:firstLine="525"/>
        <w:spacing w:line="360" w:lineRule="auto"/>
        <w:tabs>
          <w:tab w:val="left" w:pos="992" w:leader="none"/>
          <w:tab w:val="left" w:pos="1133" w:leader="none"/>
        </w:tabs>
        <w:rPr>
          <w:rFonts w:hint="eastAsia" w:ascii="宋体" w:hAnsi="宋体" w:eastAsia="宋体" w:cs="宋体"/>
          <w:color w:val="000000"/>
          <w:highlight w:val="none"/>
          <w:lang w:val="en-US" w:eastAsia="zh-CN"/>
        </w:rPr>
      </w:pPr>
      <w:r/>
      <w:bookmarkStart w:id="43" w:name="_Toc175728703"/>
      <w:r>
        <w:rPr>
          <w:rFonts w:hint="eastAsia" w:ascii="宋体" w:hAnsi="宋体" w:eastAsia="宋体" w:cs="宋体"/>
          <w:color w:val="000000"/>
          <w:highlight w:val="none"/>
          <w:lang w:val="en-US" w:eastAsia="zh-CN"/>
        </w:rPr>
        <w:t xml:space="preserve">31.2政府采购履约验收</w:t>
      </w:r>
      <w:r>
        <w:rPr>
          <w:rFonts w:hint="eastAsia" w:ascii="宋体" w:hAnsi="宋体" w:eastAsia="宋体" w:cs="宋体"/>
          <w:color w:val="000000"/>
          <w:highlight w:val="none"/>
          <w:lang w:val="en-US" w:eastAsia="zh-CN"/>
        </w:rPr>
      </w:r>
      <w:r/>
    </w:p>
    <w:p>
      <w:pPr>
        <w:pStyle w:val="1151"/>
        <w:ind w:firstLine="525"/>
        <w:spacing w:line="360" w:lineRule="auto"/>
        <w:tabs>
          <w:tab w:val="left" w:pos="992" w:leader="none"/>
          <w:tab w:val="left" w:pos="1133"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31.2.1根据江苏省财政厅关于印发《江苏省政府采购履约验收管理办法》的通知【苏财规（2024）7号】的要求，采购人使用财政性资金采购政府集中采购目录以内或者限额标准以上的货物、工程和服务的政府采购项目须履约验收，供应商应当按照政府采购合同的约定，配合采购人或其委托的采购代理机构做好项目验收，提供与验收相关的生产、技术、服务、数量、质量、安全等资料，根据实际需要做好技术说</w:t>
      </w:r>
      <w:r>
        <w:rPr>
          <w:rFonts w:hint="eastAsia" w:ascii="宋体" w:hAnsi="宋体" w:eastAsia="宋体" w:cs="宋体"/>
          <w:color w:val="000000"/>
          <w:highlight w:val="none"/>
          <w:lang w:val="en-US" w:eastAsia="zh-CN"/>
        </w:rPr>
      </w:r>
      <w:r/>
    </w:p>
    <w:p>
      <w:pPr>
        <w:pStyle w:val="1151"/>
        <w:spacing w:line="360" w:lineRule="auto"/>
        <w:tabs>
          <w:tab w:val="left" w:pos="992" w:leader="none"/>
          <w:tab w:val="left" w:pos="1133"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明、测试演示或场景应用情况分析等工作，并对所提供资料和材料的真实性负责。</w:t>
      </w:r>
      <w:r>
        <w:rPr>
          <w:rFonts w:hint="eastAsia" w:ascii="宋体" w:hAnsi="宋体" w:eastAsia="宋体" w:cs="宋体"/>
          <w:color w:val="000000"/>
          <w:highlight w:val="none"/>
          <w:lang w:val="en-US" w:eastAsia="zh-CN"/>
        </w:rPr>
      </w:r>
      <w:r/>
    </w:p>
    <w:p>
      <w:pPr>
        <w:pStyle w:val="1151"/>
        <w:ind w:firstLine="420"/>
        <w:spacing w:line="360" w:lineRule="auto"/>
        <w:tabs>
          <w:tab w:val="left" w:pos="992" w:leader="none"/>
          <w:tab w:val="left" w:pos="1133"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31.2.2政府采购合同约定的履约验收条件达到时，采购人应当在 5 个工作日内启动履约验收工作，并向供应商发出《政府采购履约验收通知单》（附件 1），供应商可以主动联系采购人启动履约验收工作。</w:t>
      </w:r>
      <w:r>
        <w:rPr>
          <w:rFonts w:hint="eastAsia" w:ascii="宋体" w:hAnsi="宋体" w:eastAsia="宋体" w:cs="宋体"/>
          <w:color w:val="000000"/>
          <w:highlight w:val="none"/>
          <w:lang w:val="en-US" w:eastAsia="zh-CN"/>
        </w:rPr>
      </w:r>
      <w:r/>
    </w:p>
    <w:p>
      <w:pPr>
        <w:pStyle w:val="1151"/>
        <w:ind w:firstLine="420"/>
        <w:spacing w:line="360" w:lineRule="auto"/>
        <w:tabs>
          <w:tab w:val="left" w:pos="992" w:leader="none"/>
          <w:tab w:val="left" w:pos="1133"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31.2.3、采购人、供应商应当对验收小组出具的验收意见进行确认，并形成政府采购履约验收书《政府采购履约验收书》。</w:t>
      </w:r>
      <w:r>
        <w:rPr>
          <w:rFonts w:hint="eastAsia" w:ascii="宋体" w:hAnsi="宋体" w:eastAsia="宋体" w:cs="宋体"/>
          <w:color w:val="000000"/>
          <w:highlight w:val="none"/>
          <w:lang w:val="en-US" w:eastAsia="zh-CN"/>
        </w:rPr>
      </w:r>
      <w:r/>
    </w:p>
    <w:p>
      <w:pPr>
        <w:pStyle w:val="1196"/>
        <w:numPr>
          <w:ilvl w:val="0"/>
          <w:numId w:val="0"/>
        </w:numPr>
        <w:jc w:val="both"/>
        <w:widowControl w:val="off"/>
        <w:tabs>
          <w:tab w:val="left" w:pos="780" w:leader="none"/>
        </w:tabs>
        <w:rPr>
          <w:rFonts w:hint="eastAsia"/>
          <w:color w:val="000000"/>
        </w:rPr>
      </w:pPr>
      <w:r>
        <w:rPr>
          <w:rFonts w:hint="eastAsia"/>
          <w:color w:val="000000"/>
        </w:rPr>
      </w:r>
      <w:r/>
    </w:p>
    <w:p>
      <w:pPr>
        <w:pStyle w:val="1196"/>
        <w:numPr>
          <w:ilvl w:val="0"/>
          <w:numId w:val="0"/>
        </w:numPr>
        <w:jc w:val="both"/>
        <w:widowControl w:val="off"/>
        <w:tabs>
          <w:tab w:val="left" w:pos="780" w:leader="none"/>
        </w:tabs>
        <w:rPr>
          <w:rFonts w:hint="eastAsia"/>
          <w:color w:val="000000"/>
        </w:rPr>
      </w:pPr>
      <w:r>
        <w:rPr>
          <w:rFonts w:hint="eastAsia"/>
          <w:color w:val="000000"/>
        </w:rPr>
      </w:r>
      <w:r/>
    </w:p>
    <w:p>
      <w:pPr>
        <w:pStyle w:val="1196"/>
        <w:numPr>
          <w:ilvl w:val="0"/>
          <w:numId w:val="0"/>
        </w:numPr>
        <w:jc w:val="both"/>
        <w:widowControl w:val="off"/>
        <w:tabs>
          <w:tab w:val="left" w:pos="780" w:leader="none"/>
        </w:tabs>
        <w:rPr>
          <w:rFonts w:hint="eastAsia"/>
          <w:color w:val="000000"/>
        </w:rPr>
      </w:pPr>
      <w:r>
        <w:rPr>
          <w:rFonts w:hint="eastAsia"/>
          <w:color w:val="000000"/>
        </w:rPr>
      </w:r>
      <w:r/>
    </w:p>
    <w:p>
      <w:pPr>
        <w:pStyle w:val="1196"/>
        <w:numPr>
          <w:ilvl w:val="0"/>
          <w:numId w:val="0"/>
        </w:numPr>
        <w:jc w:val="both"/>
        <w:widowControl w:val="off"/>
        <w:tabs>
          <w:tab w:val="left" w:pos="780" w:leader="none"/>
        </w:tabs>
        <w:rPr>
          <w:rFonts w:hint="eastAsia"/>
          <w:color w:val="000000"/>
        </w:rPr>
      </w:pPr>
      <w:r>
        <w:rPr>
          <w:rFonts w:hint="eastAsia"/>
          <w:color w:val="000000"/>
        </w:rPr>
      </w:r>
      <w:r/>
    </w:p>
    <w:p>
      <w:pPr>
        <w:pStyle w:val="1196"/>
        <w:numPr>
          <w:ilvl w:val="0"/>
          <w:numId w:val="0"/>
        </w:numPr>
        <w:jc w:val="both"/>
        <w:widowControl w:val="off"/>
        <w:tabs>
          <w:tab w:val="left" w:pos="780" w:leader="none"/>
        </w:tabs>
        <w:rPr>
          <w:rFonts w:hint="eastAsia"/>
          <w:color w:val="000000"/>
        </w:rPr>
      </w:pPr>
      <w:r>
        <w:rPr>
          <w:rFonts w:hint="eastAsia"/>
          <w:color w:val="000000"/>
        </w:rPr>
      </w:r>
      <w:r/>
    </w:p>
    <w:p>
      <w:pPr>
        <w:pStyle w:val="1196"/>
        <w:numPr>
          <w:ilvl w:val="0"/>
          <w:numId w:val="0"/>
        </w:numPr>
        <w:jc w:val="both"/>
        <w:widowControl w:val="off"/>
        <w:tabs>
          <w:tab w:val="left" w:pos="780" w:leader="none"/>
        </w:tabs>
        <w:rPr>
          <w:rFonts w:hint="eastAsia"/>
          <w:color w:val="000000"/>
        </w:rPr>
      </w:pPr>
      <w:r>
        <w:rPr>
          <w:rFonts w:hint="eastAsia"/>
          <w:color w:val="000000"/>
        </w:rPr>
      </w:r>
      <w:r/>
    </w:p>
    <w:p>
      <w:pPr>
        <w:pStyle w:val="1196"/>
        <w:numPr>
          <w:ilvl w:val="0"/>
          <w:numId w:val="0"/>
        </w:numPr>
        <w:jc w:val="both"/>
        <w:widowControl w:val="off"/>
        <w:tabs>
          <w:tab w:val="left" w:pos="780" w:leader="none"/>
        </w:tabs>
        <w:rPr>
          <w:rFonts w:hint="eastAsia"/>
          <w:color w:val="000000"/>
        </w:rPr>
      </w:pPr>
      <w:r>
        <w:rPr>
          <w:rFonts w:hint="eastAsia"/>
          <w:color w:val="000000"/>
        </w:rPr>
      </w:r>
      <w:r/>
    </w:p>
    <w:p>
      <w:pPr>
        <w:pStyle w:val="1196"/>
        <w:numPr>
          <w:ilvl w:val="0"/>
          <w:numId w:val="0"/>
        </w:numPr>
        <w:jc w:val="both"/>
        <w:widowControl w:val="off"/>
        <w:tabs>
          <w:tab w:val="left" w:pos="780" w:leader="none"/>
        </w:tabs>
        <w:rPr>
          <w:rFonts w:hint="eastAsia"/>
          <w:color w:val="000000"/>
        </w:rPr>
      </w:pPr>
      <w:r>
        <w:rPr>
          <w:rFonts w:hint="eastAsia"/>
          <w:color w:val="000000"/>
        </w:rPr>
      </w:r>
      <w:r/>
    </w:p>
    <w:p>
      <w:pPr>
        <w:pStyle w:val="1196"/>
        <w:numPr>
          <w:ilvl w:val="0"/>
          <w:numId w:val="0"/>
        </w:numPr>
        <w:jc w:val="both"/>
        <w:widowControl w:val="off"/>
        <w:tabs>
          <w:tab w:val="left" w:pos="780" w:leader="none"/>
        </w:tabs>
        <w:rPr>
          <w:rFonts w:hint="eastAsia"/>
          <w:color w:val="000000"/>
        </w:rPr>
      </w:pPr>
      <w:r>
        <w:rPr>
          <w:rFonts w:hint="eastAsia"/>
          <w:color w:val="000000"/>
        </w:rPr>
      </w:r>
      <w:r/>
    </w:p>
    <w:p>
      <w:pPr>
        <w:pStyle w:val="1196"/>
        <w:numPr>
          <w:ilvl w:val="0"/>
          <w:numId w:val="0"/>
        </w:numPr>
        <w:jc w:val="both"/>
        <w:widowControl w:val="off"/>
        <w:tabs>
          <w:tab w:val="left" w:pos="780" w:leader="none"/>
        </w:tabs>
        <w:rPr>
          <w:rFonts w:hint="eastAsia"/>
          <w:color w:val="000000"/>
        </w:rPr>
      </w:pPr>
      <w:r>
        <w:rPr>
          <w:rFonts w:hint="eastAsia"/>
          <w:color w:val="000000"/>
        </w:rPr>
      </w:r>
      <w:r/>
    </w:p>
    <w:p>
      <w:pPr>
        <w:pStyle w:val="1196"/>
        <w:numPr>
          <w:ilvl w:val="0"/>
          <w:numId w:val="0"/>
        </w:numPr>
        <w:jc w:val="both"/>
        <w:widowControl w:val="off"/>
        <w:tabs>
          <w:tab w:val="left" w:pos="780" w:leader="none"/>
        </w:tabs>
        <w:rPr>
          <w:rFonts w:hint="eastAsia"/>
          <w:color w:val="000000"/>
        </w:rPr>
      </w:pPr>
      <w:r>
        <w:rPr>
          <w:rFonts w:hint="eastAsia"/>
          <w:color w:val="000000"/>
        </w:rPr>
      </w:r>
      <w:r/>
    </w:p>
    <w:p>
      <w:pPr>
        <w:pStyle w:val="1196"/>
        <w:numPr>
          <w:ilvl w:val="0"/>
          <w:numId w:val="0"/>
        </w:numPr>
        <w:jc w:val="both"/>
        <w:widowControl w:val="off"/>
        <w:tabs>
          <w:tab w:val="left" w:pos="780" w:leader="none"/>
        </w:tabs>
        <w:rPr>
          <w:rFonts w:hint="eastAsia"/>
          <w:color w:val="000000"/>
        </w:rPr>
      </w:pPr>
      <w:r>
        <w:rPr>
          <w:rFonts w:hint="eastAsia"/>
          <w:color w:val="000000"/>
        </w:rPr>
      </w:r>
      <w:r/>
    </w:p>
    <w:p>
      <w:pPr>
        <w:pStyle w:val="1151"/>
        <w:rPr>
          <w:rFonts w:hint="eastAsia"/>
          <w:color w:val="000000"/>
        </w:rPr>
      </w:pPr>
      <w:r>
        <w:rPr>
          <w:rFonts w:hint="eastAsia"/>
          <w:color w:val="000000"/>
        </w:rPr>
      </w:r>
      <w:r/>
    </w:p>
    <w:p>
      <w:pPr>
        <w:pStyle w:val="1152"/>
        <w:jc w:val="center"/>
        <w:spacing w:line="360" w:lineRule="auto"/>
        <w:rPr>
          <w:rFonts w:hint="eastAsia" w:ascii="宋体" w:hAnsi="宋体" w:cs="宋体"/>
          <w:color w:val="000000"/>
        </w:rPr>
      </w:pPr>
      <w:r>
        <w:rPr>
          <w:rFonts w:hint="eastAsia" w:ascii="宋体" w:hAnsi="宋体" w:cs="宋体"/>
          <w:color w:val="000000"/>
        </w:rPr>
        <w:t xml:space="preserve">第三章合同条款及格式</w:t>
      </w:r>
      <w:bookmarkEnd w:id="43"/>
      <w:r>
        <w:rPr>
          <w:rFonts w:hint="eastAsia" w:ascii="宋体" w:hAnsi="宋体" w:cs="宋体"/>
          <w:color w:val="000000"/>
        </w:rPr>
      </w:r>
      <w:r/>
    </w:p>
    <w:p>
      <w:pPr>
        <w:pStyle w:val="1151"/>
        <w:spacing w:line="360" w:lineRule="auto"/>
        <w:tabs>
          <w:tab w:val="left" w:pos="992" w:leader="none"/>
          <w:tab w:val="left" w:pos="1133" w:leader="none"/>
        </w:tabs>
        <w:rPr>
          <w:rFonts w:hint="eastAsia" w:hAnsi="宋体"/>
          <w:color w:val="000000"/>
        </w:rPr>
      </w:pPr>
      <w:r>
        <w:rPr>
          <w:rFonts w:hint="eastAsia" w:hAnsi="宋体"/>
          <w:color w:val="000000"/>
        </w:rPr>
        <w:t xml:space="preserve">（一）协议书</w:t>
      </w:r>
      <w:r>
        <w:rPr>
          <w:rFonts w:hint="eastAsia" w:hAnsi="宋体"/>
          <w:color w:val="000000"/>
        </w:rPr>
      </w:r>
      <w:r/>
    </w:p>
    <w:p>
      <w:pPr>
        <w:pStyle w:val="1151"/>
        <w:spacing w:line="360" w:lineRule="auto"/>
        <w:tabs>
          <w:tab w:val="left" w:pos="992" w:leader="none"/>
          <w:tab w:val="left" w:pos="1133" w:leader="none"/>
        </w:tabs>
        <w:rPr>
          <w:rFonts w:hint="eastAsia" w:hAnsi="宋体"/>
          <w:color w:val="000000"/>
        </w:rPr>
      </w:pPr>
      <w:r>
        <w:rPr>
          <w:rFonts w:hint="eastAsia" w:hAnsi="宋体"/>
          <w:color w:val="000000"/>
        </w:rPr>
        <w:t xml:space="preserve">（二）通用条款</w:t>
      </w:r>
      <w:r>
        <w:rPr>
          <w:rFonts w:hint="eastAsia" w:hAnsi="宋体"/>
          <w:color w:val="000000"/>
        </w:rPr>
      </w:r>
      <w:r/>
    </w:p>
    <w:p>
      <w:pPr>
        <w:pStyle w:val="1151"/>
        <w:spacing w:line="360" w:lineRule="auto"/>
        <w:tabs>
          <w:tab w:val="left" w:pos="992" w:leader="none"/>
          <w:tab w:val="left" w:pos="1133" w:leader="none"/>
        </w:tabs>
        <w:rPr>
          <w:rFonts w:hint="eastAsia" w:hAnsi="宋体"/>
          <w:color w:val="000000"/>
        </w:rPr>
      </w:pPr>
      <w:r>
        <w:rPr>
          <w:rFonts w:hint="eastAsia" w:hAnsi="宋体"/>
          <w:color w:val="000000"/>
        </w:rPr>
        <w:t xml:space="preserve">（三）专用条款</w:t>
      </w:r>
      <w:r>
        <w:rPr>
          <w:rFonts w:hint="eastAsia" w:hAnsi="宋体"/>
          <w:color w:val="000000"/>
        </w:rPr>
      </w:r>
      <w:r/>
    </w:p>
    <w:p>
      <w:pPr>
        <w:pStyle w:val="1151"/>
        <w:spacing w:line="360" w:lineRule="auto"/>
        <w:tabs>
          <w:tab w:val="left" w:pos="992" w:leader="none"/>
          <w:tab w:val="left" w:pos="1133" w:leader="none"/>
        </w:tabs>
        <w:rPr>
          <w:rFonts w:hint="eastAsia" w:hAnsi="宋体"/>
          <w:color w:val="000000"/>
        </w:rPr>
      </w:pPr>
      <w:r>
        <w:rPr>
          <w:rFonts w:hint="eastAsia" w:hAnsi="宋体"/>
          <w:color w:val="000000"/>
        </w:rPr>
        <w:t xml:space="preserve">（四）主要条款</w:t>
      </w:r>
      <w:r>
        <w:rPr>
          <w:rFonts w:hint="eastAsia" w:hAnsi="宋体"/>
          <w:color w:val="000000"/>
        </w:rPr>
      </w:r>
      <w:r/>
    </w:p>
    <w:p>
      <w:pPr>
        <w:pStyle w:val="1151"/>
        <w:ind w:firstLine="420"/>
        <w:spacing w:line="360" w:lineRule="auto"/>
        <w:tabs>
          <w:tab w:val="left" w:pos="992" w:leader="none"/>
          <w:tab w:val="left" w:pos="1133" w:leader="none"/>
        </w:tabs>
        <w:rPr>
          <w:rFonts w:hAnsi="宋体"/>
          <w:color w:val="000000"/>
        </w:rPr>
      </w:pPr>
      <w:r>
        <w:rPr>
          <w:rFonts w:hint="eastAsia" w:hAnsi="宋体"/>
          <w:color w:val="000000"/>
        </w:rPr>
        <w:t xml:space="preserve">1、工期</w:t>
      </w:r>
      <w:r>
        <w:rPr>
          <w:rFonts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本工程工期</w:t>
      </w:r>
      <w:r>
        <w:rPr>
          <w:rFonts w:hint="eastAsia" w:hAnsi="宋体"/>
          <w:color w:val="000000"/>
          <w:highlight w:val="none"/>
          <w:lang w:val="en-US" w:eastAsia="zh-CN"/>
        </w:rPr>
        <w:t xml:space="preserve">60日历天</w:t>
      </w:r>
      <w:r>
        <w:rPr>
          <w:rFonts w:hint="eastAsia" w:hAnsi="宋体"/>
          <w:color w:val="000000"/>
        </w:rPr>
        <w:t xml:space="preserve">，工期每延误一天按2000元/天罚款，最多不得超过合同工期后一个月，否则招标人有权终止合同。工期延误赔偿限额为合同价的10%，具体开工日期以甲方开工令为准。</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2、质量</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要求工程质量一次性验收达到合格。乙方如因工程质量达不到约定标准，导致返工，乙方除承担相应的返工费用外，还应承担相应合同价的10%的罚款。施工过程中出现质量问题所造成的一切经济损失由乙方负责。</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3、材料设备供应</w:t>
      </w:r>
      <w:r>
        <w:rPr>
          <w:rFonts w:hint="eastAsia" w:hAnsi="宋体"/>
          <w:color w:val="000000"/>
        </w:rPr>
      </w:r>
      <w:r/>
    </w:p>
    <w:p>
      <w:pPr>
        <w:pStyle w:val="1151"/>
        <w:ind w:firstLine="420"/>
        <w:spacing w:line="360" w:lineRule="auto"/>
        <w:rPr>
          <w:rFonts w:hint="eastAsia" w:hAnsi="宋体"/>
          <w:color w:val="000000"/>
        </w:rPr>
      </w:pPr>
      <w:r>
        <w:rPr>
          <w:rFonts w:hint="eastAsia" w:hAnsi="宋体"/>
          <w:color w:val="000000"/>
        </w:rPr>
        <w:t xml:space="preserve">本工程材料：部分材料保留甲控乙供的权力，本工程所有材料价格均为固定价，不考虑任何施工因素及市场价格因素；</w:t>
      </w:r>
      <w:r>
        <w:rPr>
          <w:rFonts w:hint="eastAsia" w:hAnsi="宋体"/>
          <w:color w:val="000000"/>
        </w:rPr>
      </w:r>
      <w:r/>
    </w:p>
    <w:p>
      <w:pPr>
        <w:pStyle w:val="1151"/>
        <w:ind w:firstLine="525"/>
        <w:spacing w:line="360" w:lineRule="auto"/>
        <w:tabs>
          <w:tab w:val="left" w:pos="992" w:leader="none"/>
          <w:tab w:val="left" w:pos="1133" w:leader="none"/>
        </w:tabs>
        <w:rPr>
          <w:rFonts w:hint="eastAsia" w:hAnsi="宋体"/>
          <w:b/>
          <w:color w:val="000000"/>
        </w:rPr>
      </w:pPr>
      <w:r>
        <w:rPr>
          <w:rFonts w:hint="eastAsia" w:hAnsi="宋体"/>
          <w:b/>
          <w:color w:val="000000"/>
        </w:rPr>
        <w:t xml:space="preserve">4、履约保证金收取:本项目收取履约保证金：</w:t>
      </w:r>
      <w:r>
        <w:rPr>
          <w:rFonts w:hint="eastAsia" w:hAnsi="宋体"/>
          <w:b/>
          <w:color w:val="000000"/>
        </w:rPr>
      </w:r>
      <w:r/>
    </w:p>
    <w:p>
      <w:pPr>
        <w:pStyle w:val="1151"/>
        <w:ind w:firstLine="522"/>
        <w:spacing w:line="360" w:lineRule="auto"/>
        <w:tabs>
          <w:tab w:val="left" w:pos="992" w:leader="none"/>
          <w:tab w:val="left" w:pos="1133" w:leader="none"/>
        </w:tabs>
        <w:rPr>
          <w:rFonts w:hint="eastAsia" w:hAnsi="宋体"/>
          <w:color w:val="000000"/>
        </w:rPr>
      </w:pPr>
      <w:r>
        <w:rPr>
          <w:rFonts w:hint="eastAsia" w:hAnsi="宋体"/>
          <w:color w:val="000000"/>
        </w:rPr>
        <w:t xml:space="preserve">4.1履约保证金的金额为成交价的</w:t>
      </w:r>
      <w:r>
        <w:rPr>
          <w:rFonts w:hint="eastAsia" w:hAnsi="宋体"/>
          <w:color w:val="000000"/>
          <w:lang w:val="en-US" w:eastAsia="zh-CN"/>
        </w:rPr>
        <w:t xml:space="preserve">10</w:t>
      </w:r>
      <w:r>
        <w:rPr>
          <w:rFonts w:hint="eastAsia" w:hAnsi="宋体"/>
          <w:color w:val="000000"/>
        </w:rPr>
        <w:t xml:space="preserve">%，</w:t>
      </w:r>
      <w:r>
        <w:rPr>
          <w:rFonts w:hint="eastAsia" w:ascii="宋体" w:hAnsi="宋体" w:cs="宋体"/>
          <w:color w:val="000000"/>
          <w:szCs w:val="21"/>
        </w:rPr>
        <w:t xml:space="preserve">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w:t>
      </w:r>
      <w:r>
        <w:rPr>
          <w:rFonts w:hint="eastAsia" w:hAnsi="宋体"/>
          <w:color w:val="000000"/>
        </w:rPr>
        <w:t xml:space="preserve">在成交合同签订前向采购人缴纳或提交，未按规定缴纳或提交履约保证金的视为放弃中标。</w:t>
      </w:r>
      <w:r>
        <w:rPr>
          <w:rFonts w:hint="eastAsia" w:hAnsi="宋体"/>
          <w:color w:val="000000"/>
        </w:rPr>
      </w:r>
      <w:r/>
    </w:p>
    <w:p>
      <w:pPr>
        <w:pStyle w:val="1151"/>
        <w:ind w:firstLine="525"/>
        <w:spacing w:line="360" w:lineRule="auto"/>
        <w:tabs>
          <w:tab w:val="left" w:pos="992" w:leader="none"/>
          <w:tab w:val="left" w:pos="1133" w:leader="none"/>
        </w:tabs>
        <w:rPr>
          <w:rFonts w:hint="eastAsia" w:hAnsi="宋体"/>
          <w:color w:val="000000"/>
          <w:lang w:val="zh-CN"/>
        </w:rPr>
      </w:pPr>
      <w:r>
        <w:rPr>
          <w:rFonts w:hint="eastAsia" w:hAnsi="宋体"/>
          <w:color w:val="000000"/>
        </w:rPr>
        <w:t xml:space="preserve">4.2</w:t>
      </w:r>
      <w:r>
        <w:rPr>
          <w:rFonts w:hint="eastAsia" w:hAnsi="宋体"/>
          <w:color w:val="000000"/>
          <w:lang w:val="zh-CN"/>
        </w:rPr>
        <w:t xml:space="preserve">履约保证金的退还：合同履行结束后，承包人凭发包人签署的项目验收单或项目验收报告，向发包人提请办理履约保证金退还手续，发包人在收到提请后十五日内以非现金形式予以退还，逾期退还的，按中国人民银行同期贷款基准利率支付超期资金占用费，但因承包人自身原因导致无法及时退还的除外。</w:t>
      </w:r>
      <w:r>
        <w:rPr>
          <w:rFonts w:hint="eastAsia" w:hAnsi="宋体"/>
          <w:color w:val="000000"/>
          <w:lang w:val="zh-CN"/>
        </w:rPr>
      </w:r>
      <w:r/>
    </w:p>
    <w:p>
      <w:pPr>
        <w:pStyle w:val="1151"/>
        <w:ind w:firstLine="525"/>
        <w:spacing w:line="360" w:lineRule="auto"/>
        <w:tabs>
          <w:tab w:val="left" w:pos="992" w:leader="none"/>
          <w:tab w:val="left" w:pos="1133" w:leader="none"/>
        </w:tabs>
        <w:rPr>
          <w:rFonts w:hint="eastAsia" w:hAnsi="宋体"/>
          <w:color w:val="000000"/>
        </w:rPr>
      </w:pPr>
      <w:r>
        <w:rPr>
          <w:rFonts w:hint="eastAsia" w:hAnsi="宋体"/>
          <w:color w:val="000000"/>
        </w:rPr>
        <w:t xml:space="preserve">4.3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hAnsi="宋体"/>
          <w:color w:val="000000"/>
        </w:rPr>
      </w:r>
      <w:r/>
    </w:p>
    <w:p>
      <w:pPr>
        <w:pStyle w:val="1151"/>
        <w:ind w:firstLine="522"/>
        <w:spacing w:line="360" w:lineRule="auto"/>
        <w:tabs>
          <w:tab w:val="left" w:pos="992" w:leader="none"/>
          <w:tab w:val="left" w:pos="1133" w:leader="none"/>
        </w:tabs>
        <w:rPr>
          <w:rFonts w:hint="eastAsia" w:hAnsi="宋体"/>
          <w:color w:val="000000"/>
        </w:rPr>
      </w:pPr>
      <w:r>
        <w:rPr>
          <w:rFonts w:hint="eastAsia" w:hAnsi="宋体"/>
          <w:color w:val="000000"/>
        </w:rPr>
        <w:t xml:space="preserve">5、工程付款</w:t>
      </w:r>
      <w:r>
        <w:rPr>
          <w:rFonts w:hint="eastAsia" w:hAnsi="宋体"/>
          <w:color w:val="000000"/>
        </w:rPr>
      </w:r>
      <w:r/>
    </w:p>
    <w:p>
      <w:pPr>
        <w:pStyle w:val="1151"/>
        <w:ind w:firstLine="527"/>
        <w:spacing w:line="360" w:lineRule="auto"/>
        <w:tabs>
          <w:tab w:val="left" w:pos="992" w:leader="none"/>
          <w:tab w:val="left" w:pos="1133" w:leader="none"/>
        </w:tabs>
        <w:rPr>
          <w:rFonts w:hint="eastAsia" w:hAnsi="宋体" w:eastAsia="宋体"/>
          <w:b/>
          <w:bCs/>
          <w:color w:val="000000"/>
          <w:lang w:eastAsia="zh-CN"/>
        </w:rPr>
      </w:pPr>
      <w:r>
        <w:rPr>
          <w:rFonts w:hint="eastAsia" w:hAnsi="宋体"/>
          <w:b/>
          <w:bCs/>
          <w:color w:val="000000"/>
          <w:u w:val="single"/>
          <w:lang w:eastAsia="zh-CN"/>
        </w:rPr>
        <w:t xml:space="preserve">工程竣工验收合格付至合同价的</w:t>
      </w:r>
      <w:r>
        <w:rPr>
          <w:rFonts w:hint="eastAsia" w:hAnsi="宋体"/>
          <w:b/>
          <w:bCs/>
          <w:color w:val="000000"/>
          <w:u w:val="single"/>
          <w:lang w:val="en-US" w:eastAsia="zh-CN"/>
        </w:rPr>
        <w:t xml:space="preserve">4</w:t>
      </w:r>
      <w:r>
        <w:rPr>
          <w:rFonts w:hint="eastAsia" w:hAnsi="宋体"/>
          <w:b/>
          <w:bCs/>
          <w:color w:val="000000"/>
          <w:u w:val="single"/>
          <w:lang w:eastAsia="zh-CN"/>
        </w:rPr>
        <w:t xml:space="preserve">0%，竣工验收合格满一年付至审计价的</w:t>
      </w:r>
      <w:r>
        <w:rPr>
          <w:rFonts w:hint="eastAsia" w:hAnsi="宋体"/>
          <w:b/>
          <w:bCs/>
          <w:color w:val="000000"/>
          <w:u w:val="single"/>
          <w:lang w:val="en-US" w:eastAsia="zh-CN"/>
        </w:rPr>
        <w:t xml:space="preserve">7</w:t>
      </w:r>
      <w:r>
        <w:rPr>
          <w:rFonts w:hint="eastAsia" w:hAnsi="宋体"/>
          <w:b/>
          <w:bCs/>
          <w:color w:val="000000"/>
          <w:u w:val="single"/>
          <w:lang w:eastAsia="zh-CN"/>
        </w:rPr>
        <w:t xml:space="preserve">0%，工程竣工验收合格满二年且审计结束，按审计结论结清余款，不计息。</w:t>
      </w:r>
      <w:r>
        <w:rPr>
          <w:rFonts w:hint="eastAsia" w:hAnsi="宋体" w:eastAsia="宋体"/>
          <w:b/>
          <w:bCs/>
          <w:color w:val="000000"/>
          <w:lang w:eastAsia="zh-CN"/>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6、变更结算方式</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变更结算调整方法：以图纸设计变更和招标人要求变更为依据，只调整变更部分，变更费用让利按投标报价时让利幅度同等让利[投标让利幅度=1-投标报价/招标人预算价]。</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风险范围以外合同价款调整方法：</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⑴ 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⑵新增零星工程以实际签证为准，其价格由承包人提出，并经发包人认可后作为结算的依据。</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⑶附属工程的工程量按实结算，让利幅度同中标让利幅度。</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7、保修</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保修按国家有关规定执行。</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8、分包规定</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9、违约责任</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甲乙双方如发生违约纠纷，应在分清责任的前提下，协商解决，如实在无法协商，可提请高邮市人民法院诉讼。违约责任详见专用条款。</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10、设计变更</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⑴施工期间，建设单位设计变更通知是合同及施工设计图纸的补充和完善，承包人不得拒绝。</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⑵由于工程设计变更导致本合同工程量增减变化时，是对合同价款增减调整的依据。</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⑶承包人不得以设计变更或工程量的变化为理由，解除或修改合同对其规定的责任和义务。</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rPr>
        <w:t xml:space="preserve">11、其他</w:t>
      </w:r>
      <w:r>
        <w:rPr>
          <w:rFonts w:hint="eastAsia" w:hAnsi="宋体"/>
          <w:color w:val="000000"/>
        </w:rPr>
      </w:r>
      <w:r/>
    </w:p>
    <w:p>
      <w:pPr>
        <w:pStyle w:val="1151"/>
        <w:ind w:firstLine="420"/>
        <w:spacing w:line="360" w:lineRule="auto"/>
        <w:tabs>
          <w:tab w:val="left" w:pos="992" w:leader="none"/>
          <w:tab w:val="left" w:pos="1133" w:leader="none"/>
        </w:tabs>
        <w:rPr>
          <w:rFonts w:hint="eastAsia" w:hAnsi="宋体"/>
          <w:color w:val="000000"/>
          <w:lang w:val="zh-CN"/>
        </w:rPr>
      </w:pPr>
      <w:r>
        <w:rPr>
          <w:rFonts w:hint="eastAsia" w:hAnsi="宋体"/>
          <w:color w:val="000000"/>
          <w:lang w:val="zh-CN"/>
        </w:rPr>
        <w:t xml:space="preserve">（1）承包人应按江苏省和扬州市的有关安全文明施工规定进行施工。</w:t>
      </w:r>
      <w:r>
        <w:rPr>
          <w:rFonts w:hint="eastAsia" w:hAnsi="宋体"/>
          <w:color w:val="000000"/>
          <w:lang w:val="zh-CN"/>
        </w:rPr>
      </w:r>
      <w:r/>
    </w:p>
    <w:p>
      <w:pPr>
        <w:pStyle w:val="1151"/>
        <w:ind w:firstLine="420"/>
        <w:spacing w:line="360" w:lineRule="auto"/>
        <w:tabs>
          <w:tab w:val="left" w:pos="992" w:leader="none"/>
          <w:tab w:val="left" w:pos="1133" w:leader="none"/>
        </w:tabs>
        <w:rPr>
          <w:rFonts w:hint="eastAsia" w:hAnsi="宋体"/>
          <w:color w:val="000000"/>
          <w:lang w:val="zh-CN"/>
        </w:rPr>
      </w:pPr>
      <w:r>
        <w:rPr>
          <w:rFonts w:hint="eastAsia" w:hAnsi="宋体"/>
          <w:color w:val="000000"/>
          <w:lang w:val="zh-CN"/>
        </w:rPr>
        <w:t xml:space="preserve">（2）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赔偿损失。</w:t>
      </w:r>
      <w:r>
        <w:rPr>
          <w:rFonts w:hint="eastAsia" w:hAnsi="宋体"/>
          <w:color w:val="000000"/>
          <w:lang w:val="zh-CN"/>
        </w:rPr>
      </w:r>
      <w:r/>
    </w:p>
    <w:p>
      <w:pPr>
        <w:pStyle w:val="1151"/>
        <w:ind w:firstLine="420"/>
        <w:spacing w:line="360" w:lineRule="auto"/>
        <w:tabs>
          <w:tab w:val="left" w:pos="992" w:leader="none"/>
          <w:tab w:val="left" w:pos="1133" w:leader="none"/>
        </w:tabs>
        <w:rPr>
          <w:rFonts w:hint="eastAsia" w:hAnsi="宋体"/>
          <w:color w:val="000000"/>
          <w:lang w:val="zh-CN"/>
        </w:rPr>
      </w:pPr>
      <w:r>
        <w:rPr>
          <w:rFonts w:hint="eastAsia" w:hAnsi="宋体"/>
          <w:color w:val="000000"/>
          <w:lang w:val="zh-CN"/>
        </w:rPr>
        <w:t xml:space="preserve">（3）乙方负责本工程施工过程中的所有安全生产责任，如发生安全事故与发包人无关。</w:t>
      </w:r>
      <w:r>
        <w:rPr>
          <w:rFonts w:hint="eastAsia" w:hAnsi="宋体"/>
          <w:color w:val="000000"/>
          <w:lang w:val="zh-CN"/>
        </w:rPr>
      </w:r>
      <w:r/>
    </w:p>
    <w:p>
      <w:pPr>
        <w:pStyle w:val="1151"/>
        <w:ind w:firstLine="420"/>
        <w:spacing w:line="360" w:lineRule="auto"/>
        <w:tabs>
          <w:tab w:val="left" w:pos="992" w:leader="none"/>
          <w:tab w:val="left" w:pos="1133" w:leader="none"/>
        </w:tabs>
        <w:rPr>
          <w:rFonts w:hint="eastAsia" w:hAnsi="宋体"/>
          <w:color w:val="000000"/>
          <w:lang w:val="zh-CN"/>
        </w:rPr>
      </w:pPr>
      <w:r>
        <w:rPr>
          <w:rFonts w:hint="eastAsia" w:hAnsi="宋体"/>
          <w:color w:val="000000"/>
          <w:lang w:val="zh-CN"/>
        </w:rPr>
        <w:t xml:space="preserve">（4）本工程要求承包人合理施工，协调周边关系、噪音污染防治等工作由承包方负责。</w:t>
      </w:r>
      <w:r>
        <w:rPr>
          <w:rFonts w:hint="eastAsia" w:hAnsi="宋体"/>
          <w:color w:val="000000"/>
          <w:lang w:val="zh-CN"/>
        </w:rPr>
      </w:r>
      <w:r/>
    </w:p>
    <w:p>
      <w:pPr>
        <w:pStyle w:val="1151"/>
        <w:ind w:firstLine="420"/>
        <w:spacing w:line="360" w:lineRule="auto"/>
        <w:tabs>
          <w:tab w:val="left" w:pos="992" w:leader="none"/>
          <w:tab w:val="left" w:pos="1133" w:leader="none"/>
        </w:tabs>
        <w:rPr>
          <w:rFonts w:hint="eastAsia" w:hAnsi="宋体"/>
          <w:color w:val="000000"/>
          <w:lang w:val="zh-CN"/>
        </w:rPr>
      </w:pPr>
      <w:r>
        <w:rPr>
          <w:rFonts w:hint="eastAsia" w:hAnsi="宋体"/>
          <w:color w:val="000000"/>
          <w:lang w:val="zh-CN"/>
        </w:rPr>
        <w:t xml:space="preserve">（5）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r>
        <w:rPr>
          <w:rFonts w:hint="eastAsia" w:hAnsi="宋体"/>
          <w:color w:val="000000"/>
          <w:lang w:val="zh-CN"/>
        </w:rPr>
      </w:r>
      <w:r/>
    </w:p>
    <w:p>
      <w:pPr>
        <w:pStyle w:val="1151"/>
        <w:ind w:firstLine="420"/>
        <w:spacing w:line="360" w:lineRule="auto"/>
        <w:tabs>
          <w:tab w:val="left" w:pos="992" w:leader="none"/>
          <w:tab w:val="left" w:pos="1133" w:leader="none"/>
        </w:tabs>
        <w:rPr>
          <w:rFonts w:hint="eastAsia" w:hAnsi="宋体"/>
          <w:color w:val="000000"/>
          <w:lang w:val="zh-CN"/>
        </w:rPr>
      </w:pPr>
      <w:r>
        <w:rPr>
          <w:rFonts w:hint="eastAsia" w:hAnsi="宋体"/>
          <w:color w:val="000000"/>
          <w:lang w:val="zh-CN"/>
        </w:rPr>
        <w:t xml:space="preserve">（6）在保修期内施工方承诺无条件承担工程质量保修责任;因质量问题返工、返修产生的一切责任和费用均由施工方负责;因建设方责任所引起的质量问题返工、返修，施工方有权向建设方收取适当的工本费。</w:t>
      </w:r>
      <w:r>
        <w:rPr>
          <w:rFonts w:hint="eastAsia" w:hAnsi="宋体"/>
          <w:color w:val="000000"/>
          <w:lang w:val="zh-CN"/>
        </w:rPr>
      </w:r>
      <w:r/>
    </w:p>
    <w:p>
      <w:pPr>
        <w:pStyle w:val="1151"/>
        <w:ind w:firstLine="420"/>
        <w:spacing w:line="360" w:lineRule="auto"/>
        <w:tabs>
          <w:tab w:val="left" w:pos="992" w:leader="none"/>
          <w:tab w:val="left" w:pos="1133" w:leader="none"/>
        </w:tabs>
        <w:rPr>
          <w:rFonts w:hint="eastAsia" w:hAnsi="宋体"/>
          <w:color w:val="000000"/>
          <w:lang w:val="zh-CN"/>
        </w:rPr>
      </w:pPr>
      <w:r>
        <w:rPr>
          <w:rFonts w:hint="eastAsia" w:hAnsi="宋体"/>
          <w:color w:val="000000"/>
          <w:lang w:val="zh-CN"/>
        </w:rPr>
        <w:t xml:space="preserve">（7）结算总价应依据工程量及有关规定报送，若结算审计核减额度大于10% ，其超过10% 的部分审计费用由乙方承担。</w:t>
      </w:r>
      <w:r>
        <w:rPr>
          <w:rFonts w:hint="eastAsia" w:hAnsi="宋体"/>
          <w:color w:val="000000"/>
          <w:lang w:val="zh-CN"/>
        </w:rPr>
      </w:r>
      <w:r/>
    </w:p>
    <w:p>
      <w:pPr>
        <w:pStyle w:val="1151"/>
        <w:ind w:firstLine="420"/>
        <w:spacing w:line="360" w:lineRule="auto"/>
        <w:tabs>
          <w:tab w:val="left" w:pos="992" w:leader="none"/>
          <w:tab w:val="left" w:pos="1133" w:leader="none"/>
        </w:tabs>
        <w:rPr>
          <w:rFonts w:hint="eastAsia" w:hAnsi="宋体"/>
          <w:color w:val="000000"/>
          <w:lang w:val="zh-CN"/>
        </w:rPr>
      </w:pPr>
      <w:r>
        <w:rPr>
          <w:rFonts w:hint="eastAsia" w:hAnsi="宋体"/>
          <w:color w:val="000000"/>
          <w:lang w:val="zh-CN"/>
        </w:rPr>
        <w:t xml:space="preserve">（8）工程所用材料、设备进场前需报发包人认可，经发包人书面同意后方可进场使用。</w:t>
      </w:r>
      <w:r>
        <w:rPr>
          <w:rFonts w:hint="eastAsia" w:hAnsi="宋体"/>
          <w:color w:val="000000"/>
          <w:lang w:val="zh-CN"/>
        </w:rPr>
      </w:r>
      <w:r/>
    </w:p>
    <w:p>
      <w:pPr>
        <w:pStyle w:val="1151"/>
        <w:ind w:firstLine="420"/>
        <w:spacing w:line="360" w:lineRule="auto"/>
        <w:tabs>
          <w:tab w:val="left" w:pos="992" w:leader="none"/>
          <w:tab w:val="left" w:pos="1133" w:leader="none"/>
        </w:tabs>
        <w:rPr>
          <w:rFonts w:hint="eastAsia" w:hAnsi="宋体"/>
          <w:color w:val="000000"/>
        </w:rPr>
      </w:pPr>
      <w:r>
        <w:rPr>
          <w:rFonts w:hint="eastAsia" w:hAnsi="宋体"/>
          <w:color w:val="000000"/>
          <w:lang w:val="zh-CN" w:eastAsia="zh-CN"/>
        </w:rPr>
        <w:t xml:space="preserve">（9）</w:t>
      </w:r>
      <w:r>
        <w:rPr>
          <w:rFonts w:hint="eastAsia" w:hAnsi="宋体"/>
          <w:color w:val="000000"/>
          <w:lang w:val="zh-CN"/>
        </w:rPr>
        <w:t xml:space="preserve">工程承包单位对涉及真实使用《绿色建筑和绿色建材政府采购需求标准》中的绿色建材的，应当全部采购和使用符合《绿色建筑和绿色建材政府采购需求标准》的绿色建材，</w:t>
      </w:r>
      <w:r>
        <w:rPr>
          <w:rFonts w:hint="eastAsia" w:hAnsi="宋体"/>
          <w:color w:val="000000"/>
          <w:lang w:val="zh-CN" w:eastAsia="zh-CN"/>
        </w:rPr>
        <w:t xml:space="preserve">并</w:t>
      </w:r>
      <w:r>
        <w:rPr>
          <w:rFonts w:hint="eastAsia" w:hAnsi="宋体"/>
          <w:color w:val="000000"/>
          <w:lang w:val="zh-CN"/>
        </w:rPr>
        <w:t xml:space="preserve">提供绿色建材供应商符合《绿色建筑和绿色建材政府采购需求标准》相关指标要求的绿色建材检测报告或提供符合《绿色建筑和绿色建材政府采购需求标准》相关指标的绿色建材产品认证证书。</w:t>
      </w:r>
      <w:r>
        <w:rPr>
          <w:rFonts w:hint="eastAsia" w:hAnsi="宋体"/>
          <w:color w:val="000000"/>
        </w:rPr>
      </w:r>
      <w:r/>
    </w:p>
    <w:p>
      <w:pPr>
        <w:pStyle w:val="1151"/>
        <w:spacing w:line="480" w:lineRule="auto"/>
        <w:tabs>
          <w:tab w:val="left" w:pos="992" w:leader="none"/>
          <w:tab w:val="left" w:pos="1133" w:leader="none"/>
        </w:tabs>
        <w:rPr>
          <w:rFonts w:hint="eastAsia" w:hAnsi="宋体"/>
          <w:color w:val="000000"/>
        </w:rPr>
      </w:pPr>
      <w:r>
        <w:rPr>
          <w:rFonts w:hint="eastAsia" w:hAnsi="宋体"/>
          <w:color w:val="000000"/>
        </w:rPr>
      </w:r>
      <w:r/>
    </w:p>
    <w:p>
      <w:pPr>
        <w:pStyle w:val="1152"/>
        <w:jc w:val="center"/>
        <w:spacing w:line="360" w:lineRule="auto"/>
        <w:rPr>
          <w:rFonts w:hint="eastAsia" w:ascii="宋体" w:hAnsi="宋体" w:cs="宋体"/>
          <w:color w:val="000000"/>
        </w:rPr>
      </w:pPr>
      <w:r/>
      <w:bookmarkStart w:id="44" w:name="_Toc175728704"/>
      <w:r>
        <w:rPr>
          <w:rFonts w:hint="eastAsia" w:ascii="宋体" w:hAnsi="宋体" w:cs="宋体"/>
          <w:color w:val="000000"/>
        </w:rPr>
        <w:br w:type="page" w:clear="all"/>
      </w:r>
      <w:r>
        <w:rPr>
          <w:rFonts w:hint="eastAsia" w:ascii="宋体" w:hAnsi="宋体" w:cs="宋体"/>
          <w:color w:val="000000"/>
        </w:rPr>
        <w:t xml:space="preserve">第四章 项目需求</w:t>
      </w:r>
      <w:bookmarkEnd w:id="44"/>
      <w:r>
        <w:rPr>
          <w:rFonts w:hint="eastAsia" w:ascii="宋体" w:hAnsi="宋体" w:cs="宋体"/>
          <w:color w:val="000000"/>
        </w:rPr>
      </w:r>
      <w:r/>
    </w:p>
    <w:p>
      <w:pPr>
        <w:pStyle w:val="1151"/>
        <w:spacing w:line="360" w:lineRule="auto"/>
        <w:rPr>
          <w:rFonts w:ascii="宋体" w:hAnsi="宋体"/>
          <w:b/>
          <w:color w:val="000000"/>
          <w:highlight w:val="none"/>
        </w:rPr>
      </w:pPr>
      <w:r/>
      <w:bookmarkStart w:id="45" w:name="_Toc67066558"/>
      <w:r>
        <w:rPr>
          <w:rFonts w:hint="eastAsia" w:ascii="宋体" w:hAnsi="宋体"/>
          <w:b/>
          <w:color w:val="000000"/>
          <w:highlight w:val="none"/>
        </w:rPr>
        <w:t xml:space="preserve">一、项目情况说明</w:t>
      </w:r>
      <w:bookmarkEnd w:id="45"/>
      <w:r>
        <w:rPr>
          <w:rFonts w:ascii="宋体" w:hAnsi="宋体"/>
          <w:b/>
          <w:color w:val="000000"/>
          <w:highlight w:val="none"/>
        </w:rPr>
      </w:r>
      <w:r/>
    </w:p>
    <w:p>
      <w:pPr>
        <w:pStyle w:val="1151"/>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highlight w:val="none"/>
          <w:lang w:val="zh-CN"/>
        </w:rPr>
        <w:t xml:space="preserve">1、</w:t>
      </w:r>
      <w:r>
        <w:rPr>
          <w:rFonts w:hint="eastAsia" w:ascii="宋体" w:hAnsi="宋体" w:cs="宋体"/>
          <w:color w:val="000000"/>
          <w:highlight w:val="none"/>
        </w:rPr>
        <w:t xml:space="preserve">项目编号：</w:t>
      </w:r>
      <w:r>
        <w:rPr>
          <w:rFonts w:hint="eastAsia" w:ascii="宋体" w:hAnsi="宋体" w:cs="宋体"/>
          <w:color w:val="000000"/>
          <w:highlight w:val="none"/>
          <w:lang w:eastAsia="zh-CN"/>
        </w:rPr>
        <w:t xml:space="preserve">JSZC-321084-SZJY-T2026-0008</w:t>
      </w:r>
      <w:r>
        <w:rPr>
          <w:rFonts w:hint="eastAsia" w:ascii="宋体" w:hAnsi="宋体" w:eastAsia="宋体" w:cs="宋体"/>
          <w:color w:val="000000"/>
          <w:szCs w:val="21"/>
          <w:highlight w:val="none"/>
          <w:lang w:eastAsia="zh-CN"/>
        </w:rPr>
      </w:r>
      <w:r/>
    </w:p>
    <w:p>
      <w:pPr>
        <w:pStyle w:val="1151"/>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eastAsia="zh-CN"/>
        </w:rPr>
        <w:t xml:space="preserve">高邮城南经济新区顺鑫雅居小区外围电力配套工程</w:t>
      </w:r>
      <w:r>
        <w:rPr>
          <w:rFonts w:hint="eastAsia" w:ascii="宋体" w:hAnsi="宋体" w:eastAsia="宋体" w:cs="宋体"/>
          <w:color w:val="000000"/>
          <w:szCs w:val="21"/>
          <w:highlight w:val="none"/>
          <w:lang w:eastAsia="zh-CN"/>
        </w:rPr>
      </w:r>
      <w:r/>
    </w:p>
    <w:p>
      <w:pPr>
        <w:pStyle w:val="1151"/>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3.采购方式：竞争性</w:t>
      </w:r>
      <w:r>
        <w:rPr>
          <w:rFonts w:hint="eastAsia" w:ascii="宋体" w:hAnsi="宋体" w:cs="宋体"/>
          <w:color w:val="000000"/>
          <w:szCs w:val="21"/>
          <w:highlight w:val="none"/>
          <w:lang w:eastAsia="zh-CN"/>
        </w:rPr>
        <w:t xml:space="preserve">谈判</w:t>
      </w:r>
      <w:r>
        <w:rPr>
          <w:rFonts w:hint="eastAsia" w:ascii="宋体" w:hAnsi="宋体" w:eastAsia="宋体" w:cs="宋体"/>
          <w:color w:val="000000"/>
          <w:szCs w:val="21"/>
          <w:highlight w:val="none"/>
          <w:lang w:eastAsia="zh-CN"/>
        </w:rPr>
      </w:r>
      <w:r/>
    </w:p>
    <w:p>
      <w:pPr>
        <w:pStyle w:val="1151"/>
        <w:ind w:firstLine="420"/>
        <w:spacing w:line="360" w:lineRule="auto"/>
        <w:rPr>
          <w:rFonts w:ascii="宋体" w:hAnsi="宋体" w:eastAsia="宋体" w:cs="宋体"/>
          <w:color w:val="000000"/>
          <w:szCs w:val="21"/>
          <w:highlight w:val="none"/>
          <w:u w:val="single"/>
          <w:lang w:val="en-US" w:eastAsia="zh-CN"/>
        </w:rPr>
      </w:pPr>
      <w:r>
        <w:rPr>
          <w:rFonts w:hint="eastAsia" w:ascii="宋体" w:hAnsi="宋体" w:cs="宋体"/>
          <w:color w:val="000000"/>
          <w:szCs w:val="21"/>
          <w:highlight w:val="none"/>
        </w:rPr>
        <w:t xml:space="preserve">4.预算金额：</w:t>
      </w:r>
      <w:r>
        <w:rPr>
          <w:rFonts w:hint="eastAsia" w:ascii="宋体" w:hAnsi="宋体" w:cs="宋体"/>
          <w:color w:val="000000"/>
          <w:szCs w:val="21"/>
          <w:highlight w:val="none"/>
          <w:lang w:val="en-US" w:eastAsia="zh-CN"/>
        </w:rPr>
        <w:t xml:space="preserve">166.829421万元</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最高限价：</w:t>
      </w:r>
      <w:r>
        <w:rPr>
          <w:rFonts w:hint="eastAsia" w:ascii="宋体" w:hAnsi="宋体" w:cs="宋体"/>
          <w:color w:val="000000"/>
          <w:szCs w:val="21"/>
          <w:highlight w:val="none"/>
          <w:lang w:val="en-US" w:eastAsia="zh-CN"/>
        </w:rPr>
        <w:t xml:space="preserve">158.487950</w:t>
      </w:r>
      <w:r>
        <w:rPr>
          <w:rFonts w:hint="eastAsia" w:ascii="宋体" w:hAnsi="宋体" w:cs="宋体"/>
          <w:color w:val="000000"/>
          <w:szCs w:val="21"/>
          <w:highlight w:val="none"/>
          <w:u w:val="none"/>
          <w:lang w:val="en-US" w:eastAsia="zh-CN"/>
        </w:rPr>
        <w:t xml:space="preserve">万元。  </w:t>
      </w:r>
      <w:r>
        <w:rPr>
          <w:rFonts w:ascii="宋体" w:hAnsi="宋体" w:eastAsia="宋体" w:cs="宋体"/>
          <w:color w:val="000000"/>
          <w:szCs w:val="21"/>
          <w:highlight w:val="none"/>
          <w:u w:val="single"/>
          <w:lang w:val="en-US" w:eastAsia="zh-CN"/>
        </w:rPr>
      </w:r>
      <w:r/>
    </w:p>
    <w:p>
      <w:pPr>
        <w:pStyle w:val="11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5.采购需求：</w:t>
      </w:r>
      <w:r>
        <w:rPr>
          <w:rFonts w:hint="eastAsia" w:ascii="宋体" w:hAnsi="宋体" w:cs="宋体"/>
          <w:color w:val="000000"/>
          <w:szCs w:val="21"/>
          <w:highlight w:val="none"/>
          <w:lang w:eastAsia="zh-CN"/>
        </w:rPr>
        <w:t xml:space="preserve">新建机械拖拉管、环网柜基础、直线电缆井等；高压电缆、环网柜等相关电气设备安装</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具体工程内容</w:t>
      </w:r>
      <w:r>
        <w:rPr>
          <w:rFonts w:hint="eastAsia" w:ascii="宋体" w:hAnsi="宋体" w:cs="宋体"/>
          <w:color w:val="000000"/>
          <w:szCs w:val="21"/>
          <w:highlight w:val="none"/>
        </w:rPr>
        <w:t xml:space="preserve">详见施工图及工程量清单</w:t>
      </w:r>
      <w:r>
        <w:rPr>
          <w:rFonts w:hint="eastAsia" w:ascii="宋体" w:hAnsi="宋体" w:cs="宋体"/>
          <w:color w:val="000000"/>
          <w:highlight w:val="none"/>
          <w:lang w:eastAsia="zh-CN" w:bidi="ar"/>
        </w:rPr>
        <w:t xml:space="preserve">。</w:t>
      </w:r>
      <w:r>
        <w:rPr>
          <w:rFonts w:hint="eastAsia" w:ascii="宋体" w:hAnsi="宋体" w:cs="宋体"/>
          <w:color w:val="000000"/>
          <w:szCs w:val="21"/>
          <w:highlight w:val="none"/>
        </w:rPr>
      </w:r>
      <w:r/>
    </w:p>
    <w:p>
      <w:pPr>
        <w:pStyle w:val="1151"/>
        <w:ind w:firstLine="420"/>
        <w:spacing w:line="360" w:lineRule="auto"/>
        <w:rPr>
          <w:rFonts w:hint="eastAsia"/>
          <w:color w:val="000000"/>
          <w:highlight w:val="none"/>
        </w:rPr>
      </w:pPr>
      <w:r>
        <w:rPr>
          <w:rFonts w:hint="eastAsia" w:ascii="宋体" w:hAnsi="宋体" w:cs="宋体"/>
          <w:color w:val="000000"/>
          <w:highlight w:val="none"/>
        </w:rPr>
        <w:t xml:space="preserve">6、工期要求：</w:t>
      </w:r>
      <w:r>
        <w:rPr>
          <w:rFonts w:hint="eastAsia" w:ascii="宋体" w:hAnsi="宋体" w:cs="宋体"/>
          <w:color w:val="000000"/>
          <w:szCs w:val="21"/>
          <w:highlight w:val="none"/>
          <w:lang w:val="en-US" w:eastAsia="zh-CN"/>
        </w:rPr>
        <w:t xml:space="preserve">60日历天</w:t>
      </w:r>
      <w:r>
        <w:rPr>
          <w:rFonts w:hint="eastAsia" w:ascii="宋体" w:hAnsi="宋体" w:cs="宋体"/>
          <w:color w:val="000000"/>
          <w:szCs w:val="21"/>
          <w:highlight w:val="none"/>
        </w:rPr>
        <w:t xml:space="preserve">，计划开工时间具体以采购人的通知为准。</w:t>
      </w:r>
      <w:r>
        <w:rPr>
          <w:rFonts w:hint="eastAsia"/>
          <w:color w:val="000000"/>
          <w:highlight w:val="none"/>
        </w:rPr>
      </w:r>
      <w:r/>
    </w:p>
    <w:p>
      <w:pPr>
        <w:pStyle w:val="115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二、其他</w:t>
      </w:r>
      <w:r>
        <w:rPr>
          <w:rFonts w:hint="eastAsia" w:ascii="宋体" w:hAnsi="宋体"/>
          <w:b/>
          <w:color w:val="000000"/>
          <w:szCs w:val="21"/>
          <w:highlight w:val="none"/>
          <w:lang w:eastAsia="zh-CN"/>
        </w:rPr>
        <w:t xml:space="preserve">谈判</w:t>
      </w:r>
      <w:r>
        <w:rPr>
          <w:rFonts w:hint="eastAsia" w:ascii="宋体" w:hAnsi="宋体"/>
          <w:b/>
          <w:color w:val="000000"/>
          <w:szCs w:val="21"/>
          <w:highlight w:val="none"/>
        </w:rPr>
        <w:t xml:space="preserve">须知</w:t>
      </w:r>
      <w:r>
        <w:rPr>
          <w:rFonts w:hint="eastAsia" w:ascii="宋体" w:hAnsi="宋体"/>
          <w:b/>
          <w:color w:val="000000"/>
          <w:szCs w:val="21"/>
          <w:highlight w:val="none"/>
        </w:rPr>
      </w:r>
      <w:r/>
    </w:p>
    <w:p>
      <w:pPr>
        <w:pStyle w:val="115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rPr>
          <w:rFonts w:hint="eastAsia" w:ascii="宋体" w:hAnsi="宋体"/>
          <w:color w:val="000000"/>
          <w:szCs w:val="21"/>
          <w:highlight w:val="none"/>
        </w:rPr>
      </w:r>
      <w:r/>
    </w:p>
    <w:p>
      <w:pPr>
        <w:pStyle w:val="115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2、最终以总价方式报价，首轮报价中的不可竞争费仍适用于最终报价，成交价即合同价为最终报价。首轮报价明细仍为合同价的组成部分。</w:t>
      </w:r>
      <w:r>
        <w:rPr>
          <w:rFonts w:hint="eastAsia" w:ascii="宋体" w:hAnsi="宋体"/>
          <w:color w:val="000000"/>
          <w:szCs w:val="21"/>
          <w:highlight w:val="none"/>
        </w:rPr>
      </w:r>
      <w:r/>
    </w:p>
    <w:p>
      <w:pPr>
        <w:pStyle w:val="115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3、本工程结算价需经有关部门审定确认，合同价中的安全文明施工措施费结算时按有权部门的核定结果调整；合同价中的暂列金额（规费、税金前）在工程款支付时、结算审定结果中扣除。</w:t>
      </w:r>
      <w:r>
        <w:rPr>
          <w:rFonts w:hint="eastAsia" w:ascii="宋体" w:hAnsi="宋体"/>
          <w:color w:val="000000"/>
          <w:szCs w:val="21"/>
          <w:highlight w:val="none"/>
        </w:rPr>
      </w:r>
      <w:r/>
    </w:p>
    <w:p>
      <w:pPr>
        <w:pStyle w:val="1223"/>
        <w:ind w:firstLine="420"/>
        <w:spacing w:line="360" w:lineRule="auto"/>
        <w:rPr>
          <w:rFonts w:hint="eastAsia"/>
          <w:color w:val="000000"/>
          <w:sz w:val="21"/>
          <w:highlight w:val="none"/>
        </w:rPr>
      </w:pPr>
      <w:r>
        <w:rPr>
          <w:rFonts w:hint="eastAsia"/>
          <w:color w:val="000000"/>
          <w:sz w:val="21"/>
          <w:highlight w:val="none"/>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rPr>
          <w:rFonts w:hint="eastAsia"/>
          <w:color w:val="000000"/>
          <w:sz w:val="21"/>
          <w:highlight w:val="none"/>
        </w:rPr>
      </w:r>
      <w:r/>
    </w:p>
    <w:p>
      <w:pPr>
        <w:pStyle w:val="1223"/>
        <w:ind w:firstLine="422"/>
        <w:spacing w:line="360" w:lineRule="auto"/>
        <w:rPr>
          <w:rFonts w:hint="eastAsia"/>
          <w:b/>
          <w:bCs/>
          <w:iCs/>
          <w:color w:val="000000"/>
          <w:sz w:val="21"/>
          <w:highlight w:val="none"/>
          <w:u w:val="single"/>
        </w:rPr>
      </w:pPr>
      <w:r>
        <w:rPr>
          <w:rFonts w:hint="eastAsia"/>
          <w:b w:val="0"/>
          <w:bCs w:val="0"/>
          <w:iCs/>
          <w:color w:val="000000"/>
          <w:sz w:val="21"/>
          <w:highlight w:val="none"/>
          <w:u w:val="none"/>
        </w:rPr>
        <w:t xml:space="preserve">5、本项目采用固定单价</w:t>
      </w:r>
      <w:r>
        <w:rPr>
          <w:rFonts w:hint="eastAsia"/>
          <w:b w:val="0"/>
          <w:bCs w:val="0"/>
          <w:iCs/>
          <w:color w:val="000000"/>
          <w:sz w:val="21"/>
          <w:highlight w:val="none"/>
          <w:u w:val="none"/>
          <w:lang w:eastAsia="zh-CN"/>
        </w:rPr>
        <w:t xml:space="preserve">合同形式</w:t>
      </w:r>
      <w:r>
        <w:rPr>
          <w:rFonts w:hint="eastAsia"/>
          <w:b w:val="0"/>
          <w:bCs w:val="0"/>
          <w:iCs/>
          <w:color w:val="000000"/>
          <w:sz w:val="21"/>
          <w:highlight w:val="none"/>
          <w:u w:val="none"/>
        </w:rPr>
        <w:t xml:space="preserve">，本项目承包范围为</w:t>
      </w:r>
      <w:r>
        <w:rPr>
          <w:rFonts w:hint="eastAsia"/>
          <w:b w:val="0"/>
          <w:bCs w:val="0"/>
          <w:iCs/>
          <w:color w:val="000000"/>
          <w:sz w:val="21"/>
          <w:highlight w:val="none"/>
          <w:u w:val="none"/>
          <w:lang w:eastAsia="zh-CN"/>
        </w:rPr>
        <w:t xml:space="preserve">谈判</w:t>
      </w:r>
      <w:r>
        <w:rPr>
          <w:rFonts w:hint="eastAsia"/>
          <w:b w:val="0"/>
          <w:bCs w:val="0"/>
          <w:iCs/>
          <w:color w:val="000000"/>
          <w:sz w:val="21"/>
          <w:highlight w:val="none"/>
          <w:u w:val="none"/>
        </w:rPr>
        <w:t xml:space="preserve">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rPr>
          <w:rFonts w:hint="eastAsia"/>
          <w:b/>
          <w:bCs/>
          <w:iCs/>
          <w:color w:val="000000"/>
          <w:sz w:val="21"/>
          <w:highlight w:val="none"/>
          <w:u w:val="single"/>
        </w:rPr>
      </w:r>
      <w:r/>
    </w:p>
    <w:p>
      <w:pPr>
        <w:pStyle w:val="1223"/>
        <w:ind w:firstLine="422"/>
        <w:spacing w:line="360" w:lineRule="auto"/>
        <w:rPr>
          <w:rFonts w:hint="eastAsia"/>
          <w:b/>
          <w:bCs/>
          <w:i w:val="0"/>
          <w:iCs/>
          <w:color w:val="000000"/>
          <w:sz w:val="21"/>
          <w:highlight w:val="none"/>
          <w:u w:val="none"/>
        </w:rPr>
      </w:pPr>
      <w:r>
        <w:rPr>
          <w:rFonts w:hint="eastAsia"/>
          <w:b/>
          <w:bCs/>
          <w:i w:val="0"/>
          <w:iCs/>
          <w:color w:val="000000"/>
          <w:sz w:val="21"/>
          <w:highlight w:val="none"/>
          <w:u w:val="none"/>
        </w:rPr>
        <w:t xml:space="preserve">6、质量要求：质量合格，</w:t>
      </w:r>
      <w:r>
        <w:rPr>
          <w:rFonts w:hint="eastAsia"/>
          <w:b/>
          <w:bCs/>
          <w:i w:val="0"/>
          <w:iCs/>
          <w:color w:val="000000"/>
          <w:sz w:val="21"/>
          <w:highlight w:val="none"/>
          <w:u w:val="none"/>
          <w:lang w:eastAsia="zh-CN"/>
        </w:rPr>
        <w:t xml:space="preserve">其中</w:t>
      </w:r>
      <w:r>
        <w:rPr>
          <w:rFonts w:hint="eastAsia"/>
          <w:b/>
          <w:bCs/>
          <w:i w:val="0"/>
          <w:iCs/>
          <w:color w:val="000000"/>
          <w:sz w:val="21"/>
          <w:highlight w:val="none"/>
          <w:u w:val="none"/>
          <w:lang w:val="en-US" w:eastAsia="zh-CN"/>
        </w:rPr>
        <w:t xml:space="preserve">10KV户外环网柜、电缆须符合供电相关技术规范要求（具体技术规范见采购需求附件），</w:t>
      </w:r>
      <w:r>
        <w:rPr>
          <w:rFonts w:hint="eastAsia"/>
          <w:b/>
          <w:bCs/>
          <w:i w:val="0"/>
          <w:iCs/>
          <w:color w:val="000000"/>
          <w:sz w:val="21"/>
          <w:highlight w:val="none"/>
          <w:u w:val="none"/>
          <w:lang w:eastAsia="zh-CN"/>
        </w:rPr>
        <w:t xml:space="preserve">并通过采购人及供电公司验收合格，</w:t>
      </w:r>
      <w:r>
        <w:rPr>
          <w:rFonts w:hint="eastAsia"/>
          <w:b/>
          <w:bCs/>
          <w:i w:val="0"/>
          <w:iCs/>
          <w:color w:val="000000"/>
          <w:sz w:val="21"/>
          <w:highlight w:val="none"/>
          <w:u w:val="none"/>
          <w:lang w:val="en-US" w:eastAsia="zh-CN"/>
        </w:rPr>
        <w:t xml:space="preserve">否则由供应商承担全部责任及损失</w:t>
      </w:r>
      <w:r>
        <w:rPr>
          <w:rFonts w:hint="eastAsia"/>
          <w:b/>
          <w:bCs/>
          <w:i w:val="0"/>
          <w:iCs/>
          <w:color w:val="000000"/>
          <w:sz w:val="21"/>
          <w:highlight w:val="none"/>
          <w:u w:val="none"/>
        </w:rPr>
        <w:t xml:space="preserve">。</w:t>
      </w:r>
      <w:r>
        <w:rPr>
          <w:rFonts w:hint="eastAsia"/>
          <w:b/>
          <w:bCs/>
          <w:i w:val="0"/>
          <w:iCs/>
          <w:color w:val="000000"/>
          <w:sz w:val="21"/>
          <w:highlight w:val="none"/>
          <w:u w:val="none"/>
        </w:rPr>
      </w:r>
      <w:r/>
    </w:p>
    <w:p>
      <w:pPr>
        <w:pStyle w:val="1223"/>
        <w:ind w:firstLine="422"/>
        <w:spacing w:line="360" w:lineRule="auto"/>
        <w:rPr>
          <w:rFonts w:hint="eastAsia" w:eastAsia="宋体"/>
          <w:b/>
          <w:bCs/>
          <w:i w:val="0"/>
          <w:iCs/>
          <w:color w:val="000000"/>
          <w:sz w:val="21"/>
          <w:highlight w:val="none"/>
          <w:u w:val="single"/>
          <w:lang w:val="en-US" w:eastAsia="zh-CN"/>
        </w:rPr>
      </w:pPr>
      <w:r>
        <w:rPr>
          <w:rFonts w:hint="eastAsia"/>
          <w:b/>
          <w:bCs/>
          <w:i w:val="0"/>
          <w:iCs/>
          <w:color w:val="000000"/>
          <w:sz w:val="21"/>
          <w:highlight w:val="none"/>
          <w:u w:val="none"/>
          <w:lang w:val="en-US" w:eastAsia="zh-CN"/>
        </w:rPr>
        <w:t xml:space="preserve">7、成交</w:t>
      </w:r>
      <w:r>
        <w:rPr>
          <w:rFonts w:hint="eastAsia"/>
          <w:b/>
          <w:bCs/>
          <w:color w:val="000000"/>
          <w:sz w:val="21"/>
          <w:highlight w:val="none"/>
        </w:rPr>
        <w:t xml:space="preserve">供应商</w:t>
      </w:r>
      <w:r>
        <w:rPr>
          <w:rFonts w:hint="eastAsia"/>
          <w:b/>
          <w:bCs/>
          <w:color w:val="000000"/>
          <w:sz w:val="21"/>
          <w:highlight w:val="none"/>
          <w:lang w:eastAsia="zh-CN"/>
        </w:rPr>
        <w:t xml:space="preserve">须</w:t>
      </w:r>
      <w:r>
        <w:rPr>
          <w:rFonts w:hint="eastAsia"/>
          <w:b/>
          <w:bCs/>
          <w:i w:val="0"/>
          <w:iCs/>
          <w:color w:val="000000"/>
          <w:sz w:val="21"/>
          <w:highlight w:val="none"/>
          <w:u w:val="none"/>
          <w:lang w:val="en-US" w:eastAsia="zh-CN"/>
        </w:rPr>
        <w:t xml:space="preserve">全权负责全过程对接、协调供电公司，牵头办理供电相关手续，并承担因协调产生的全部相关费用，确保本项目顺利并网送电，</w:t>
      </w:r>
      <w:r>
        <w:rPr>
          <w:rFonts w:hint="eastAsia" w:ascii="宋体" w:eastAsia="宋体" w:cs="Times New Roman"/>
          <w:b/>
          <w:bCs/>
          <w:i w:val="0"/>
          <w:iCs/>
          <w:color w:val="000000"/>
          <w:sz w:val="21"/>
          <w:highlight w:val="none"/>
          <w:u w:val="none"/>
          <w:lang w:val="en-US" w:eastAsia="zh-CN"/>
        </w:rPr>
        <w:t xml:space="preserve">具备正式用电条件</w:t>
      </w:r>
      <w:r>
        <w:rPr>
          <w:rFonts w:hint="eastAsia"/>
          <w:b/>
          <w:bCs/>
          <w:i w:val="0"/>
          <w:iCs/>
          <w:color w:val="000000"/>
          <w:sz w:val="21"/>
          <w:highlight w:val="none"/>
          <w:u w:val="none"/>
          <w:lang w:val="en-US" w:eastAsia="zh-CN"/>
        </w:rPr>
        <w:t xml:space="preserve">；</w:t>
      </w:r>
      <w:r>
        <w:rPr>
          <w:rFonts w:hint="eastAsia" w:eastAsia="宋体"/>
          <w:b/>
          <w:bCs/>
          <w:i w:val="0"/>
          <w:iCs/>
          <w:color w:val="000000"/>
          <w:sz w:val="21"/>
          <w:highlight w:val="none"/>
          <w:u w:val="single"/>
          <w:lang w:val="en-US" w:eastAsia="zh-CN"/>
        </w:rPr>
      </w:r>
      <w:r/>
    </w:p>
    <w:p>
      <w:pPr>
        <w:pStyle w:val="1223"/>
        <w:ind w:firstLine="420"/>
        <w:spacing w:line="360" w:lineRule="auto"/>
        <w:rPr>
          <w:rFonts w:hint="eastAsia"/>
          <w:color w:val="000000"/>
          <w:sz w:val="21"/>
          <w:highlight w:val="none"/>
        </w:rPr>
      </w:pPr>
      <w:r>
        <w:rPr>
          <w:rFonts w:hint="eastAsia"/>
          <w:color w:val="000000"/>
          <w:sz w:val="21"/>
          <w:highlight w:val="none"/>
          <w:lang w:val="en-US" w:eastAsia="zh-CN"/>
        </w:rPr>
        <w:t xml:space="preserve">8</w:t>
      </w:r>
      <w:r>
        <w:rPr>
          <w:rFonts w:hint="eastAsia"/>
          <w:color w:val="000000"/>
          <w:sz w:val="21"/>
          <w:highlight w:val="none"/>
        </w:rPr>
        <w:t xml:space="preserve">、成交供应商必须服从现场管理，对工序和材料及时报验，原材料及配件必须符合国家标准，经复试合格后方可使用。 </w:t>
      </w:r>
      <w:r>
        <w:rPr>
          <w:rFonts w:hint="eastAsia"/>
          <w:color w:val="000000"/>
          <w:sz w:val="21"/>
          <w:highlight w:val="none"/>
        </w:rPr>
      </w:r>
      <w:r/>
    </w:p>
    <w:p>
      <w:pPr>
        <w:pStyle w:val="1223"/>
        <w:ind w:firstLine="420"/>
        <w:spacing w:line="360" w:lineRule="auto"/>
        <w:rPr>
          <w:rFonts w:hint="eastAsia"/>
          <w:color w:val="000000"/>
          <w:sz w:val="21"/>
          <w:highlight w:val="none"/>
        </w:rPr>
      </w:pPr>
      <w:r>
        <w:rPr>
          <w:rFonts w:hint="eastAsia"/>
          <w:color w:val="000000"/>
          <w:sz w:val="21"/>
          <w:highlight w:val="none"/>
          <w:lang w:val="en-US" w:eastAsia="zh-CN"/>
        </w:rPr>
        <w:t xml:space="preserve">9</w:t>
      </w:r>
      <w:r>
        <w:rPr>
          <w:rFonts w:hint="eastAsia"/>
          <w:color w:val="000000"/>
          <w:sz w:val="21"/>
          <w:highlight w:val="none"/>
        </w:rPr>
        <w:t xml:space="preserve">、施工过程中产生的垃圾及时清运，费用由成交供应商承担；建设工程不能影响整体美观，不能影响其他设施、设备的使用及功能，不能影响采购人正常工作开展。</w:t>
      </w:r>
      <w:r>
        <w:rPr>
          <w:rFonts w:hint="eastAsia"/>
          <w:color w:val="000000"/>
          <w:sz w:val="21"/>
          <w:highlight w:val="none"/>
        </w:rPr>
      </w:r>
      <w:r/>
    </w:p>
    <w:p>
      <w:pPr>
        <w:pStyle w:val="1223"/>
        <w:ind w:firstLine="420"/>
        <w:spacing w:line="360" w:lineRule="auto"/>
        <w:rPr>
          <w:rFonts w:hint="eastAsia"/>
          <w:color w:val="000000"/>
          <w:sz w:val="21"/>
          <w:highlight w:val="none"/>
        </w:rPr>
      </w:pPr>
      <w:r>
        <w:rPr>
          <w:rFonts w:hint="eastAsia"/>
          <w:color w:val="000000"/>
          <w:sz w:val="21"/>
          <w:highlight w:val="none"/>
          <w:lang w:val="en-US" w:eastAsia="zh-CN"/>
        </w:rPr>
        <w:t xml:space="preserve">10</w:t>
      </w:r>
      <w:r>
        <w:rPr>
          <w:rFonts w:hint="eastAsia"/>
          <w:color w:val="000000"/>
          <w:sz w:val="21"/>
          <w:highlight w:val="none"/>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w:t>
      </w:r>
      <w:r>
        <w:rPr>
          <w:rFonts w:hint="eastAsia"/>
          <w:color w:val="000000"/>
          <w:sz w:val="21"/>
          <w:highlight w:val="none"/>
        </w:rPr>
      </w:r>
      <w:r/>
    </w:p>
    <w:p>
      <w:pPr>
        <w:pStyle w:val="1223"/>
        <w:ind w:firstLine="420"/>
        <w:spacing w:line="360" w:lineRule="auto"/>
        <w:rPr>
          <w:rFonts w:hint="eastAsia"/>
          <w:color w:val="000000"/>
          <w:sz w:val="21"/>
          <w:highlight w:val="none"/>
        </w:rPr>
      </w:pPr>
      <w:r>
        <w:rPr>
          <w:rFonts w:hint="eastAsia"/>
          <w:color w:val="000000"/>
          <w:sz w:val="21"/>
          <w:highlight w:val="none"/>
        </w:rPr>
        <w:t xml:space="preserve">1</w:t>
      </w:r>
      <w:r>
        <w:rPr>
          <w:rFonts w:hint="eastAsia"/>
          <w:color w:val="000000"/>
          <w:sz w:val="21"/>
          <w:highlight w:val="none"/>
          <w:lang w:val="en-US" w:eastAsia="zh-CN"/>
        </w:rPr>
        <w:t xml:space="preserve">1</w:t>
      </w:r>
      <w:r>
        <w:rPr>
          <w:rFonts w:hint="eastAsia"/>
          <w:color w:val="000000"/>
          <w:sz w:val="21"/>
          <w:highlight w:val="none"/>
        </w:rPr>
        <w:t xml:space="preserve">、</w:t>
      </w:r>
      <w:r>
        <w:rPr>
          <w:rFonts w:hint="eastAsia"/>
          <w:color w:val="000000"/>
          <w:sz w:val="21"/>
          <w:highlight w:val="none"/>
          <w:lang w:eastAsia="zh-CN"/>
        </w:rPr>
        <w:t xml:space="preserve">谈判</w:t>
      </w:r>
      <w:r>
        <w:rPr>
          <w:rFonts w:hint="eastAsia"/>
          <w:color w:val="000000"/>
          <w:sz w:val="21"/>
          <w:highlight w:val="none"/>
        </w:rPr>
        <w:t xml:space="preserve">报价编制要求 </w:t>
      </w:r>
      <w:r>
        <w:rPr>
          <w:rFonts w:hint="eastAsia"/>
          <w:color w:val="000000"/>
          <w:sz w:val="21"/>
          <w:highlight w:val="none"/>
        </w:rPr>
      </w:r>
      <w:r/>
    </w:p>
    <w:p>
      <w:pPr>
        <w:pStyle w:val="1223"/>
        <w:ind w:firstLine="420"/>
        <w:spacing w:line="360" w:lineRule="auto"/>
        <w:rPr>
          <w:rFonts w:hint="eastAsia"/>
          <w:color w:val="000000"/>
          <w:sz w:val="21"/>
          <w:highlight w:val="none"/>
        </w:rPr>
      </w:pPr>
      <w:r>
        <w:rPr>
          <w:rFonts w:hint="eastAsia"/>
          <w:color w:val="000000"/>
          <w:sz w:val="21"/>
          <w:highlight w:val="none"/>
        </w:rPr>
        <w:t xml:space="preserve">1</w:t>
      </w:r>
      <w:r>
        <w:rPr>
          <w:rFonts w:hint="eastAsia"/>
          <w:color w:val="000000"/>
          <w:sz w:val="21"/>
          <w:highlight w:val="none"/>
          <w:lang w:val="en-US" w:eastAsia="zh-CN"/>
        </w:rPr>
        <w:t xml:space="preserve">1</w:t>
      </w:r>
      <w:r>
        <w:rPr>
          <w:rFonts w:hint="eastAsia"/>
          <w:color w:val="000000"/>
          <w:sz w:val="21"/>
          <w:highlight w:val="none"/>
        </w:rPr>
        <w:t xml:space="preserve">.1所有</w:t>
      </w:r>
      <w:r>
        <w:rPr>
          <w:rFonts w:hint="eastAsia"/>
          <w:color w:val="000000"/>
          <w:sz w:val="21"/>
          <w:highlight w:val="none"/>
          <w:lang w:eastAsia="zh-CN"/>
        </w:rPr>
        <w:t xml:space="preserve">谈判</w:t>
      </w:r>
      <w:r>
        <w:rPr>
          <w:rFonts w:hint="eastAsia"/>
          <w:color w:val="000000"/>
          <w:sz w:val="21"/>
          <w:highlight w:val="none"/>
        </w:rPr>
        <w:t xml:space="preserve">报价以人民币表示。</w:t>
      </w:r>
      <w:r>
        <w:rPr>
          <w:rFonts w:hint="eastAsia"/>
          <w:color w:val="000000"/>
          <w:sz w:val="21"/>
          <w:highlight w:val="none"/>
        </w:rPr>
      </w:r>
      <w:r/>
    </w:p>
    <w:p>
      <w:pPr>
        <w:pStyle w:val="1223"/>
        <w:ind w:firstLine="420"/>
        <w:spacing w:line="360" w:lineRule="auto"/>
        <w:rPr>
          <w:rFonts w:hint="eastAsia" w:cs="宋体"/>
          <w:color w:val="000000"/>
          <w:sz w:val="21"/>
          <w:highlight w:val="none"/>
          <w:lang w:bidi="ar"/>
        </w:rPr>
      </w:pPr>
      <w:r>
        <w:rPr>
          <w:rFonts w:hint="eastAsia"/>
          <w:color w:val="000000"/>
          <w:sz w:val="21"/>
          <w:highlight w:val="none"/>
        </w:rPr>
        <w:t xml:space="preserve">1</w:t>
      </w:r>
      <w:r>
        <w:rPr>
          <w:rFonts w:hint="eastAsia"/>
          <w:color w:val="000000"/>
          <w:sz w:val="21"/>
          <w:highlight w:val="none"/>
          <w:lang w:val="en-US" w:eastAsia="zh-CN"/>
        </w:rPr>
        <w:t xml:space="preserve">1</w:t>
      </w:r>
      <w:r>
        <w:rPr>
          <w:rFonts w:hint="eastAsia"/>
          <w:color w:val="000000"/>
          <w:sz w:val="21"/>
          <w:highlight w:val="none"/>
        </w:rPr>
        <w:t xml:space="preserve">.2供应商在</w:t>
      </w:r>
      <w:r>
        <w:rPr>
          <w:rFonts w:hint="eastAsia"/>
          <w:color w:val="000000"/>
          <w:sz w:val="21"/>
          <w:highlight w:val="none"/>
          <w:lang w:eastAsia="zh-CN"/>
        </w:rPr>
        <w:t xml:space="preserve">谈判</w:t>
      </w:r>
      <w:r>
        <w:rPr>
          <w:rFonts w:hint="eastAsia" w:cs="宋体"/>
          <w:color w:val="000000"/>
          <w:sz w:val="21"/>
          <w:highlight w:val="none"/>
          <w:lang w:bidi="ar"/>
        </w:rPr>
        <w:t xml:space="preserve">截止时间前修改</w:t>
      </w:r>
      <w:r>
        <w:rPr>
          <w:rFonts w:hint="eastAsia" w:cs="宋体"/>
          <w:color w:val="000000"/>
          <w:sz w:val="21"/>
          <w:highlight w:val="none"/>
          <w:lang w:eastAsia="zh-CN" w:bidi="ar"/>
        </w:rPr>
        <w:t xml:space="preserve">谈判</w:t>
      </w:r>
      <w:r>
        <w:rPr>
          <w:rFonts w:hint="eastAsia" w:cs="宋体"/>
          <w:color w:val="000000"/>
          <w:sz w:val="21"/>
          <w:highlight w:val="none"/>
          <w:lang w:bidi="ar"/>
        </w:rPr>
        <w:t xml:space="preserve">函中的</w:t>
      </w:r>
      <w:r>
        <w:rPr>
          <w:rFonts w:hint="eastAsia" w:cs="宋体"/>
          <w:color w:val="000000"/>
          <w:sz w:val="21"/>
          <w:highlight w:val="none"/>
          <w:lang w:eastAsia="zh-CN" w:bidi="ar"/>
        </w:rPr>
        <w:t xml:space="preserve">谈判</w:t>
      </w:r>
      <w:r>
        <w:rPr>
          <w:rFonts w:hint="eastAsia" w:cs="宋体"/>
          <w:color w:val="000000"/>
          <w:sz w:val="21"/>
          <w:highlight w:val="none"/>
          <w:lang w:bidi="ar"/>
        </w:rPr>
        <w:t xml:space="preserve">总报价，应同时修改“工程量清单”中的相应报价。</w:t>
      </w:r>
      <w:r>
        <w:rPr>
          <w:rFonts w:hint="eastAsia" w:cs="宋体"/>
          <w:color w:val="000000"/>
          <w:sz w:val="21"/>
          <w:highlight w:val="none"/>
          <w:lang w:bidi="ar"/>
        </w:rPr>
      </w:r>
      <w:r/>
    </w:p>
    <w:p>
      <w:pPr>
        <w:pStyle w:val="1223"/>
        <w:ind w:firstLine="420"/>
        <w:spacing w:line="360" w:lineRule="auto"/>
        <w:rPr>
          <w:rFonts w:hint="eastAsia" w:cs="宋体"/>
          <w:color w:val="000000"/>
          <w:sz w:val="21"/>
          <w:highlight w:val="none"/>
          <w:lang w:bidi="ar"/>
        </w:rPr>
      </w:pPr>
      <w:r>
        <w:rPr>
          <w:rFonts w:hint="eastAsia" w:cs="宋体"/>
          <w:color w:val="000000"/>
          <w:sz w:val="21"/>
          <w:highlight w:val="none"/>
          <w:lang w:bidi="ar"/>
        </w:rPr>
        <w:t xml:space="preserve">1</w:t>
      </w:r>
      <w:r>
        <w:rPr>
          <w:rFonts w:hint="eastAsia" w:cs="宋体"/>
          <w:color w:val="000000"/>
          <w:sz w:val="21"/>
          <w:highlight w:val="none"/>
          <w:lang w:val="en-US" w:eastAsia="zh-CN" w:bidi="ar"/>
        </w:rPr>
        <w:t xml:space="preserve">1</w:t>
      </w:r>
      <w:r>
        <w:rPr>
          <w:rFonts w:hint="eastAsia" w:cs="宋体"/>
          <w:color w:val="000000"/>
          <w:sz w:val="21"/>
          <w:highlight w:val="none"/>
          <w:lang w:bidi="ar"/>
        </w:rPr>
        <w:t xml:space="preserve">.3除</w:t>
      </w:r>
      <w:r>
        <w:rPr>
          <w:rFonts w:hint="eastAsia" w:cs="宋体"/>
          <w:color w:val="000000"/>
          <w:sz w:val="21"/>
          <w:highlight w:val="none"/>
          <w:lang w:eastAsia="zh-CN" w:bidi="ar"/>
        </w:rPr>
        <w:t xml:space="preserve">谈判</w:t>
      </w:r>
      <w:r>
        <w:rPr>
          <w:rFonts w:hint="eastAsia" w:cs="宋体"/>
          <w:color w:val="000000"/>
          <w:sz w:val="21"/>
          <w:highlight w:val="none"/>
          <w:lang w:bidi="ar"/>
        </w:rPr>
        <w:t xml:space="preserve">文件有强制性规定以及不可竞争部分以外，</w:t>
      </w:r>
      <w:r>
        <w:rPr>
          <w:rFonts w:hint="eastAsia" w:cs="宋体"/>
          <w:color w:val="000000"/>
          <w:sz w:val="21"/>
          <w:highlight w:val="none"/>
          <w:lang w:eastAsia="zh-CN" w:bidi="ar"/>
        </w:rPr>
        <w:t xml:space="preserve">谈判</w:t>
      </w:r>
      <w:r>
        <w:rPr>
          <w:rFonts w:hint="eastAsia" w:cs="宋体"/>
          <w:color w:val="000000"/>
          <w:sz w:val="21"/>
          <w:highlight w:val="none"/>
          <w:lang w:bidi="ar"/>
        </w:rPr>
        <w:t xml:space="preserve">报价应根据</w:t>
      </w:r>
      <w:r>
        <w:rPr>
          <w:rFonts w:hint="eastAsia" w:cs="宋体"/>
          <w:color w:val="000000"/>
          <w:sz w:val="21"/>
          <w:highlight w:val="none"/>
          <w:lang w:eastAsia="zh-CN" w:bidi="ar"/>
        </w:rPr>
        <w:t xml:space="preserve">谈判</w:t>
      </w:r>
      <w:r>
        <w:rPr>
          <w:rFonts w:hint="eastAsia" w:cs="宋体"/>
          <w:color w:val="000000"/>
          <w:sz w:val="21"/>
          <w:highlight w:val="none"/>
          <w:lang w:bidi="ar"/>
        </w:rPr>
        <w:t xml:space="preserve">文件中的有关计价要求，并按照下列依据供应商根据工程实际情况和本企业经营管理水平自主合理报价，但不得低于企业成本价。</w:t>
      </w:r>
      <w:r>
        <w:rPr>
          <w:rFonts w:hint="eastAsia" w:cs="宋体"/>
          <w:color w:val="000000"/>
          <w:sz w:val="21"/>
          <w:highlight w:val="none"/>
          <w:lang w:bidi="ar"/>
        </w:rPr>
      </w:r>
      <w:r/>
    </w:p>
    <w:p>
      <w:pPr>
        <w:pStyle w:val="1223"/>
        <w:ind w:firstLine="420"/>
        <w:spacing w:line="360" w:lineRule="auto"/>
        <w:rPr>
          <w:rFonts w:hint="eastAsia" w:cs="宋体"/>
          <w:color w:val="000000"/>
          <w:sz w:val="21"/>
          <w:highlight w:val="none"/>
          <w:lang w:bidi="ar"/>
        </w:rPr>
      </w:pPr>
      <w:r>
        <w:rPr>
          <w:rFonts w:hint="eastAsia" w:cs="宋体"/>
          <w:color w:val="000000"/>
          <w:sz w:val="21"/>
          <w:highlight w:val="none"/>
          <w:lang w:bidi="ar"/>
        </w:rPr>
        <w:t xml:space="preserve">(1)本工程</w:t>
      </w:r>
      <w:r>
        <w:rPr>
          <w:rFonts w:hint="eastAsia" w:cs="宋体"/>
          <w:color w:val="000000"/>
          <w:sz w:val="21"/>
          <w:highlight w:val="none"/>
          <w:lang w:eastAsia="zh-CN" w:bidi="ar"/>
        </w:rPr>
        <w:t xml:space="preserve">谈判</w:t>
      </w:r>
      <w:r>
        <w:rPr>
          <w:rFonts w:hint="eastAsia" w:cs="宋体"/>
          <w:color w:val="000000"/>
          <w:sz w:val="21"/>
          <w:highlight w:val="none"/>
          <w:lang w:bidi="ar"/>
        </w:rPr>
        <w:t xml:space="preserve">文件、</w:t>
      </w:r>
      <w:r>
        <w:rPr>
          <w:rFonts w:hint="eastAsia" w:cs="宋体"/>
          <w:color w:val="000000"/>
          <w:sz w:val="21"/>
          <w:highlight w:val="none"/>
          <w:lang w:eastAsia="zh-CN" w:bidi="ar"/>
        </w:rPr>
        <w:t xml:space="preserve">谈判</w:t>
      </w:r>
      <w:r>
        <w:rPr>
          <w:rFonts w:hint="eastAsia" w:cs="宋体"/>
          <w:color w:val="000000"/>
          <w:sz w:val="21"/>
          <w:highlight w:val="none"/>
          <w:lang w:bidi="ar"/>
        </w:rPr>
        <w:t xml:space="preserve">文件(包括工程量清单)的澄清、补充和修改文件；</w:t>
      </w:r>
      <w:r>
        <w:rPr>
          <w:rFonts w:hint="eastAsia" w:cs="宋体"/>
          <w:color w:val="000000"/>
          <w:sz w:val="21"/>
          <w:highlight w:val="none"/>
          <w:lang w:bidi="ar"/>
        </w:rPr>
      </w:r>
      <w:r/>
    </w:p>
    <w:p>
      <w:pPr>
        <w:pStyle w:val="1223"/>
        <w:ind w:firstLine="420"/>
        <w:spacing w:line="360" w:lineRule="auto"/>
        <w:rPr>
          <w:rFonts w:hint="eastAsia" w:cs="宋体"/>
          <w:color w:val="000000"/>
          <w:sz w:val="21"/>
          <w:highlight w:val="none"/>
          <w:lang w:bidi="ar"/>
        </w:rPr>
      </w:pPr>
      <w:r>
        <w:rPr>
          <w:rFonts w:hint="eastAsia" w:cs="宋体"/>
          <w:color w:val="000000"/>
          <w:sz w:val="21"/>
          <w:highlight w:val="none"/>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rPr>
          <w:rFonts w:hint="eastAsia" w:cs="宋体"/>
          <w:color w:val="000000"/>
          <w:sz w:val="21"/>
          <w:highlight w:val="none"/>
          <w:lang w:bidi="ar"/>
        </w:rPr>
      </w:r>
      <w:r/>
    </w:p>
    <w:p>
      <w:pPr>
        <w:pStyle w:val="1223"/>
        <w:ind w:firstLine="420"/>
        <w:spacing w:line="360" w:lineRule="auto"/>
        <w:rPr>
          <w:rFonts w:hint="eastAsia" w:cs="宋体"/>
          <w:color w:val="000000"/>
          <w:sz w:val="21"/>
          <w:highlight w:val="none"/>
          <w:lang w:bidi="ar"/>
        </w:rPr>
      </w:pPr>
      <w:r>
        <w:rPr>
          <w:rFonts w:hint="eastAsia" w:cs="宋体"/>
          <w:color w:val="000000"/>
          <w:sz w:val="21"/>
          <w:highlight w:val="none"/>
          <w:lang w:bidi="ar"/>
        </w:rPr>
        <w:t xml:space="preserve">(3)建设工程设计文件及相关资料；与建设项目相关的标准、规定等技术资料；</w:t>
      </w:r>
      <w:r>
        <w:rPr>
          <w:rFonts w:hint="eastAsia" w:cs="宋体"/>
          <w:color w:val="000000"/>
          <w:sz w:val="21"/>
          <w:highlight w:val="none"/>
          <w:lang w:bidi="ar"/>
        </w:rPr>
      </w:r>
      <w:r/>
    </w:p>
    <w:p>
      <w:pPr>
        <w:pStyle w:val="1223"/>
        <w:ind w:firstLine="420"/>
        <w:spacing w:line="360" w:lineRule="auto"/>
        <w:rPr>
          <w:rFonts w:hint="eastAsia" w:cs="宋体"/>
          <w:color w:val="000000"/>
          <w:sz w:val="21"/>
          <w:highlight w:val="none"/>
          <w:lang w:bidi="ar"/>
        </w:rPr>
      </w:pPr>
      <w:r>
        <w:rPr>
          <w:rFonts w:hint="eastAsia" w:cs="宋体"/>
          <w:color w:val="000000"/>
          <w:sz w:val="21"/>
          <w:highlight w:val="none"/>
          <w:lang w:bidi="ar"/>
        </w:rPr>
        <w:t xml:space="preserve">(4)其他的相关资料。</w:t>
      </w:r>
      <w:r>
        <w:rPr>
          <w:rFonts w:hint="eastAsia" w:cs="宋体"/>
          <w:color w:val="000000"/>
          <w:sz w:val="21"/>
          <w:highlight w:val="none"/>
          <w:lang w:bidi="ar"/>
        </w:rPr>
      </w:r>
      <w:r/>
    </w:p>
    <w:p>
      <w:pPr>
        <w:pStyle w:val="1223"/>
        <w:ind w:firstLine="420"/>
        <w:spacing w:line="360" w:lineRule="auto"/>
        <w:rPr>
          <w:rFonts w:hint="eastAsia" w:cs="宋体"/>
          <w:color w:val="000000"/>
          <w:sz w:val="21"/>
          <w:highlight w:val="none"/>
          <w:lang w:bidi="ar"/>
        </w:rPr>
      </w:pPr>
      <w:r>
        <w:rPr>
          <w:rFonts w:hint="eastAsia" w:cs="宋体"/>
          <w:color w:val="000000"/>
          <w:sz w:val="21"/>
          <w:highlight w:val="none"/>
          <w:lang w:bidi="ar"/>
        </w:rPr>
        <w:t xml:space="preserve">1</w:t>
      </w:r>
      <w:r>
        <w:rPr>
          <w:rFonts w:hint="eastAsia" w:cs="宋体"/>
          <w:color w:val="000000"/>
          <w:sz w:val="21"/>
          <w:highlight w:val="none"/>
          <w:lang w:val="en-US" w:eastAsia="zh-CN" w:bidi="ar"/>
        </w:rPr>
        <w:t xml:space="preserve">1</w:t>
      </w:r>
      <w:r>
        <w:rPr>
          <w:rFonts w:hint="eastAsia" w:cs="宋体"/>
          <w:color w:val="000000"/>
          <w:sz w:val="21"/>
          <w:highlight w:val="none"/>
          <w:lang w:bidi="ar"/>
        </w:rPr>
        <w:t xml:space="preserve">.4报价中单价、合价均采用人民币表示。已标价的工程量清单必须按照</w:t>
      </w:r>
      <w:r>
        <w:rPr>
          <w:rFonts w:hint="eastAsia" w:cs="宋体"/>
          <w:color w:val="000000"/>
          <w:sz w:val="21"/>
          <w:highlight w:val="none"/>
          <w:lang w:eastAsia="zh-CN" w:bidi="ar"/>
        </w:rPr>
        <w:t xml:space="preserve">谈判</w:t>
      </w:r>
      <w:r>
        <w:rPr>
          <w:rFonts w:hint="eastAsia" w:cs="宋体"/>
          <w:color w:val="000000"/>
          <w:sz w:val="21"/>
          <w:highlight w:val="none"/>
          <w:lang w:bidi="ar"/>
        </w:rPr>
        <w:t xml:space="preserve">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w:t>
      </w:r>
      <w:r>
        <w:rPr>
          <w:rFonts w:hint="eastAsia" w:cs="宋体"/>
          <w:color w:val="000000"/>
          <w:sz w:val="21"/>
          <w:highlight w:val="none"/>
          <w:lang w:eastAsia="zh-CN" w:bidi="ar"/>
        </w:rPr>
        <w:t xml:space="preserve">谈判</w:t>
      </w:r>
      <w:r>
        <w:rPr>
          <w:rFonts w:hint="eastAsia" w:cs="宋体"/>
          <w:color w:val="000000"/>
          <w:sz w:val="21"/>
          <w:highlight w:val="none"/>
          <w:lang w:bidi="ar"/>
        </w:rPr>
        <w:t xml:space="preserve">总价的计算。</w:t>
      </w:r>
      <w:r>
        <w:rPr>
          <w:rFonts w:hint="eastAsia" w:cs="宋体"/>
          <w:color w:val="000000"/>
          <w:sz w:val="21"/>
          <w:highlight w:val="none"/>
          <w:lang w:bidi="ar"/>
        </w:rPr>
      </w:r>
      <w:r/>
    </w:p>
    <w:p>
      <w:pPr>
        <w:pStyle w:val="1151"/>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.5工程量清单成交价的单价或金额，应包括所需人工费、材料费、施工机械使用费和管理费及利润，以及一定范围内的风险费用。所谓“一定范围内的风险”是指合同约定的风险。</w:t>
      </w:r>
      <w:r>
        <w:rPr>
          <w:rFonts w:hint="eastAsia" w:ascii="宋体" w:hAnsi="宋体" w:cs="宋体"/>
          <w:color w:val="000000"/>
          <w:szCs w:val="21"/>
          <w:highlight w:val="none"/>
          <w:lang w:bidi="ar"/>
        </w:rPr>
      </w:r>
      <w:r/>
    </w:p>
    <w:p>
      <w:pPr>
        <w:pStyle w:val="1151"/>
        <w:ind w:firstLine="422"/>
        <w:jc w:val="left"/>
        <w:spacing w:line="360" w:lineRule="auto"/>
        <w:widowControl/>
        <w:rPr>
          <w:rFonts w:hint="eastAsia" w:ascii="宋体" w:hAnsi="宋体" w:cs="宋体"/>
          <w:b w:val="0"/>
          <w:bCs w:val="0"/>
          <w:color w:val="000000"/>
          <w:szCs w:val="21"/>
          <w:highlight w:val="none"/>
          <w:u w:val="none"/>
          <w:lang w:bidi="ar"/>
        </w:rPr>
      </w:pPr>
      <w:r>
        <w:rPr>
          <w:rFonts w:hint="eastAsia" w:ascii="宋体" w:hAnsi="宋体" w:cs="宋体"/>
          <w:b w:val="0"/>
          <w:bCs w:val="0"/>
          <w:color w:val="000000"/>
          <w:szCs w:val="21"/>
          <w:highlight w:val="none"/>
          <w:u w:val="none"/>
          <w:lang w:bidi="ar"/>
        </w:rPr>
        <w:t xml:space="preserve">1</w:t>
      </w:r>
      <w:r>
        <w:rPr>
          <w:rFonts w:hint="eastAsia" w:ascii="宋体" w:hAnsi="宋体" w:cs="宋体"/>
          <w:b w:val="0"/>
          <w:bCs w:val="0"/>
          <w:color w:val="000000"/>
          <w:szCs w:val="21"/>
          <w:highlight w:val="none"/>
          <w:u w:val="none"/>
          <w:lang w:val="en-US" w:eastAsia="zh-CN" w:bidi="ar"/>
        </w:rPr>
        <w:t xml:space="preserve">1</w:t>
      </w:r>
      <w:r>
        <w:rPr>
          <w:rFonts w:hint="eastAsia" w:ascii="宋体" w:hAnsi="宋体" w:cs="宋体"/>
          <w:b w:val="0"/>
          <w:bCs w:val="0"/>
          <w:color w:val="000000"/>
          <w:szCs w:val="21"/>
          <w:highlight w:val="none"/>
          <w:u w:val="none"/>
          <w:lang w:bidi="ar"/>
        </w:rPr>
        <w:t xml:space="preserve">.6供应商的</w:t>
      </w:r>
      <w:r>
        <w:rPr>
          <w:rFonts w:hint="eastAsia" w:ascii="宋体" w:hAnsi="宋体" w:cs="宋体"/>
          <w:b w:val="0"/>
          <w:bCs w:val="0"/>
          <w:color w:val="000000"/>
          <w:szCs w:val="21"/>
          <w:highlight w:val="none"/>
          <w:u w:val="none"/>
          <w:lang w:eastAsia="zh-CN" w:bidi="ar"/>
        </w:rPr>
        <w:t xml:space="preserve">谈判</w:t>
      </w:r>
      <w:r>
        <w:rPr>
          <w:rFonts w:hint="eastAsia" w:ascii="宋体" w:hAnsi="宋体" w:cs="宋体"/>
          <w:b w:val="0"/>
          <w:bCs w:val="0"/>
          <w:color w:val="000000"/>
          <w:szCs w:val="21"/>
          <w:highlight w:val="none"/>
          <w:u w:val="none"/>
          <w:lang w:bidi="ar"/>
        </w:rPr>
        <w:t xml:space="preserve">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rPr>
          <w:rFonts w:hint="eastAsia" w:ascii="宋体" w:hAnsi="宋体" w:cs="宋体"/>
          <w:b w:val="0"/>
          <w:bCs w:val="0"/>
          <w:color w:val="000000"/>
          <w:szCs w:val="21"/>
          <w:highlight w:val="none"/>
          <w:u w:val="none"/>
          <w:lang w:bidi="ar"/>
        </w:rPr>
      </w:r>
      <w:r/>
    </w:p>
    <w:p>
      <w:pPr>
        <w:pStyle w:val="1151"/>
        <w:ind w:firstLine="420"/>
        <w:jc w:val="left"/>
        <w:spacing w:line="360" w:lineRule="auto"/>
        <w:widowControl/>
        <w:rPr>
          <w:rFonts w:hint="eastAsia" w:ascii="宋体" w:hAnsi="宋体" w:cs="宋体"/>
          <w:b w:val="0"/>
          <w:bCs w:val="0"/>
          <w:color w:val="000000"/>
          <w:szCs w:val="21"/>
          <w:highlight w:val="none"/>
          <w:u w:val="none"/>
          <w:lang w:bidi="ar"/>
        </w:rPr>
      </w:pPr>
      <w:r>
        <w:rPr>
          <w:rFonts w:hint="eastAsia" w:ascii="宋体" w:hAnsi="宋体" w:cs="宋体"/>
          <w:b w:val="0"/>
          <w:bCs w:val="0"/>
          <w:color w:val="000000"/>
          <w:szCs w:val="21"/>
          <w:highlight w:val="none"/>
          <w:u w:val="none"/>
          <w:lang w:bidi="ar"/>
        </w:rPr>
        <w:t xml:space="preserve">1</w:t>
      </w:r>
      <w:r>
        <w:rPr>
          <w:rFonts w:hint="eastAsia" w:ascii="宋体" w:hAnsi="宋体" w:cs="宋体"/>
          <w:b w:val="0"/>
          <w:bCs w:val="0"/>
          <w:color w:val="000000"/>
          <w:szCs w:val="21"/>
          <w:highlight w:val="none"/>
          <w:u w:val="none"/>
          <w:lang w:val="en-US" w:eastAsia="zh-CN" w:bidi="ar"/>
        </w:rPr>
        <w:t xml:space="preserve">1</w:t>
      </w:r>
      <w:r>
        <w:rPr>
          <w:rFonts w:hint="eastAsia" w:ascii="宋体" w:hAnsi="宋体" w:cs="宋体"/>
          <w:b w:val="0"/>
          <w:bCs w:val="0"/>
          <w:color w:val="000000"/>
          <w:szCs w:val="21"/>
          <w:highlight w:val="none"/>
          <w:u w:val="none"/>
          <w:lang w:bidi="ar"/>
        </w:rPr>
        <w:t xml:space="preserve">.7</w:t>
      </w:r>
      <w:r>
        <w:rPr>
          <w:rFonts w:hint="eastAsia" w:ascii="宋体" w:hAnsi="宋体" w:cs="宋体"/>
          <w:b w:val="0"/>
          <w:bCs w:val="0"/>
          <w:color w:val="000000"/>
          <w:szCs w:val="21"/>
          <w:highlight w:val="none"/>
          <w:u w:val="none"/>
          <w:lang w:eastAsia="zh-CN" w:bidi="ar"/>
        </w:rPr>
        <w:t xml:space="preserve">谈判</w:t>
      </w:r>
      <w:r>
        <w:rPr>
          <w:rFonts w:hint="eastAsia" w:ascii="宋体" w:hAnsi="宋体" w:cs="宋体"/>
          <w:b w:val="0"/>
          <w:bCs w:val="0"/>
          <w:color w:val="000000"/>
          <w:szCs w:val="21"/>
          <w:highlight w:val="none"/>
          <w:u w:val="none"/>
          <w:lang w:bidi="ar"/>
        </w:rPr>
        <w:t xml:space="preserve">报价汇总表”中的</w:t>
      </w:r>
      <w:r>
        <w:rPr>
          <w:rFonts w:hint="eastAsia" w:ascii="宋体" w:hAnsi="宋体" w:cs="宋体"/>
          <w:b w:val="0"/>
          <w:bCs w:val="0"/>
          <w:color w:val="000000"/>
          <w:szCs w:val="21"/>
          <w:highlight w:val="none"/>
          <w:u w:val="none"/>
          <w:lang w:eastAsia="zh-CN" w:bidi="ar"/>
        </w:rPr>
        <w:t xml:space="preserve">谈判</w:t>
      </w:r>
      <w:r>
        <w:rPr>
          <w:rFonts w:hint="eastAsia" w:ascii="宋体" w:hAnsi="宋体" w:cs="宋体"/>
          <w:b w:val="0"/>
          <w:bCs w:val="0"/>
          <w:color w:val="000000"/>
          <w:szCs w:val="21"/>
          <w:highlight w:val="none"/>
          <w:u w:val="none"/>
          <w:lang w:bidi="ar"/>
        </w:rPr>
        <w:t xml:space="preserve">总价由分部分项工程费、措施项目费、其他项目费、规费和税金组成，并且“</w:t>
      </w:r>
      <w:r>
        <w:rPr>
          <w:rFonts w:hint="eastAsia" w:ascii="宋体" w:hAnsi="宋体" w:cs="宋体"/>
          <w:b w:val="0"/>
          <w:bCs w:val="0"/>
          <w:color w:val="000000"/>
          <w:szCs w:val="21"/>
          <w:highlight w:val="none"/>
          <w:u w:val="none"/>
          <w:lang w:eastAsia="zh-CN" w:bidi="ar"/>
        </w:rPr>
        <w:t xml:space="preserve">谈判</w:t>
      </w:r>
      <w:r>
        <w:rPr>
          <w:rFonts w:hint="eastAsia" w:ascii="宋体" w:hAnsi="宋体" w:cs="宋体"/>
          <w:b w:val="0"/>
          <w:bCs w:val="0"/>
          <w:color w:val="000000"/>
          <w:szCs w:val="21"/>
          <w:highlight w:val="none"/>
          <w:u w:val="none"/>
          <w:lang w:bidi="ar"/>
        </w:rPr>
        <w:t xml:space="preserve">报价汇总表”中的</w:t>
      </w:r>
      <w:r>
        <w:rPr>
          <w:rFonts w:hint="eastAsia" w:ascii="宋体" w:hAnsi="宋体" w:cs="宋体"/>
          <w:b w:val="0"/>
          <w:bCs w:val="0"/>
          <w:color w:val="000000"/>
          <w:szCs w:val="21"/>
          <w:highlight w:val="none"/>
          <w:u w:val="none"/>
          <w:lang w:eastAsia="zh-CN" w:bidi="ar"/>
        </w:rPr>
        <w:t xml:space="preserve">谈判</w:t>
      </w:r>
      <w:r>
        <w:rPr>
          <w:rFonts w:hint="eastAsia" w:ascii="宋体" w:hAnsi="宋体" w:cs="宋体"/>
          <w:b w:val="0"/>
          <w:bCs w:val="0"/>
          <w:color w:val="000000"/>
          <w:szCs w:val="21"/>
          <w:highlight w:val="none"/>
          <w:u w:val="none"/>
          <w:lang w:bidi="ar"/>
        </w:rPr>
        <w:t xml:space="preserve">总价应当与构成已标价工程量清单的分部分项工程费、措施项目费、其他项目费、规费、税金的合计金额一致。</w:t>
      </w:r>
      <w:r>
        <w:rPr>
          <w:rFonts w:hint="eastAsia" w:ascii="宋体" w:hAnsi="宋体" w:cs="宋体"/>
          <w:b w:val="0"/>
          <w:bCs w:val="0"/>
          <w:color w:val="000000"/>
          <w:szCs w:val="21"/>
          <w:highlight w:val="none"/>
          <w:u w:val="none"/>
          <w:lang w:bidi="ar"/>
        </w:rPr>
      </w:r>
      <w:r/>
    </w:p>
    <w:p>
      <w:pPr>
        <w:pStyle w:val="1151"/>
        <w:ind w:firstLine="420"/>
        <w:jc w:val="left"/>
        <w:spacing w:line="360" w:lineRule="auto"/>
        <w:widowControl/>
        <w:rPr>
          <w:rFonts w:hint="eastAsia" w:ascii="宋体" w:hAnsi="宋体" w:cs="宋体"/>
          <w:b w:val="0"/>
          <w:bCs w:val="0"/>
          <w:color w:val="000000"/>
          <w:szCs w:val="21"/>
          <w:highlight w:val="none"/>
          <w:u w:val="none"/>
          <w:lang w:bidi="ar"/>
        </w:rPr>
      </w:pPr>
      <w:r>
        <w:rPr>
          <w:rFonts w:hint="eastAsia" w:ascii="宋体" w:hAnsi="宋体" w:cs="宋体"/>
          <w:b w:val="0"/>
          <w:bCs w:val="0"/>
          <w:color w:val="000000"/>
          <w:szCs w:val="21"/>
          <w:highlight w:val="none"/>
          <w:u w:val="none"/>
          <w:lang w:bidi="ar"/>
        </w:rPr>
        <w:t xml:space="preserve">1</w:t>
      </w:r>
      <w:r>
        <w:rPr>
          <w:rFonts w:hint="eastAsia" w:ascii="宋体" w:hAnsi="宋体" w:cs="宋体"/>
          <w:b w:val="0"/>
          <w:bCs w:val="0"/>
          <w:color w:val="000000"/>
          <w:szCs w:val="21"/>
          <w:highlight w:val="none"/>
          <w:u w:val="none"/>
          <w:lang w:val="en-US" w:eastAsia="zh-CN" w:bidi="ar"/>
        </w:rPr>
        <w:t xml:space="preserve">1</w:t>
      </w:r>
      <w:r>
        <w:rPr>
          <w:rFonts w:hint="eastAsia" w:ascii="宋体" w:hAnsi="宋体" w:cs="宋体"/>
          <w:b w:val="0"/>
          <w:bCs w:val="0"/>
          <w:color w:val="000000"/>
          <w:szCs w:val="21"/>
          <w:highlight w:val="none"/>
          <w:u w:val="none"/>
          <w:lang w:bidi="ar"/>
        </w:rPr>
        <w:t xml:space="preserve">.8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r>
        <w:rPr>
          <w:rFonts w:hint="eastAsia" w:ascii="宋体" w:hAnsi="宋体" w:cs="宋体"/>
          <w:b w:val="0"/>
          <w:bCs w:val="0"/>
          <w:color w:val="000000"/>
          <w:szCs w:val="21"/>
          <w:highlight w:val="none"/>
          <w:u w:val="none"/>
          <w:lang w:bidi="ar"/>
        </w:rPr>
      </w:r>
      <w:r/>
    </w:p>
    <w:p>
      <w:pPr>
        <w:pStyle w:val="1151"/>
        <w:ind w:firstLine="420"/>
        <w:jc w:val="left"/>
        <w:spacing w:line="360" w:lineRule="auto"/>
        <w:widowControl/>
        <w:rPr>
          <w:rFonts w:hint="eastAsia" w:ascii="宋体" w:hAnsi="宋体" w:cs="宋体"/>
          <w:b w:val="0"/>
          <w:bCs w:val="0"/>
          <w:color w:val="000000"/>
          <w:szCs w:val="21"/>
          <w:highlight w:val="none"/>
          <w:u w:val="none"/>
          <w:lang w:bidi="ar"/>
        </w:rPr>
      </w:pPr>
      <w:r>
        <w:rPr>
          <w:rFonts w:hint="eastAsia" w:ascii="宋体" w:hAnsi="宋体" w:cs="宋体"/>
          <w:b w:val="0"/>
          <w:bCs w:val="0"/>
          <w:color w:val="000000"/>
          <w:szCs w:val="21"/>
          <w:highlight w:val="none"/>
          <w:u w:val="none"/>
          <w:lang w:bidi="ar"/>
        </w:rPr>
        <w:t xml:space="preserve">1</w:t>
      </w:r>
      <w:r>
        <w:rPr>
          <w:rFonts w:hint="eastAsia" w:ascii="宋体" w:hAnsi="宋体" w:cs="宋体"/>
          <w:b w:val="0"/>
          <w:bCs w:val="0"/>
          <w:color w:val="000000"/>
          <w:szCs w:val="21"/>
          <w:highlight w:val="none"/>
          <w:u w:val="none"/>
          <w:lang w:val="en-US" w:eastAsia="zh-CN" w:bidi="ar"/>
        </w:rPr>
        <w:t xml:space="preserve">1</w:t>
      </w:r>
      <w:r>
        <w:rPr>
          <w:rFonts w:hint="eastAsia" w:ascii="宋体" w:hAnsi="宋体" w:cs="宋体"/>
          <w:b w:val="0"/>
          <w:bCs w:val="0"/>
          <w:color w:val="000000"/>
          <w:szCs w:val="21"/>
          <w:highlight w:val="none"/>
          <w:u w:val="none"/>
          <w:lang w:bidi="ar"/>
        </w:rPr>
        <w:t xml:space="preserve">.9工程量清单报价中的项目单价与其数量相乘的总和，应与报价总价及</w:t>
      </w:r>
      <w:r>
        <w:rPr>
          <w:rFonts w:hint="eastAsia" w:ascii="宋体" w:hAnsi="宋体" w:cs="宋体"/>
          <w:b w:val="0"/>
          <w:bCs w:val="0"/>
          <w:color w:val="000000"/>
          <w:szCs w:val="21"/>
          <w:highlight w:val="none"/>
          <w:u w:val="none"/>
          <w:lang w:eastAsia="zh-CN" w:bidi="ar"/>
        </w:rPr>
        <w:t xml:space="preserve">谈判</w:t>
      </w:r>
      <w:r>
        <w:rPr>
          <w:rFonts w:hint="eastAsia" w:ascii="宋体" w:hAnsi="宋体" w:cs="宋体"/>
          <w:b w:val="0"/>
          <w:bCs w:val="0"/>
          <w:color w:val="000000"/>
          <w:szCs w:val="21"/>
          <w:highlight w:val="none"/>
          <w:u w:val="none"/>
          <w:lang w:bidi="ar"/>
        </w:rPr>
        <w:t xml:space="preserve">函中的</w:t>
      </w:r>
      <w:r>
        <w:rPr>
          <w:rFonts w:hint="eastAsia" w:ascii="宋体" w:hAnsi="宋体" w:cs="宋体"/>
          <w:b w:val="0"/>
          <w:bCs w:val="0"/>
          <w:color w:val="000000"/>
          <w:szCs w:val="21"/>
          <w:highlight w:val="none"/>
          <w:u w:val="none"/>
          <w:lang w:eastAsia="zh-CN" w:bidi="ar"/>
        </w:rPr>
        <w:t xml:space="preserve">谈判</w:t>
      </w:r>
      <w:r>
        <w:rPr>
          <w:rFonts w:hint="eastAsia" w:ascii="宋体" w:hAnsi="宋体" w:cs="宋体"/>
          <w:b w:val="0"/>
          <w:bCs w:val="0"/>
          <w:color w:val="000000"/>
          <w:szCs w:val="21"/>
          <w:highlight w:val="none"/>
          <w:u w:val="none"/>
          <w:lang w:bidi="ar"/>
        </w:rPr>
        <w:t xml:space="preserve">总价相符，不符时以单价与数量乘积的总和为准。</w:t>
      </w:r>
      <w:r>
        <w:rPr>
          <w:rFonts w:hint="eastAsia" w:ascii="宋体" w:hAnsi="宋体" w:cs="宋体"/>
          <w:b w:val="0"/>
          <w:bCs w:val="0"/>
          <w:color w:val="000000"/>
          <w:szCs w:val="21"/>
          <w:highlight w:val="none"/>
          <w:u w:val="none"/>
          <w:lang w:bidi="ar"/>
        </w:rPr>
      </w:r>
      <w:r/>
    </w:p>
    <w:p>
      <w:pPr>
        <w:pStyle w:val="1151"/>
        <w:ind w:firstLine="404"/>
        <w:jc w:val="left"/>
        <w:spacing w:line="360" w:lineRule="auto"/>
        <w:widowControl/>
        <w:rPr>
          <w:rFonts w:hint="eastAsia" w:ascii="宋体" w:hAnsi="宋体" w:cs="宋体"/>
          <w:color w:val="000000"/>
          <w:spacing w:val="-4"/>
          <w:szCs w:val="21"/>
          <w:highlight w:val="none"/>
          <w:lang w:bidi="ar"/>
        </w:rPr>
      </w:pPr>
      <w:r>
        <w:rPr>
          <w:rFonts w:hint="eastAsia" w:ascii="宋体" w:hAnsi="宋体" w:cs="宋体"/>
          <w:color w:val="000000"/>
          <w:spacing w:val="-4"/>
          <w:szCs w:val="21"/>
          <w:highlight w:val="none"/>
          <w:lang w:bidi="ar"/>
        </w:rPr>
        <w:t xml:space="preserve">1</w:t>
      </w:r>
      <w:r>
        <w:rPr>
          <w:rFonts w:hint="eastAsia" w:ascii="宋体" w:hAnsi="宋体" w:cs="宋体"/>
          <w:color w:val="000000"/>
          <w:spacing w:val="-4"/>
          <w:szCs w:val="21"/>
          <w:highlight w:val="none"/>
          <w:lang w:val="en-US" w:eastAsia="zh-CN" w:bidi="ar"/>
        </w:rPr>
        <w:t xml:space="preserve">2</w:t>
      </w:r>
      <w:r>
        <w:rPr>
          <w:rFonts w:hint="eastAsia" w:ascii="宋体" w:hAnsi="宋体" w:cs="宋体"/>
          <w:color w:val="000000"/>
          <w:spacing w:val="-4"/>
          <w:szCs w:val="21"/>
          <w:highlight w:val="none"/>
          <w:lang w:bidi="ar"/>
        </w:rPr>
        <w:t xml:space="preserve">、供应商在报价时应按GB50500-2013《建设工程工程量清单计价规范》和</w:t>
      </w:r>
      <w:r>
        <w:rPr>
          <w:rFonts w:hint="eastAsia" w:ascii="宋体" w:hAnsi="宋体" w:cs="宋体"/>
          <w:color w:val="000000"/>
          <w:spacing w:val="-4"/>
          <w:szCs w:val="21"/>
          <w:highlight w:val="none"/>
          <w:lang w:eastAsia="zh-CN" w:bidi="ar"/>
        </w:rPr>
        <w:t xml:space="preserve">谈判</w:t>
      </w:r>
      <w:r>
        <w:rPr>
          <w:rFonts w:hint="eastAsia" w:ascii="宋体" w:hAnsi="宋体" w:cs="宋体"/>
          <w:color w:val="000000"/>
          <w:spacing w:val="-4"/>
          <w:szCs w:val="21"/>
          <w:highlight w:val="none"/>
          <w:lang w:bidi="ar"/>
        </w:rPr>
        <w:t xml:space="preserve">文件规定的格式，提供完整齐全的文件。</w:t>
      </w:r>
      <w:r>
        <w:rPr>
          <w:rFonts w:hint="eastAsia" w:ascii="宋体" w:hAnsi="宋体" w:cs="宋体"/>
          <w:color w:val="000000"/>
          <w:spacing w:val="-4"/>
          <w:szCs w:val="21"/>
          <w:highlight w:val="none"/>
          <w:lang w:bidi="ar"/>
        </w:rPr>
      </w:r>
      <w:r/>
    </w:p>
    <w:p>
      <w:pPr>
        <w:pStyle w:val="1151"/>
        <w:ind w:firstLine="376"/>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pacing w:val="-11"/>
          <w:szCs w:val="21"/>
          <w:highlight w:val="none"/>
          <w:lang w:bidi="ar"/>
        </w:rPr>
        <w:t xml:space="preserve">1</w:t>
      </w:r>
      <w:r>
        <w:rPr>
          <w:rFonts w:hint="eastAsia" w:ascii="宋体" w:hAnsi="宋体" w:cs="宋体"/>
          <w:color w:val="000000"/>
          <w:spacing w:val="-11"/>
          <w:szCs w:val="21"/>
          <w:highlight w:val="none"/>
          <w:lang w:val="en-US" w:eastAsia="zh-CN" w:bidi="ar"/>
        </w:rPr>
        <w:t xml:space="preserve">3</w:t>
      </w:r>
      <w:r>
        <w:rPr>
          <w:rFonts w:hint="eastAsia" w:ascii="宋体" w:hAnsi="宋体" w:cs="宋体"/>
          <w:color w:val="000000"/>
          <w:spacing w:val="-11"/>
          <w:szCs w:val="21"/>
          <w:highlight w:val="none"/>
          <w:lang w:bidi="ar"/>
        </w:rPr>
        <w:t xml:space="preserve">、单</w:t>
      </w:r>
      <w:r>
        <w:rPr>
          <w:rFonts w:hint="eastAsia" w:ascii="宋体" w:hAnsi="宋体" w:cs="宋体"/>
          <w:color w:val="000000"/>
          <w:szCs w:val="21"/>
          <w:highlight w:val="none"/>
          <w:lang w:bidi="ar"/>
        </w:rPr>
        <w:t xml:space="preserve">价和总价均应包括但不限于所有设备、材料、税金、包装费、运杂费、保险费、卸力费、安装调试费、资料费、保修期内维修费用等直至完全交付采购人使用的所有费用。</w:t>
      </w:r>
      <w:r>
        <w:rPr>
          <w:rFonts w:hint="eastAsia" w:ascii="宋体" w:hAnsi="宋体" w:cs="宋体"/>
          <w:color w:val="000000"/>
          <w:szCs w:val="21"/>
          <w:highlight w:val="none"/>
          <w:lang w:bidi="ar"/>
        </w:rPr>
      </w:r>
      <w:r/>
    </w:p>
    <w:p>
      <w:pPr>
        <w:pStyle w:val="1151"/>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rPr>
          <w:rFonts w:hint="eastAsia" w:ascii="宋体" w:hAnsi="宋体" w:cs="宋体"/>
          <w:color w:val="000000"/>
          <w:szCs w:val="21"/>
          <w:highlight w:val="none"/>
          <w:lang w:bidi="ar"/>
        </w:rPr>
      </w:r>
      <w:r/>
    </w:p>
    <w:p>
      <w:pPr>
        <w:pStyle w:val="1151"/>
        <w:spacing w:line="360" w:lineRule="auto"/>
        <w:rPr>
          <w:rFonts w:hint="eastAsia" w:ascii="宋体" w:hAnsi="宋体" w:cs="宋体"/>
          <w:color w:val="000000"/>
          <w:sz w:val="36"/>
        </w:rPr>
      </w:pPr>
      <w:r>
        <w:rPr>
          <w:rFonts w:hint="eastAsia" w:ascii="宋体" w:hAnsi="宋体" w:cs="宋体"/>
          <w:color w:val="000000"/>
          <w:sz w:val="36"/>
        </w:rPr>
      </w:r>
      <w:r/>
    </w:p>
    <w:p>
      <w:pPr>
        <w:pStyle w:val="1196"/>
        <w:numPr>
          <w:ilvl w:val="0"/>
          <w:numId w:val="0"/>
        </w:numPr>
        <w:jc w:val="both"/>
        <w:widowControl w:val="off"/>
        <w:tabs>
          <w:tab w:val="left" w:pos="780" w:leader="none"/>
        </w:tabs>
        <w:rPr>
          <w:rFonts w:hint="eastAsia" w:ascii="宋体" w:hAnsi="宋体" w:cs="宋体"/>
          <w:color w:val="000000"/>
          <w:sz w:val="36"/>
        </w:rPr>
      </w:pPr>
      <w:r>
        <w:rPr>
          <w:rFonts w:hint="eastAsia" w:ascii="宋体" w:hAnsi="宋体" w:cs="宋体"/>
          <w:color w:val="000000"/>
          <w:sz w:val="36"/>
        </w:rPr>
      </w:r>
      <w:r/>
    </w:p>
    <w:p>
      <w:pPr>
        <w:pStyle w:val="1196"/>
        <w:numPr>
          <w:ilvl w:val="0"/>
          <w:numId w:val="0"/>
        </w:numPr>
        <w:jc w:val="both"/>
        <w:widowControl w:val="off"/>
        <w:tabs>
          <w:tab w:val="left" w:pos="780" w:leader="none"/>
        </w:tabs>
        <w:rPr>
          <w:rFonts w:hint="eastAsia" w:ascii="宋体" w:hAnsi="宋体" w:cs="宋体"/>
          <w:color w:val="000000"/>
          <w:sz w:val="36"/>
          <w:lang w:eastAsia="zh-CN"/>
        </w:rPr>
      </w:pPr>
      <w:r>
        <w:rPr>
          <w:rFonts w:hint="eastAsia" w:ascii="宋体" w:hAnsi="宋体" w:cs="宋体"/>
          <w:color w:val="000000"/>
          <w:sz w:val="36"/>
          <w:lang w:eastAsia="zh-CN"/>
        </w:rPr>
        <w:t xml:space="preserve">附件</w:t>
      </w:r>
      <w:r>
        <w:rPr>
          <w:rFonts w:hint="eastAsia" w:ascii="宋体" w:hAnsi="宋体" w:cs="宋体"/>
          <w:color w:val="000000"/>
          <w:sz w:val="36"/>
          <w:lang w:val="en-US" w:eastAsia="zh-CN"/>
        </w:rPr>
        <w:t xml:space="preserve">1</w:t>
      </w:r>
      <w:r>
        <w:rPr>
          <w:rFonts w:hint="eastAsia" w:ascii="宋体" w:hAnsi="宋体" w:cs="宋体"/>
          <w:color w:val="000000"/>
          <w:sz w:val="36"/>
          <w:lang w:eastAsia="zh-CN"/>
        </w:rPr>
        <w:t xml:space="preserve">：</w:t>
      </w:r>
      <w:r>
        <w:rPr>
          <w:rFonts w:hint="eastAsia" w:ascii="宋体" w:hAnsi="宋体" w:cs="宋体"/>
          <w:color w:val="000000"/>
          <w:sz w:val="36"/>
          <w:lang w:eastAsia="zh-CN"/>
        </w:rPr>
      </w:r>
      <w:r/>
    </w:p>
    <w:p>
      <w:pPr>
        <w:pStyle w:val="1151"/>
        <w:jc w:val="center"/>
        <w:spacing w:line="360" w:lineRule="auto"/>
        <w:rPr>
          <w:b/>
          <w:sz w:val="48"/>
          <w:szCs w:val="48"/>
          <w:u w:val="single"/>
        </w:rPr>
      </w:pPr>
      <w:r>
        <w:rPr>
          <w:b/>
          <w:sz w:val="48"/>
          <w:szCs w:val="48"/>
          <w:u w:val="single"/>
        </w:rPr>
      </w:r>
      <w:r/>
    </w:p>
    <w:p>
      <w:pPr>
        <w:pStyle w:val="1151"/>
        <w:jc w:val="center"/>
        <w:rPr>
          <w:b/>
          <w:sz w:val="48"/>
          <w:szCs w:val="48"/>
          <w:u w:val="single"/>
        </w:rPr>
      </w:pPr>
      <w:r>
        <w:rPr>
          <w:rFonts w:hint="eastAsia"/>
          <w:b/>
          <w:sz w:val="48"/>
          <w:szCs w:val="48"/>
          <w:u w:val="single"/>
        </w:rPr>
        <w:t xml:space="preserve">一二次融合标准化环网箱,AC10kV,630A,标准化,集中式DTU,进出线断路器</w:t>
      </w:r>
      <w:r>
        <w:rPr>
          <w:b/>
          <w:sz w:val="48"/>
          <w:szCs w:val="48"/>
          <w:u w:val="single"/>
        </w:rPr>
      </w:r>
      <w:r/>
    </w:p>
    <w:p>
      <w:pPr>
        <w:pStyle w:val="1151"/>
        <w:jc w:val="center"/>
        <w:rPr>
          <w:b/>
          <w:sz w:val="48"/>
          <w:szCs w:val="48"/>
          <w:u w:val="single"/>
        </w:rPr>
      </w:pPr>
      <w:r>
        <w:rPr>
          <w:b/>
          <w:sz w:val="48"/>
          <w:szCs w:val="48"/>
          <w:u w:val="single"/>
        </w:rPr>
      </w:r>
      <w:r/>
    </w:p>
    <w:p>
      <w:pPr>
        <w:pStyle w:val="1151"/>
        <w:spacing w:line="360" w:lineRule="auto"/>
        <w:rPr>
          <w:rFonts w:eastAsia="方正小标宋简体"/>
          <w:sz w:val="72"/>
          <w:szCs w:val="72"/>
        </w:rPr>
      </w:pPr>
      <w:r>
        <w:rPr>
          <w:rFonts w:eastAsia="方正小标宋简体"/>
          <w:sz w:val="72"/>
          <w:szCs w:val="72"/>
        </w:rPr>
      </w:r>
      <w:r/>
    </w:p>
    <w:p>
      <w:pPr>
        <w:pStyle w:val="1151"/>
        <w:spacing w:line="360" w:lineRule="auto"/>
        <w:rPr>
          <w:rFonts w:eastAsia="方正小标宋简体"/>
          <w:sz w:val="72"/>
          <w:szCs w:val="72"/>
        </w:rPr>
      </w:pPr>
      <w:r>
        <w:rPr>
          <w:rFonts w:eastAsia="方正小标宋简体"/>
          <w:sz w:val="72"/>
          <w:szCs w:val="72"/>
        </w:rPr>
      </w:r>
      <w:r/>
    </w:p>
    <w:p>
      <w:pPr>
        <w:pStyle w:val="1151"/>
        <w:jc w:val="center"/>
        <w:rPr>
          <w:b/>
          <w:sz w:val="48"/>
          <w:szCs w:val="48"/>
          <w:u w:val="single"/>
        </w:rPr>
      </w:pPr>
      <w:r>
        <w:rPr>
          <w:b/>
          <w:sz w:val="48"/>
          <w:szCs w:val="48"/>
          <w:u w:val="single"/>
        </w:rPr>
        <w:t xml:space="preserve">技术规范书</w:t>
      </w:r>
      <w:r>
        <w:rPr>
          <w:b/>
          <w:sz w:val="48"/>
          <w:szCs w:val="48"/>
          <w:u w:val="single"/>
        </w:rPr>
      </w:r>
      <w:r/>
    </w:p>
    <w:p>
      <w:pPr>
        <w:pStyle w:val="1151"/>
        <w:jc w:val="center"/>
        <w:spacing w:line="360" w:lineRule="auto"/>
        <w:rPr>
          <w:b/>
          <w:sz w:val="48"/>
          <w:szCs w:val="48"/>
          <w:u w:val="single"/>
        </w:rPr>
      </w:pPr>
      <w:r>
        <w:rPr>
          <w:rFonts w:hint="eastAsia"/>
          <w:b/>
          <w:sz w:val="48"/>
          <w:szCs w:val="48"/>
          <w:u w:val="single"/>
        </w:rPr>
        <w:t xml:space="preserve">（通用部分）</w:t>
      </w:r>
      <w:r>
        <w:rPr>
          <w:b/>
          <w:sz w:val="48"/>
          <w:szCs w:val="48"/>
          <w:u w:val="single"/>
        </w:rPr>
      </w:r>
      <w:r/>
    </w:p>
    <w:p>
      <w:pPr>
        <w:pStyle w:val="1151"/>
        <w:jc w:val="center"/>
        <w:spacing w:line="360" w:lineRule="auto"/>
        <w:rPr>
          <w:b/>
          <w:sz w:val="36"/>
          <w:szCs w:val="36"/>
        </w:rPr>
      </w:pPr>
      <w:r>
        <w:rPr>
          <w:b/>
          <w:sz w:val="36"/>
          <w:szCs w:val="36"/>
        </w:rPr>
      </w:r>
      <w:r/>
    </w:p>
    <w:p>
      <w:pPr>
        <w:pStyle w:val="1151"/>
        <w:jc w:val="center"/>
        <w:spacing w:line="360" w:lineRule="auto"/>
        <w:rPr>
          <w:b/>
          <w:sz w:val="36"/>
          <w:szCs w:val="36"/>
        </w:rPr>
      </w:pPr>
      <w:r>
        <w:rPr>
          <w:b/>
          <w:sz w:val="36"/>
          <w:szCs w:val="36"/>
        </w:rPr>
      </w:r>
      <w:r/>
    </w:p>
    <w:p>
      <w:pPr>
        <w:pStyle w:val="1151"/>
        <w:jc w:val="center"/>
        <w:spacing w:line="360" w:lineRule="auto"/>
        <w:rPr>
          <w:b/>
          <w:sz w:val="36"/>
          <w:szCs w:val="36"/>
        </w:rPr>
      </w:pPr>
      <w:r>
        <w:rPr>
          <w:b/>
          <w:sz w:val="36"/>
          <w:szCs w:val="36"/>
        </w:rPr>
      </w:r>
      <w:r/>
    </w:p>
    <w:p>
      <w:pPr>
        <w:pStyle w:val="1151"/>
        <w:jc w:val="center"/>
        <w:spacing w:line="360" w:lineRule="auto"/>
        <w:rPr>
          <w:b/>
          <w:sz w:val="36"/>
          <w:szCs w:val="36"/>
        </w:rPr>
      </w:pPr>
      <w:r>
        <w:rPr>
          <w:b/>
          <w:sz w:val="36"/>
          <w:szCs w:val="36"/>
        </w:rPr>
      </w:r>
      <w:r/>
    </w:p>
    <w:p>
      <w:pPr>
        <w:pStyle w:val="1151"/>
        <w:jc w:val="center"/>
        <w:spacing w:line="360" w:lineRule="auto"/>
        <w:rPr>
          <w:b/>
          <w:sz w:val="36"/>
          <w:szCs w:val="36"/>
        </w:rPr>
      </w:pPr>
      <w:r>
        <w:rPr>
          <w:b/>
          <w:sz w:val="36"/>
          <w:szCs w:val="36"/>
        </w:rPr>
      </w:r>
      <w:r/>
    </w:p>
    <w:p>
      <w:pPr>
        <w:pStyle w:val="1151"/>
        <w:jc w:val="center"/>
        <w:spacing w:line="360" w:lineRule="auto"/>
        <w:rPr>
          <w:b/>
          <w:sz w:val="36"/>
          <w:szCs w:val="36"/>
        </w:rPr>
      </w:pPr>
      <w:r>
        <w:rPr>
          <w:b/>
          <w:sz w:val="36"/>
          <w:szCs w:val="36"/>
        </w:rPr>
      </w:r>
      <w:r/>
    </w:p>
    <w:p>
      <w:pPr>
        <w:pStyle w:val="1151"/>
        <w:jc w:val="center"/>
        <w:spacing w:line="360" w:lineRule="auto"/>
        <w:rPr>
          <w:b/>
          <w:sz w:val="36"/>
          <w:szCs w:val="36"/>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b/>
          <w:sz w:val="36"/>
          <w:szCs w:val="36"/>
        </w:rPr>
        <w:t xml:space="preserve">202</w:t>
      </w:r>
      <w:r>
        <w:rPr>
          <w:rFonts w:hint="eastAsia"/>
          <w:b/>
          <w:sz w:val="36"/>
          <w:szCs w:val="36"/>
        </w:rPr>
        <w:t xml:space="preserve">5</w:t>
      </w:r>
      <w:r>
        <w:rPr>
          <w:b/>
          <w:sz w:val="36"/>
          <w:szCs w:val="36"/>
        </w:rPr>
        <w:t xml:space="preserve">年</w:t>
      </w:r>
      <w:r>
        <w:rPr>
          <w:rFonts w:hint="eastAsia"/>
          <w:b/>
          <w:sz w:val="36"/>
          <w:szCs w:val="36"/>
        </w:rPr>
        <w:t xml:space="preserve">6</w:t>
      </w:r>
      <w:r>
        <w:rPr>
          <w:b/>
          <w:sz w:val="36"/>
          <w:szCs w:val="36"/>
        </w:rPr>
        <w:t xml:space="preserve">月</w:t>
      </w:r>
      <w:r>
        <w:rPr>
          <w:b/>
          <w:sz w:val="36"/>
          <w:szCs w:val="36"/>
        </w:rPr>
      </w:r>
      <w:r/>
    </w:p>
    <w:p>
      <w:pPr>
        <w:pStyle w:val="1151"/>
        <w:jc w:val="center"/>
        <w:rPr>
          <w:rFonts w:ascii="黑体" w:hAnsi="黑体" w:eastAsia="黑体"/>
          <w:sz w:val="32"/>
          <w:szCs w:val="32"/>
        </w:rPr>
      </w:pPr>
      <w:r/>
      <w:bookmarkStart w:id="46" w:name="_Toc256351532"/>
      <w:r/>
      <w:bookmarkStart w:id="47" w:name="_Toc254960585"/>
      <w:r>
        <w:rPr>
          <w:rFonts w:hint="eastAsia" w:ascii="黑体" w:hAnsi="黑体" w:eastAsia="黑体"/>
          <w:sz w:val="32"/>
          <w:szCs w:val="32"/>
        </w:rPr>
        <w:t xml:space="preserve">本规范对应的专用技术规范目录</w:t>
      </w:r>
      <w:bookmarkEnd w:id="46"/>
      <w:r/>
      <w:bookmarkEnd w:id="47"/>
      <w:r>
        <w:rPr>
          <w:rFonts w:ascii="黑体" w:hAnsi="黑体" w:eastAsia="黑体"/>
          <w:sz w:val="32"/>
          <w:szCs w:val="32"/>
        </w:rPr>
      </w:r>
      <w:r/>
    </w:p>
    <w:tbl>
      <w:tblPr>
        <w:tblW w:w="8185"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5239"/>
        <w:gridCol w:w="2293"/>
      </w:tblGrid>
      <w:tr>
        <w:trPr>
          <w:trHeight w:val="592"/>
        </w:trPr>
        <w:tc>
          <w:tcPr>
            <w:tcW w:w="653" w:type="dxa"/>
            <w:vAlign w:val="top"/>
            <w:textDirection w:val="lrTb"/>
            <w:noWrap w:val="false"/>
          </w:tcPr>
          <w:p>
            <w:pPr>
              <w:pStyle w:val="1151"/>
              <w:jc w:val="center"/>
              <w:spacing w:before="160" w:after="160"/>
              <w:rPr>
                <w:rFonts w:ascii="黑体" w:hAnsi="黑体" w:eastAsia="黑体"/>
                <w:szCs w:val="21"/>
              </w:rPr>
            </w:pPr>
            <w:r>
              <w:rPr>
                <w:rFonts w:hint="eastAsia" w:ascii="黑体" w:hAnsi="黑体" w:eastAsia="黑体"/>
                <w:szCs w:val="21"/>
              </w:rPr>
              <w:t xml:space="preserve">序号</w:t>
            </w:r>
            <w:r>
              <w:rPr>
                <w:rFonts w:ascii="黑体" w:hAnsi="黑体" w:eastAsia="黑体"/>
                <w:szCs w:val="21"/>
              </w:rPr>
            </w:r>
            <w:r/>
          </w:p>
        </w:tc>
        <w:tc>
          <w:tcPr>
            <w:tcW w:w="5239" w:type="dxa"/>
            <w:vAlign w:val="top"/>
            <w:textDirection w:val="lrTb"/>
            <w:noWrap w:val="false"/>
          </w:tcPr>
          <w:p>
            <w:pPr>
              <w:pStyle w:val="1151"/>
              <w:jc w:val="center"/>
              <w:spacing w:before="160" w:after="160"/>
              <w:rPr>
                <w:rFonts w:ascii="黑体" w:hAnsi="黑体" w:eastAsia="黑体"/>
                <w:szCs w:val="21"/>
              </w:rPr>
            </w:pPr>
            <w:r>
              <w:rPr>
                <w:rFonts w:hint="eastAsia" w:ascii="黑体" w:hAnsi="黑体" w:eastAsia="黑体"/>
                <w:szCs w:val="21"/>
              </w:rPr>
              <w:t xml:space="preserve">名　　称</w:t>
            </w:r>
            <w:r>
              <w:rPr>
                <w:rFonts w:ascii="黑体" w:hAnsi="黑体" w:eastAsia="黑体"/>
                <w:szCs w:val="21"/>
              </w:rPr>
            </w:r>
            <w:r/>
          </w:p>
        </w:tc>
        <w:tc>
          <w:tcPr>
            <w:tcW w:w="2293" w:type="dxa"/>
            <w:vAlign w:val="top"/>
            <w:textDirection w:val="lrTb"/>
            <w:noWrap w:val="false"/>
          </w:tcPr>
          <w:p>
            <w:pPr>
              <w:pStyle w:val="1151"/>
              <w:jc w:val="center"/>
              <w:spacing w:before="160" w:after="160"/>
              <w:rPr>
                <w:szCs w:val="21"/>
              </w:rPr>
            </w:pPr>
            <w:r>
              <w:rPr>
                <w:rFonts w:hint="eastAsia"/>
                <w:szCs w:val="21"/>
              </w:rPr>
              <w:t xml:space="preserve">编　　号</w:t>
            </w:r>
            <w:r>
              <w:rPr>
                <w:szCs w:val="21"/>
              </w:rPr>
            </w:r>
            <w:r/>
          </w:p>
        </w:tc>
      </w:tr>
      <w:tr>
        <w:trPr>
          <w:trHeight w:val="592"/>
        </w:trPr>
        <w:tc>
          <w:tcPr>
            <w:tcW w:w="653" w:type="dxa"/>
            <w:vAlign w:val="top"/>
            <w:textDirection w:val="lrTb"/>
            <w:noWrap w:val="false"/>
          </w:tcPr>
          <w:p>
            <w:pPr>
              <w:pStyle w:val="1151"/>
              <w:jc w:val="center"/>
              <w:spacing w:line="360" w:lineRule="auto"/>
              <w:rPr>
                <w:rFonts w:ascii="黑体" w:hAnsi="黑体" w:eastAsia="黑体"/>
                <w:sz w:val="18"/>
                <w:szCs w:val="18"/>
              </w:rPr>
            </w:pPr>
            <w:r>
              <w:rPr>
                <w:rFonts w:hint="eastAsia" w:ascii="黑体" w:hAnsi="黑体" w:eastAsia="黑体"/>
                <w:sz w:val="18"/>
                <w:szCs w:val="18"/>
              </w:rPr>
              <w:t xml:space="preserve">1</w:t>
            </w:r>
            <w:r>
              <w:rPr>
                <w:rFonts w:ascii="黑体" w:hAnsi="黑体" w:eastAsia="黑体"/>
                <w:sz w:val="18"/>
                <w:szCs w:val="18"/>
              </w:rPr>
            </w:r>
            <w:r/>
          </w:p>
        </w:tc>
        <w:tc>
          <w:tcPr>
            <w:tcW w:w="5239" w:type="dxa"/>
            <w:vAlign w:val="center"/>
            <w:textDirection w:val="lrTb"/>
            <w:noWrap w:val="false"/>
          </w:tcPr>
          <w:p>
            <w:pPr>
              <w:pStyle w:val="1151"/>
              <w:jc w:val="left"/>
              <w:widowControl/>
              <w:rPr>
                <w:sz w:val="18"/>
                <w:szCs w:val="18"/>
              </w:rPr>
            </w:pPr>
            <w:r>
              <w:rPr>
                <w:rFonts w:hint="eastAsia"/>
                <w:sz w:val="18"/>
                <w:szCs w:val="18"/>
              </w:rPr>
              <w:t xml:space="preserve">一二次融合标准化环网箱,AC10kV,630A,SF6,二进二出,标准化,2进,2出,SF6绝缘,集中式DTU,进出线断路器,GRC外壳</w:t>
            </w:r>
            <w:r>
              <w:rPr>
                <w:sz w:val="18"/>
                <w:szCs w:val="18"/>
              </w:rPr>
            </w:r>
            <w:r/>
          </w:p>
        </w:tc>
        <w:tc>
          <w:tcPr>
            <w:tcW w:w="2293" w:type="dxa"/>
            <w:vAlign w:val="center"/>
            <w:textDirection w:val="lrTb"/>
            <w:noWrap w:val="false"/>
          </w:tcPr>
          <w:p>
            <w:pPr>
              <w:pStyle w:val="1151"/>
              <w:jc w:val="center"/>
              <w:rPr>
                <w:sz w:val="20"/>
                <w:szCs w:val="20"/>
                <w:highlight w:val="yellow"/>
              </w:rPr>
            </w:pPr>
            <w:r>
              <w:rPr>
                <w:sz w:val="20"/>
                <w:szCs w:val="20"/>
                <w:highlight w:val="yellow"/>
              </w:rPr>
            </w:r>
            <w:r/>
          </w:p>
        </w:tc>
      </w:tr>
      <w:tr>
        <w:trPr>
          <w:trHeight w:val="592"/>
        </w:trPr>
        <w:tc>
          <w:tcPr>
            <w:tcW w:w="653" w:type="dxa"/>
            <w:vAlign w:val="top"/>
            <w:textDirection w:val="lrTb"/>
            <w:noWrap w:val="false"/>
          </w:tcPr>
          <w:p>
            <w:pPr>
              <w:pStyle w:val="1151"/>
              <w:jc w:val="center"/>
              <w:spacing w:line="360" w:lineRule="auto"/>
              <w:rPr>
                <w:rFonts w:ascii="黑体" w:hAnsi="黑体" w:eastAsia="黑体"/>
                <w:sz w:val="18"/>
                <w:szCs w:val="18"/>
              </w:rPr>
            </w:pPr>
            <w:r>
              <w:rPr>
                <w:rFonts w:ascii="黑体" w:hAnsi="黑体" w:eastAsia="黑体"/>
                <w:sz w:val="18"/>
                <w:szCs w:val="18"/>
              </w:rPr>
              <w:t xml:space="preserve">2</w:t>
            </w:r>
            <w:r>
              <w:rPr>
                <w:rFonts w:ascii="黑体" w:hAnsi="黑体" w:eastAsia="黑体"/>
                <w:sz w:val="18"/>
                <w:szCs w:val="18"/>
              </w:rPr>
            </w:r>
            <w:r/>
          </w:p>
        </w:tc>
        <w:tc>
          <w:tcPr>
            <w:tcW w:w="5239" w:type="dxa"/>
            <w:vAlign w:val="center"/>
            <w:textDirection w:val="lrTb"/>
            <w:noWrap w:val="false"/>
          </w:tcPr>
          <w:p>
            <w:pPr>
              <w:pStyle w:val="1151"/>
              <w:jc w:val="left"/>
              <w:widowControl/>
              <w:rPr>
                <w:sz w:val="18"/>
                <w:szCs w:val="18"/>
              </w:rPr>
            </w:pPr>
            <w:r>
              <w:rPr>
                <w:rFonts w:hint="eastAsia"/>
                <w:sz w:val="18"/>
                <w:szCs w:val="18"/>
              </w:rPr>
              <w:t xml:space="preserve">一二次融合标准化环网箱,AC10kV,630A,SF6,二进二出,标准化,2进,2出,SF6绝缘,集中式DTU,进出线断路器,不锈钢外壳</w:t>
            </w:r>
            <w:r>
              <w:rPr>
                <w:sz w:val="18"/>
                <w:szCs w:val="18"/>
              </w:rPr>
            </w:r>
            <w:r/>
          </w:p>
        </w:tc>
        <w:tc>
          <w:tcPr>
            <w:tcW w:w="2293" w:type="dxa"/>
            <w:vAlign w:val="center"/>
            <w:textDirection w:val="lrTb"/>
            <w:noWrap w:val="false"/>
          </w:tcPr>
          <w:p>
            <w:pPr>
              <w:pStyle w:val="1151"/>
              <w:jc w:val="center"/>
              <w:rPr>
                <w:sz w:val="20"/>
                <w:szCs w:val="20"/>
                <w:highlight w:val="yellow"/>
              </w:rPr>
            </w:pPr>
            <w:r>
              <w:rPr>
                <w:sz w:val="20"/>
                <w:szCs w:val="20"/>
                <w:highlight w:val="yellow"/>
              </w:rPr>
            </w:r>
            <w:r/>
          </w:p>
        </w:tc>
      </w:tr>
      <w:tr>
        <w:trPr>
          <w:trHeight w:val="592"/>
        </w:trPr>
        <w:tc>
          <w:tcPr>
            <w:tcW w:w="653" w:type="dxa"/>
            <w:vAlign w:val="top"/>
            <w:textDirection w:val="lrTb"/>
            <w:noWrap w:val="false"/>
          </w:tcPr>
          <w:p>
            <w:pPr>
              <w:pStyle w:val="1151"/>
              <w:jc w:val="center"/>
              <w:spacing w:line="360" w:lineRule="auto"/>
              <w:rPr>
                <w:rFonts w:ascii="黑体" w:hAnsi="黑体" w:eastAsia="黑体"/>
                <w:sz w:val="18"/>
                <w:szCs w:val="18"/>
              </w:rPr>
            </w:pPr>
            <w:r>
              <w:rPr>
                <w:rFonts w:ascii="黑体" w:hAnsi="黑体" w:eastAsia="黑体"/>
                <w:sz w:val="18"/>
                <w:szCs w:val="18"/>
              </w:rPr>
              <w:t xml:space="preserve">3</w:t>
            </w:r>
            <w:r>
              <w:rPr>
                <w:rFonts w:ascii="黑体" w:hAnsi="黑体" w:eastAsia="黑体"/>
                <w:sz w:val="18"/>
                <w:szCs w:val="18"/>
              </w:rPr>
            </w:r>
            <w:r/>
          </w:p>
        </w:tc>
        <w:tc>
          <w:tcPr>
            <w:tcW w:w="5239" w:type="dxa"/>
            <w:vAlign w:val="center"/>
            <w:textDirection w:val="lrTb"/>
            <w:noWrap w:val="false"/>
          </w:tcPr>
          <w:p>
            <w:pPr>
              <w:pStyle w:val="1151"/>
              <w:jc w:val="left"/>
              <w:widowControl/>
              <w:rPr>
                <w:sz w:val="18"/>
                <w:szCs w:val="18"/>
              </w:rPr>
            </w:pPr>
            <w:r>
              <w:rPr>
                <w:rFonts w:hint="eastAsia"/>
                <w:sz w:val="18"/>
                <w:szCs w:val="18"/>
              </w:rPr>
              <w:t xml:space="preserve">一二次融合标准化环网箱,AC10kV,630A,SF6,二进四出,标准化,2进,4出,SF6绝缘,集中式DTU,进出线断路器,GRC外壳</w:t>
            </w:r>
            <w:r>
              <w:rPr>
                <w:sz w:val="18"/>
                <w:szCs w:val="18"/>
              </w:rPr>
            </w:r>
            <w:r/>
          </w:p>
        </w:tc>
        <w:tc>
          <w:tcPr>
            <w:tcW w:w="2293" w:type="dxa"/>
            <w:vAlign w:val="center"/>
            <w:textDirection w:val="lrTb"/>
            <w:noWrap w:val="false"/>
          </w:tcPr>
          <w:p>
            <w:pPr>
              <w:pStyle w:val="1151"/>
              <w:jc w:val="center"/>
              <w:rPr>
                <w:sz w:val="20"/>
                <w:szCs w:val="20"/>
                <w:highlight w:val="yellow"/>
              </w:rPr>
            </w:pPr>
            <w:r>
              <w:rPr>
                <w:sz w:val="20"/>
                <w:szCs w:val="20"/>
                <w:highlight w:val="yellow"/>
              </w:rPr>
            </w:r>
            <w:r/>
          </w:p>
        </w:tc>
      </w:tr>
      <w:tr>
        <w:trPr>
          <w:trHeight w:val="592"/>
        </w:trPr>
        <w:tc>
          <w:tcPr>
            <w:tcW w:w="653" w:type="dxa"/>
            <w:vAlign w:val="top"/>
            <w:textDirection w:val="lrTb"/>
            <w:noWrap w:val="false"/>
          </w:tcPr>
          <w:p>
            <w:pPr>
              <w:pStyle w:val="1151"/>
              <w:jc w:val="center"/>
              <w:spacing w:line="360" w:lineRule="auto"/>
              <w:rPr>
                <w:rFonts w:ascii="黑体" w:hAnsi="黑体" w:eastAsia="黑体"/>
                <w:sz w:val="18"/>
                <w:szCs w:val="18"/>
              </w:rPr>
            </w:pPr>
            <w:r>
              <w:rPr>
                <w:rFonts w:ascii="黑体" w:hAnsi="黑体" w:eastAsia="黑体"/>
                <w:sz w:val="18"/>
                <w:szCs w:val="18"/>
              </w:rPr>
              <w:t xml:space="preserve">4</w:t>
            </w:r>
            <w:r>
              <w:rPr>
                <w:rFonts w:ascii="黑体" w:hAnsi="黑体" w:eastAsia="黑体"/>
                <w:sz w:val="18"/>
                <w:szCs w:val="18"/>
              </w:rPr>
            </w:r>
            <w:r/>
          </w:p>
        </w:tc>
        <w:tc>
          <w:tcPr>
            <w:tcW w:w="5239" w:type="dxa"/>
            <w:vAlign w:val="center"/>
            <w:textDirection w:val="lrTb"/>
            <w:noWrap w:val="false"/>
          </w:tcPr>
          <w:p>
            <w:pPr>
              <w:pStyle w:val="1151"/>
              <w:jc w:val="left"/>
              <w:widowControl/>
              <w:rPr>
                <w:sz w:val="18"/>
                <w:szCs w:val="18"/>
              </w:rPr>
            </w:pPr>
            <w:r>
              <w:rPr>
                <w:rFonts w:hint="eastAsia"/>
                <w:sz w:val="18"/>
                <w:szCs w:val="18"/>
              </w:rPr>
              <w:t xml:space="preserve">一二次融合标准化环网箱,AC10kV,630A,SF6,二进四出,标准化,2进,4出,SF6绝缘,集中式DTU,进出线断路器,不锈钢外壳</w:t>
            </w:r>
            <w:r>
              <w:rPr>
                <w:sz w:val="18"/>
                <w:szCs w:val="18"/>
              </w:rPr>
            </w:r>
            <w:r/>
          </w:p>
        </w:tc>
        <w:tc>
          <w:tcPr>
            <w:tcW w:w="2293" w:type="dxa"/>
            <w:vAlign w:val="center"/>
            <w:textDirection w:val="lrTb"/>
            <w:noWrap w:val="false"/>
          </w:tcPr>
          <w:p>
            <w:pPr>
              <w:pStyle w:val="1151"/>
              <w:jc w:val="center"/>
              <w:rPr>
                <w:sz w:val="20"/>
                <w:szCs w:val="20"/>
                <w:highlight w:val="yellow"/>
              </w:rPr>
            </w:pPr>
            <w:r>
              <w:rPr>
                <w:sz w:val="20"/>
                <w:szCs w:val="20"/>
                <w:highlight w:val="yellow"/>
              </w:rPr>
            </w:r>
            <w:r/>
          </w:p>
        </w:tc>
      </w:tr>
      <w:tr>
        <w:trPr>
          <w:trHeight w:val="592"/>
        </w:trPr>
        <w:tc>
          <w:tcPr>
            <w:tcW w:w="653" w:type="dxa"/>
            <w:vAlign w:val="top"/>
            <w:textDirection w:val="lrTb"/>
            <w:noWrap w:val="false"/>
          </w:tcPr>
          <w:p>
            <w:pPr>
              <w:pStyle w:val="1151"/>
              <w:jc w:val="center"/>
              <w:spacing w:line="360" w:lineRule="auto"/>
              <w:rPr>
                <w:rFonts w:ascii="黑体" w:hAnsi="黑体" w:eastAsia="黑体"/>
                <w:sz w:val="18"/>
                <w:szCs w:val="18"/>
              </w:rPr>
            </w:pPr>
            <w:r>
              <w:rPr>
                <w:rFonts w:ascii="黑体" w:hAnsi="黑体" w:eastAsia="黑体"/>
                <w:sz w:val="18"/>
                <w:szCs w:val="18"/>
              </w:rPr>
              <w:t xml:space="preserve">5</w:t>
            </w:r>
            <w:r>
              <w:rPr>
                <w:rFonts w:ascii="黑体" w:hAnsi="黑体" w:eastAsia="黑体"/>
                <w:sz w:val="18"/>
                <w:szCs w:val="18"/>
              </w:rPr>
            </w:r>
            <w:r/>
          </w:p>
        </w:tc>
        <w:tc>
          <w:tcPr>
            <w:tcW w:w="5239" w:type="dxa"/>
            <w:vAlign w:val="center"/>
            <w:textDirection w:val="lrTb"/>
            <w:noWrap w:val="false"/>
          </w:tcPr>
          <w:p>
            <w:pPr>
              <w:pStyle w:val="1151"/>
              <w:jc w:val="left"/>
              <w:widowControl/>
              <w:rPr>
                <w:sz w:val="18"/>
                <w:szCs w:val="18"/>
              </w:rPr>
            </w:pPr>
            <w:r>
              <w:rPr>
                <w:rFonts w:hint="eastAsia"/>
                <w:sz w:val="18"/>
                <w:szCs w:val="18"/>
              </w:rPr>
              <w:t xml:space="preserve">一二次融合标准化环网箱,AC10kV,630A,固体,二进二出,标准化,2进,2出,固体绝缘,集中式DTU,进出线断路器,GRC外壳</w:t>
            </w:r>
            <w:r>
              <w:rPr>
                <w:sz w:val="18"/>
                <w:szCs w:val="18"/>
              </w:rPr>
            </w:r>
            <w:r/>
          </w:p>
        </w:tc>
        <w:tc>
          <w:tcPr>
            <w:tcW w:w="2293" w:type="dxa"/>
            <w:vAlign w:val="center"/>
            <w:textDirection w:val="lrTb"/>
            <w:noWrap w:val="false"/>
          </w:tcPr>
          <w:p>
            <w:pPr>
              <w:pStyle w:val="1151"/>
              <w:jc w:val="center"/>
              <w:rPr>
                <w:sz w:val="20"/>
                <w:szCs w:val="20"/>
                <w:highlight w:val="yellow"/>
              </w:rPr>
            </w:pPr>
            <w:r>
              <w:rPr>
                <w:sz w:val="20"/>
                <w:szCs w:val="20"/>
                <w:highlight w:val="yellow"/>
              </w:rPr>
            </w:r>
            <w:r/>
          </w:p>
        </w:tc>
      </w:tr>
      <w:tr>
        <w:trPr>
          <w:trHeight w:val="592"/>
        </w:trPr>
        <w:tc>
          <w:tcPr>
            <w:tcW w:w="653" w:type="dxa"/>
            <w:vAlign w:val="top"/>
            <w:textDirection w:val="lrTb"/>
            <w:noWrap w:val="false"/>
          </w:tcPr>
          <w:p>
            <w:pPr>
              <w:pStyle w:val="1151"/>
              <w:jc w:val="center"/>
              <w:spacing w:line="360" w:lineRule="auto"/>
              <w:rPr>
                <w:rFonts w:ascii="黑体" w:hAnsi="黑体" w:eastAsia="黑体"/>
                <w:sz w:val="18"/>
                <w:szCs w:val="18"/>
              </w:rPr>
            </w:pPr>
            <w:r>
              <w:rPr>
                <w:rFonts w:ascii="黑体" w:hAnsi="黑体" w:eastAsia="黑体"/>
                <w:sz w:val="18"/>
                <w:szCs w:val="18"/>
              </w:rPr>
              <w:t xml:space="preserve">6</w:t>
            </w:r>
            <w:r>
              <w:rPr>
                <w:rFonts w:ascii="黑体" w:hAnsi="黑体" w:eastAsia="黑体"/>
                <w:sz w:val="18"/>
                <w:szCs w:val="18"/>
              </w:rPr>
            </w:r>
            <w:r/>
          </w:p>
        </w:tc>
        <w:tc>
          <w:tcPr>
            <w:tcW w:w="5239" w:type="dxa"/>
            <w:vAlign w:val="center"/>
            <w:textDirection w:val="lrTb"/>
            <w:noWrap w:val="false"/>
          </w:tcPr>
          <w:p>
            <w:pPr>
              <w:pStyle w:val="1151"/>
              <w:jc w:val="left"/>
              <w:widowControl/>
              <w:rPr>
                <w:sz w:val="18"/>
                <w:szCs w:val="18"/>
              </w:rPr>
            </w:pPr>
            <w:r>
              <w:rPr>
                <w:rFonts w:hint="eastAsia"/>
                <w:sz w:val="18"/>
                <w:szCs w:val="18"/>
              </w:rPr>
              <w:t xml:space="preserve">一二次融合标准化环网箱,AC10kV,630A,固体,二进二出,标准化,2进,2出,固体绝缘,集中式DTU,进出线断路器,不锈钢外壳</w:t>
            </w:r>
            <w:r>
              <w:rPr>
                <w:sz w:val="18"/>
                <w:szCs w:val="18"/>
              </w:rPr>
            </w:r>
            <w:r/>
          </w:p>
        </w:tc>
        <w:tc>
          <w:tcPr>
            <w:tcW w:w="2293" w:type="dxa"/>
            <w:vAlign w:val="center"/>
            <w:textDirection w:val="lrTb"/>
            <w:noWrap w:val="false"/>
          </w:tcPr>
          <w:p>
            <w:pPr>
              <w:pStyle w:val="1151"/>
              <w:jc w:val="center"/>
              <w:rPr>
                <w:sz w:val="20"/>
                <w:szCs w:val="20"/>
                <w:highlight w:val="yellow"/>
              </w:rPr>
            </w:pPr>
            <w:r>
              <w:rPr>
                <w:sz w:val="20"/>
                <w:szCs w:val="20"/>
                <w:highlight w:val="yellow"/>
              </w:rPr>
            </w:r>
            <w:r/>
          </w:p>
        </w:tc>
      </w:tr>
      <w:tr>
        <w:trPr>
          <w:trHeight w:val="592"/>
        </w:trPr>
        <w:tc>
          <w:tcPr>
            <w:tcW w:w="653" w:type="dxa"/>
            <w:vAlign w:val="top"/>
            <w:textDirection w:val="lrTb"/>
            <w:noWrap w:val="false"/>
          </w:tcPr>
          <w:p>
            <w:pPr>
              <w:pStyle w:val="1151"/>
              <w:jc w:val="center"/>
              <w:spacing w:line="360" w:lineRule="auto"/>
              <w:rPr>
                <w:rFonts w:ascii="黑体" w:hAnsi="黑体" w:eastAsia="黑体"/>
                <w:sz w:val="18"/>
                <w:szCs w:val="18"/>
              </w:rPr>
            </w:pPr>
            <w:r>
              <w:rPr>
                <w:rFonts w:ascii="黑体" w:hAnsi="黑体" w:eastAsia="黑体"/>
                <w:sz w:val="18"/>
                <w:szCs w:val="18"/>
              </w:rPr>
              <w:t xml:space="preserve">7</w:t>
            </w:r>
            <w:r>
              <w:rPr>
                <w:rFonts w:ascii="黑体" w:hAnsi="黑体" w:eastAsia="黑体"/>
                <w:sz w:val="18"/>
                <w:szCs w:val="18"/>
              </w:rPr>
            </w:r>
            <w:r/>
          </w:p>
        </w:tc>
        <w:tc>
          <w:tcPr>
            <w:tcW w:w="5239" w:type="dxa"/>
            <w:vAlign w:val="center"/>
            <w:textDirection w:val="lrTb"/>
            <w:noWrap w:val="false"/>
          </w:tcPr>
          <w:p>
            <w:pPr>
              <w:pStyle w:val="1151"/>
              <w:jc w:val="left"/>
              <w:widowControl/>
              <w:rPr>
                <w:sz w:val="18"/>
                <w:szCs w:val="18"/>
              </w:rPr>
            </w:pPr>
            <w:r>
              <w:rPr>
                <w:rFonts w:hint="eastAsia"/>
                <w:sz w:val="18"/>
                <w:szCs w:val="18"/>
              </w:rPr>
              <w:t xml:space="preserve">一二次融合标准化环网箱,AC10kV,630A,固体,二进四出,标准化,2进,4出,固体绝缘,集中式DTU,进出线断路器,GRC外壳</w:t>
            </w:r>
            <w:r>
              <w:rPr>
                <w:sz w:val="18"/>
                <w:szCs w:val="18"/>
              </w:rPr>
            </w:r>
            <w:r/>
          </w:p>
        </w:tc>
        <w:tc>
          <w:tcPr>
            <w:tcW w:w="2293" w:type="dxa"/>
            <w:vAlign w:val="center"/>
            <w:textDirection w:val="lrTb"/>
            <w:noWrap w:val="false"/>
          </w:tcPr>
          <w:p>
            <w:pPr>
              <w:pStyle w:val="1151"/>
              <w:jc w:val="center"/>
              <w:rPr>
                <w:sz w:val="20"/>
                <w:szCs w:val="20"/>
                <w:highlight w:val="yellow"/>
              </w:rPr>
            </w:pPr>
            <w:r>
              <w:rPr>
                <w:sz w:val="20"/>
                <w:szCs w:val="20"/>
                <w:highlight w:val="yellow"/>
              </w:rPr>
            </w:r>
            <w:r/>
          </w:p>
        </w:tc>
      </w:tr>
      <w:tr>
        <w:trPr>
          <w:trHeight w:val="592"/>
        </w:trPr>
        <w:tc>
          <w:tcPr>
            <w:tcW w:w="653" w:type="dxa"/>
            <w:vAlign w:val="top"/>
            <w:textDirection w:val="lrTb"/>
            <w:noWrap w:val="false"/>
          </w:tcPr>
          <w:p>
            <w:pPr>
              <w:pStyle w:val="1151"/>
              <w:jc w:val="center"/>
              <w:spacing w:line="360" w:lineRule="auto"/>
              <w:rPr>
                <w:rFonts w:ascii="黑体" w:hAnsi="黑体" w:eastAsia="黑体"/>
                <w:sz w:val="18"/>
                <w:szCs w:val="18"/>
              </w:rPr>
            </w:pPr>
            <w:r>
              <w:rPr>
                <w:rFonts w:hint="eastAsia" w:ascii="黑体" w:hAnsi="黑体" w:eastAsia="黑体"/>
                <w:sz w:val="18"/>
                <w:szCs w:val="18"/>
              </w:rPr>
              <w:t xml:space="preserve">8</w:t>
            </w:r>
            <w:r>
              <w:rPr>
                <w:rFonts w:ascii="黑体" w:hAnsi="黑体" w:eastAsia="黑体"/>
                <w:sz w:val="18"/>
                <w:szCs w:val="18"/>
              </w:rPr>
            </w:r>
            <w:r/>
          </w:p>
        </w:tc>
        <w:tc>
          <w:tcPr>
            <w:tcW w:w="5239" w:type="dxa"/>
            <w:vAlign w:val="center"/>
            <w:textDirection w:val="lrTb"/>
            <w:noWrap w:val="false"/>
          </w:tcPr>
          <w:p>
            <w:pPr>
              <w:pStyle w:val="1151"/>
              <w:jc w:val="left"/>
              <w:widowControl/>
              <w:rPr>
                <w:sz w:val="18"/>
                <w:szCs w:val="18"/>
              </w:rPr>
            </w:pPr>
            <w:r>
              <w:rPr>
                <w:rFonts w:hint="eastAsia"/>
                <w:sz w:val="18"/>
                <w:szCs w:val="18"/>
              </w:rPr>
              <w:t xml:space="preserve">一二次融合标准化环网箱,AC10kV,630A,固体,二进四出,标准化,2进,4出,固体绝缘,集中式DTU,进出线断路器,不锈钢外壳</w:t>
            </w:r>
            <w:r>
              <w:rPr>
                <w:sz w:val="18"/>
                <w:szCs w:val="18"/>
              </w:rPr>
            </w:r>
            <w:r/>
          </w:p>
        </w:tc>
        <w:tc>
          <w:tcPr>
            <w:tcW w:w="2293" w:type="dxa"/>
            <w:vAlign w:val="center"/>
            <w:textDirection w:val="lrTb"/>
            <w:noWrap w:val="false"/>
          </w:tcPr>
          <w:p>
            <w:pPr>
              <w:pStyle w:val="1151"/>
              <w:jc w:val="center"/>
              <w:rPr>
                <w:sz w:val="20"/>
                <w:szCs w:val="20"/>
                <w:highlight w:val="yellow"/>
              </w:rPr>
            </w:pPr>
            <w:r>
              <w:rPr>
                <w:sz w:val="20"/>
                <w:szCs w:val="20"/>
                <w:highlight w:val="yellow"/>
              </w:rPr>
            </w:r>
            <w:r/>
          </w:p>
        </w:tc>
      </w:tr>
      <w:tr>
        <w:trPr>
          <w:trHeight w:val="592"/>
        </w:trPr>
        <w:tc>
          <w:tcPr>
            <w:tcW w:w="653" w:type="dxa"/>
            <w:vAlign w:val="top"/>
            <w:textDirection w:val="lrTb"/>
            <w:noWrap w:val="false"/>
          </w:tcPr>
          <w:p>
            <w:pPr>
              <w:pStyle w:val="1151"/>
              <w:jc w:val="center"/>
              <w:spacing w:line="360" w:lineRule="auto"/>
              <w:rPr>
                <w:rFonts w:ascii="黑体" w:hAnsi="黑体" w:eastAsia="黑体"/>
                <w:sz w:val="18"/>
                <w:szCs w:val="18"/>
              </w:rPr>
            </w:pPr>
            <w:r>
              <w:rPr>
                <w:rFonts w:hint="eastAsia" w:ascii="黑体" w:hAnsi="黑体" w:eastAsia="黑体"/>
                <w:sz w:val="18"/>
                <w:szCs w:val="18"/>
              </w:rPr>
              <w:t xml:space="preserve">9</w:t>
            </w:r>
            <w:r>
              <w:rPr>
                <w:rFonts w:ascii="黑体" w:hAnsi="黑体" w:eastAsia="黑体"/>
                <w:sz w:val="18"/>
                <w:szCs w:val="18"/>
              </w:rPr>
            </w:r>
            <w:r/>
          </w:p>
        </w:tc>
        <w:tc>
          <w:tcPr>
            <w:tcW w:w="5239" w:type="dxa"/>
            <w:vAlign w:val="center"/>
            <w:textDirection w:val="lrTb"/>
            <w:noWrap w:val="false"/>
          </w:tcPr>
          <w:p>
            <w:pPr>
              <w:pStyle w:val="1151"/>
              <w:jc w:val="left"/>
              <w:widowControl/>
              <w:rPr>
                <w:sz w:val="18"/>
                <w:szCs w:val="18"/>
              </w:rPr>
            </w:pPr>
            <w:r>
              <w:rPr>
                <w:rFonts w:hint="eastAsia"/>
                <w:sz w:val="18"/>
                <w:szCs w:val="18"/>
              </w:rPr>
              <w:t xml:space="preserve">一二次融合标准化环网箱,AC10kV,630A,环保气体,二进二出,标准化,2进,2出,环保气体绝缘,集中式DTU,进出线断路器,GRC外壳</w:t>
            </w:r>
            <w:r>
              <w:rPr>
                <w:sz w:val="18"/>
                <w:szCs w:val="18"/>
              </w:rPr>
            </w:r>
            <w:r/>
          </w:p>
        </w:tc>
        <w:tc>
          <w:tcPr>
            <w:tcW w:w="2293" w:type="dxa"/>
            <w:vAlign w:val="center"/>
            <w:textDirection w:val="lrTb"/>
            <w:noWrap w:val="false"/>
          </w:tcPr>
          <w:p>
            <w:pPr>
              <w:pStyle w:val="1151"/>
              <w:jc w:val="center"/>
              <w:rPr>
                <w:sz w:val="20"/>
                <w:szCs w:val="20"/>
                <w:highlight w:val="yellow"/>
              </w:rPr>
            </w:pPr>
            <w:r>
              <w:rPr>
                <w:sz w:val="20"/>
                <w:szCs w:val="20"/>
                <w:highlight w:val="yellow"/>
              </w:rPr>
            </w:r>
            <w:r/>
          </w:p>
        </w:tc>
      </w:tr>
      <w:tr>
        <w:trPr>
          <w:trHeight w:val="592"/>
        </w:trPr>
        <w:tc>
          <w:tcPr>
            <w:tcW w:w="653" w:type="dxa"/>
            <w:vAlign w:val="top"/>
            <w:textDirection w:val="lrTb"/>
            <w:noWrap w:val="false"/>
          </w:tcPr>
          <w:p>
            <w:pPr>
              <w:pStyle w:val="1151"/>
              <w:jc w:val="center"/>
              <w:spacing w:line="360" w:lineRule="auto"/>
              <w:rPr>
                <w:rFonts w:ascii="黑体" w:hAnsi="黑体" w:eastAsia="黑体"/>
                <w:sz w:val="18"/>
                <w:szCs w:val="18"/>
              </w:rPr>
            </w:pPr>
            <w:r>
              <w:rPr>
                <w:rFonts w:hint="eastAsia" w:ascii="黑体" w:hAnsi="黑体" w:eastAsia="黑体"/>
                <w:sz w:val="18"/>
                <w:szCs w:val="18"/>
              </w:rPr>
              <w:t xml:space="preserve">10</w:t>
            </w:r>
            <w:r>
              <w:rPr>
                <w:rFonts w:ascii="黑体" w:hAnsi="黑体" w:eastAsia="黑体"/>
                <w:sz w:val="18"/>
                <w:szCs w:val="18"/>
              </w:rPr>
            </w:r>
            <w:r/>
          </w:p>
        </w:tc>
        <w:tc>
          <w:tcPr>
            <w:tcW w:w="5239" w:type="dxa"/>
            <w:vAlign w:val="center"/>
            <w:textDirection w:val="lrTb"/>
            <w:noWrap w:val="false"/>
          </w:tcPr>
          <w:p>
            <w:pPr>
              <w:pStyle w:val="1151"/>
              <w:jc w:val="left"/>
              <w:widowControl/>
              <w:rPr>
                <w:sz w:val="18"/>
                <w:szCs w:val="18"/>
              </w:rPr>
            </w:pPr>
            <w:r>
              <w:rPr>
                <w:rFonts w:hint="eastAsia"/>
                <w:sz w:val="18"/>
                <w:szCs w:val="18"/>
              </w:rPr>
              <w:t xml:space="preserve">一二次融合标准化环网箱,AC10kV,630A,环保气体,二进二出,标准化,2进,2出,环保气体绝缘,集中式DTU,进出线断路器,不锈钢外壳</w:t>
            </w:r>
            <w:r>
              <w:rPr>
                <w:sz w:val="18"/>
                <w:szCs w:val="18"/>
              </w:rPr>
            </w:r>
            <w:r/>
          </w:p>
        </w:tc>
        <w:tc>
          <w:tcPr>
            <w:tcW w:w="2293" w:type="dxa"/>
            <w:vAlign w:val="center"/>
            <w:textDirection w:val="lrTb"/>
            <w:noWrap w:val="false"/>
          </w:tcPr>
          <w:p>
            <w:pPr>
              <w:pStyle w:val="1151"/>
              <w:jc w:val="center"/>
              <w:rPr>
                <w:sz w:val="20"/>
                <w:szCs w:val="20"/>
                <w:highlight w:val="yellow"/>
              </w:rPr>
            </w:pPr>
            <w:r>
              <w:rPr>
                <w:sz w:val="20"/>
                <w:szCs w:val="20"/>
                <w:highlight w:val="yellow"/>
              </w:rPr>
            </w:r>
            <w:r/>
          </w:p>
        </w:tc>
      </w:tr>
      <w:tr>
        <w:trPr>
          <w:trHeight w:val="592"/>
        </w:trPr>
        <w:tc>
          <w:tcPr>
            <w:tcW w:w="653" w:type="dxa"/>
            <w:vAlign w:val="top"/>
            <w:textDirection w:val="lrTb"/>
            <w:noWrap w:val="false"/>
          </w:tcPr>
          <w:p>
            <w:pPr>
              <w:pStyle w:val="1151"/>
              <w:jc w:val="center"/>
              <w:spacing w:line="360" w:lineRule="auto"/>
              <w:rPr>
                <w:rFonts w:ascii="黑体" w:hAnsi="黑体" w:eastAsia="黑体"/>
                <w:sz w:val="18"/>
                <w:szCs w:val="18"/>
              </w:rPr>
            </w:pPr>
            <w:r>
              <w:rPr>
                <w:rFonts w:hint="eastAsia" w:ascii="黑体" w:hAnsi="黑体" w:eastAsia="黑体"/>
                <w:sz w:val="18"/>
                <w:szCs w:val="18"/>
              </w:rPr>
              <w:t xml:space="preserve">11</w:t>
            </w:r>
            <w:r>
              <w:rPr>
                <w:rFonts w:ascii="黑体" w:hAnsi="黑体" w:eastAsia="黑体"/>
                <w:sz w:val="18"/>
                <w:szCs w:val="18"/>
              </w:rPr>
            </w:r>
            <w:r/>
          </w:p>
        </w:tc>
        <w:tc>
          <w:tcPr>
            <w:tcW w:w="5239" w:type="dxa"/>
            <w:vAlign w:val="center"/>
            <w:textDirection w:val="lrTb"/>
            <w:noWrap w:val="false"/>
          </w:tcPr>
          <w:p>
            <w:pPr>
              <w:pStyle w:val="1151"/>
              <w:jc w:val="left"/>
              <w:widowControl/>
              <w:rPr>
                <w:sz w:val="18"/>
                <w:szCs w:val="18"/>
              </w:rPr>
            </w:pPr>
            <w:r>
              <w:rPr>
                <w:rFonts w:hint="eastAsia"/>
                <w:sz w:val="18"/>
                <w:szCs w:val="18"/>
              </w:rPr>
              <w:t xml:space="preserve">一二次融合标准化环网箱,AC10kV,630A,环保气体,二进四出,标准化,2进,4出,环保气体绝缘,集中式DTU,进出线断路器,GRC外壳</w:t>
            </w:r>
            <w:r>
              <w:rPr>
                <w:sz w:val="18"/>
                <w:szCs w:val="18"/>
              </w:rPr>
            </w:r>
            <w:r/>
          </w:p>
        </w:tc>
        <w:tc>
          <w:tcPr>
            <w:tcW w:w="2293" w:type="dxa"/>
            <w:vAlign w:val="center"/>
            <w:textDirection w:val="lrTb"/>
            <w:noWrap w:val="false"/>
          </w:tcPr>
          <w:p>
            <w:pPr>
              <w:pStyle w:val="1151"/>
              <w:jc w:val="center"/>
              <w:rPr>
                <w:sz w:val="20"/>
                <w:szCs w:val="20"/>
                <w:highlight w:val="yellow"/>
              </w:rPr>
            </w:pPr>
            <w:r>
              <w:rPr>
                <w:sz w:val="20"/>
                <w:szCs w:val="20"/>
                <w:highlight w:val="yellow"/>
              </w:rPr>
            </w:r>
            <w:r/>
          </w:p>
        </w:tc>
      </w:tr>
      <w:tr>
        <w:trPr>
          <w:trHeight w:val="592"/>
        </w:trPr>
        <w:tc>
          <w:tcPr>
            <w:tcW w:w="653" w:type="dxa"/>
            <w:vAlign w:val="top"/>
            <w:textDirection w:val="lrTb"/>
            <w:noWrap w:val="false"/>
          </w:tcPr>
          <w:p>
            <w:pPr>
              <w:pStyle w:val="1151"/>
              <w:jc w:val="center"/>
              <w:spacing w:line="360" w:lineRule="auto"/>
              <w:rPr>
                <w:rFonts w:ascii="黑体" w:hAnsi="黑体" w:eastAsia="黑体"/>
                <w:sz w:val="18"/>
                <w:szCs w:val="18"/>
              </w:rPr>
            </w:pPr>
            <w:r>
              <w:rPr>
                <w:rFonts w:hint="eastAsia" w:ascii="黑体" w:hAnsi="黑体" w:eastAsia="黑体"/>
                <w:sz w:val="18"/>
                <w:szCs w:val="18"/>
              </w:rPr>
              <w:t xml:space="preserve">12</w:t>
            </w:r>
            <w:r>
              <w:rPr>
                <w:rFonts w:ascii="黑体" w:hAnsi="黑体" w:eastAsia="黑体"/>
                <w:sz w:val="18"/>
                <w:szCs w:val="18"/>
              </w:rPr>
            </w:r>
            <w:r/>
          </w:p>
        </w:tc>
        <w:tc>
          <w:tcPr>
            <w:tcW w:w="5239" w:type="dxa"/>
            <w:vAlign w:val="center"/>
            <w:textDirection w:val="lrTb"/>
            <w:noWrap w:val="false"/>
          </w:tcPr>
          <w:p>
            <w:pPr>
              <w:pStyle w:val="1151"/>
              <w:jc w:val="left"/>
              <w:widowControl/>
              <w:rPr>
                <w:sz w:val="18"/>
                <w:szCs w:val="18"/>
              </w:rPr>
            </w:pPr>
            <w:r>
              <w:rPr>
                <w:rFonts w:hint="eastAsia"/>
                <w:sz w:val="18"/>
                <w:szCs w:val="18"/>
              </w:rPr>
              <w:t xml:space="preserve">一二次融合标准化环网箱,AC10kV,630A,环保气体,二进四出,标准化,2进,4出,环保气体绝缘,集中式DTU,进出线断路器,不锈钢外壳</w:t>
            </w:r>
            <w:r>
              <w:rPr>
                <w:sz w:val="18"/>
                <w:szCs w:val="18"/>
              </w:rPr>
            </w:r>
            <w:r/>
          </w:p>
        </w:tc>
        <w:tc>
          <w:tcPr>
            <w:tcW w:w="2293" w:type="dxa"/>
            <w:vAlign w:val="center"/>
            <w:textDirection w:val="lrTb"/>
            <w:noWrap w:val="false"/>
          </w:tcPr>
          <w:p>
            <w:pPr>
              <w:pStyle w:val="1151"/>
              <w:jc w:val="center"/>
              <w:rPr>
                <w:sz w:val="20"/>
                <w:szCs w:val="20"/>
                <w:highlight w:val="yellow"/>
              </w:rPr>
            </w:pPr>
            <w:r>
              <w:rPr>
                <w:sz w:val="20"/>
                <w:szCs w:val="20"/>
                <w:highlight w:val="yellow"/>
              </w:rPr>
            </w:r>
            <w:r/>
          </w:p>
        </w:tc>
      </w:tr>
      <w:tr>
        <w:trPr>
          <w:trHeight w:val="592"/>
        </w:trPr>
        <w:tc>
          <w:tcPr>
            <w:tcW w:w="653" w:type="dxa"/>
            <w:vAlign w:val="top"/>
            <w:textDirection w:val="lrTb"/>
            <w:noWrap w:val="false"/>
          </w:tcPr>
          <w:p>
            <w:pPr>
              <w:pStyle w:val="1151"/>
              <w:jc w:val="center"/>
              <w:spacing w:line="360" w:lineRule="auto"/>
              <w:rPr>
                <w:rFonts w:ascii="黑体" w:hAnsi="黑体" w:eastAsia="黑体"/>
                <w:sz w:val="18"/>
                <w:szCs w:val="18"/>
              </w:rPr>
            </w:pPr>
            <w:r>
              <w:rPr>
                <w:rFonts w:hint="eastAsia" w:ascii="黑体" w:hAnsi="黑体" w:eastAsia="黑体"/>
                <w:sz w:val="18"/>
                <w:szCs w:val="18"/>
              </w:rPr>
              <w:t xml:space="preserve">13</w:t>
            </w:r>
            <w:r>
              <w:rPr>
                <w:rFonts w:ascii="黑体" w:hAnsi="黑体" w:eastAsia="黑体"/>
                <w:sz w:val="18"/>
                <w:szCs w:val="18"/>
              </w:rPr>
            </w:r>
            <w:r/>
          </w:p>
        </w:tc>
        <w:tc>
          <w:tcPr>
            <w:tcW w:w="5239" w:type="dxa"/>
            <w:vAlign w:val="center"/>
            <w:textDirection w:val="lrTb"/>
            <w:noWrap w:val="false"/>
          </w:tcPr>
          <w:p>
            <w:pPr>
              <w:pStyle w:val="1151"/>
              <w:jc w:val="left"/>
              <w:widowControl/>
              <w:rPr>
                <w:sz w:val="18"/>
                <w:szCs w:val="18"/>
              </w:rPr>
            </w:pPr>
            <w:r>
              <w:rPr>
                <w:rFonts w:hint="eastAsia"/>
                <w:sz w:val="18"/>
                <w:szCs w:val="18"/>
              </w:rPr>
              <w:t xml:space="preserve">一二次融合标准化环网箱,AC10kV,630A,空气,二进二出,标准化,2进,2出,常压密封空气绝缘,集中式DTU,进出线断路器,GRC外壳</w:t>
            </w:r>
            <w:r>
              <w:rPr>
                <w:sz w:val="18"/>
                <w:szCs w:val="18"/>
              </w:rPr>
            </w:r>
            <w:r/>
          </w:p>
        </w:tc>
        <w:tc>
          <w:tcPr>
            <w:tcW w:w="2293" w:type="dxa"/>
            <w:vAlign w:val="center"/>
            <w:textDirection w:val="lrTb"/>
            <w:noWrap w:val="false"/>
          </w:tcPr>
          <w:p>
            <w:pPr>
              <w:pStyle w:val="1151"/>
              <w:jc w:val="center"/>
              <w:rPr>
                <w:sz w:val="20"/>
                <w:szCs w:val="20"/>
                <w:highlight w:val="yellow"/>
              </w:rPr>
            </w:pPr>
            <w:r>
              <w:rPr>
                <w:sz w:val="20"/>
                <w:szCs w:val="20"/>
                <w:highlight w:val="yellow"/>
              </w:rPr>
            </w:r>
            <w:r/>
          </w:p>
        </w:tc>
      </w:tr>
      <w:tr>
        <w:trPr>
          <w:trHeight w:val="592"/>
        </w:trPr>
        <w:tc>
          <w:tcPr>
            <w:tcW w:w="653" w:type="dxa"/>
            <w:vAlign w:val="top"/>
            <w:textDirection w:val="lrTb"/>
            <w:noWrap w:val="false"/>
          </w:tcPr>
          <w:p>
            <w:pPr>
              <w:pStyle w:val="1151"/>
              <w:jc w:val="center"/>
              <w:spacing w:line="360" w:lineRule="auto"/>
              <w:rPr>
                <w:rFonts w:ascii="黑体" w:hAnsi="黑体" w:eastAsia="黑体"/>
                <w:sz w:val="18"/>
                <w:szCs w:val="18"/>
              </w:rPr>
            </w:pPr>
            <w:r>
              <w:rPr>
                <w:rFonts w:hint="eastAsia" w:ascii="黑体" w:hAnsi="黑体" w:eastAsia="黑体"/>
                <w:sz w:val="18"/>
                <w:szCs w:val="18"/>
              </w:rPr>
              <w:t xml:space="preserve">14</w:t>
            </w:r>
            <w:r>
              <w:rPr>
                <w:rFonts w:ascii="黑体" w:hAnsi="黑体" w:eastAsia="黑体"/>
                <w:sz w:val="18"/>
                <w:szCs w:val="18"/>
              </w:rPr>
            </w:r>
            <w:r/>
          </w:p>
        </w:tc>
        <w:tc>
          <w:tcPr>
            <w:tcW w:w="5239" w:type="dxa"/>
            <w:vAlign w:val="center"/>
            <w:textDirection w:val="lrTb"/>
            <w:noWrap w:val="false"/>
          </w:tcPr>
          <w:p>
            <w:pPr>
              <w:pStyle w:val="1151"/>
              <w:jc w:val="left"/>
              <w:widowControl/>
              <w:rPr>
                <w:sz w:val="18"/>
                <w:szCs w:val="18"/>
              </w:rPr>
            </w:pPr>
            <w:r>
              <w:rPr>
                <w:rFonts w:hint="eastAsia"/>
                <w:sz w:val="18"/>
                <w:szCs w:val="18"/>
              </w:rPr>
              <w:t xml:space="preserve">一二次融合标准化环网箱,AC10kV,630A,空气,二进二出,标准化,2进,2出,常压密封空气绝缘,集中式DTU,进出线断路器,不锈钢外壳</w:t>
            </w:r>
            <w:r>
              <w:rPr>
                <w:sz w:val="18"/>
                <w:szCs w:val="18"/>
              </w:rPr>
            </w:r>
            <w:r/>
          </w:p>
        </w:tc>
        <w:tc>
          <w:tcPr>
            <w:tcW w:w="2293" w:type="dxa"/>
            <w:vAlign w:val="center"/>
            <w:textDirection w:val="lrTb"/>
            <w:noWrap w:val="false"/>
          </w:tcPr>
          <w:p>
            <w:pPr>
              <w:pStyle w:val="1151"/>
              <w:jc w:val="center"/>
              <w:rPr>
                <w:sz w:val="20"/>
                <w:szCs w:val="20"/>
                <w:highlight w:val="yellow"/>
              </w:rPr>
            </w:pPr>
            <w:r>
              <w:rPr>
                <w:sz w:val="20"/>
                <w:szCs w:val="20"/>
                <w:highlight w:val="yellow"/>
              </w:rPr>
            </w:r>
            <w:r/>
          </w:p>
        </w:tc>
      </w:tr>
      <w:tr>
        <w:trPr>
          <w:trHeight w:val="592"/>
        </w:trPr>
        <w:tc>
          <w:tcPr>
            <w:tcW w:w="653" w:type="dxa"/>
            <w:vAlign w:val="top"/>
            <w:textDirection w:val="lrTb"/>
            <w:noWrap w:val="false"/>
          </w:tcPr>
          <w:p>
            <w:pPr>
              <w:pStyle w:val="1151"/>
              <w:jc w:val="center"/>
              <w:spacing w:line="360" w:lineRule="auto"/>
              <w:rPr>
                <w:rFonts w:ascii="黑体" w:hAnsi="黑体" w:eastAsia="黑体"/>
                <w:sz w:val="18"/>
                <w:szCs w:val="18"/>
              </w:rPr>
            </w:pPr>
            <w:r>
              <w:rPr>
                <w:rFonts w:hint="eastAsia" w:ascii="黑体" w:hAnsi="黑体" w:eastAsia="黑体"/>
                <w:sz w:val="18"/>
                <w:szCs w:val="18"/>
              </w:rPr>
              <w:t xml:space="preserve">15</w:t>
            </w:r>
            <w:r>
              <w:rPr>
                <w:rFonts w:ascii="黑体" w:hAnsi="黑体" w:eastAsia="黑体"/>
                <w:sz w:val="18"/>
                <w:szCs w:val="18"/>
              </w:rPr>
            </w:r>
            <w:r/>
          </w:p>
        </w:tc>
        <w:tc>
          <w:tcPr>
            <w:tcW w:w="5239" w:type="dxa"/>
            <w:vAlign w:val="center"/>
            <w:textDirection w:val="lrTb"/>
            <w:noWrap w:val="false"/>
          </w:tcPr>
          <w:p>
            <w:pPr>
              <w:pStyle w:val="1151"/>
              <w:jc w:val="left"/>
              <w:widowControl/>
              <w:rPr>
                <w:sz w:val="18"/>
                <w:szCs w:val="18"/>
              </w:rPr>
            </w:pPr>
            <w:r>
              <w:rPr>
                <w:rFonts w:hint="eastAsia"/>
                <w:sz w:val="18"/>
                <w:szCs w:val="18"/>
              </w:rPr>
              <w:t xml:space="preserve">一二次融合标准化环网箱,AC10kV,630A,空气,二进四出,标准化,2进,4出,常压密封空气绝缘,集中式DTU,进出线断路器,GRC外壳</w:t>
            </w:r>
            <w:r>
              <w:rPr>
                <w:sz w:val="18"/>
                <w:szCs w:val="18"/>
              </w:rPr>
            </w:r>
            <w:r/>
          </w:p>
        </w:tc>
        <w:tc>
          <w:tcPr>
            <w:tcW w:w="2293" w:type="dxa"/>
            <w:vAlign w:val="center"/>
            <w:textDirection w:val="lrTb"/>
            <w:noWrap w:val="false"/>
          </w:tcPr>
          <w:p>
            <w:pPr>
              <w:pStyle w:val="1151"/>
              <w:jc w:val="center"/>
              <w:rPr>
                <w:sz w:val="20"/>
                <w:szCs w:val="20"/>
                <w:highlight w:val="yellow"/>
              </w:rPr>
            </w:pPr>
            <w:r>
              <w:rPr>
                <w:sz w:val="20"/>
                <w:szCs w:val="20"/>
                <w:highlight w:val="yellow"/>
              </w:rPr>
            </w:r>
            <w:r/>
          </w:p>
        </w:tc>
      </w:tr>
      <w:tr>
        <w:trPr>
          <w:trHeight w:val="592"/>
        </w:trPr>
        <w:tc>
          <w:tcPr>
            <w:tcW w:w="653" w:type="dxa"/>
            <w:vAlign w:val="top"/>
            <w:textDirection w:val="lrTb"/>
            <w:noWrap w:val="false"/>
          </w:tcPr>
          <w:p>
            <w:pPr>
              <w:pStyle w:val="1151"/>
              <w:jc w:val="center"/>
              <w:spacing w:line="360" w:lineRule="auto"/>
              <w:rPr>
                <w:rFonts w:ascii="黑体" w:hAnsi="黑体" w:eastAsia="黑体"/>
                <w:sz w:val="18"/>
                <w:szCs w:val="18"/>
              </w:rPr>
            </w:pPr>
            <w:r>
              <w:rPr>
                <w:rFonts w:hint="eastAsia" w:ascii="黑体" w:hAnsi="黑体" w:eastAsia="黑体"/>
                <w:sz w:val="18"/>
                <w:szCs w:val="18"/>
              </w:rPr>
              <w:t xml:space="preserve">16</w:t>
            </w:r>
            <w:r>
              <w:rPr>
                <w:rFonts w:ascii="黑体" w:hAnsi="黑体" w:eastAsia="黑体"/>
                <w:sz w:val="18"/>
                <w:szCs w:val="18"/>
              </w:rPr>
            </w:r>
            <w:r/>
          </w:p>
        </w:tc>
        <w:tc>
          <w:tcPr>
            <w:tcW w:w="5239" w:type="dxa"/>
            <w:vAlign w:val="center"/>
            <w:textDirection w:val="lrTb"/>
            <w:noWrap w:val="false"/>
          </w:tcPr>
          <w:p>
            <w:pPr>
              <w:pStyle w:val="1151"/>
              <w:jc w:val="left"/>
              <w:widowControl/>
              <w:rPr>
                <w:sz w:val="18"/>
                <w:szCs w:val="18"/>
              </w:rPr>
            </w:pPr>
            <w:r>
              <w:rPr>
                <w:rFonts w:hint="eastAsia"/>
                <w:sz w:val="18"/>
                <w:szCs w:val="18"/>
              </w:rPr>
              <w:t xml:space="preserve">一二次融合标准化环网箱,AC10kV,630A,空气,二进四出,标准化,2进,4出,常压密封空气绝缘,集中式DTU,进出线断路器,不锈钢外壳</w:t>
            </w:r>
            <w:r>
              <w:rPr>
                <w:sz w:val="18"/>
                <w:szCs w:val="18"/>
              </w:rPr>
            </w:r>
            <w:r/>
          </w:p>
        </w:tc>
        <w:tc>
          <w:tcPr>
            <w:tcW w:w="2293" w:type="dxa"/>
            <w:vAlign w:val="center"/>
            <w:textDirection w:val="lrTb"/>
            <w:noWrap w:val="false"/>
          </w:tcPr>
          <w:p>
            <w:pPr>
              <w:pStyle w:val="1151"/>
              <w:jc w:val="center"/>
              <w:rPr>
                <w:sz w:val="20"/>
                <w:szCs w:val="20"/>
                <w:highlight w:val="yellow"/>
              </w:rPr>
            </w:pPr>
            <w:r>
              <w:rPr>
                <w:sz w:val="20"/>
                <w:szCs w:val="20"/>
                <w:highlight w:val="yellow"/>
              </w:rPr>
            </w:r>
            <w:r/>
          </w:p>
        </w:tc>
      </w:tr>
    </w:tbl>
    <w:p>
      <w:pPr>
        <w:pStyle w:val="1151"/>
        <w:jc w:val="left"/>
        <w:widowControl/>
        <w:rPr>
          <w:rFonts w:ascii="宋体" w:hAnsi="宋体"/>
          <w:b/>
          <w:sz w:val="36"/>
          <w:szCs w:val="36"/>
        </w:rPr>
      </w:pPr>
      <w:r>
        <w:rPr>
          <w:rFonts w:ascii="宋体" w:hAnsi="宋体"/>
          <w:b/>
          <w:sz w:val="36"/>
          <w:szCs w:val="36"/>
        </w:rPr>
        <w:br w:type="page" w:clear="all"/>
      </w:r>
      <w:r>
        <w:rPr>
          <w:rFonts w:ascii="宋体" w:hAnsi="宋体"/>
          <w:b/>
          <w:sz w:val="36"/>
          <w:szCs w:val="36"/>
        </w:rPr>
      </w:r>
      <w:r/>
    </w:p>
    <w:p>
      <w:pPr>
        <w:pStyle w:val="1151"/>
        <w:jc w:val="center"/>
        <w:spacing w:line="360" w:lineRule="auto"/>
        <w:rPr>
          <w:b/>
          <w:sz w:val="36"/>
          <w:szCs w:val="36"/>
        </w:rPr>
      </w:pPr>
      <w:r>
        <w:rPr>
          <w:b/>
          <w:sz w:val="36"/>
          <w:szCs w:val="36"/>
        </w:rPr>
        <w:t xml:space="preserve">目录</w:t>
      </w:r>
      <w:r>
        <w:rPr>
          <w:b/>
          <w:sz w:val="36"/>
          <w:szCs w:val="36"/>
        </w:rPr>
      </w:r>
      <w:r/>
    </w:p>
    <w:p>
      <w:pPr>
        <w:pStyle w:val="1236"/>
        <w:jc w:val="center"/>
        <w:rPr>
          <w:rFonts w:ascii="Times New Roman" w:hAnsi="Times New Roman" w:cs="Times New Roman"/>
          <w:color w:val="000000"/>
        </w:rPr>
      </w:pPr>
      <w:r>
        <w:rPr>
          <w:rFonts w:ascii="Times New Roman" w:hAnsi="Times New Roman" w:cs="Times New Roman"/>
          <w:color w:val="000000"/>
        </w:rPr>
      </w:r>
      <w:r/>
    </w:p>
    <w:p>
      <w:pPr>
        <w:pStyle w:val="1182"/>
        <w:tabs>
          <w:tab w:val="right" w:pos="8306" w:leader="dot"/>
        </w:tabs>
      </w:pPr>
      <w:r>
        <w:fldChar w:fldCharType="begin"/>
      </w:r>
      <w:r>
        <w:instrText xml:space="preserve"> TOC \o "1-1" \h \z \u </w:instrText>
      </w:r>
      <w:r>
        <w:fldChar w:fldCharType="separate"/>
      </w:r>
      <w:r>
        <w:fldChar w:fldCharType="begin"/>
      </w:r>
      <w:r>
        <w:instrText xml:space="preserve"> HYPERLINK \l "_Toc14317" </w:instrText>
      </w:r>
      <w:r>
        <w:fldChar w:fldCharType="separate"/>
      </w:r>
      <w:r>
        <w:t xml:space="preserve">第1部分：通用技术规范</w:t>
      </w:r>
      <w:r>
        <w:tab/>
      </w:r>
      <w:r>
        <w:fldChar w:fldCharType="end"/>
      </w:r>
      <w:r/>
    </w:p>
    <w:p>
      <w:pPr>
        <w:pStyle w:val="1182"/>
        <w:tabs>
          <w:tab w:val="right" w:pos="8306" w:leader="dot"/>
        </w:tabs>
      </w:pPr>
      <w:r>
        <w:fldChar w:fldCharType="begin"/>
      </w:r>
      <w:r>
        <w:instrText xml:space="preserve"> HYPERLINK \l "_Toc19191" </w:instrText>
      </w:r>
      <w:r>
        <w:fldChar w:fldCharType="separate"/>
      </w:r>
      <w:r>
        <w:t xml:space="preserve">1　范围</w:t>
      </w:r>
      <w:r>
        <w:tab/>
      </w:r>
      <w:r>
        <w:fldChar w:fldCharType="end"/>
      </w:r>
      <w:r/>
    </w:p>
    <w:p>
      <w:pPr>
        <w:pStyle w:val="1182"/>
        <w:tabs>
          <w:tab w:val="right" w:pos="8306" w:leader="dot"/>
        </w:tabs>
      </w:pPr>
      <w:r>
        <w:fldChar w:fldCharType="begin"/>
      </w:r>
      <w:r>
        <w:instrText xml:space="preserve"> HYPERLINK \l "_Toc31277" </w:instrText>
      </w:r>
      <w:r>
        <w:fldChar w:fldCharType="separate"/>
      </w:r>
      <w:r>
        <w:t xml:space="preserve">2　规范性引用文件</w:t>
      </w:r>
      <w:r>
        <w:tab/>
      </w:r>
      <w:r>
        <w:fldChar w:fldCharType="end"/>
      </w:r>
      <w:r/>
    </w:p>
    <w:p>
      <w:pPr>
        <w:pStyle w:val="1182"/>
        <w:tabs>
          <w:tab w:val="right" w:pos="8306" w:leader="dot"/>
        </w:tabs>
      </w:pPr>
      <w:r>
        <w:fldChar w:fldCharType="begin"/>
      </w:r>
      <w:r>
        <w:instrText xml:space="preserve"> HYPERLINK \l "_Toc19644" </w:instrText>
      </w:r>
      <w:r>
        <w:fldChar w:fldCharType="separate"/>
      </w:r>
      <w:r>
        <w:t xml:space="preserve">3　术语和定义</w:t>
      </w:r>
      <w:r>
        <w:tab/>
      </w:r>
      <w:r>
        <w:fldChar w:fldCharType="end"/>
      </w:r>
      <w:r/>
    </w:p>
    <w:p>
      <w:pPr>
        <w:pStyle w:val="1182"/>
        <w:tabs>
          <w:tab w:val="right" w:pos="8306" w:leader="dot"/>
        </w:tabs>
      </w:pPr>
      <w:r>
        <w:fldChar w:fldCharType="begin"/>
      </w:r>
      <w:r>
        <w:instrText xml:space="preserve"> HYPERLINK \l "_Toc10471" </w:instrText>
      </w:r>
      <w:r>
        <w:fldChar w:fldCharType="separate"/>
      </w:r>
      <w:r>
        <w:t xml:space="preserve">4　总则</w:t>
      </w:r>
      <w:r>
        <w:tab/>
      </w:r>
      <w:r>
        <w:fldChar w:fldCharType="end"/>
      </w:r>
      <w:r/>
    </w:p>
    <w:p>
      <w:pPr>
        <w:pStyle w:val="1182"/>
        <w:tabs>
          <w:tab w:val="right" w:pos="8306" w:leader="dot"/>
        </w:tabs>
      </w:pPr>
      <w:r>
        <w:fldChar w:fldCharType="begin"/>
      </w:r>
      <w:r>
        <w:instrText xml:space="preserve"> HYPERLINK \l "_Toc31628" </w:instrText>
      </w:r>
      <w:r>
        <w:fldChar w:fldCharType="separate"/>
      </w:r>
      <w:r>
        <w:t xml:space="preserve">5　技术参数和性能要求</w:t>
      </w:r>
      <w:r>
        <w:tab/>
      </w:r>
      <w:r>
        <w:fldChar w:fldCharType="end"/>
      </w:r>
      <w:r/>
    </w:p>
    <w:p>
      <w:pPr>
        <w:pStyle w:val="1182"/>
        <w:tabs>
          <w:tab w:val="right" w:pos="8306" w:leader="dot"/>
        </w:tabs>
      </w:pPr>
      <w:r>
        <w:fldChar w:fldCharType="begin"/>
      </w:r>
      <w:r>
        <w:instrText xml:space="preserve"> HYPERLINK \l "_Toc26141" </w:instrText>
      </w:r>
      <w:r>
        <w:fldChar w:fldCharType="separate"/>
      </w:r>
      <w:r>
        <w:t xml:space="preserve">6　试验项目、方法及要求</w:t>
      </w:r>
      <w:r>
        <w:tab/>
      </w:r>
      <w:r>
        <w:fldChar w:fldCharType="end"/>
      </w:r>
      <w:r/>
    </w:p>
    <w:p>
      <w:pPr>
        <w:pStyle w:val="1182"/>
        <w:tabs>
          <w:tab w:val="right" w:pos="8306" w:leader="dot"/>
        </w:tabs>
      </w:pPr>
      <w:r>
        <w:fldChar w:fldCharType="begin"/>
      </w:r>
      <w:r>
        <w:instrText xml:space="preserve"> HYPERLINK \l "_Toc30490" </w:instrText>
      </w:r>
      <w:r>
        <w:fldChar w:fldCharType="separate"/>
      </w:r>
      <w:r>
        <w:t xml:space="preserve">7　技术服务、工厂检验和监造</w:t>
      </w:r>
      <w:r>
        <w:tab/>
      </w:r>
      <w:r>
        <w:fldChar w:fldCharType="end"/>
      </w:r>
      <w:r/>
    </w:p>
    <w:p>
      <w:pPr>
        <w:pStyle w:val="1182"/>
        <w:tabs>
          <w:tab w:val="right" w:pos="8306" w:leader="dot"/>
        </w:tabs>
      </w:pPr>
      <w:r>
        <w:fldChar w:fldCharType="begin"/>
      </w:r>
      <w:r>
        <w:instrText xml:space="preserve"> HYPERLINK \l "_Toc10630" </w:instrText>
      </w:r>
      <w:r>
        <w:fldChar w:fldCharType="separate"/>
      </w:r>
      <w:r>
        <w:t xml:space="preserve">8　包装、运输及贮存</w:t>
      </w:r>
      <w:r>
        <w:tab/>
      </w:r>
      <w:r>
        <w:fldChar w:fldCharType="end"/>
      </w:r>
      <w:r/>
    </w:p>
    <w:p>
      <w:pPr>
        <w:pStyle w:val="1182"/>
        <w:tabs>
          <w:tab w:val="right" w:pos="8306" w:leader="dot"/>
        </w:tabs>
      </w:pPr>
      <w:r>
        <w:fldChar w:fldCharType="begin"/>
      </w:r>
      <w:r>
        <w:instrText xml:space="preserve"> HYPERLINK \l "_Toc7113" </w:instrText>
      </w:r>
      <w:r>
        <w:fldChar w:fldCharType="separate"/>
      </w:r>
      <w:r>
        <w:rPr>
          <w:rFonts w:hint="eastAsia" w:ascii="黑体" w:hAnsi="黑体" w:eastAsia="黑体"/>
        </w:rPr>
        <w:t xml:space="preserve">附录</w:t>
      </w:r>
      <w:r>
        <w:rPr>
          <w:rFonts w:ascii="黑体" w:hAnsi="黑体" w:eastAsia="黑体"/>
        </w:rPr>
        <w:t xml:space="preserve">A </w:t>
      </w:r>
      <w:r>
        <w:rPr>
          <w:rFonts w:hint="eastAsia" w:ascii="黑体" w:hAnsi="黑体" w:eastAsia="黑体"/>
        </w:rPr>
        <w:t xml:space="preserve">环网箱一次设备配置示意图</w:t>
      </w:r>
      <w:r>
        <w:tab/>
      </w:r>
      <w:r>
        <w:fldChar w:fldCharType="end"/>
      </w:r>
      <w:r/>
    </w:p>
    <w:p>
      <w:pPr>
        <w:pStyle w:val="1182"/>
        <w:tabs>
          <w:tab w:val="right" w:pos="8306" w:leader="dot"/>
        </w:tabs>
      </w:pPr>
      <w:r>
        <w:fldChar w:fldCharType="begin"/>
      </w:r>
      <w:r>
        <w:instrText xml:space="preserve"> HYPERLINK \l "_Toc15193" </w:instrText>
      </w:r>
      <w:r>
        <w:fldChar w:fldCharType="separate"/>
      </w:r>
      <w:r>
        <w:rPr>
          <w:rFonts w:hint="eastAsia" w:ascii="黑体" w:hAnsi="黑体" w:eastAsia="黑体"/>
        </w:rPr>
        <w:t xml:space="preserve">附录</w:t>
      </w:r>
      <w:r>
        <w:rPr>
          <w:rFonts w:ascii="黑体" w:hAnsi="黑体" w:eastAsia="黑体"/>
        </w:rPr>
        <w:t xml:space="preserve">B </w:t>
      </w:r>
      <w:r>
        <w:rPr>
          <w:rFonts w:hint="eastAsia" w:ascii="黑体" w:hAnsi="黑体" w:eastAsia="黑体"/>
        </w:rPr>
        <w:t xml:space="preserve">站所终端及辅助设备的结构和安装示意图</w:t>
      </w:r>
      <w:r>
        <w:tab/>
      </w:r>
      <w:r>
        <w:fldChar w:fldCharType="end"/>
      </w:r>
      <w:r/>
    </w:p>
    <w:p>
      <w:pPr>
        <w:pStyle w:val="1182"/>
        <w:tabs>
          <w:tab w:val="right" w:pos="8306" w:leader="dot"/>
        </w:tabs>
      </w:pPr>
      <w:r>
        <w:fldChar w:fldCharType="begin"/>
      </w:r>
      <w:r>
        <w:instrText xml:space="preserve"> HYPERLINK \l "_Toc209" </w:instrText>
      </w:r>
      <w:r>
        <w:fldChar w:fldCharType="separate"/>
      </w:r>
      <w:r>
        <w:rPr>
          <w:rFonts w:hint="eastAsia" w:ascii="黑体" w:hAnsi="黑体" w:eastAsia="黑体"/>
        </w:rPr>
        <w:t xml:space="preserve">附录</w:t>
      </w:r>
      <w:r>
        <w:rPr>
          <w:rFonts w:ascii="黑体" w:hAnsi="黑体" w:eastAsia="黑体"/>
        </w:rPr>
        <w:t xml:space="preserve">C </w:t>
      </w:r>
      <w:r>
        <w:rPr>
          <w:rFonts w:hint="eastAsia" w:ascii="黑体" w:hAnsi="黑体" w:eastAsia="黑体"/>
        </w:rPr>
        <w:t xml:space="preserve">安全芯片管脚定义及封装尺寸</w:t>
      </w:r>
      <w:r>
        <w:tab/>
      </w:r>
      <w:r>
        <w:fldChar w:fldCharType="end"/>
      </w:r>
      <w:r/>
    </w:p>
    <w:p>
      <w:pPr>
        <w:pStyle w:val="1182"/>
        <w:tabs>
          <w:tab w:val="right" w:pos="8306" w:leader="dot"/>
        </w:tabs>
      </w:pPr>
      <w:r>
        <w:fldChar w:fldCharType="begin"/>
      </w:r>
      <w:r>
        <w:instrText xml:space="preserve"> HYPERLINK \l "_Toc28256" </w:instrText>
      </w:r>
      <w:r>
        <w:fldChar w:fldCharType="separate"/>
      </w:r>
      <w:r>
        <w:rPr>
          <w:rFonts w:hint="eastAsia" w:ascii="黑体" w:hAnsi="黑体" w:eastAsia="黑体"/>
        </w:rPr>
        <w:t xml:space="preserve">附录</w:t>
      </w:r>
      <w:r>
        <w:rPr>
          <w:rFonts w:ascii="黑体" w:hAnsi="黑体" w:eastAsia="黑体"/>
        </w:rPr>
        <w:t xml:space="preserve">D </w:t>
      </w:r>
      <w:r>
        <w:rPr>
          <w:rFonts w:hint="eastAsia" w:ascii="黑体" w:hAnsi="黑体" w:eastAsia="黑体"/>
        </w:rPr>
        <w:t xml:space="preserve">矩形连接器接口定义及接线要求</w:t>
      </w:r>
      <w:r>
        <w:rPr>
          <w:rFonts w:ascii="黑体" w:hAnsi="黑体" w:eastAsia="黑体"/>
        </w:rPr>
        <w:t xml:space="preserve">(规范性附录)</w:t>
      </w:r>
      <w:r>
        <w:tab/>
      </w:r>
      <w:r>
        <w:fldChar w:fldCharType="end"/>
      </w:r>
      <w:r/>
    </w:p>
    <w:p>
      <w:pPr>
        <w:pStyle w:val="1182"/>
        <w:tabs>
          <w:tab w:val="right" w:pos="8306" w:leader="dot"/>
        </w:tabs>
      </w:pPr>
      <w:r>
        <w:fldChar w:fldCharType="begin"/>
      </w:r>
      <w:r>
        <w:instrText xml:space="preserve"> HYPERLINK \l "_Toc11386" </w:instrText>
      </w:r>
      <w:r>
        <w:fldChar w:fldCharType="separate"/>
      </w:r>
      <w:r>
        <w:rPr>
          <w:rFonts w:hint="eastAsia" w:ascii="黑体" w:hAnsi="黑体" w:eastAsia="黑体"/>
        </w:rPr>
        <w:t xml:space="preserve">附录</w:t>
      </w:r>
      <w:r>
        <w:rPr>
          <w:rFonts w:ascii="黑体" w:hAnsi="黑体" w:eastAsia="黑体"/>
        </w:rPr>
        <w:t xml:space="preserve">E </w:t>
      </w:r>
      <w:r>
        <w:rPr>
          <w:rFonts w:hint="eastAsia" w:ascii="黑体" w:hAnsi="黑体" w:eastAsia="黑体"/>
        </w:rPr>
        <w:t xml:space="preserve">终端铭牌及二维码定义</w:t>
      </w:r>
      <w:r>
        <w:rPr>
          <w:rFonts w:ascii="黑体" w:hAnsi="黑体" w:eastAsia="黑体"/>
        </w:rPr>
        <w:t xml:space="preserve">(规范性附录)</w:t>
      </w:r>
      <w:r>
        <w:tab/>
      </w:r>
      <w:r>
        <w:fldChar w:fldCharType="end"/>
      </w:r>
      <w:r/>
    </w:p>
    <w:p>
      <w:pPr>
        <w:pStyle w:val="1182"/>
        <w:tabs>
          <w:tab w:val="right" w:pos="8306" w:leader="dot"/>
        </w:tabs>
      </w:pPr>
      <w:r>
        <w:fldChar w:fldCharType="begin"/>
      </w:r>
      <w:r>
        <w:instrText xml:space="preserve"> HYPERLINK \l "_Toc23498" </w:instrText>
      </w:r>
      <w:r>
        <w:fldChar w:fldCharType="separate"/>
      </w:r>
      <w:r>
        <w:rPr>
          <w:rFonts w:hint="eastAsia" w:ascii="黑体" w:hAnsi="黑体" w:eastAsia="黑体"/>
        </w:rPr>
        <w:t xml:space="preserve">附录</w:t>
      </w:r>
      <w:r>
        <w:rPr>
          <w:rFonts w:ascii="黑体" w:hAnsi="黑体" w:eastAsia="黑体"/>
        </w:rPr>
        <w:t xml:space="preserve">F </w:t>
      </w:r>
      <w:r>
        <w:rPr>
          <w:rFonts w:hint="eastAsia" w:ascii="黑体" w:hAnsi="黑体" w:eastAsia="黑体"/>
        </w:rPr>
        <w:t xml:space="preserve">电源模块要求</w:t>
      </w:r>
      <w:r>
        <w:rPr>
          <w:rFonts w:ascii="黑体" w:hAnsi="黑体" w:eastAsia="黑体"/>
        </w:rPr>
        <w:t xml:space="preserve">(规范性附录)</w:t>
      </w:r>
      <w:r>
        <w:tab/>
      </w:r>
      <w:r>
        <w:fldChar w:fldCharType="end"/>
      </w:r>
      <w:r/>
    </w:p>
    <w:p>
      <w:pPr>
        <w:pStyle w:val="1182"/>
        <w:tabs>
          <w:tab w:val="right" w:pos="8306" w:leader="dot"/>
        </w:tabs>
      </w:pPr>
      <w:r>
        <w:fldChar w:fldCharType="begin"/>
      </w:r>
      <w:r>
        <w:instrText xml:space="preserve"> HYPERLINK \l "_Toc22326" </w:instrText>
      </w:r>
      <w:r>
        <w:fldChar w:fldCharType="separate"/>
      </w:r>
      <w:r>
        <w:rPr>
          <w:rFonts w:hint="eastAsia" w:ascii="黑体" w:hAnsi="黑体" w:eastAsia="黑体"/>
        </w:rPr>
        <w:t xml:space="preserve">附录</w:t>
      </w:r>
      <w:r>
        <w:rPr>
          <w:rFonts w:ascii="黑体" w:hAnsi="黑体" w:eastAsia="黑体"/>
        </w:rPr>
        <w:t xml:space="preserve">G 配套</w:t>
      </w:r>
      <w:r>
        <w:rPr>
          <w:rFonts w:hint="eastAsia" w:ascii="黑体" w:hAnsi="黑体" w:eastAsia="黑体"/>
        </w:rPr>
        <w:t xml:space="preserve">电磁式</w:t>
      </w:r>
      <w:r>
        <w:rPr>
          <w:rFonts w:ascii="黑体" w:hAnsi="黑体" w:eastAsia="黑体"/>
        </w:rPr>
        <w:t xml:space="preserve">互感器/</w:t>
      </w:r>
      <w:r>
        <w:rPr>
          <w:rFonts w:hint="eastAsia" w:ascii="黑体" w:hAnsi="黑体" w:eastAsia="黑体"/>
        </w:rPr>
        <w:t xml:space="preserve">低功率互</w:t>
      </w:r>
      <w:r>
        <w:rPr>
          <w:rFonts w:ascii="黑体" w:hAnsi="黑体" w:eastAsia="黑体"/>
        </w:rPr>
        <w:t xml:space="preserve">感器</w:t>
      </w:r>
      <w:r>
        <w:rPr>
          <w:rFonts w:hint="eastAsia" w:ascii="黑体" w:hAnsi="黑体" w:eastAsia="黑体"/>
        </w:rPr>
        <w:t xml:space="preserve">参考设计</w:t>
      </w:r>
      <w:r>
        <w:tab/>
      </w:r>
      <w:r>
        <w:fldChar w:fldCharType="end"/>
      </w:r>
      <w:r/>
    </w:p>
    <w:p>
      <w:pPr>
        <w:pStyle w:val="1182"/>
        <w:tabs>
          <w:tab w:val="right" w:pos="8306" w:leader="dot"/>
        </w:tabs>
      </w:pPr>
      <w:r>
        <w:fldChar w:fldCharType="begin"/>
      </w:r>
      <w:r>
        <w:instrText xml:space="preserve"> HYPERLINK \l "_Toc13899" </w:instrText>
      </w:r>
      <w:r>
        <w:fldChar w:fldCharType="separate"/>
      </w:r>
      <w:r>
        <w:rPr>
          <w:rFonts w:hint="eastAsia" w:ascii="黑体" w:hAnsi="黑体" w:eastAsia="黑体"/>
        </w:rPr>
        <w:t xml:space="preserve">附录H</w:t>
      </w:r>
      <w:r>
        <w:rPr>
          <w:rFonts w:ascii="黑体" w:hAnsi="黑体" w:eastAsia="黑体"/>
        </w:rPr>
        <w:t xml:space="preserve">运维通信协议</w:t>
      </w:r>
      <w:r>
        <w:rPr>
          <w:rFonts w:hint="eastAsia" w:ascii="黑体" w:hAnsi="黑体" w:eastAsia="黑体"/>
        </w:rPr>
        <w:t xml:space="preserve">技术要求</w:t>
      </w:r>
      <w:r>
        <w:rPr>
          <w:rFonts w:ascii="黑体" w:hAnsi="黑体" w:eastAsia="黑体"/>
        </w:rPr>
        <w:t xml:space="preserve">(规范性附录)</w:t>
      </w:r>
      <w:r>
        <w:tab/>
      </w:r>
      <w:r>
        <w:fldChar w:fldCharType="end"/>
      </w:r>
      <w:r/>
    </w:p>
    <w:p>
      <w:pPr>
        <w:pStyle w:val="1182"/>
        <w:tabs>
          <w:tab w:val="right" w:pos="8306" w:leader="dot"/>
        </w:tabs>
      </w:pPr>
      <w:r>
        <w:fldChar w:fldCharType="begin"/>
      </w:r>
      <w:r>
        <w:instrText xml:space="preserve"> HYPERLINK \l "_Toc7341" </w:instrText>
      </w:r>
      <w:r>
        <w:fldChar w:fldCharType="separate"/>
      </w:r>
      <w:r>
        <w:rPr>
          <w:rFonts w:hint="eastAsia" w:ascii="黑体" w:hAnsi="黑体" w:eastAsia="黑体"/>
        </w:rPr>
        <w:t xml:space="preserve">附录I 二次回路模块技术要求</w:t>
      </w:r>
      <w:r>
        <w:tab/>
      </w:r>
      <w:r>
        <w:fldChar w:fldCharType="end"/>
      </w:r>
      <w:r/>
    </w:p>
    <w:p>
      <w:pPr>
        <w:pStyle w:val="1182"/>
        <w:tabs>
          <w:tab w:val="right" w:pos="8306" w:leader="dot"/>
        </w:tabs>
      </w:pPr>
      <w:r>
        <w:fldChar w:fldCharType="begin"/>
      </w:r>
      <w:r>
        <w:instrText xml:space="preserve"> HYPERLINK \l "_Toc14227" </w:instrText>
      </w:r>
      <w:r>
        <w:fldChar w:fldCharType="separate"/>
      </w:r>
      <w:r>
        <w:rPr>
          <w:rFonts w:hint="eastAsia" w:ascii="黑体" w:hAnsi="黑体" w:eastAsia="黑体"/>
        </w:rPr>
        <w:t xml:space="preserve">附录J保护相关技术要求与配置(规范性附录)</w:t>
      </w:r>
      <w:r>
        <w:tab/>
      </w:r>
      <w:r>
        <w:fldChar w:fldCharType="end"/>
      </w:r>
      <w:r/>
    </w:p>
    <w:p>
      <w:pPr>
        <w:pStyle w:val="1182"/>
        <w:tabs>
          <w:tab w:val="right" w:pos="8306" w:leader="dot"/>
        </w:tabs>
      </w:pPr>
      <w:r>
        <w:fldChar w:fldCharType="begin"/>
      </w:r>
      <w:r>
        <w:instrText xml:space="preserve"> HYPERLINK \l "_Toc12784" </w:instrText>
      </w:r>
      <w:r>
        <w:fldChar w:fldCharType="separate"/>
      </w:r>
      <w:r>
        <w:rPr>
          <w:rFonts w:hint="eastAsia" w:ascii="黑体" w:hAnsi="黑体" w:eastAsia="黑体"/>
        </w:rPr>
        <w:t xml:space="preserve">附录</w:t>
      </w:r>
      <w:r>
        <w:rPr>
          <w:rFonts w:ascii="黑体" w:hAnsi="黑体" w:eastAsia="黑体"/>
        </w:rPr>
        <w:t xml:space="preserve">K </w:t>
      </w:r>
      <w:r>
        <w:rPr>
          <w:rFonts w:hint="eastAsia" w:ascii="黑体" w:hAnsi="黑体" w:eastAsia="黑体"/>
        </w:rPr>
        <w:t xml:space="preserve">站所终端和参数定义(规范性附录)</w:t>
      </w:r>
      <w:r>
        <w:tab/>
      </w:r>
      <w:r>
        <w:fldChar w:fldCharType="end"/>
      </w:r>
      <w:r/>
    </w:p>
    <w:p>
      <w:pPr>
        <w:pStyle w:val="1182"/>
        <w:tabs>
          <w:tab w:val="right" w:pos="8306" w:leader="dot"/>
        </w:tabs>
      </w:pPr>
      <w:r>
        <w:fldChar w:fldCharType="begin"/>
      </w:r>
      <w:r>
        <w:instrText xml:space="preserve"> HYPERLINK \l "_Toc544" </w:instrText>
      </w:r>
      <w:r>
        <w:fldChar w:fldCharType="separate"/>
      </w:r>
      <w:r>
        <w:rPr>
          <w:rFonts w:hint="eastAsia" w:ascii="黑体" w:hAnsi="黑体" w:eastAsia="黑体"/>
        </w:rPr>
        <w:t xml:space="preserve">附录</w:t>
      </w:r>
      <w:r>
        <w:rPr>
          <w:rFonts w:ascii="黑体" w:hAnsi="黑体" w:eastAsia="黑体"/>
        </w:rPr>
        <w:t xml:space="preserve">L </w:t>
      </w:r>
      <w:r>
        <w:rPr>
          <w:rFonts w:hint="eastAsia" w:ascii="黑体" w:hAnsi="黑体" w:eastAsia="黑体"/>
        </w:rPr>
        <w:t xml:space="preserve">故障告警及常规保护</w:t>
      </w:r>
      <w:r>
        <w:tab/>
      </w:r>
      <w:r>
        <w:fldChar w:fldCharType="end"/>
      </w:r>
      <w:r/>
    </w:p>
    <w:p>
      <w:pPr>
        <w:pStyle w:val="1237"/>
        <w:jc w:val="both"/>
        <w:sectPr>
          <w:footnotePr/>
          <w:endnotePr/>
          <w:type w:val="nextPage"/>
          <w:pgSz w:w="11906" w:h="16838" w:orient="portrait"/>
          <w:pgMar w:top="1440" w:right="1800" w:bottom="1440" w:left="1800" w:header="851" w:footer="992" w:gutter="0"/>
          <w:cols w:num="1" w:sep="0" w:space="1701" w:equalWidth="1"/>
          <w:docGrid w:linePitch="360"/>
        </w:sectPr>
      </w:pPr>
      <w:r>
        <w:fldChar w:fldCharType="end"/>
      </w:r>
      <w:r/>
    </w:p>
    <w:p>
      <w:pPr>
        <w:pStyle w:val="1185"/>
        <w:rPr>
          <w:rFonts w:ascii="Times New Roman" w:hAnsi="Times New Roman"/>
        </w:rPr>
      </w:pPr>
      <w:r/>
      <w:bookmarkStart w:id="48" w:name="_Toc14317"/>
      <w:r/>
      <w:bookmarkStart w:id="49" w:name="_Toc27063"/>
      <w:r/>
      <w:bookmarkStart w:id="50" w:name="_Toc55057878"/>
      <w:r/>
      <w:bookmarkStart w:id="51" w:name="_Toc25197"/>
      <w:r/>
      <w:bookmarkStart w:id="52" w:name="_Toc17758"/>
      <w:r/>
      <w:bookmarkStart w:id="53" w:name="_Toc380612188"/>
      <w:r>
        <w:rPr>
          <w:rFonts w:ascii="Times New Roman" w:hAnsi="Times New Roman"/>
        </w:rPr>
        <w:t xml:space="preserve">第1部分：通用技术规范</w:t>
      </w:r>
      <w:bookmarkEnd w:id="48"/>
      <w:r/>
      <w:bookmarkEnd w:id="49"/>
      <w:r/>
      <w:bookmarkEnd w:id="50"/>
      <w:r/>
      <w:bookmarkEnd w:id="51"/>
      <w:r/>
      <w:bookmarkEnd w:id="52"/>
      <w:r/>
      <w:bookmarkEnd w:id="53"/>
      <w:r>
        <w:rPr>
          <w:rFonts w:ascii="Times New Roman" w:hAnsi="Times New Roman"/>
        </w:rPr>
      </w:r>
      <w:r/>
    </w:p>
    <w:p>
      <w:pPr>
        <w:pStyle w:val="1238"/>
        <w:rPr>
          <w:rFonts w:ascii="Times New Roman"/>
        </w:rPr>
        <w:outlineLvl w:val="0"/>
      </w:pPr>
      <w:r/>
      <w:bookmarkStart w:id="54" w:name="_Toc19191"/>
      <w:r/>
      <w:bookmarkStart w:id="55" w:name="_Toc975"/>
      <w:r/>
      <w:bookmarkStart w:id="56" w:name="_Toc380612189"/>
      <w:r/>
      <w:bookmarkStart w:id="57" w:name="_Toc357152500"/>
      <w:r/>
      <w:bookmarkStart w:id="58" w:name="_Toc10089"/>
      <w:r/>
      <w:bookmarkStart w:id="59" w:name="_Toc55057879"/>
      <w:r/>
      <w:bookmarkStart w:id="60" w:name="_Toc3959"/>
      <w:r>
        <w:rPr>
          <w:rFonts w:ascii="Times New Roman"/>
        </w:rPr>
        <w:t xml:space="preserve">1　范围</w:t>
      </w:r>
      <w:bookmarkEnd w:id="54"/>
      <w:r/>
      <w:bookmarkEnd w:id="55"/>
      <w:r/>
      <w:bookmarkEnd w:id="56"/>
      <w:r/>
      <w:bookmarkEnd w:id="57"/>
      <w:r/>
      <w:bookmarkEnd w:id="58"/>
      <w:r/>
      <w:bookmarkEnd w:id="59"/>
      <w:r/>
      <w:bookmarkEnd w:id="60"/>
      <w:r>
        <w:rPr>
          <w:rFonts w:ascii="Times New Roman"/>
        </w:rPr>
      </w:r>
      <w:r/>
    </w:p>
    <w:p>
      <w:pPr>
        <w:pStyle w:val="1151"/>
        <w:ind w:firstLine="420"/>
        <w:spacing w:line="320" w:lineRule="exact"/>
        <w:rPr>
          <w:szCs w:val="21"/>
        </w:rPr>
      </w:pPr>
      <w:r>
        <w:rPr>
          <w:szCs w:val="21"/>
        </w:rPr>
        <w:t xml:space="preserve">本部分规定了环网柜（箱）招标的总则、技术参数和性能要求、试验、包装、运输、交货的一般要求。</w:t>
      </w:r>
      <w:r>
        <w:rPr>
          <w:szCs w:val="21"/>
        </w:rPr>
      </w:r>
      <w:r/>
    </w:p>
    <w:p>
      <w:pPr>
        <w:pStyle w:val="1151"/>
        <w:ind w:firstLine="425"/>
        <w:spacing w:line="312" w:lineRule="exact"/>
        <w:rPr>
          <w:szCs w:val="21"/>
        </w:rPr>
      </w:pPr>
      <w:r>
        <w:rPr>
          <w:szCs w:val="21"/>
        </w:rPr>
        <w:t xml:space="preserve">本部分适用于环网柜（箱）招标。</w:t>
      </w:r>
      <w:r>
        <w:rPr>
          <w:szCs w:val="21"/>
        </w:rPr>
      </w:r>
      <w:r/>
    </w:p>
    <w:p>
      <w:pPr>
        <w:pStyle w:val="1238"/>
        <w:rPr>
          <w:rFonts w:ascii="Times New Roman"/>
        </w:rPr>
        <w:outlineLvl w:val="0"/>
      </w:pPr>
      <w:r/>
      <w:bookmarkStart w:id="61" w:name="_Toc31277"/>
      <w:r/>
      <w:bookmarkStart w:id="62" w:name="_Toc357152501"/>
      <w:r/>
      <w:bookmarkStart w:id="63" w:name="_Toc55057880"/>
      <w:r/>
      <w:bookmarkStart w:id="64" w:name="_Toc21231"/>
      <w:r/>
      <w:bookmarkStart w:id="65" w:name="_Toc1050"/>
      <w:r/>
      <w:bookmarkStart w:id="66" w:name="_Toc5609"/>
      <w:r/>
      <w:bookmarkStart w:id="67" w:name="_Toc380612190"/>
      <w:r>
        <w:rPr>
          <w:rFonts w:ascii="Times New Roman"/>
        </w:rPr>
        <w:t xml:space="preserve">2　规范性引用文件</w:t>
      </w:r>
      <w:bookmarkEnd w:id="61"/>
      <w:r/>
      <w:bookmarkEnd w:id="62"/>
      <w:r/>
      <w:bookmarkEnd w:id="63"/>
      <w:r/>
      <w:bookmarkEnd w:id="64"/>
      <w:r/>
      <w:bookmarkEnd w:id="65"/>
      <w:r/>
      <w:bookmarkEnd w:id="66"/>
      <w:r/>
      <w:bookmarkEnd w:id="67"/>
      <w:r>
        <w:rPr>
          <w:rFonts w:ascii="Times New Roman"/>
        </w:rPr>
      </w:r>
      <w:r/>
    </w:p>
    <w:p>
      <w:pPr>
        <w:pStyle w:val="1151"/>
        <w:ind w:firstLine="425"/>
        <w:spacing w:line="320" w:lineRule="exact"/>
        <w:rPr>
          <w:szCs w:val="21"/>
        </w:rPr>
      </w:pPr>
      <w:r>
        <w:rPr>
          <w:szCs w:val="21"/>
        </w:rPr>
        <w:t xml:space="preserve">下列文件对于本文件的应用是必不可少的。凡是注日期的引用文件，仅注日期的版本适用于本文件。凡是不注日期的引用文件，其最新版本适用于本文件。</w:t>
      </w:r>
      <w:r>
        <w:rPr>
          <w:szCs w:val="21"/>
        </w:rPr>
      </w:r>
      <w:r/>
    </w:p>
    <w:p>
      <w:pPr>
        <w:pStyle w:val="1151"/>
        <w:ind w:firstLine="420"/>
        <w:widowControl/>
      </w:pPr>
      <w:r>
        <w:t xml:space="preserve">GB/T 191  包装储运图示标志(ISO 780-1997,MOD )</w:t>
      </w:r>
      <w:r/>
    </w:p>
    <w:p>
      <w:pPr>
        <w:pStyle w:val="1201"/>
        <w:tabs>
          <w:tab w:val="center" w:pos="4201" w:leader="none"/>
          <w:tab w:val="right" w:pos="9298" w:leader="dot"/>
        </w:tabs>
        <w:rPr>
          <w:rFonts w:ascii="Times New Roman"/>
        </w:rPr>
      </w:pPr>
      <w:r>
        <w:rPr>
          <w:rFonts w:ascii="Times New Roman"/>
        </w:rPr>
        <w:t xml:space="preserve">GB 1094.11 电力变压器第11部分干式变压器(IEC 726-82,EQV)</w:t>
      </w:r>
      <w:r>
        <w:rPr>
          <w:rFonts w:ascii="Times New Roman"/>
        </w:rPr>
      </w:r>
      <w:r/>
    </w:p>
    <w:p>
      <w:pPr>
        <w:pStyle w:val="1201"/>
        <w:tabs>
          <w:tab w:val="center" w:pos="4201" w:leader="none"/>
          <w:tab w:val="right" w:pos="9298" w:leader="dot"/>
        </w:tabs>
        <w:rPr>
          <w:rFonts w:ascii="Times New Roman"/>
        </w:rPr>
      </w:pPr>
      <w:r>
        <w:rPr>
          <w:rFonts w:ascii="Times New Roman"/>
        </w:rPr>
        <w:t xml:space="preserve">GB 1984  高压交流断路器(IEC 62271-100: 2001, MOD)</w:t>
      </w:r>
      <w:r>
        <w:rPr>
          <w:rFonts w:ascii="Times New Roman"/>
        </w:rPr>
      </w:r>
      <w:r/>
    </w:p>
    <w:p>
      <w:pPr>
        <w:pStyle w:val="1201"/>
        <w:tabs>
          <w:tab w:val="center" w:pos="4201" w:leader="none"/>
          <w:tab w:val="right" w:pos="9298" w:leader="dot"/>
        </w:tabs>
        <w:rPr>
          <w:rFonts w:ascii="Times New Roman"/>
        </w:rPr>
      </w:pPr>
      <w:r>
        <w:rPr>
          <w:rFonts w:ascii="Times New Roman"/>
        </w:rPr>
        <w:t xml:space="preserve">GB 1985  高压交流隔离开关和接地开关(IEC 62271-102: 2002, MOD)</w:t>
      </w:r>
      <w:r>
        <w:rPr>
          <w:rFonts w:ascii="Times New Roman"/>
        </w:rPr>
      </w:r>
      <w:r/>
    </w:p>
    <w:p>
      <w:pPr>
        <w:pStyle w:val="1201"/>
        <w:tabs>
          <w:tab w:val="center" w:pos="4201" w:leader="none"/>
          <w:tab w:val="right" w:pos="9298" w:leader="dot"/>
        </w:tabs>
        <w:rPr>
          <w:rFonts w:ascii="Times New Roman"/>
        </w:rPr>
      </w:pPr>
      <w:r>
        <w:rPr>
          <w:rFonts w:ascii="Times New Roman"/>
        </w:rPr>
        <w:t xml:space="preserve">GB/T 2423  电工电子产品环境试验</w:t>
      </w:r>
      <w:r>
        <w:rPr>
          <w:rFonts w:ascii="Times New Roman"/>
        </w:rPr>
      </w:r>
      <w:r/>
    </w:p>
    <w:p>
      <w:pPr>
        <w:pStyle w:val="1201"/>
        <w:tabs>
          <w:tab w:val="center" w:pos="4201" w:leader="none"/>
          <w:tab w:val="right" w:pos="9298" w:leader="dot"/>
        </w:tabs>
        <w:rPr>
          <w:rFonts w:ascii="Times New Roman"/>
        </w:rPr>
      </w:pPr>
      <w:r>
        <w:rPr>
          <w:rFonts w:ascii="Times New Roman"/>
        </w:rPr>
        <w:t xml:space="preserve">GB 3804  3.6kV～40.5kV高压交流负荷开关(IEC 60265-1-1998 ,MOD)</w:t>
      </w:r>
      <w:r>
        <w:rPr>
          <w:rFonts w:ascii="Times New Roman"/>
        </w:rPr>
      </w:r>
      <w:r/>
    </w:p>
    <w:p>
      <w:pPr>
        <w:pStyle w:val="1201"/>
        <w:tabs>
          <w:tab w:val="center" w:pos="4201" w:leader="none"/>
          <w:tab w:val="right" w:pos="9298" w:leader="dot"/>
        </w:tabs>
        <w:rPr>
          <w:rFonts w:ascii="Times New Roman"/>
        </w:rPr>
      </w:pPr>
      <w:r>
        <w:rPr>
          <w:rFonts w:ascii="Times New Roman"/>
        </w:rPr>
        <w:t xml:space="preserve">GB 3906  3.6kV～40.5kV交流金属封闭开关设备和控制设备(IEC 62271-200-2003,MOD)</w:t>
      </w:r>
      <w:r>
        <w:rPr>
          <w:rFonts w:ascii="Times New Roman"/>
        </w:rPr>
      </w:r>
      <w:r/>
    </w:p>
    <w:p>
      <w:pPr>
        <w:pStyle w:val="1201"/>
        <w:tabs>
          <w:tab w:val="center" w:pos="4201" w:leader="none"/>
          <w:tab w:val="right" w:pos="9298" w:leader="dot"/>
        </w:tabs>
        <w:rPr>
          <w:rFonts w:ascii="Times New Roman"/>
        </w:rPr>
      </w:pPr>
      <w:r>
        <w:rPr>
          <w:rFonts w:ascii="Times New Roman"/>
        </w:rPr>
        <w:t xml:space="preserve">GB 4208  外壳防护等级（IP代码）(IEC 60529-2001,IDT)</w:t>
      </w:r>
      <w:r>
        <w:rPr>
          <w:rFonts w:ascii="Times New Roman"/>
        </w:rPr>
      </w:r>
      <w:r/>
    </w:p>
    <w:p>
      <w:pPr>
        <w:pStyle w:val="1201"/>
        <w:tabs>
          <w:tab w:val="center" w:pos="4201" w:leader="none"/>
          <w:tab w:val="right" w:pos="9298" w:leader="dot"/>
        </w:tabs>
        <w:rPr>
          <w:rFonts w:ascii="Times New Roman"/>
        </w:rPr>
      </w:pPr>
      <w:r>
        <w:rPr>
          <w:rFonts w:hint="eastAsia" w:ascii="Times New Roman"/>
          <w:szCs w:val="21"/>
        </w:rPr>
        <w:t xml:space="preserve">GB/T 5096电子设备用机电件基本试验规程及测量方法</w:t>
      </w:r>
      <w:r>
        <w:rPr>
          <w:rFonts w:ascii="Times New Roman"/>
        </w:rPr>
      </w:r>
      <w:r/>
    </w:p>
    <w:p>
      <w:pPr>
        <w:pStyle w:val="1201"/>
        <w:tabs>
          <w:tab w:val="center" w:pos="4201" w:leader="none"/>
          <w:tab w:val="right" w:pos="9298" w:leader="dot"/>
        </w:tabs>
        <w:rPr>
          <w:rFonts w:ascii="Times New Roman"/>
        </w:rPr>
      </w:pPr>
      <w:r>
        <w:rPr>
          <w:rFonts w:ascii="Times New Roman"/>
        </w:rPr>
        <w:t xml:space="preserve">GB/T 5465.2  电气设备用图形符号第2部分：图形符号(IDT IEC 60417 DB:2007)</w:t>
      </w:r>
      <w:r>
        <w:rPr>
          <w:rFonts w:ascii="Times New Roman"/>
        </w:rPr>
      </w:r>
      <w:r/>
    </w:p>
    <w:p>
      <w:pPr>
        <w:pStyle w:val="1201"/>
        <w:tabs>
          <w:tab w:val="center" w:pos="4201" w:leader="none"/>
          <w:tab w:val="right" w:pos="9298" w:leader="dot"/>
        </w:tabs>
        <w:rPr>
          <w:rFonts w:ascii="Times New Roman"/>
        </w:rPr>
      </w:pPr>
      <w:r>
        <w:rPr>
          <w:rFonts w:ascii="Times New Roman"/>
        </w:rPr>
        <w:t xml:space="preserve">GB/T 7261  继电保护和安全自动装置基本试验方法</w:t>
      </w:r>
      <w:r>
        <w:rPr>
          <w:rFonts w:ascii="Times New Roman"/>
        </w:rPr>
      </w:r>
      <w:r/>
    </w:p>
    <w:p>
      <w:pPr>
        <w:pStyle w:val="1201"/>
        <w:tabs>
          <w:tab w:val="center" w:pos="4201" w:leader="none"/>
          <w:tab w:val="right" w:pos="9298" w:leader="dot"/>
        </w:tabs>
        <w:rPr>
          <w:rFonts w:ascii="Times New Roman"/>
        </w:rPr>
      </w:pPr>
      <w:r>
        <w:rPr>
          <w:rFonts w:ascii="Times New Roman"/>
        </w:rPr>
        <w:t xml:space="preserve">GB/T 7354  局部放电测量(IEC 60270-2000,IDT)</w:t>
      </w:r>
      <w:r>
        <w:rPr>
          <w:rFonts w:ascii="Times New Roman"/>
        </w:rPr>
      </w:r>
      <w:r/>
    </w:p>
    <w:p>
      <w:pPr>
        <w:pStyle w:val="1201"/>
        <w:tabs>
          <w:tab w:val="center" w:pos="4201" w:leader="none"/>
          <w:tab w:val="right" w:pos="9298" w:leader="dot"/>
        </w:tabs>
        <w:rPr>
          <w:rFonts w:ascii="Times New Roman"/>
        </w:rPr>
      </w:pPr>
      <w:r>
        <w:rPr>
          <w:rFonts w:ascii="Times New Roman"/>
        </w:rPr>
        <w:t xml:space="preserve">GB/T 10228  干式电力变压器技术参数和要求</w:t>
      </w:r>
      <w:r>
        <w:rPr>
          <w:rFonts w:ascii="Times New Roman"/>
        </w:rPr>
      </w:r>
      <w:r/>
    </w:p>
    <w:p>
      <w:pPr>
        <w:pStyle w:val="1201"/>
        <w:tabs>
          <w:tab w:val="center" w:pos="4201" w:leader="none"/>
          <w:tab w:val="right" w:pos="9298" w:leader="dot"/>
        </w:tabs>
        <w:rPr>
          <w:rFonts w:ascii="Times New Roman"/>
        </w:rPr>
      </w:pPr>
      <w:r>
        <w:rPr>
          <w:rFonts w:ascii="Times New Roman"/>
        </w:rPr>
        <w:t xml:space="preserve">GB/T 11022  高压开关设备和控制设备标准的共用技术要求</w:t>
      </w:r>
      <w:r>
        <w:rPr>
          <w:rFonts w:ascii="Times New Roman"/>
        </w:rPr>
      </w:r>
      <w:r/>
    </w:p>
    <w:p>
      <w:pPr>
        <w:pStyle w:val="1201"/>
        <w:tabs>
          <w:tab w:val="center" w:pos="4201" w:leader="none"/>
          <w:tab w:val="right" w:pos="9298" w:leader="dot"/>
        </w:tabs>
        <w:rPr>
          <w:rFonts w:ascii="Times New Roman"/>
        </w:rPr>
      </w:pPr>
      <w:r>
        <w:rPr>
          <w:rFonts w:ascii="Times New Roman"/>
        </w:rPr>
        <w:t xml:space="preserve">GB 11032  交流无间隙金属氧化物避雷器(IEC 60099-4-2006,MOD)</w:t>
      </w:r>
      <w:r>
        <w:rPr>
          <w:rFonts w:ascii="Times New Roman"/>
        </w:rPr>
      </w:r>
      <w:r/>
    </w:p>
    <w:p>
      <w:pPr>
        <w:pStyle w:val="1201"/>
        <w:tabs>
          <w:tab w:val="center" w:pos="4201" w:leader="none"/>
          <w:tab w:val="right" w:pos="9298" w:leader="dot"/>
        </w:tabs>
        <w:rPr>
          <w:rFonts w:ascii="Times New Roman"/>
        </w:rPr>
      </w:pPr>
      <w:r>
        <w:rPr>
          <w:rFonts w:ascii="Times New Roman"/>
        </w:rPr>
        <w:t xml:space="preserve">GB/T 11287  电气继电器第21部分：量度继电器和保护装置的振动、冲击、碰撞和地震试验第1篇：振动试验（正弦）</w:t>
      </w:r>
      <w:r>
        <w:rPr>
          <w:rFonts w:ascii="Times New Roman"/>
        </w:rPr>
      </w:r>
      <w:r/>
    </w:p>
    <w:p>
      <w:pPr>
        <w:pStyle w:val="1201"/>
        <w:tabs>
          <w:tab w:val="center" w:pos="4201" w:leader="none"/>
          <w:tab w:val="right" w:pos="9298" w:leader="dot"/>
        </w:tabs>
        <w:rPr>
          <w:rFonts w:ascii="Times New Roman"/>
        </w:rPr>
      </w:pPr>
      <w:r>
        <w:rPr>
          <w:rFonts w:ascii="Times New Roman"/>
        </w:rPr>
        <w:t xml:space="preserve">GB/T 12022  工业六氟化硫(IEC 376,376A,376B.MOD)</w:t>
      </w:r>
      <w:r>
        <w:rPr>
          <w:rFonts w:ascii="Times New Roman"/>
        </w:rPr>
      </w:r>
      <w:r/>
    </w:p>
    <w:p>
      <w:pPr>
        <w:pStyle w:val="1201"/>
        <w:tabs>
          <w:tab w:val="center" w:pos="4201" w:leader="none"/>
          <w:tab w:val="right" w:pos="9298" w:leader="dot"/>
        </w:tabs>
        <w:rPr>
          <w:rFonts w:ascii="Times New Roman"/>
        </w:rPr>
      </w:pPr>
      <w:r>
        <w:rPr>
          <w:rFonts w:ascii="Times New Roman"/>
        </w:rPr>
        <w:t xml:space="preserve">GB/T 12706.4  挤包绝缘电力电缆及附件试验要求(IEC 60502-4-2005,MOD)</w:t>
      </w:r>
      <w:r>
        <w:rPr>
          <w:rFonts w:ascii="Times New Roman"/>
        </w:rPr>
      </w:r>
      <w:r/>
    </w:p>
    <w:p>
      <w:pPr>
        <w:pStyle w:val="1201"/>
        <w:tabs>
          <w:tab w:val="center" w:pos="4201" w:leader="none"/>
          <w:tab w:val="right" w:pos="9298" w:leader="dot"/>
        </w:tabs>
        <w:rPr>
          <w:rFonts w:ascii="Times New Roman"/>
        </w:rPr>
      </w:pPr>
      <w:r/>
      <w:bookmarkStart w:id="68" w:name="_Hlk55897907"/>
      <w:r>
        <w:rPr>
          <w:rFonts w:hint="eastAsia" w:ascii="Times New Roman"/>
          <w:szCs w:val="21"/>
        </w:rPr>
        <w:t xml:space="preserve">GB/T 13729远动终端设备</w:t>
      </w:r>
      <w:r>
        <w:rPr>
          <w:rFonts w:ascii="Times New Roman"/>
        </w:rPr>
      </w:r>
      <w:r/>
    </w:p>
    <w:p>
      <w:pPr>
        <w:pStyle w:val="1201"/>
        <w:tabs>
          <w:tab w:val="center" w:pos="4201" w:leader="none"/>
          <w:tab w:val="right" w:pos="9298" w:leader="dot"/>
        </w:tabs>
        <w:rPr>
          <w:rFonts w:ascii="Times New Roman"/>
          <w:highlight w:val="yellow"/>
        </w:rPr>
      </w:pPr>
      <w:r/>
      <w:bookmarkEnd w:id="68"/>
      <w:r>
        <w:rPr>
          <w:rFonts w:ascii="Times New Roman"/>
        </w:rPr>
        <w:t xml:space="preserve">GB/T 14285  继电保护和安全自动装置技术规程</w:t>
      </w:r>
      <w:r>
        <w:rPr>
          <w:rFonts w:ascii="Times New Roman"/>
          <w:highlight w:val="yellow"/>
        </w:rPr>
      </w:r>
      <w:r/>
    </w:p>
    <w:p>
      <w:pPr>
        <w:pStyle w:val="1201"/>
        <w:tabs>
          <w:tab w:val="center" w:pos="4201" w:leader="none"/>
          <w:tab w:val="right" w:pos="9298" w:leader="dot"/>
        </w:tabs>
        <w:rPr>
          <w:rFonts w:ascii="Times New Roman"/>
        </w:rPr>
      </w:pPr>
      <w:r/>
      <w:bookmarkStart w:id="69" w:name="_Hlk55898025"/>
      <w:r>
        <w:rPr>
          <w:rFonts w:hint="eastAsia" w:ascii="Times New Roman"/>
          <w:szCs w:val="21"/>
        </w:rPr>
        <w:t xml:space="preserve">GB/T 15153.1</w:t>
      </w:r>
      <w:r>
        <w:rPr>
          <w:rFonts w:hint="eastAsia" w:ascii="Times New Roman"/>
          <w:szCs w:val="21"/>
        </w:rPr>
        <w:tab/>
      </w:r>
      <w:r>
        <w:rPr>
          <w:rFonts w:hint="eastAsia" w:ascii="Times New Roman"/>
          <w:szCs w:val="21"/>
        </w:rPr>
        <w:t xml:space="preserve">远动设备及系统第2部分：工作条件第1篇：电源和电磁兼容兼容性</w:t>
      </w:r>
      <w:r>
        <w:rPr>
          <w:rFonts w:ascii="Times New Roman"/>
        </w:rPr>
      </w:r>
      <w:r/>
    </w:p>
    <w:p>
      <w:pPr>
        <w:pStyle w:val="1201"/>
        <w:tabs>
          <w:tab w:val="center" w:pos="4201" w:leader="none"/>
          <w:tab w:val="right" w:pos="9298" w:leader="dot"/>
        </w:tabs>
        <w:rPr>
          <w:rFonts w:ascii="Times New Roman"/>
        </w:rPr>
      </w:pPr>
      <w:r/>
      <w:bookmarkEnd w:id="69"/>
      <w:r>
        <w:rPr>
          <w:rFonts w:ascii="Times New Roman"/>
        </w:rPr>
        <w:t xml:space="preserve">GB 15166.2  交流高压熔断器：限流式熔断器(IEC 60282-1-2005 ,MOD)</w:t>
      </w:r>
      <w:r>
        <w:rPr>
          <w:rFonts w:ascii="Times New Roman"/>
        </w:rPr>
      </w:r>
      <w:r/>
    </w:p>
    <w:p>
      <w:pPr>
        <w:pStyle w:val="1201"/>
        <w:tabs>
          <w:tab w:val="center" w:pos="4201" w:leader="none"/>
          <w:tab w:val="right" w:pos="9298" w:leader="dot"/>
        </w:tabs>
        <w:rPr>
          <w:rFonts w:ascii="Times New Roman"/>
        </w:rPr>
      </w:pPr>
      <w:r>
        <w:rPr>
          <w:rFonts w:ascii="Times New Roman"/>
        </w:rPr>
        <w:t xml:space="preserve">GB 16926  高压交流负荷开关熔断器组合电器(IEC 6227-105-2002 ,MOD)</w:t>
      </w:r>
      <w:r>
        <w:rPr>
          <w:rFonts w:ascii="Times New Roman"/>
        </w:rPr>
      </w:r>
      <w:r/>
    </w:p>
    <w:p>
      <w:pPr>
        <w:pStyle w:val="1201"/>
        <w:tabs>
          <w:tab w:val="center" w:pos="4201" w:leader="none"/>
          <w:tab w:val="right" w:pos="9298" w:leader="dot"/>
        </w:tabs>
        <w:rPr>
          <w:rFonts w:ascii="Times New Roman"/>
        </w:rPr>
      </w:pPr>
      <w:r/>
      <w:bookmarkStart w:id="70" w:name="_Hlk55898061"/>
      <w:r>
        <w:rPr>
          <w:rFonts w:hint="eastAsia" w:ascii="Times New Roman"/>
        </w:rPr>
        <w:t xml:space="preserve">GB/T 17626.电磁兼容试验和测量技术抗扰度试验总论</w:t>
      </w:r>
      <w:r>
        <w:rPr>
          <w:rFonts w:ascii="Times New Roman"/>
        </w:rPr>
      </w:r>
      <w:r/>
    </w:p>
    <w:p>
      <w:pPr>
        <w:pStyle w:val="1201"/>
        <w:tabs>
          <w:tab w:val="center" w:pos="4201" w:leader="none"/>
          <w:tab w:val="right" w:pos="9298" w:leader="dot"/>
        </w:tabs>
        <w:rPr>
          <w:rFonts w:ascii="Times New Roman"/>
        </w:rPr>
      </w:pPr>
      <w:r>
        <w:rPr>
          <w:rFonts w:hint="eastAsia" w:ascii="Times New Roman"/>
        </w:rPr>
        <w:t xml:space="preserve">GB/T 17626.2静电放电抗扰度试验</w:t>
      </w:r>
      <w:r>
        <w:rPr>
          <w:rFonts w:ascii="Times New Roman"/>
        </w:rPr>
      </w:r>
      <w:r/>
    </w:p>
    <w:p>
      <w:pPr>
        <w:pStyle w:val="1201"/>
        <w:tabs>
          <w:tab w:val="center" w:pos="4201" w:leader="none"/>
          <w:tab w:val="right" w:pos="9298" w:leader="dot"/>
        </w:tabs>
        <w:rPr>
          <w:rFonts w:ascii="Times New Roman"/>
        </w:rPr>
      </w:pPr>
      <w:r>
        <w:rPr>
          <w:rFonts w:hint="eastAsia" w:ascii="Times New Roman"/>
        </w:rPr>
        <w:t xml:space="preserve">GB/T 17626.3射频电磁场辐射抗扰度试验</w:t>
      </w:r>
      <w:r>
        <w:rPr>
          <w:rFonts w:ascii="Times New Roman"/>
        </w:rPr>
      </w:r>
      <w:r/>
    </w:p>
    <w:p>
      <w:pPr>
        <w:pStyle w:val="1201"/>
        <w:tabs>
          <w:tab w:val="center" w:pos="4201" w:leader="none"/>
          <w:tab w:val="right" w:pos="9298" w:leader="dot"/>
        </w:tabs>
        <w:rPr>
          <w:rFonts w:ascii="Times New Roman"/>
        </w:rPr>
      </w:pPr>
      <w:r>
        <w:rPr>
          <w:rFonts w:hint="eastAsia" w:ascii="Times New Roman"/>
        </w:rPr>
        <w:t xml:space="preserve">GB/T 17626.4电快速瞬变脉冲群抗扰度试验</w:t>
      </w:r>
      <w:r>
        <w:rPr>
          <w:rFonts w:ascii="Times New Roman"/>
        </w:rPr>
      </w:r>
      <w:r/>
    </w:p>
    <w:p>
      <w:pPr>
        <w:pStyle w:val="1201"/>
        <w:tabs>
          <w:tab w:val="center" w:pos="4201" w:leader="none"/>
          <w:tab w:val="right" w:pos="9298" w:leader="dot"/>
        </w:tabs>
        <w:rPr>
          <w:rFonts w:ascii="Times New Roman"/>
        </w:rPr>
      </w:pPr>
      <w:r>
        <w:rPr>
          <w:rFonts w:hint="eastAsia" w:ascii="Times New Roman"/>
        </w:rPr>
        <w:t xml:space="preserve">GB/T 17626.5浪涌（冲击）抗扰度试验</w:t>
      </w:r>
      <w:r>
        <w:rPr>
          <w:rFonts w:ascii="Times New Roman"/>
        </w:rPr>
      </w:r>
      <w:r/>
    </w:p>
    <w:p>
      <w:pPr>
        <w:pStyle w:val="1201"/>
        <w:tabs>
          <w:tab w:val="center" w:pos="4201" w:leader="none"/>
          <w:tab w:val="right" w:pos="9298" w:leader="dot"/>
        </w:tabs>
        <w:rPr>
          <w:rFonts w:ascii="Times New Roman"/>
        </w:rPr>
      </w:pPr>
      <w:r/>
      <w:bookmarkEnd w:id="70"/>
      <w:r>
        <w:rPr>
          <w:rFonts w:ascii="Times New Roman"/>
        </w:rPr>
        <w:t xml:space="preserve">GB/T 17626.8  电磁兼容试验和测量技术工频磁场抗扰度试验</w:t>
      </w:r>
      <w:r>
        <w:rPr>
          <w:rFonts w:ascii="Times New Roman"/>
        </w:rPr>
        <w:br w:type="textWrapping" w:clear="all"/>
      </w:r>
      <w:r>
        <w:rPr>
          <w:rFonts w:ascii="Times New Roman"/>
        </w:rPr>
        <w:t xml:space="preserve">    GB/T 17626.9  电磁兼容试验和测量技术脉冲磁场抗扰度试验</w:t>
      </w:r>
      <w:r>
        <w:rPr>
          <w:rFonts w:ascii="Times New Roman"/>
        </w:rPr>
        <w:br w:type="textWrapping" w:clear="all"/>
      </w:r>
      <w:r>
        <w:rPr>
          <w:rFonts w:ascii="Times New Roman"/>
        </w:rPr>
        <w:t xml:space="preserve">    GB/T 17626.10  电磁兼容试验和测量技术阻尼振荡磁场抗扰度试验</w:t>
      </w:r>
      <w:r>
        <w:rPr>
          <w:rFonts w:ascii="Times New Roman"/>
        </w:rPr>
      </w:r>
      <w:r/>
    </w:p>
    <w:p>
      <w:pPr>
        <w:pStyle w:val="1201"/>
        <w:tabs>
          <w:tab w:val="center" w:pos="4201" w:leader="none"/>
          <w:tab w:val="right" w:pos="9298" w:leader="dot"/>
        </w:tabs>
        <w:rPr>
          <w:rFonts w:ascii="Times New Roman"/>
        </w:rPr>
      </w:pPr>
      <w:r/>
      <w:bookmarkStart w:id="71" w:name="_Hlk55898076"/>
      <w:r>
        <w:rPr>
          <w:rFonts w:hint="eastAsia" w:ascii="Times New Roman"/>
        </w:rPr>
        <w:t xml:space="preserve">GB/T 17626.11电压暂降、短时中断和电压变化抗扰度试验</w:t>
      </w:r>
      <w:r>
        <w:rPr>
          <w:rFonts w:ascii="Times New Roman"/>
        </w:rPr>
      </w:r>
      <w:r/>
    </w:p>
    <w:p>
      <w:pPr>
        <w:pStyle w:val="1201"/>
        <w:spacing w:line="320" w:lineRule="exact"/>
        <w:tabs>
          <w:tab w:val="center" w:pos="4201" w:leader="none"/>
          <w:tab w:val="right" w:pos="9298" w:leader="dot"/>
        </w:tabs>
        <w:rPr>
          <w:rFonts w:ascii="Times New Roman"/>
        </w:rPr>
      </w:pPr>
      <w:r/>
      <w:bookmarkEnd w:id="71"/>
      <w:r/>
      <w:bookmarkStart w:id="72" w:name="_Hlk55898098"/>
      <w:r>
        <w:rPr>
          <w:rFonts w:hint="eastAsia" w:ascii="Times New Roman"/>
          <w:szCs w:val="21"/>
        </w:rPr>
        <w:t xml:space="preserve">GB/T 19520电子设备机械结构</w:t>
      </w:r>
      <w:r>
        <w:rPr>
          <w:rFonts w:ascii="Times New Roman"/>
        </w:rPr>
      </w:r>
      <w:r/>
    </w:p>
    <w:p>
      <w:pPr>
        <w:pStyle w:val="1151"/>
        <w:ind w:firstLine="420"/>
        <w:rPr>
          <w:szCs w:val="21"/>
        </w:rPr>
      </w:pPr>
      <w:r>
        <w:rPr>
          <w:rFonts w:hint="eastAsia"/>
          <w:szCs w:val="21"/>
        </w:rPr>
        <w:t xml:space="preserve">GB 20840.2互感器第2部分电流互感器的补充技术要求</w:t>
      </w:r>
      <w:r>
        <w:rPr>
          <w:szCs w:val="21"/>
        </w:rPr>
      </w:r>
      <w:r/>
    </w:p>
    <w:p>
      <w:pPr>
        <w:pStyle w:val="1151"/>
        <w:ind w:firstLine="420"/>
        <w:rPr>
          <w:szCs w:val="21"/>
        </w:rPr>
      </w:pPr>
      <w:r>
        <w:rPr>
          <w:rFonts w:hint="eastAsia"/>
          <w:szCs w:val="21"/>
        </w:rPr>
        <w:t xml:space="preserve">GB 20840.3互感器第3部分电磁式电压互感器的补充技术要求</w:t>
      </w:r>
      <w:r>
        <w:rPr>
          <w:szCs w:val="21"/>
        </w:rPr>
      </w:r>
      <w:r/>
    </w:p>
    <w:p>
      <w:pPr>
        <w:pStyle w:val="1201"/>
        <w:tabs>
          <w:tab w:val="center" w:pos="4201" w:leader="none"/>
          <w:tab w:val="right" w:pos="9298" w:leader="dot"/>
        </w:tabs>
        <w:rPr>
          <w:rFonts w:ascii="Times New Roman"/>
        </w:rPr>
      </w:pPr>
      <w:r/>
      <w:bookmarkEnd w:id="72"/>
      <w:r>
        <w:rPr>
          <w:rFonts w:ascii="Times New Roman"/>
        </w:rPr>
        <w:t xml:space="preserve">GB 50150  电气装置安装工程电气设备交接试验标准</w:t>
      </w:r>
      <w:r>
        <w:rPr>
          <w:rFonts w:ascii="Times New Roman"/>
        </w:rPr>
      </w:r>
      <w:r/>
    </w:p>
    <w:p>
      <w:pPr>
        <w:pStyle w:val="1201"/>
        <w:tabs>
          <w:tab w:val="center" w:pos="4201" w:leader="none"/>
          <w:tab w:val="right" w:pos="9298" w:leader="dot"/>
        </w:tabs>
        <w:rPr>
          <w:rFonts w:ascii="Times New Roman"/>
        </w:rPr>
      </w:pPr>
      <w:r>
        <w:rPr>
          <w:rFonts w:ascii="Times New Roman"/>
        </w:rPr>
        <w:t xml:space="preserve">DL/T 402  高压交流断路器订货技术条件(IEC 62271-100-2001,MOD)</w:t>
      </w:r>
      <w:r>
        <w:rPr>
          <w:rFonts w:ascii="Times New Roman"/>
        </w:rPr>
      </w:r>
      <w:r/>
    </w:p>
    <w:p>
      <w:pPr>
        <w:pStyle w:val="1201"/>
        <w:tabs>
          <w:tab w:val="center" w:pos="4201" w:leader="none"/>
          <w:tab w:val="right" w:pos="9298" w:leader="dot"/>
        </w:tabs>
        <w:rPr>
          <w:rFonts w:ascii="Times New Roman"/>
        </w:rPr>
      </w:pPr>
      <w:r>
        <w:rPr>
          <w:rFonts w:ascii="Times New Roman"/>
        </w:rPr>
        <w:t xml:space="preserve">DL/T 403  12-40.5kV高压真空断路器订货技术条件</w:t>
      </w:r>
      <w:r>
        <w:rPr>
          <w:rFonts w:ascii="Times New Roman"/>
        </w:rPr>
      </w:r>
      <w:r/>
    </w:p>
    <w:p>
      <w:pPr>
        <w:pStyle w:val="1201"/>
        <w:tabs>
          <w:tab w:val="center" w:pos="4201" w:leader="none"/>
          <w:tab w:val="right" w:pos="9298" w:leader="dot"/>
        </w:tabs>
        <w:rPr>
          <w:rFonts w:ascii="Times New Roman"/>
        </w:rPr>
      </w:pPr>
      <w:r>
        <w:rPr>
          <w:rFonts w:ascii="Times New Roman"/>
        </w:rPr>
        <w:t xml:space="preserve">DL/T 404 3.6kV～40.5kV交流金属封闭开关设备和控制设备（IEC62271-200-2003,MOD）</w:t>
      </w:r>
      <w:r>
        <w:rPr>
          <w:rFonts w:ascii="Times New Roman"/>
        </w:rPr>
      </w:r>
      <w:r/>
    </w:p>
    <w:p>
      <w:pPr>
        <w:pStyle w:val="1201"/>
        <w:tabs>
          <w:tab w:val="center" w:pos="4201" w:leader="none"/>
          <w:tab w:val="right" w:pos="9298" w:leader="dot"/>
        </w:tabs>
        <w:rPr>
          <w:rFonts w:ascii="Times New Roman"/>
        </w:rPr>
      </w:pPr>
      <w:r>
        <w:rPr>
          <w:rFonts w:ascii="Times New Roman"/>
        </w:rPr>
        <w:t xml:space="preserve">DL/T 478  继电保护和安全自动装置通用技术条件</w:t>
      </w:r>
      <w:r>
        <w:rPr>
          <w:rFonts w:ascii="Times New Roman"/>
        </w:rPr>
      </w:r>
      <w:r/>
    </w:p>
    <w:p>
      <w:pPr>
        <w:pStyle w:val="1201"/>
        <w:tabs>
          <w:tab w:val="center" w:pos="4201" w:leader="none"/>
          <w:tab w:val="right" w:pos="9298" w:leader="dot"/>
        </w:tabs>
        <w:rPr>
          <w:rFonts w:ascii="Times New Roman"/>
        </w:rPr>
      </w:pPr>
      <w:r>
        <w:rPr>
          <w:rFonts w:ascii="Times New Roman"/>
        </w:rPr>
        <w:t xml:space="preserve">DL/T 486  高压交流隔离开关和接地开关(IEC 62271-102-2002,MOD)</w:t>
      </w:r>
      <w:r>
        <w:rPr>
          <w:rFonts w:ascii="Times New Roman"/>
        </w:rPr>
      </w:r>
      <w:r/>
    </w:p>
    <w:p>
      <w:pPr>
        <w:pStyle w:val="1201"/>
        <w:tabs>
          <w:tab w:val="center" w:pos="4201" w:leader="none"/>
          <w:tab w:val="right" w:pos="9298" w:leader="dot"/>
        </w:tabs>
        <w:rPr>
          <w:rFonts w:ascii="Times New Roman"/>
        </w:rPr>
      </w:pPr>
      <w:r>
        <w:rPr>
          <w:rFonts w:ascii="Times New Roman"/>
        </w:rPr>
        <w:t xml:space="preserve">DL 538  高压带电显示装置(IEC 61958- 2000-11,MOD )</w:t>
      </w:r>
      <w:r>
        <w:rPr>
          <w:rFonts w:ascii="Times New Roman"/>
        </w:rPr>
      </w:r>
      <w:r/>
    </w:p>
    <w:p>
      <w:pPr>
        <w:pStyle w:val="1201"/>
        <w:tabs>
          <w:tab w:val="center" w:pos="4201" w:leader="none"/>
          <w:tab w:val="right" w:pos="9298" w:leader="dot"/>
        </w:tabs>
        <w:rPr>
          <w:rFonts w:ascii="Times New Roman"/>
        </w:rPr>
      </w:pPr>
      <w:r>
        <w:rPr>
          <w:rFonts w:ascii="Times New Roman"/>
        </w:rPr>
        <w:t xml:space="preserve">DL/T 593  高压开关设备和控制设备标准的共用技术要求(IEC 60694-2002,MOD)</w:t>
      </w:r>
      <w:r>
        <w:rPr>
          <w:rFonts w:ascii="Times New Roman"/>
        </w:rPr>
      </w:r>
      <w:r/>
    </w:p>
    <w:p>
      <w:pPr>
        <w:pStyle w:val="1201"/>
        <w:tabs>
          <w:tab w:val="center" w:pos="4201" w:leader="none"/>
          <w:tab w:val="right" w:pos="9298" w:leader="dot"/>
        </w:tabs>
        <w:rPr>
          <w:rFonts w:ascii="Times New Roman"/>
        </w:rPr>
      </w:pPr>
      <w:r>
        <w:rPr>
          <w:rFonts w:ascii="Times New Roman"/>
        </w:rPr>
        <w:t xml:space="preserve">DL/T 621  交流电气装置的接地</w:t>
      </w:r>
      <w:r>
        <w:rPr>
          <w:rFonts w:ascii="Times New Roman"/>
        </w:rPr>
      </w:r>
      <w:r/>
    </w:p>
    <w:p>
      <w:pPr>
        <w:pStyle w:val="1201"/>
        <w:spacing w:line="320" w:lineRule="exact"/>
        <w:tabs>
          <w:tab w:val="center" w:pos="4201" w:leader="none"/>
          <w:tab w:val="right" w:pos="9298" w:leader="dot"/>
        </w:tabs>
        <w:rPr>
          <w:rFonts w:ascii="Times New Roman"/>
          <w:szCs w:val="21"/>
        </w:rPr>
      </w:pPr>
      <w:r/>
      <w:bookmarkStart w:id="73" w:name="_Hlk55898202"/>
      <w:r>
        <w:rPr>
          <w:rFonts w:hint="eastAsia" w:ascii="Times New Roman"/>
          <w:szCs w:val="21"/>
        </w:rPr>
        <w:t xml:space="preserve">DL/T 634.5101</w:t>
      </w:r>
      <w:r>
        <w:rPr>
          <w:rFonts w:hint="eastAsia" w:ascii="Times New Roman"/>
          <w:szCs w:val="21"/>
        </w:rPr>
        <w:tab/>
      </w:r>
      <w:r>
        <w:rPr>
          <w:rFonts w:hint="eastAsia" w:ascii="Times New Roman"/>
          <w:szCs w:val="21"/>
        </w:rPr>
        <w:t xml:space="preserve">远动设备及系统第5-101部分：传输规约基本远动任务配套标准</w:t>
      </w:r>
      <w:r>
        <w:rPr>
          <w:rFonts w:ascii="Times New Roman"/>
          <w:szCs w:val="21"/>
        </w:rPr>
      </w:r>
      <w:r/>
    </w:p>
    <w:p>
      <w:pPr>
        <w:pStyle w:val="1201"/>
        <w:tabs>
          <w:tab w:val="center" w:pos="4201" w:leader="none"/>
          <w:tab w:val="right" w:pos="9298" w:leader="dot"/>
        </w:tabs>
        <w:rPr>
          <w:rFonts w:ascii="Times New Roman"/>
          <w:szCs w:val="21"/>
        </w:rPr>
      </w:pPr>
      <w:r>
        <w:rPr>
          <w:rFonts w:hint="eastAsia" w:ascii="Times New Roman"/>
          <w:szCs w:val="21"/>
        </w:rPr>
        <w:t xml:space="preserve">DL/T 634.5104</w:t>
      </w:r>
      <w:r>
        <w:rPr>
          <w:rFonts w:hint="eastAsia" w:ascii="Times New Roman"/>
          <w:szCs w:val="21"/>
        </w:rPr>
        <w:tab/>
      </w:r>
      <w:r>
        <w:rPr>
          <w:rFonts w:hint="eastAsia" w:ascii="Times New Roman"/>
          <w:szCs w:val="21"/>
        </w:rPr>
        <w:t xml:space="preserve">远动设备及系统第5-104部分：传输规约采用标准传输协议子集的IEC60870-5-101网络访问</w:t>
      </w:r>
      <w:r>
        <w:rPr>
          <w:rFonts w:ascii="Times New Roman"/>
          <w:szCs w:val="21"/>
        </w:rPr>
      </w:r>
      <w:r/>
    </w:p>
    <w:p>
      <w:pPr>
        <w:pStyle w:val="1201"/>
        <w:tabs>
          <w:tab w:val="center" w:pos="4201" w:leader="none"/>
          <w:tab w:val="right" w:pos="9298" w:leader="dot"/>
        </w:tabs>
        <w:rPr>
          <w:rFonts w:ascii="Times New Roman"/>
        </w:rPr>
      </w:pPr>
      <w:r/>
      <w:bookmarkEnd w:id="73"/>
      <w:r>
        <w:rPr>
          <w:rFonts w:hint="eastAsia" w:ascii="Times New Roman"/>
          <w:szCs w:val="21"/>
        </w:rPr>
        <w:t xml:space="preserve">DL/T 721配电网自动化系统远方终端</w:t>
      </w:r>
      <w:r>
        <w:rPr>
          <w:rFonts w:ascii="Times New Roman"/>
        </w:rPr>
      </w:r>
      <w:r/>
    </w:p>
    <w:p>
      <w:pPr>
        <w:pStyle w:val="1201"/>
        <w:tabs>
          <w:tab w:val="center" w:pos="4201" w:leader="none"/>
          <w:tab w:val="right" w:pos="9298" w:leader="dot"/>
        </w:tabs>
        <w:rPr>
          <w:rFonts w:ascii="Times New Roman"/>
        </w:rPr>
      </w:pPr>
      <w:r>
        <w:rPr>
          <w:rFonts w:ascii="Times New Roman"/>
        </w:rPr>
        <w:t xml:space="preserve">DL/T 728  气体绝缘金属封闭开关设备订货技术导则(IEC815-1986，IEC 859-1986)</w:t>
      </w:r>
      <w:r>
        <w:rPr>
          <w:rFonts w:ascii="Times New Roman"/>
        </w:rPr>
      </w:r>
      <w:r/>
    </w:p>
    <w:p>
      <w:pPr>
        <w:pStyle w:val="1201"/>
        <w:tabs>
          <w:tab w:val="center" w:pos="4201" w:leader="none"/>
          <w:tab w:val="right" w:pos="9298" w:leader="dot"/>
        </w:tabs>
        <w:rPr>
          <w:rFonts w:ascii="Times New Roman"/>
        </w:rPr>
      </w:pPr>
      <w:r>
        <w:rPr>
          <w:rFonts w:ascii="Times New Roman"/>
        </w:rPr>
        <w:t xml:space="preserve">DL/T 791  户内交流充气式开关柜选用导则</w:t>
      </w:r>
      <w:r>
        <w:rPr>
          <w:rFonts w:ascii="Times New Roman"/>
        </w:rPr>
        <w:br w:type="textWrapping" w:clear="all"/>
      </w:r>
      <w:bookmarkStart w:id="74" w:name="_Hlk55898227"/>
      <w:r>
        <w:rPr>
          <w:rFonts w:hint="eastAsia" w:ascii="Times New Roman"/>
          <w:szCs w:val="21"/>
        </w:rPr>
        <w:t xml:space="preserve">DL/T 814配电自动化系统功能规范</w:t>
      </w:r>
      <w:bookmarkEnd w:id="74"/>
      <w:r>
        <w:rPr>
          <w:rFonts w:ascii="Times New Roman"/>
        </w:rPr>
      </w:r>
      <w:r/>
    </w:p>
    <w:p>
      <w:pPr>
        <w:pStyle w:val="1201"/>
        <w:tabs>
          <w:tab w:val="center" w:pos="4201" w:leader="none"/>
          <w:tab w:val="right" w:pos="9298" w:leader="dot"/>
        </w:tabs>
        <w:rPr>
          <w:rFonts w:ascii="Times New Roman"/>
        </w:rPr>
      </w:pPr>
      <w:r>
        <w:rPr>
          <w:rFonts w:ascii="Times New Roman"/>
        </w:rPr>
        <w:t xml:space="preserve">DL/T 995  继电保护和电网安全自动装置检验规程</w:t>
      </w:r>
      <w:r>
        <w:rPr>
          <w:rFonts w:ascii="Times New Roman"/>
        </w:rPr>
      </w:r>
      <w:r/>
    </w:p>
    <w:p>
      <w:pPr>
        <w:pStyle w:val="1201"/>
        <w:tabs>
          <w:tab w:val="center" w:pos="4201" w:leader="none"/>
          <w:tab w:val="right" w:pos="9298" w:leader="dot"/>
        </w:tabs>
        <w:rPr>
          <w:rFonts w:ascii="Times New Roman"/>
        </w:rPr>
      </w:pPr>
      <w:r>
        <w:rPr>
          <w:rFonts w:ascii="Times New Roman"/>
        </w:rPr>
        <w:t xml:space="preserve">JB/T 8144.1  额定电压26/35kV及以下电力电缆附件基本技术要求</w:t>
      </w:r>
      <w:r>
        <w:rPr>
          <w:rFonts w:ascii="Times New Roman"/>
        </w:rPr>
      </w:r>
      <w:r/>
    </w:p>
    <w:p>
      <w:pPr>
        <w:pStyle w:val="1201"/>
        <w:tabs>
          <w:tab w:val="center" w:pos="4201" w:leader="none"/>
          <w:tab w:val="right" w:pos="9298" w:leader="dot"/>
        </w:tabs>
        <w:rPr>
          <w:rFonts w:ascii="Times New Roman"/>
          <w:szCs w:val="21"/>
        </w:rPr>
      </w:pPr>
      <w:r>
        <w:rPr>
          <w:rFonts w:ascii="Times New Roman"/>
        </w:rPr>
        <w:t xml:space="preserve">SD 318  高压开关柜闭锁装置技术条件</w:t>
      </w:r>
      <w:r>
        <w:rPr>
          <w:rFonts w:ascii="Times New Roman"/>
          <w:szCs w:val="21"/>
        </w:rPr>
      </w:r>
      <w:r/>
    </w:p>
    <w:p>
      <w:pPr>
        <w:pStyle w:val="1201"/>
        <w:spacing w:line="320" w:lineRule="exact"/>
        <w:tabs>
          <w:tab w:val="center" w:pos="4201" w:leader="none"/>
          <w:tab w:val="right" w:pos="9298" w:leader="dot"/>
        </w:tabs>
        <w:rPr>
          <w:rFonts w:ascii="Times New Roman"/>
          <w:szCs w:val="21"/>
        </w:rPr>
      </w:pPr>
      <w:r/>
      <w:bookmarkStart w:id="75" w:name="_Hlk55898321"/>
      <w:r>
        <w:rPr>
          <w:rFonts w:hint="eastAsia" w:ascii="Times New Roman"/>
          <w:szCs w:val="21"/>
        </w:rPr>
        <w:t xml:space="preserve">Q/GDW 513配电自动化主站系统功能规范</w:t>
      </w:r>
      <w:r>
        <w:rPr>
          <w:rFonts w:ascii="Times New Roman"/>
          <w:szCs w:val="21"/>
        </w:rPr>
      </w:r>
      <w:r/>
    </w:p>
    <w:p>
      <w:pPr>
        <w:pStyle w:val="1201"/>
        <w:spacing w:line="320" w:lineRule="exact"/>
        <w:tabs>
          <w:tab w:val="center" w:pos="4201" w:leader="none"/>
          <w:tab w:val="right" w:pos="9298" w:leader="dot"/>
        </w:tabs>
        <w:rPr>
          <w:rFonts w:ascii="Times New Roman"/>
          <w:szCs w:val="21"/>
        </w:rPr>
      </w:pPr>
      <w:r>
        <w:rPr>
          <w:rFonts w:hint="eastAsia" w:ascii="Times New Roman"/>
          <w:szCs w:val="21"/>
        </w:rPr>
        <w:t xml:space="preserve">Q/GDW 625配电自动化建设与改造标准化设计技术规定</w:t>
      </w:r>
      <w:r>
        <w:rPr>
          <w:rFonts w:ascii="Times New Roman"/>
          <w:szCs w:val="21"/>
        </w:rPr>
      </w:r>
      <w:r/>
    </w:p>
    <w:p>
      <w:pPr>
        <w:pStyle w:val="1201"/>
        <w:spacing w:line="320" w:lineRule="exact"/>
        <w:tabs>
          <w:tab w:val="center" w:pos="4201" w:leader="none"/>
          <w:tab w:val="right" w:pos="9298" w:leader="dot"/>
        </w:tabs>
        <w:rPr>
          <w:szCs w:val="21"/>
        </w:rPr>
      </w:pPr>
      <w:r/>
      <w:bookmarkEnd w:id="75"/>
      <w:r>
        <w:rPr>
          <w:rFonts w:ascii="Times New Roman"/>
        </w:rPr>
        <w:t xml:space="preserve">Q/GDW 730</w:t>
      </w:r>
      <w:r>
        <w:rPr>
          <w:rFonts w:hint="eastAsia" w:ascii="Times New Roman"/>
        </w:rPr>
        <w:t xml:space="preserve">　</w:t>
      </w:r>
      <w:r>
        <w:rPr>
          <w:szCs w:val="21"/>
        </w:rPr>
        <w:t xml:space="preserve">12kV固体绝缘环网柜技术条件</w:t>
      </w:r>
      <w:r>
        <w:rPr>
          <w:szCs w:val="21"/>
        </w:rPr>
      </w:r>
      <w:r/>
    </w:p>
    <w:p>
      <w:pPr>
        <w:pStyle w:val="1201"/>
        <w:tabs>
          <w:tab w:val="center" w:pos="4201" w:leader="none"/>
          <w:tab w:val="right" w:pos="9298" w:leader="dot"/>
        </w:tabs>
        <w:rPr>
          <w:rFonts w:ascii="Times New Roman"/>
        </w:rPr>
      </w:pPr>
      <w:r>
        <w:rPr>
          <w:rFonts w:ascii="Times New Roman"/>
        </w:rPr>
        <w:t xml:space="preserve">Q/GDW 741  配电网技术改造设备选型和配置原则</w:t>
      </w:r>
      <w:r>
        <w:rPr>
          <w:rFonts w:ascii="Times New Roman"/>
        </w:rPr>
      </w:r>
      <w:r/>
    </w:p>
    <w:p>
      <w:pPr>
        <w:pStyle w:val="1201"/>
        <w:spacing w:line="320" w:lineRule="exact"/>
        <w:tabs>
          <w:tab w:val="center" w:pos="4201" w:leader="none"/>
          <w:tab w:val="right" w:pos="9298" w:leader="dot"/>
        </w:tabs>
        <w:rPr>
          <w:rFonts w:ascii="Times New Roman"/>
          <w:szCs w:val="21"/>
        </w:rPr>
      </w:pPr>
      <w:r>
        <w:rPr>
          <w:rFonts w:ascii="Times New Roman"/>
          <w:szCs w:val="21"/>
        </w:rPr>
        <w:t xml:space="preserve">Q/GDW 742  配电网施工检修工艺规范</w:t>
      </w:r>
      <w:r>
        <w:rPr>
          <w:rFonts w:ascii="Times New Roman"/>
          <w:szCs w:val="21"/>
        </w:rPr>
      </w:r>
      <w:r/>
    </w:p>
    <w:p>
      <w:pPr>
        <w:pStyle w:val="1201"/>
        <w:spacing w:line="320" w:lineRule="exact"/>
        <w:tabs>
          <w:tab w:val="center" w:pos="4201" w:leader="none"/>
          <w:tab w:val="right" w:pos="9298" w:leader="dot"/>
        </w:tabs>
        <w:rPr>
          <w:rFonts w:ascii="Times New Roman"/>
          <w:szCs w:val="21"/>
        </w:rPr>
      </w:pPr>
      <w:r/>
      <w:bookmarkStart w:id="76" w:name="_Hlk55898342"/>
      <w:r>
        <w:rPr>
          <w:rFonts w:hint="eastAsia" w:ascii="Times New Roman"/>
          <w:szCs w:val="21"/>
        </w:rPr>
        <w:t xml:space="preserve">Q/GDW 1382配电自动化技术导则</w:t>
      </w:r>
      <w:r>
        <w:rPr>
          <w:rFonts w:ascii="Times New Roman"/>
          <w:szCs w:val="21"/>
        </w:rPr>
      </w:r>
      <w:r/>
    </w:p>
    <w:p>
      <w:pPr>
        <w:pStyle w:val="1201"/>
        <w:spacing w:line="320" w:lineRule="exact"/>
        <w:tabs>
          <w:tab w:val="center" w:pos="4201" w:leader="none"/>
          <w:tab w:val="right" w:pos="9298" w:leader="dot"/>
        </w:tabs>
        <w:rPr>
          <w:rFonts w:ascii="Times New Roman"/>
          <w:szCs w:val="21"/>
        </w:rPr>
      </w:pPr>
      <w:r>
        <w:rPr>
          <w:rFonts w:hint="eastAsia" w:ascii="Times New Roman"/>
          <w:szCs w:val="21"/>
        </w:rPr>
        <w:t xml:space="preserve">Q/GDW 10514配电自动化终端/子站功能规范</w:t>
      </w:r>
      <w:r>
        <w:rPr>
          <w:rFonts w:ascii="Times New Roman"/>
          <w:szCs w:val="21"/>
        </w:rPr>
      </w:r>
      <w:r/>
    </w:p>
    <w:p>
      <w:pPr>
        <w:pStyle w:val="1201"/>
        <w:spacing w:line="320" w:lineRule="exact"/>
        <w:tabs>
          <w:tab w:val="center" w:pos="4201" w:leader="none"/>
          <w:tab w:val="right" w:pos="9298" w:leader="dot"/>
        </w:tabs>
        <w:rPr>
          <w:rFonts w:ascii="Times New Roman"/>
          <w:szCs w:val="21"/>
        </w:rPr>
      </w:pPr>
      <w:r>
        <w:rPr>
          <w:rFonts w:hint="eastAsia" w:ascii="Times New Roman"/>
          <w:szCs w:val="21"/>
        </w:rPr>
        <w:t xml:space="preserve">Q/GDW 10639配电自动化终端检测技术规范</w:t>
      </w:r>
      <w:r>
        <w:rPr>
          <w:rFonts w:ascii="Times New Roman"/>
          <w:szCs w:val="21"/>
        </w:rPr>
      </w:r>
      <w:r/>
    </w:p>
    <w:p>
      <w:pPr>
        <w:pStyle w:val="1201"/>
        <w:spacing w:line="320" w:lineRule="exact"/>
        <w:tabs>
          <w:tab w:val="center" w:pos="4201" w:leader="none"/>
          <w:tab w:val="right" w:pos="9298" w:leader="dot"/>
        </w:tabs>
        <w:rPr>
          <w:rFonts w:ascii="Times New Roman"/>
          <w:szCs w:val="21"/>
        </w:rPr>
      </w:pPr>
      <w:r>
        <w:rPr>
          <w:rFonts w:hint="eastAsia" w:ascii="Times New Roman"/>
          <w:szCs w:val="21"/>
        </w:rPr>
        <w:t xml:space="preserve">Q/GDW 11813配电自动化终端参数配置规范</w:t>
      </w:r>
      <w:r>
        <w:rPr>
          <w:rFonts w:ascii="Times New Roman"/>
          <w:szCs w:val="21"/>
        </w:rPr>
      </w:r>
      <w:r/>
    </w:p>
    <w:p>
      <w:pPr>
        <w:pStyle w:val="1201"/>
        <w:spacing w:line="320" w:lineRule="exact"/>
        <w:tabs>
          <w:tab w:val="center" w:pos="4201" w:leader="none"/>
          <w:tab w:val="right" w:pos="9298" w:leader="dot"/>
        </w:tabs>
        <w:rPr>
          <w:rFonts w:ascii="Times New Roman"/>
          <w:szCs w:val="21"/>
        </w:rPr>
      </w:pPr>
      <w:r>
        <w:rPr>
          <w:rFonts w:hint="eastAsia" w:ascii="Times New Roman"/>
          <w:szCs w:val="21"/>
        </w:rPr>
        <w:t xml:space="preserve">Q/GDW 11815配电自动化终端技术规范</w:t>
      </w:r>
      <w:r>
        <w:rPr>
          <w:rFonts w:ascii="Times New Roman"/>
          <w:szCs w:val="21"/>
        </w:rPr>
      </w:r>
      <w:r/>
    </w:p>
    <w:p>
      <w:pPr>
        <w:pStyle w:val="1151"/>
        <w:ind w:firstLine="425"/>
        <w:spacing w:line="312" w:lineRule="exact"/>
        <w:rPr>
          <w:szCs w:val="21"/>
        </w:rPr>
      </w:pPr>
      <w:r/>
      <w:bookmarkEnd w:id="76"/>
      <w:r>
        <w:rPr>
          <w:rFonts w:hint="eastAsia"/>
          <w:szCs w:val="21"/>
        </w:rPr>
        <w:t xml:space="preserve">国家电网设备[2019</w:t>
      </w:r>
      <w:r>
        <w:rPr>
          <w:szCs w:val="21"/>
        </w:rPr>
        <w:t xml:space="preserve">]</w:t>
      </w:r>
      <w:r>
        <w:rPr>
          <w:rFonts w:hint="eastAsia"/>
          <w:szCs w:val="21"/>
        </w:rPr>
        <w:t xml:space="preserve">515号国家电网有限公司关于印发12千伏环网柜（箱）标准化设计定制方案（2019版）的通知</w:t>
      </w:r>
      <w:r>
        <w:rPr>
          <w:szCs w:val="21"/>
        </w:rPr>
      </w:r>
      <w:r/>
    </w:p>
    <w:p>
      <w:pPr>
        <w:pStyle w:val="1151"/>
        <w:ind w:firstLine="425"/>
        <w:spacing w:line="312" w:lineRule="exact"/>
        <w:rPr>
          <w:szCs w:val="21"/>
        </w:rPr>
      </w:pPr>
      <w:r>
        <w:rPr>
          <w:szCs w:val="21"/>
        </w:rPr>
        <w:t xml:space="preserve">国家电网设备[2018]979号国家电网有限公司关于印发十八项电网重大反事故措施（修订版）的通知</w:t>
      </w:r>
      <w:r>
        <w:rPr>
          <w:szCs w:val="21"/>
        </w:rPr>
      </w:r>
      <w:r/>
    </w:p>
    <w:p>
      <w:pPr>
        <w:pStyle w:val="1151"/>
        <w:ind w:firstLine="425"/>
        <w:spacing w:line="312" w:lineRule="exact"/>
        <w:rPr>
          <w:szCs w:val="21"/>
        </w:rPr>
      </w:pPr>
      <w:r>
        <w:rPr>
          <w:szCs w:val="21"/>
        </w:rPr>
        <w:t xml:space="preserve">国家能源局关于防止电力生产事故的二十五项重点要求</w:t>
      </w:r>
      <w:r>
        <w:rPr>
          <w:szCs w:val="21"/>
        </w:rPr>
      </w:r>
      <w:r/>
    </w:p>
    <w:p>
      <w:pPr>
        <w:pStyle w:val="1151"/>
        <w:ind w:firstLine="425"/>
        <w:spacing w:line="312" w:lineRule="exact"/>
        <w:tabs>
          <w:tab w:val="left" w:pos="2338" w:leader="none"/>
        </w:tabs>
        <w:rPr>
          <w:szCs w:val="21"/>
        </w:rPr>
      </w:pPr>
      <w:r>
        <w:rPr>
          <w:szCs w:val="21"/>
        </w:rPr>
        <w:t xml:space="preserve">国家电网公司交流高压断路器技术标准、交流隔离开关和接地开关技术标准</w:t>
      </w:r>
      <w:r>
        <w:rPr>
          <w:szCs w:val="21"/>
        </w:rPr>
      </w:r>
      <w:r/>
    </w:p>
    <w:p>
      <w:pPr>
        <w:pStyle w:val="1151"/>
        <w:ind w:firstLine="425"/>
        <w:spacing w:line="312" w:lineRule="exact"/>
        <w:rPr>
          <w:spacing w:val="-4"/>
          <w:szCs w:val="21"/>
        </w:rPr>
      </w:pPr>
      <w:r>
        <w:rPr>
          <w:szCs w:val="21"/>
        </w:rPr>
        <w:t xml:space="preserve">国家电网公司</w:t>
      </w:r>
      <w:r>
        <w:rPr>
          <w:spacing w:val="-4"/>
          <w:szCs w:val="21"/>
        </w:rPr>
        <w:t xml:space="preserve">关于印发《预防12kV～40.5kV交流高压开关柜事故补充措施》的通知</w:t>
      </w:r>
      <w:r>
        <w:rPr>
          <w:spacing w:val="-4"/>
          <w:szCs w:val="21"/>
        </w:rPr>
      </w:r>
      <w:r/>
    </w:p>
    <w:p>
      <w:pPr>
        <w:pStyle w:val="1151"/>
        <w:ind w:firstLine="425"/>
        <w:spacing w:line="312" w:lineRule="exact"/>
        <w:rPr>
          <w:szCs w:val="21"/>
        </w:rPr>
      </w:pPr>
      <w:r>
        <w:rPr>
          <w:szCs w:val="21"/>
        </w:rPr>
        <w:t xml:space="preserve">国家电网公司关于印发《预防交流高压开关柜人身伤害事故措施》的通知</w:t>
      </w:r>
      <w:r>
        <w:rPr>
          <w:szCs w:val="21"/>
        </w:rPr>
      </w:r>
      <w:r/>
    </w:p>
    <w:p>
      <w:pPr>
        <w:pStyle w:val="1151"/>
        <w:ind w:firstLine="425"/>
        <w:spacing w:line="312" w:lineRule="exact"/>
        <w:rPr>
          <w:szCs w:val="21"/>
        </w:rPr>
      </w:pPr>
      <w:r>
        <w:rPr>
          <w:szCs w:val="21"/>
        </w:rPr>
        <w:t xml:space="preserve">国家电网公司物资采购标准高海拔外绝缘配置技术规范</w:t>
      </w:r>
      <w:r>
        <w:rPr>
          <w:szCs w:val="21"/>
        </w:rPr>
      </w:r>
      <w:r/>
    </w:p>
    <w:p>
      <w:pPr>
        <w:pStyle w:val="1151"/>
        <w:ind w:firstLine="420"/>
        <w:spacing w:line="320" w:lineRule="exact"/>
        <w:rPr>
          <w:szCs w:val="21"/>
        </w:rPr>
      </w:pPr>
      <w:r>
        <w:rPr>
          <w:szCs w:val="21"/>
        </w:rPr>
        <w:t xml:space="preserve">电力设备（交流部分）监造大纲</w:t>
      </w:r>
      <w:r>
        <w:rPr>
          <w:szCs w:val="21"/>
        </w:rPr>
      </w:r>
      <w:r/>
    </w:p>
    <w:p>
      <w:pPr>
        <w:pStyle w:val="1201"/>
        <w:tabs>
          <w:tab w:val="center" w:pos="4201" w:leader="none"/>
          <w:tab w:val="right" w:pos="9298" w:leader="dot"/>
        </w:tabs>
        <w:rPr>
          <w:rFonts w:ascii="Times New Roman"/>
          <w:szCs w:val="21"/>
        </w:rPr>
      </w:pPr>
      <w:r>
        <w:rPr>
          <w:rFonts w:ascii="Times New Roman"/>
          <w:szCs w:val="21"/>
        </w:rPr>
        <w:t xml:space="preserve">电网设备及材料质量管控重点措施</w:t>
      </w:r>
      <w:r>
        <w:rPr>
          <w:rFonts w:ascii="Times New Roman"/>
          <w:szCs w:val="21"/>
        </w:rPr>
      </w:r>
      <w:r/>
    </w:p>
    <w:p>
      <w:pPr>
        <w:pStyle w:val="1201"/>
        <w:tabs>
          <w:tab w:val="center" w:pos="4201" w:leader="none"/>
          <w:tab w:val="right" w:pos="9298" w:leader="dot"/>
        </w:tabs>
        <w:rPr>
          <w:rFonts w:ascii="Times New Roman"/>
        </w:rPr>
      </w:pPr>
      <w:r/>
      <w:bookmarkStart w:id="77" w:name="_Hlk55898362"/>
      <w:r>
        <w:rPr>
          <w:rFonts w:hint="eastAsia" w:ascii="Times New Roman"/>
        </w:rPr>
        <w:t xml:space="preserve">发改委〔2014〕14号电力监控系统安全防护规定</w:t>
      </w:r>
      <w:r>
        <w:rPr>
          <w:rFonts w:ascii="Times New Roman"/>
        </w:rPr>
      </w:r>
      <w:r/>
    </w:p>
    <w:p>
      <w:pPr>
        <w:pStyle w:val="1201"/>
        <w:tabs>
          <w:tab w:val="center" w:pos="4201" w:leader="none"/>
          <w:tab w:val="right" w:pos="9298" w:leader="dot"/>
        </w:tabs>
        <w:rPr>
          <w:rFonts w:ascii="Times New Roman"/>
        </w:rPr>
      </w:pPr>
      <w:r/>
      <w:bookmarkEnd w:id="77"/>
      <w:r/>
      <w:bookmarkStart w:id="78" w:name="_Hlk55898372"/>
      <w:r>
        <w:rPr>
          <w:rFonts w:hint="eastAsia" w:ascii="Times New Roman"/>
        </w:rPr>
        <w:t xml:space="preserve">国能安全〔2015〕36号关于印发电力监控系统安全防护总体方案等安全防护方案和评估规范的通知</w:t>
      </w:r>
      <w:r>
        <w:rPr>
          <w:rFonts w:ascii="Times New Roman"/>
        </w:rPr>
      </w:r>
      <w:r/>
    </w:p>
    <w:p>
      <w:pPr>
        <w:pStyle w:val="1238"/>
        <w:rPr>
          <w:rFonts w:ascii="Times New Roman"/>
        </w:rPr>
        <w:outlineLvl w:val="0"/>
      </w:pPr>
      <w:r/>
      <w:bookmarkEnd w:id="78"/>
      <w:r/>
      <w:bookmarkStart w:id="79" w:name="_Toc380612193"/>
      <w:r/>
      <w:bookmarkStart w:id="80" w:name="_Toc55057883"/>
      <w:r/>
      <w:bookmarkStart w:id="81" w:name="_Toc31628"/>
      <w:r/>
      <w:bookmarkStart w:id="82" w:name="_Toc27478"/>
      <w:r/>
      <w:bookmarkStart w:id="83" w:name="_Toc12854"/>
      <w:r/>
      <w:bookmarkStart w:id="84" w:name="_Toc11249"/>
      <w:r>
        <w:rPr>
          <w:rFonts w:ascii="Times New Roman"/>
        </w:rPr>
        <w:t xml:space="preserve">5　技术参数和性能要求</w:t>
      </w:r>
      <w:bookmarkEnd w:id="79"/>
      <w:r/>
      <w:bookmarkEnd w:id="80"/>
      <w:r/>
      <w:bookmarkEnd w:id="81"/>
      <w:r/>
      <w:bookmarkEnd w:id="82"/>
      <w:r/>
      <w:bookmarkEnd w:id="83"/>
      <w:r/>
      <w:bookmarkEnd w:id="84"/>
      <w:r>
        <w:rPr>
          <w:rFonts w:ascii="Times New Roman"/>
        </w:rPr>
      </w:r>
      <w:r/>
    </w:p>
    <w:p>
      <w:pPr>
        <w:pStyle w:val="1240"/>
        <w:rPr>
          <w:color w:val="000000"/>
        </w:rPr>
        <w:outlineLvl w:val="1"/>
      </w:pPr>
      <w:r/>
      <w:bookmarkStart w:id="85" w:name="_Hlk55898644"/>
      <w:r>
        <w:rPr>
          <w:rFonts w:hint="eastAsia"/>
          <w:color w:val="000000"/>
        </w:rPr>
        <w:t xml:space="preserve">5.1　成套技术要求</w:t>
      </w:r>
      <w:r>
        <w:rPr>
          <w:color w:val="000000"/>
        </w:rPr>
      </w:r>
      <w:r/>
    </w:p>
    <w:p>
      <w:pPr>
        <w:pStyle w:val="1151"/>
        <w:spacing w:line="312" w:lineRule="exact"/>
      </w:pPr>
      <w:r>
        <w:rPr>
          <w:rFonts w:hint="eastAsia" w:ascii="宋体" w:hAnsi="宋体"/>
        </w:rPr>
        <w:t xml:space="preserve">5.1.1一二次融合标准化环网箱由环网柜（含进出线单元、电压互感器柜）、站所终端、外箱体、连接电缆等构成；站所终端采用集中式结构</w:t>
      </w:r>
      <w:r>
        <w:rPr>
          <w:rFonts w:hint="eastAsia"/>
        </w:rPr>
        <w:t xml:space="preserve">。</w:t>
      </w:r>
      <w:r>
        <w:rPr>
          <w:szCs w:val="21"/>
        </w:rPr>
        <w:t xml:space="preserve">环网柜</w:t>
      </w:r>
      <w:r>
        <w:rPr>
          <w:bCs/>
          <w:szCs w:val="21"/>
        </w:rPr>
        <w:t xml:space="preserve">技术参数见技术规范专用部分的技术参数特性表</w:t>
      </w:r>
      <w:r>
        <w:rPr>
          <w:szCs w:val="21"/>
        </w:rPr>
        <w:t xml:space="preserve">。</w:t>
      </w:r>
      <w:r/>
    </w:p>
    <w:p>
      <w:pPr>
        <w:pStyle w:val="1151"/>
        <w:spacing w:line="312" w:lineRule="exact"/>
        <w:rPr>
          <w:bCs/>
          <w:szCs w:val="21"/>
        </w:rPr>
      </w:pPr>
      <w:r>
        <w:rPr>
          <w:rFonts w:hint="eastAsia" w:ascii="宋体" w:hAnsi="宋体"/>
        </w:rPr>
        <w:t xml:space="preserve">5.1.2</w:t>
      </w:r>
      <w:r>
        <w:rPr>
          <w:rFonts w:hint="eastAsia"/>
          <w:bCs/>
          <w:szCs w:val="21"/>
        </w:rPr>
        <w:t xml:space="preserve">环网箱提供各进出线单元的三相电流（保护/测量）和零序电流信号，提供母线三相测量电压和零序电压信号，以及二次设备工作电源和开关操作电源。</w:t>
      </w:r>
      <w:r>
        <w:rPr>
          <w:bCs/>
          <w:szCs w:val="21"/>
        </w:rPr>
      </w:r>
      <w:r/>
    </w:p>
    <w:p>
      <w:pPr>
        <w:pStyle w:val="1151"/>
        <w:spacing w:line="312" w:lineRule="exact"/>
        <w:rPr>
          <w:bCs/>
          <w:szCs w:val="21"/>
        </w:rPr>
      </w:pPr>
      <w:r>
        <w:rPr>
          <w:rFonts w:hint="eastAsia" w:ascii="宋体" w:hAnsi="宋体"/>
        </w:rPr>
        <w:t xml:space="preserve">5.1.3</w:t>
      </w:r>
      <w:r>
        <w:rPr>
          <w:rFonts w:hint="eastAsia"/>
          <w:bCs/>
          <w:szCs w:val="21"/>
        </w:rPr>
        <w:t xml:space="preserve">具备采集三相电流、三相电压、零序电流、零序电压的能力，满足计算有功功率、无功功率，功率因数、频率和电能量的要求。</w:t>
      </w:r>
      <w:r>
        <w:rPr>
          <w:bCs/>
          <w:szCs w:val="21"/>
        </w:rPr>
      </w:r>
      <w:r/>
    </w:p>
    <w:p>
      <w:pPr>
        <w:pStyle w:val="1151"/>
        <w:spacing w:line="312" w:lineRule="exact"/>
        <w:rPr>
          <w:szCs w:val="21"/>
        </w:rPr>
      </w:pPr>
      <w:r>
        <w:rPr>
          <w:rFonts w:hint="eastAsia" w:ascii="宋体" w:hAnsi="宋体"/>
        </w:rPr>
        <w:t xml:space="preserve">5.1.4</w:t>
      </w:r>
      <w:r>
        <w:rPr>
          <w:rFonts w:hint="eastAsia"/>
          <w:bCs/>
          <w:szCs w:val="21"/>
        </w:rPr>
        <w:t xml:space="preserve">具备相间和接地故障处理、线损测量、通信等功能，支持集中型和分布式馈线自动化，可根据实际运行的工况，灵活配置运行参数及控制逻辑。</w:t>
      </w:r>
      <w:r>
        <w:rPr>
          <w:szCs w:val="21"/>
        </w:rPr>
      </w:r>
      <w:r/>
    </w:p>
    <w:p>
      <w:pPr>
        <w:pStyle w:val="1240"/>
        <w:rPr>
          <w:color w:val="000000"/>
        </w:rPr>
        <w:outlineLvl w:val="1"/>
      </w:pPr>
      <w:r/>
      <w:bookmarkEnd w:id="85"/>
      <w:r/>
      <w:bookmarkStart w:id="86" w:name="_Hlk55898816"/>
      <w:r>
        <w:rPr>
          <w:color w:val="000000"/>
        </w:rPr>
        <w:t xml:space="preserve">5.2</w:t>
      </w:r>
      <w:r>
        <w:rPr>
          <w:rFonts w:hint="eastAsia"/>
          <w:color w:val="000000"/>
        </w:rPr>
        <w:t xml:space="preserve">　环网柜技术要求</w:t>
      </w:r>
      <w:r>
        <w:rPr>
          <w:color w:val="000000"/>
        </w:rPr>
      </w:r>
      <w:r/>
    </w:p>
    <w:p>
      <w:pPr>
        <w:pStyle w:val="1240"/>
        <w:rPr>
          <w:color w:val="000000"/>
        </w:rPr>
        <w:outlineLvl w:val="2"/>
      </w:pPr>
      <w:r>
        <w:rPr>
          <w:rFonts w:hint="eastAsia"/>
          <w:color w:val="000000"/>
        </w:rPr>
        <w:t xml:space="preserve">5.2.1通用技术要求</w:t>
      </w:r>
      <w:r>
        <w:rPr>
          <w:color w:val="000000"/>
        </w:rPr>
      </w:r>
      <w:r/>
    </w:p>
    <w:p>
      <w:pPr>
        <w:pStyle w:val="1151"/>
        <w:spacing w:line="312" w:lineRule="exact"/>
        <w:rPr>
          <w:szCs w:val="21"/>
        </w:rPr>
      </w:pPr>
      <w:r/>
      <w:bookmarkEnd w:id="86"/>
      <w:r>
        <w:rPr>
          <w:szCs w:val="21"/>
        </w:rPr>
        <w:t xml:space="preserve">5.2.1</w:t>
      </w:r>
      <w:r>
        <w:rPr>
          <w:rFonts w:hint="eastAsia"/>
          <w:szCs w:val="21"/>
        </w:rPr>
        <w:t xml:space="preserve">.1</w:t>
      </w:r>
      <w:r>
        <w:rPr>
          <w:szCs w:val="21"/>
        </w:rPr>
        <w:t xml:space="preserve">环网柜</w:t>
      </w:r>
      <w:r>
        <w:rPr>
          <w:szCs w:val="21"/>
        </w:rPr>
        <w:t xml:space="preserve">的设计应能使设备安全地进行下述各项工作：正常运行、检查、维护操作、主回路验电、安装和（或）扩建后的相序校核和操作联锁、连接电缆的接地、电缆试验、连接电缆或其他器件的绝缘试验以及消除危险的静电电荷等</w:t>
      </w:r>
      <w:r>
        <w:rPr>
          <w:szCs w:val="21"/>
        </w:rPr>
        <w:t xml:space="preserve">。</w:t>
      </w:r>
      <w:r>
        <w:rPr>
          <w:szCs w:val="21"/>
        </w:rPr>
      </w:r>
      <w:r/>
    </w:p>
    <w:p>
      <w:pPr>
        <w:pStyle w:val="1151"/>
        <w:spacing w:line="312" w:lineRule="exact"/>
        <w:rPr>
          <w:szCs w:val="21"/>
        </w:rPr>
      </w:pPr>
      <w:r>
        <w:rPr>
          <w:szCs w:val="21"/>
        </w:rPr>
        <w:t xml:space="preserve">5.2.</w:t>
      </w:r>
      <w:r>
        <w:rPr>
          <w:rFonts w:hint="eastAsia"/>
          <w:szCs w:val="21"/>
        </w:rPr>
        <w:t xml:space="preserve">1.2</w:t>
      </w:r>
      <w:r>
        <w:rPr>
          <w:szCs w:val="21"/>
        </w:rPr>
        <w:t xml:space="preserve">产品的设计应能在允许的基础误差和热胀冷缩的热效应下不致影响设备所保证的性能，并满足与其他设备连接的要求。</w:t>
      </w:r>
      <w:r>
        <w:rPr>
          <w:szCs w:val="21"/>
        </w:rPr>
        <w:t xml:space="preserve">结构设计应预留配电自动化终端及终端电源安装位置（如有）。</w:t>
      </w:r>
      <w:r>
        <w:rPr>
          <w:szCs w:val="21"/>
        </w:rPr>
        <w:t xml:space="preserve">类型、额定值和结构相同的所有可移开部件和元件在机械和电气上应有互换性</w:t>
      </w:r>
      <w:r>
        <w:rPr>
          <w:szCs w:val="21"/>
        </w:rPr>
        <w:t xml:space="preserve">。</w:t>
      </w:r>
      <w:r>
        <w:rPr>
          <w:szCs w:val="21"/>
        </w:rPr>
      </w:r>
      <w:r/>
    </w:p>
    <w:p>
      <w:pPr>
        <w:pStyle w:val="1151"/>
        <w:spacing w:line="312" w:lineRule="exact"/>
        <w:rPr>
          <w:szCs w:val="21"/>
        </w:rPr>
      </w:pPr>
      <w:r>
        <w:rPr>
          <w:szCs w:val="21"/>
        </w:rPr>
        <w:t xml:space="preserve">5.2.</w:t>
      </w:r>
      <w:r>
        <w:rPr>
          <w:rFonts w:hint="eastAsia"/>
          <w:szCs w:val="21"/>
        </w:rPr>
        <w:t xml:space="preserve">1.</w:t>
      </w:r>
      <w:r>
        <w:rPr>
          <w:szCs w:val="21"/>
        </w:rPr>
        <w:t xml:space="preserve">3 环网柜应配置带电显示器（带二次核相孔、按回路配置），应能满足验电、核相的要求。高压带电显示装置的显示器接线端子对地和端子之间应能承受2000V/1min的工频耐压。传感器电压抽取端及引线对地应能承受2000V/1min的工频耐压。感应式带电显示装置，其传感器要求与带电部位保持125mm以上空气净距要求。</w:t>
      </w:r>
      <w:r>
        <w:rPr>
          <w:szCs w:val="21"/>
        </w:rPr>
      </w:r>
      <w:r/>
    </w:p>
    <w:p>
      <w:pPr>
        <w:pStyle w:val="1151"/>
        <w:spacing w:line="312" w:lineRule="exact"/>
        <w:rPr>
          <w:szCs w:val="21"/>
        </w:rPr>
      </w:pPr>
      <w:r>
        <w:rPr>
          <w:szCs w:val="21"/>
        </w:rPr>
        <w:t xml:space="preserve">5.2.</w:t>
      </w:r>
      <w:r>
        <w:rPr>
          <w:rFonts w:hint="eastAsia"/>
          <w:szCs w:val="21"/>
        </w:rPr>
        <w:t xml:space="preserve">1.</w:t>
      </w:r>
      <w:r>
        <w:rPr>
          <w:szCs w:val="21"/>
        </w:rPr>
        <w:t xml:space="preserve">4 </w:t>
      </w:r>
      <w:bookmarkStart w:id="87" w:name="_Hlk55898936"/>
      <w:r>
        <w:rPr>
          <w:szCs w:val="21"/>
        </w:rPr>
        <w:t xml:space="preserve">实施配电自动化的环网柜，操作电源</w:t>
      </w:r>
      <w:r>
        <w:rPr>
          <w:rFonts w:hint="eastAsia"/>
          <w:szCs w:val="21"/>
        </w:rPr>
        <w:t xml:space="preserve">应</w:t>
      </w:r>
      <w:r>
        <w:rPr>
          <w:szCs w:val="21"/>
        </w:rPr>
        <w:t xml:space="preserve">采用直流48V。进出线柜</w:t>
      </w:r>
      <w:r>
        <w:rPr>
          <w:rFonts w:hint="eastAsia"/>
          <w:szCs w:val="21"/>
        </w:rPr>
        <w:t xml:space="preserve">应</w:t>
      </w:r>
      <w:r>
        <w:rPr>
          <w:szCs w:val="21"/>
        </w:rPr>
        <w:t xml:space="preserve">装设</w:t>
      </w:r>
      <w:r>
        <w:rPr>
          <w:rFonts w:hint="eastAsia"/>
          <w:szCs w:val="21"/>
        </w:rPr>
        <w:t xml:space="preserve">三相</w:t>
      </w:r>
      <w:r>
        <w:rPr>
          <w:szCs w:val="21"/>
        </w:rPr>
        <w:t xml:space="preserve">电流互感器、零序电流互感器，并设置二次小室。</w:t>
      </w:r>
      <w:bookmarkEnd w:id="87"/>
      <w:r>
        <w:rPr>
          <w:szCs w:val="21"/>
        </w:rPr>
      </w:r>
      <w:r/>
    </w:p>
    <w:p>
      <w:pPr>
        <w:pStyle w:val="1151"/>
        <w:spacing w:line="312" w:lineRule="exact"/>
        <w:rPr>
          <w:szCs w:val="21"/>
        </w:rPr>
      </w:pPr>
      <w:r>
        <w:rPr>
          <w:szCs w:val="21"/>
        </w:rPr>
        <w:t xml:space="preserve">5.2.</w:t>
      </w:r>
      <w:r>
        <w:rPr>
          <w:rFonts w:hint="eastAsia"/>
          <w:szCs w:val="21"/>
        </w:rPr>
        <w:t xml:space="preserve">1.</w:t>
      </w:r>
      <w:r>
        <w:rPr>
          <w:szCs w:val="21"/>
        </w:rPr>
        <w:t xml:space="preserve">5 环网柜中各组件及其支持绝缘件爬电比距应满足瓷质材料不小于18mm/kV，有机材料不小于20 mm/kV。</w:t>
      </w:r>
      <w:r>
        <w:rPr>
          <w:szCs w:val="21"/>
        </w:rPr>
      </w:r>
      <w:r/>
    </w:p>
    <w:p>
      <w:pPr>
        <w:pStyle w:val="1240"/>
        <w:rPr>
          <w:rFonts w:ascii="Times New Roman"/>
          <w:color w:val="000000"/>
        </w:rPr>
      </w:pPr>
      <w:r>
        <w:rPr>
          <w:rFonts w:ascii="Times New Roman"/>
          <w:color w:val="000000"/>
        </w:rPr>
        <w:t xml:space="preserve">5.2.</w:t>
      </w:r>
      <w:r>
        <w:rPr>
          <w:rFonts w:hint="eastAsia" w:ascii="Times New Roman"/>
          <w:color w:val="000000"/>
        </w:rPr>
        <w:t xml:space="preserve">1.</w:t>
      </w:r>
      <w:r>
        <w:rPr>
          <w:rFonts w:ascii="Times New Roman"/>
          <w:color w:val="000000"/>
        </w:rPr>
        <w:t xml:space="preserve">6 </w:t>
      </w:r>
      <w:r>
        <w:rPr>
          <w:rFonts w:ascii="Times New Roman" w:eastAsia="宋体"/>
          <w:color w:val="000000"/>
        </w:rPr>
        <w:t xml:space="preserve">对最小空气间隙的要求：</w:t>
      </w:r>
      <w:r>
        <w:rPr>
          <w:rFonts w:ascii="Times New Roman"/>
          <w:color w:val="000000"/>
        </w:rPr>
      </w:r>
      <w:r/>
    </w:p>
    <w:p>
      <w:pPr>
        <w:pStyle w:val="1151"/>
        <w:ind w:left="840" w:hanging="420"/>
        <w:spacing w:line="312" w:lineRule="exact"/>
        <w:rPr>
          <w:szCs w:val="21"/>
        </w:rPr>
      </w:pPr>
      <w:r>
        <w:rPr>
          <w:szCs w:val="21"/>
        </w:rPr>
        <w:t xml:space="preserve">a）</w:t>
      </w:r>
      <w:r>
        <w:rPr>
          <w:szCs w:val="21"/>
        </w:rPr>
        <w:tab/>
      </w:r>
      <w:r>
        <w:rPr>
          <w:szCs w:val="21"/>
        </w:rPr>
        <w:t xml:space="preserve">单纯以空气作为绝缘介质的环网柜，相间和相对地的最小空气间隙应满足：12kV相间和相对地125mm，带电体至门155mm；</w:t>
      </w:r>
      <w:r>
        <w:rPr>
          <w:szCs w:val="21"/>
        </w:rPr>
      </w:r>
      <w:r/>
    </w:p>
    <w:p>
      <w:pPr>
        <w:pStyle w:val="1151"/>
        <w:ind w:left="840" w:hanging="420"/>
        <w:spacing w:line="312" w:lineRule="exact"/>
        <w:rPr>
          <w:szCs w:val="21"/>
        </w:rPr>
      </w:pPr>
      <w:r>
        <w:rPr>
          <w:szCs w:val="21"/>
        </w:rPr>
        <w:t xml:space="preserve">b）</w:t>
      </w:r>
      <w:r>
        <w:rPr>
          <w:szCs w:val="21"/>
        </w:rPr>
        <w:tab/>
      </w:r>
      <w:r>
        <w:rPr>
          <w:szCs w:val="21"/>
        </w:rPr>
        <w:t xml:space="preserve">以空气和绝缘隔板组成的复合绝缘作为绝缘介质的环网柜，绝缘隔板应选用耐电弧、耐高温、阻燃、低毒、不吸潮且具有优良机械强度和电气绝缘性能的材料。带电体与绝缘板之间的最小空气间隙应满足不小于30mm。</w:t>
      </w:r>
      <w:r>
        <w:rPr>
          <w:szCs w:val="21"/>
        </w:rPr>
      </w:r>
      <w:r/>
    </w:p>
    <w:p>
      <w:pPr>
        <w:pStyle w:val="1240"/>
        <w:rPr>
          <w:rFonts w:ascii="Times New Roman" w:eastAsia="宋体"/>
          <w:color w:val="000000"/>
          <w:szCs w:val="24"/>
        </w:rPr>
      </w:pPr>
      <w:r>
        <w:rPr>
          <w:rFonts w:ascii="Times New Roman"/>
          <w:color w:val="000000"/>
        </w:rPr>
        <w:t xml:space="preserve">5.2.</w:t>
      </w:r>
      <w:r>
        <w:rPr>
          <w:rFonts w:hint="eastAsia" w:ascii="Times New Roman"/>
          <w:color w:val="000000"/>
        </w:rPr>
        <w:t xml:space="preserve">1.</w:t>
      </w:r>
      <w:r>
        <w:rPr>
          <w:rFonts w:ascii="Times New Roman"/>
          <w:color w:val="000000"/>
        </w:rPr>
        <w:t xml:space="preserve">7 </w:t>
      </w:r>
      <w:r>
        <w:rPr>
          <w:rFonts w:ascii="Times New Roman" w:eastAsia="宋体"/>
          <w:color w:val="000000"/>
          <w:szCs w:val="24"/>
        </w:rPr>
        <w:t xml:space="preserve">环网柜设备的泄压通道应设置明显的警示标志。</w:t>
      </w:r>
      <w:r>
        <w:rPr>
          <w:rFonts w:ascii="Times New Roman" w:eastAsia="宋体"/>
          <w:color w:val="000000"/>
          <w:szCs w:val="24"/>
        </w:rPr>
      </w:r>
      <w:r/>
    </w:p>
    <w:p>
      <w:pPr>
        <w:pStyle w:val="1151"/>
        <w:spacing w:line="312" w:lineRule="exact"/>
      </w:pPr>
      <w:r>
        <w:rPr>
          <w:szCs w:val="21"/>
        </w:rPr>
        <w:t xml:space="preserve">5.2.</w:t>
      </w:r>
      <w:r>
        <w:rPr>
          <w:rFonts w:hint="eastAsia"/>
          <w:szCs w:val="21"/>
        </w:rPr>
        <w:t xml:space="preserve">1.</w:t>
      </w:r>
      <w:r>
        <w:rPr>
          <w:szCs w:val="21"/>
        </w:rPr>
        <w:t xml:space="preserve">8 柜体框架材质采用敷铝锌板（镀锌层厚度达到AZ150及以上，可按照《GB/T 14978 连续热镀铝锌合金镀层钢板及钢带》）或镀锌钢板（牌号为：DX51D+Z275，可按照《GB/T 2518-2008 连续热镀锌钢板及钢带》）。框架材质标称厚度≥2mm，尺寸允许偏差满足《GB/T 708冷轧钢板和钢带的尺寸、外形、重量及允许偏差》的B级精度要求。气箱材质的防腐蚀性能不应低于304不锈钢。气箱材质标称厚度≥2mm。</w:t>
      </w:r>
      <w:r>
        <w:t xml:space="preserve">柜门关闭时防护等级应不低于GB 4208中IP4X，柜门打开时防护等级不低于</w:t>
      </w:r>
      <w:bookmarkStart w:id="88" w:name="OLE_LINK3"/>
      <w:r>
        <w:t xml:space="preserve">IP2X。电动操作机构及二次回路封闭装置的防护等级不应低于IP55。</w:t>
      </w:r>
      <w:bookmarkEnd w:id="88"/>
      <w:r/>
      <w:r/>
    </w:p>
    <w:p>
      <w:pPr>
        <w:pStyle w:val="1151"/>
        <w:spacing w:line="312" w:lineRule="exact"/>
        <w:rPr>
          <w:szCs w:val="21"/>
        </w:rPr>
      </w:pPr>
      <w:r>
        <w:rPr>
          <w:szCs w:val="21"/>
        </w:rPr>
        <w:t xml:space="preserve">5.2.</w:t>
      </w:r>
      <w:r>
        <w:rPr>
          <w:rFonts w:hint="eastAsia"/>
          <w:szCs w:val="21"/>
        </w:rPr>
        <w:t xml:space="preserve">1.</w:t>
      </w:r>
      <w:r>
        <w:rPr>
          <w:szCs w:val="21"/>
        </w:rPr>
        <w:t xml:space="preserve">9 环网柜（包含电缆室、机构室、仪表室）的门板颜色均为RAL7035，如有贴膜，贴膜底色RAL7035。机构室前门板应由一块门板组成（组合电器柜除外），结构方案如图1所示。</w:t>
      </w:r>
      <w:r>
        <w:rPr>
          <w:szCs w:val="21"/>
        </w:rPr>
      </w:r>
      <w:r/>
    </w:p>
    <w:p>
      <w:pPr>
        <w:pStyle w:val="1241"/>
        <w:jc w:val="center"/>
        <w:spacing w:after="240"/>
        <w:rPr>
          <w:rFonts w:ascii="Times New Roman" w:hAnsi="Times New Roman" w:cs="Times New Roman"/>
          <w:sz w:val="24"/>
          <w:szCs w:val="24"/>
        </w:rPr>
      </w:pPr>
      <w:r>
        <w:rPr>
          <w:rFonts w:ascii="Times New Roman" w:hAnsi="Times New Roman" w:cs="Times New Roman"/>
        </w:rPr>
        <mc:AlternateContent>
          <mc:Choice Requires="wpg">
            <w:drawing>
              <wp:inline xmlns:wp="http://schemas.openxmlformats.org/drawingml/2006/wordprocessingDrawing" distT="0" distB="0" distL="0" distR="0">
                <wp:extent cx="1885950" cy="17716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885950" cy="1771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8.5pt;height:139.5pt;mso-wrap-distance-left:0.0pt;mso-wrap-distance-top:0.0pt;mso-wrap-distance-right:0.0pt;mso-wrap-distance-bottom:0.0pt;" stroked="f">
                <v:path textboxrect="0,0,0,0"/>
                <v:imagedata r:id="rId17" o:title=""/>
              </v:shape>
            </w:pict>
          </mc:Fallback>
        </mc:AlternateContent>
      </w:r>
      <w:r>
        <w:rPr>
          <w:rFonts w:ascii="Times New Roman" w:hAnsi="Times New Roman" w:cs="Times New Roman"/>
          <w:sz w:val="24"/>
          <w:szCs w:val="24"/>
        </w:rPr>
      </w:r>
      <w:r/>
    </w:p>
    <w:p>
      <w:pPr>
        <w:pStyle w:val="1241"/>
        <w:jc w:val="center"/>
        <w:spacing w:line="312" w:lineRule="exact"/>
        <w:rPr>
          <w:rFonts w:ascii="Times New Roman" w:hAnsi="Times New Roman" w:eastAsia="黑体" w:cs="Times New Roman"/>
        </w:rPr>
      </w:pPr>
      <w:r>
        <w:rPr>
          <w:rFonts w:ascii="Times New Roman" w:hAnsi="Times New Roman" w:eastAsia="黑体" w:cs="Times New Roman"/>
        </w:rPr>
        <w:t xml:space="preserve">图1 机构室前门板示意图</w:t>
      </w:r>
      <w:r>
        <w:rPr>
          <w:rFonts w:ascii="Times New Roman" w:hAnsi="Times New Roman" w:eastAsia="黑体" w:cs="Times New Roman"/>
        </w:rPr>
      </w:r>
      <w:r/>
    </w:p>
    <w:p>
      <w:pPr>
        <w:pStyle w:val="1151"/>
        <w:spacing w:line="312" w:lineRule="exact"/>
        <w:rPr>
          <w:szCs w:val="21"/>
        </w:rPr>
      </w:pPr>
      <w:r>
        <w:rPr>
          <w:szCs w:val="21"/>
        </w:rPr>
      </w:r>
      <w:r/>
    </w:p>
    <w:p>
      <w:pPr>
        <w:pStyle w:val="1242"/>
        <w:spacing w:before="0" w:after="0" w:line="312" w:lineRule="exact"/>
        <w:rPr>
          <w:rFonts w:ascii="Times New Roman" w:eastAsia="宋体"/>
          <w:sz w:val="21"/>
          <w:szCs w:val="21"/>
        </w:rPr>
        <w:outlineLvl w:val="9"/>
      </w:pPr>
      <w:r>
        <w:rPr>
          <w:rFonts w:ascii="Times New Roman"/>
          <w:sz w:val="21"/>
          <w:szCs w:val="21"/>
        </w:rPr>
        <w:t xml:space="preserve">5.2.</w:t>
      </w:r>
      <w:r>
        <w:rPr>
          <w:rFonts w:hint="eastAsia"/>
          <w:szCs w:val="21"/>
        </w:rPr>
        <w:t xml:space="preserve">1.</w:t>
      </w:r>
      <w:r>
        <w:rPr>
          <w:rFonts w:ascii="Times New Roman"/>
          <w:sz w:val="21"/>
          <w:szCs w:val="21"/>
        </w:rPr>
        <w:t xml:space="preserve">10</w:t>
      </w:r>
      <w:r>
        <w:rPr>
          <w:rFonts w:ascii="Times New Roman" w:eastAsia="宋体"/>
          <w:sz w:val="21"/>
          <w:szCs w:val="21"/>
        </w:rPr>
        <w:t xml:space="preserve">环网柜前门应有清晰明显的主接线示意图，柜顶设有横眉可装设间隔名称标识牌。环网单元前门应标有清晰明显的主接线示意图，表面应注明操作程序和注意事项。标志和标识牌的制作应符合GDW 742的规定。</w:t>
      </w:r>
      <w:r>
        <w:rPr>
          <w:rFonts w:ascii="Times New Roman" w:eastAsia="宋体"/>
          <w:sz w:val="21"/>
          <w:szCs w:val="21"/>
        </w:rPr>
      </w:r>
      <w:r/>
    </w:p>
    <w:p>
      <w:pPr>
        <w:pStyle w:val="1151"/>
        <w:spacing w:line="312" w:lineRule="exact"/>
        <w:rPr>
          <w:szCs w:val="21"/>
        </w:rPr>
      </w:pPr>
      <w:r>
        <w:rPr>
          <w:rFonts w:eastAsia="黑体"/>
          <w:szCs w:val="21"/>
        </w:rPr>
        <w:t xml:space="preserve">5.2.</w:t>
      </w:r>
      <w:r>
        <w:rPr>
          <w:rFonts w:hint="eastAsia"/>
          <w:szCs w:val="21"/>
        </w:rPr>
        <w:t xml:space="preserve">1.</w:t>
      </w:r>
      <w:r>
        <w:rPr>
          <w:rFonts w:eastAsia="黑体"/>
          <w:szCs w:val="21"/>
        </w:rPr>
        <w:t xml:space="preserve">11</w:t>
      </w:r>
      <w:r>
        <w:rPr>
          <w:szCs w:val="21"/>
        </w:rPr>
        <w:t xml:space="preserve">环网柜门板上的模拟母线整体高度、线宽、颜色等保持一致，使整体外观协调：</w:t>
      </w:r>
      <w:r>
        <w:rPr>
          <w:szCs w:val="21"/>
        </w:rPr>
      </w:r>
      <w:r/>
    </w:p>
    <w:p>
      <w:pPr>
        <w:pStyle w:val="1151"/>
        <w:ind w:firstLine="420"/>
        <w:spacing w:line="312" w:lineRule="exact"/>
        <w:rPr>
          <w:szCs w:val="21"/>
        </w:rPr>
      </w:pPr>
      <w:r>
        <w:rPr>
          <w:szCs w:val="21"/>
        </w:rPr>
        <w:t xml:space="preserve">a）空气绝缘环网柜：母线长度与面板宽度保持一致，主母线分支母线线宽度为7mm，</w:t>
      </w:r>
      <w:r>
        <w:rPr>
          <w:szCs w:val="21"/>
        </w:rPr>
      </w:r>
      <w:r/>
    </w:p>
    <w:p>
      <w:pPr>
        <w:pStyle w:val="1151"/>
        <w:ind w:firstLine="840"/>
        <w:spacing w:line="312" w:lineRule="exact"/>
        <w:rPr>
          <w:szCs w:val="21"/>
        </w:rPr>
      </w:pPr>
      <w:r>
        <w:rPr>
          <w:szCs w:val="21"/>
        </w:rPr>
        <w:t xml:space="preserve">颜色为绛红色，指示器开孔φ30mm；</w:t>
      </w:r>
      <w:r>
        <w:rPr>
          <w:szCs w:val="21"/>
        </w:rPr>
      </w:r>
      <w:r/>
    </w:p>
    <w:p>
      <w:pPr>
        <w:pStyle w:val="1151"/>
        <w:ind w:firstLine="420"/>
        <w:spacing w:line="312" w:lineRule="exact"/>
        <w:rPr>
          <w:szCs w:val="21"/>
        </w:rPr>
      </w:pPr>
      <w:r>
        <w:rPr>
          <w:szCs w:val="21"/>
        </w:rPr>
        <w:t xml:space="preserve">b）其余类型环网柜：母线长度与面板宽度保持一致，主母线分支母线线宽度为6mm,</w:t>
      </w:r>
      <w:r>
        <w:rPr>
          <w:szCs w:val="21"/>
        </w:rPr>
      </w:r>
      <w:r/>
    </w:p>
    <w:p>
      <w:pPr>
        <w:pStyle w:val="1151"/>
        <w:ind w:firstLine="840"/>
        <w:spacing w:line="312" w:lineRule="exact"/>
        <w:rPr>
          <w:szCs w:val="21"/>
        </w:rPr>
      </w:pPr>
      <w:r>
        <w:rPr>
          <w:szCs w:val="21"/>
        </w:rPr>
        <w:t xml:space="preserve">颜色为绛红色，指示器开孔φ23mm。</w:t>
      </w:r>
      <w:r>
        <w:rPr>
          <w:szCs w:val="21"/>
        </w:rPr>
      </w:r>
      <w:r/>
    </w:p>
    <w:p>
      <w:pPr>
        <w:pStyle w:val="1151"/>
        <w:spacing w:line="306" w:lineRule="exact"/>
      </w:pPr>
      <w:r>
        <w:rPr>
          <w:rFonts w:eastAsia="黑体"/>
          <w:szCs w:val="21"/>
        </w:rPr>
        <w:t xml:space="preserve">5.2.</w:t>
      </w:r>
      <w:r>
        <w:rPr>
          <w:rFonts w:hint="eastAsia"/>
          <w:szCs w:val="21"/>
        </w:rPr>
        <w:t xml:space="preserve">1.</w:t>
      </w:r>
      <w:r>
        <w:rPr>
          <w:rFonts w:eastAsia="黑体"/>
          <w:szCs w:val="21"/>
        </w:rPr>
        <w:t xml:space="preserve">12</w:t>
      </w:r>
      <w:r>
        <w:rPr>
          <w:szCs w:val="21"/>
        </w:rPr>
        <w:t xml:space="preserve">　</w:t>
      </w:r>
      <w:r>
        <w:t xml:space="preserve">环网柜中的绝缘件应采用阻燃性绝缘材料，阻燃性能不低于V-1级。</w:t>
      </w:r>
      <w:r/>
    </w:p>
    <w:p>
      <w:pPr>
        <w:pStyle w:val="1151"/>
        <w:spacing w:line="306" w:lineRule="exact"/>
      </w:pPr>
      <w:r>
        <w:t xml:space="preserve">5.2.</w:t>
      </w:r>
      <w:r>
        <w:rPr>
          <w:rFonts w:hint="eastAsia"/>
          <w:szCs w:val="21"/>
        </w:rPr>
        <w:t xml:space="preserve">1.</w:t>
      </w:r>
      <w:r>
        <w:t xml:space="preserve">13</w:t>
      </w:r>
      <w:r>
        <w:rPr>
          <w:szCs w:val="21"/>
        </w:rPr>
        <w:t xml:space="preserve">　</w:t>
      </w:r>
      <w:r>
        <w:t xml:space="preserve">电缆室驱潮加热装置安装完好，工作正常。加热驱潮装置应保证长期运行时不对箱内邻近设备、二次线缆造成热损伤，其二次电缆应选用阻燃电缆。加热器与各元件、电缆及电线的距离应大于50mm。</w:t>
      </w:r>
      <w:r/>
    </w:p>
    <w:p>
      <w:pPr>
        <w:pStyle w:val="1240"/>
        <w:spacing w:line="320" w:lineRule="exact"/>
        <w:rPr>
          <w:rFonts w:ascii="Times New Roman"/>
          <w:color w:val="000000"/>
        </w:rPr>
      </w:pPr>
      <w:r>
        <w:rPr>
          <w:rFonts w:ascii="Times New Roman"/>
          <w:color w:val="000000"/>
        </w:rPr>
        <w:t xml:space="preserve">5.2.</w:t>
      </w:r>
      <w:r>
        <w:rPr>
          <w:rFonts w:hint="eastAsia"/>
        </w:rPr>
        <w:t xml:space="preserve">1.</w:t>
      </w:r>
      <w:r>
        <w:rPr>
          <w:rFonts w:ascii="Times New Roman"/>
          <w:color w:val="000000"/>
        </w:rPr>
        <w:t xml:space="preserve">14　</w:t>
      </w:r>
      <w:r>
        <w:rPr>
          <w:rFonts w:ascii="Times New Roman" w:eastAsia="宋体"/>
          <w:color w:val="000000"/>
          <w:spacing w:val="2"/>
        </w:rPr>
        <w:t xml:space="preserve">温控器（加热器）、继电器等二次元件应取得“3C”认证或通过与“3C”认证同等的性能试验，外壳绝缘材料阻燃等级应满足V−0级，并提供第三方检测报告。时间继电器不应选用气囊式时间继电器。</w:t>
      </w:r>
      <w:r>
        <w:rPr>
          <w:rFonts w:ascii="Times New Roman"/>
          <w:color w:val="000000"/>
        </w:rPr>
      </w:r>
      <w:r/>
    </w:p>
    <w:p>
      <w:pPr>
        <w:pStyle w:val="1151"/>
        <w:spacing w:line="306" w:lineRule="exact"/>
      </w:pPr>
      <w:r>
        <w:t xml:space="preserve">5.</w:t>
      </w:r>
      <w:r>
        <w:rPr>
          <w:szCs w:val="20"/>
        </w:rPr>
        <w:t xml:space="preserve">2.</w:t>
      </w:r>
      <w:r>
        <w:rPr>
          <w:rFonts w:hint="eastAsia"/>
          <w:szCs w:val="21"/>
        </w:rPr>
        <w:t xml:space="preserve">1.</w:t>
      </w:r>
      <w:r>
        <w:rPr>
          <w:szCs w:val="20"/>
        </w:rPr>
        <w:t xml:space="preserve">1</w:t>
      </w:r>
      <w:r>
        <w:t xml:space="preserve">5</w:t>
      </w:r>
      <w:r>
        <w:rPr>
          <w:szCs w:val="21"/>
        </w:rPr>
        <w:t xml:space="preserve">　</w:t>
      </w:r>
      <w:r>
        <w:t xml:space="preserve">环网柜的分、合闸控制回路的端子间应有端子隔开，或采取其他有效防误动措施。</w:t>
      </w:r>
      <w:r/>
    </w:p>
    <w:p>
      <w:pPr>
        <w:pStyle w:val="1151"/>
        <w:spacing w:line="306" w:lineRule="exact"/>
        <w:rPr>
          <w:szCs w:val="20"/>
        </w:rPr>
      </w:pPr>
      <w:r>
        <w:t xml:space="preserve">5.</w:t>
      </w:r>
      <w:r>
        <w:rPr>
          <w:szCs w:val="20"/>
        </w:rPr>
        <w:t xml:space="preserve">2.</w:t>
      </w:r>
      <w:r>
        <w:rPr>
          <w:rFonts w:hint="eastAsia"/>
          <w:szCs w:val="21"/>
        </w:rPr>
        <w:t xml:space="preserve">1.</w:t>
      </w:r>
      <w:r>
        <w:rPr>
          <w:szCs w:val="20"/>
        </w:rPr>
        <w:t xml:space="preserve">1</w:t>
      </w:r>
      <w:r>
        <w:t xml:space="preserve">6　环网柜可配置分/合闸线圈电流检测装置</w:t>
      </w:r>
      <w:r>
        <w:rPr>
          <w:szCs w:val="20"/>
        </w:rPr>
        <w:t xml:space="preserve">。</w:t>
      </w:r>
      <w:r>
        <w:rPr>
          <w:szCs w:val="20"/>
        </w:rPr>
      </w:r>
      <w:r/>
    </w:p>
    <w:p>
      <w:pPr>
        <w:pStyle w:val="1151"/>
        <w:spacing w:line="306" w:lineRule="exact"/>
      </w:pPr>
      <w:r>
        <w:t xml:space="preserve">5.2.</w:t>
      </w:r>
      <w:r>
        <w:rPr>
          <w:rFonts w:hint="eastAsia"/>
          <w:szCs w:val="21"/>
        </w:rPr>
        <w:t xml:space="preserve">1.</w:t>
      </w:r>
      <w:r>
        <w:t xml:space="preserve">17　安装要求</w:t>
      </w:r>
      <w:r/>
    </w:p>
    <w:p>
      <w:pPr>
        <w:pStyle w:val="1151"/>
        <w:ind w:left="840" w:hanging="420"/>
        <w:spacing w:line="312" w:lineRule="exact"/>
        <w:rPr>
          <w:szCs w:val="21"/>
        </w:rPr>
      </w:pPr>
      <w:r>
        <w:rPr>
          <w:rFonts w:hint="eastAsia"/>
          <w:szCs w:val="21"/>
        </w:rPr>
        <w:t xml:space="preserve">a</w:t>
      </w:r>
      <w:r>
        <w:rPr>
          <w:szCs w:val="21"/>
        </w:rPr>
        <w:t xml:space="preserve">）</w:t>
      </w:r>
      <w:r>
        <w:rPr>
          <w:szCs w:val="21"/>
        </w:rPr>
        <w:tab/>
      </w:r>
      <w:r>
        <w:rPr>
          <w:szCs w:val="21"/>
        </w:rPr>
        <w:t xml:space="preserve">环网柜基础施工时，应预埋基础槽钢，槽钢规格为10号，基础槽钢与</w:t>
      </w:r>
      <w:r>
        <w:rPr>
          <w:rFonts w:hint="eastAsia"/>
          <w:szCs w:val="21"/>
        </w:rPr>
        <w:t xml:space="preserve">环网柜</w:t>
      </w:r>
      <w:r>
        <w:rPr>
          <w:szCs w:val="21"/>
        </w:rPr>
        <w:t xml:space="preserve">地网可靠连接。</w:t>
      </w:r>
      <w:r>
        <w:rPr>
          <w:szCs w:val="21"/>
        </w:rPr>
      </w:r>
      <w:r/>
    </w:p>
    <w:p>
      <w:pPr>
        <w:pStyle w:val="1151"/>
        <w:ind w:left="840" w:hanging="420"/>
        <w:spacing w:line="312" w:lineRule="exact"/>
        <w:rPr>
          <w:szCs w:val="21"/>
        </w:rPr>
      </w:pPr>
      <w:r>
        <w:rPr>
          <w:rFonts w:hint="eastAsia"/>
          <w:szCs w:val="21"/>
        </w:rPr>
        <w:t xml:space="preserve">b</w:t>
      </w:r>
      <w:r>
        <w:rPr>
          <w:szCs w:val="21"/>
        </w:rPr>
        <w:t xml:space="preserve">）</w:t>
      </w:r>
      <w:r>
        <w:rPr>
          <w:szCs w:val="21"/>
        </w:rPr>
        <w:tab/>
      </w:r>
      <w:r>
        <w:rPr>
          <w:szCs w:val="21"/>
        </w:rPr>
        <w:t xml:space="preserve">环网柜的底部框架应放置在基础槽钢上，可用地脚螺栓将其与基础槽钢相连或用电焊与基础槽钢焊牢。</w:t>
      </w:r>
      <w:r>
        <w:rPr>
          <w:szCs w:val="21"/>
        </w:rPr>
      </w:r>
      <w:r/>
    </w:p>
    <w:p>
      <w:pPr>
        <w:pStyle w:val="1151"/>
        <w:ind w:left="840" w:hanging="420"/>
        <w:spacing w:line="312" w:lineRule="exact"/>
        <w:rPr>
          <w:szCs w:val="21"/>
        </w:rPr>
      </w:pPr>
      <w:r>
        <w:rPr>
          <w:rFonts w:hint="eastAsia"/>
          <w:szCs w:val="21"/>
        </w:rPr>
        <w:t xml:space="preserve">c</w:t>
      </w:r>
      <w:r>
        <w:rPr>
          <w:szCs w:val="21"/>
        </w:rPr>
        <w:t xml:space="preserve">）</w:t>
      </w:r>
      <w:r>
        <w:rPr>
          <w:szCs w:val="21"/>
        </w:rPr>
        <w:tab/>
      </w:r>
      <w:r>
        <w:rPr>
          <w:szCs w:val="21"/>
        </w:rPr>
        <w:t xml:space="preserve">环网柜进出线柜一般采用500mm</w:t>
      </w:r>
      <w:r>
        <w:rPr>
          <w:szCs w:val="21"/>
          <w:vertAlign w:val="superscript"/>
        </w:rPr>
        <w:t xml:space="preserve">2</w:t>
      </w:r>
      <w:r>
        <w:rPr>
          <w:szCs w:val="21"/>
        </w:rPr>
        <w:t xml:space="preserve">及以下的电力电缆连接，下方可设置电缆夹层或电缆沟，电缆夹层或电缆沟的深度应满足电缆转弯半径的要求。</w:t>
      </w:r>
      <w:r>
        <w:rPr>
          <w:szCs w:val="21"/>
        </w:rPr>
      </w:r>
      <w:r/>
    </w:p>
    <w:p>
      <w:pPr>
        <w:pStyle w:val="1151"/>
        <w:spacing w:line="306" w:lineRule="exact"/>
      </w:pPr>
      <w:r>
        <w:t xml:space="preserve">5.2.</w:t>
      </w:r>
      <w:r>
        <w:rPr>
          <w:rFonts w:hint="eastAsia"/>
          <w:szCs w:val="21"/>
        </w:rPr>
        <w:t xml:space="preserve">1.</w:t>
      </w:r>
      <w:r>
        <w:t xml:space="preserve">18 防凝露推荐措施</w:t>
      </w:r>
      <w:r/>
    </w:p>
    <w:p>
      <w:pPr>
        <w:pStyle w:val="1151"/>
        <w:ind w:firstLine="420"/>
        <w:spacing w:line="312" w:lineRule="exact"/>
        <w:rPr>
          <w:szCs w:val="21"/>
        </w:rPr>
      </w:pPr>
      <w:r>
        <w:rPr>
          <w:rFonts w:hint="eastAsia"/>
          <w:szCs w:val="21"/>
        </w:rPr>
        <w:t xml:space="preserve">环网箱内环网柜除湿防凝露应利用设备局部密封处理、配合无源除湿措施，设备整体进行通风散热设计，将凝露源头隔绝在设备以外。应充分利用自流平树脂封堵、无源吸湿放湿片、顶板防凝露设计及处理等新技术新材料，彻底解决配网户外设备凝露隐患。且以上除湿防凝露措施应可在设备出厂前完成。</w:t>
      </w:r>
      <w:r>
        <w:rPr>
          <w:szCs w:val="21"/>
        </w:rPr>
      </w:r>
      <w:r/>
    </w:p>
    <w:p>
      <w:pPr>
        <w:pStyle w:val="1151"/>
        <w:spacing w:line="312" w:lineRule="exact"/>
        <w:rPr>
          <w:szCs w:val="21"/>
        </w:rPr>
      </w:pPr>
      <w:r>
        <w:rPr>
          <w:szCs w:val="21"/>
        </w:rPr>
        <w:t xml:space="preserve">5.2.</w:t>
      </w:r>
      <w:r>
        <w:rPr>
          <w:rFonts w:hint="eastAsia"/>
          <w:szCs w:val="21"/>
        </w:rPr>
        <w:t xml:space="preserve">1.</w:t>
      </w:r>
      <w:r>
        <w:rPr>
          <w:szCs w:val="21"/>
        </w:rPr>
        <w:t xml:space="preserve">18.1 结构防凝露推荐措施</w:t>
      </w:r>
      <w:r>
        <w:rPr>
          <w:szCs w:val="21"/>
        </w:rPr>
      </w:r>
      <w:r/>
    </w:p>
    <w:p>
      <w:pPr>
        <w:pStyle w:val="1151"/>
        <w:ind w:firstLine="420"/>
        <w:spacing w:line="312" w:lineRule="exact"/>
        <w:rPr>
          <w:szCs w:val="21"/>
        </w:rPr>
      </w:pPr>
      <w:r>
        <w:rPr>
          <w:szCs w:val="21"/>
        </w:rPr>
        <w:t xml:space="preserve">环网箱可进行顶盖夹层通道差异化设计、泄压孔防水膜设计、电缆孔封堵设计，提高防凝露能力。</w:t>
      </w:r>
      <w:r>
        <w:rPr>
          <w:szCs w:val="21"/>
        </w:rPr>
      </w:r>
      <w:r/>
    </w:p>
    <w:p>
      <w:pPr>
        <w:pStyle w:val="1151"/>
        <w:ind w:firstLine="420"/>
        <w:spacing w:line="312" w:lineRule="exact"/>
        <w:rPr>
          <w:szCs w:val="21"/>
        </w:rPr>
      </w:pPr>
      <w:r>
        <w:rPr>
          <w:rFonts w:hint="eastAsia"/>
          <w:szCs w:val="21"/>
        </w:rPr>
        <w:t xml:space="preserve">（1）环网箱底部夹层设计</w:t>
      </w:r>
      <w:r>
        <w:rPr>
          <w:szCs w:val="21"/>
        </w:rPr>
      </w:r>
      <w:r/>
    </w:p>
    <w:p>
      <w:pPr>
        <w:pStyle w:val="1151"/>
        <w:ind w:firstLine="420"/>
        <w:spacing w:line="312" w:lineRule="exact"/>
        <w:rPr>
          <w:szCs w:val="21"/>
        </w:rPr>
      </w:pPr>
      <w:r>
        <w:rPr>
          <w:rFonts w:hint="eastAsia"/>
          <w:szCs w:val="21"/>
        </w:rPr>
        <w:t xml:space="preserve">电缆室的防潮可采用环网箱底部增加带通风孔的夹层，将电缆沟道内的湿气通过夹层排出，环网柜底板与夹层之间进行封堵，避免沟道内湿气进入设备以内，同时应考虑内设引弧通道等，将内部故障电弧直接引入电缆通道避免伤及人员。</w:t>
      </w:r>
      <w:r>
        <w:rPr>
          <w:szCs w:val="21"/>
        </w:rPr>
      </w:r>
      <w:r/>
    </w:p>
    <w:p>
      <w:pPr>
        <w:pStyle w:val="1151"/>
        <w:ind w:firstLine="420"/>
        <w:spacing w:line="312" w:lineRule="exact"/>
        <w:rPr>
          <w:szCs w:val="21"/>
        </w:rPr>
      </w:pPr>
      <w:r>
        <w:rPr>
          <w:rFonts w:hint="eastAsia"/>
          <w:szCs w:val="21"/>
        </w:rPr>
        <w:t xml:space="preserve">（2）环网箱顶盖夹层通道差异化设计</w:t>
      </w:r>
      <w:r>
        <w:rPr>
          <w:szCs w:val="21"/>
        </w:rPr>
      </w:r>
      <w:r/>
    </w:p>
    <w:p>
      <w:pPr>
        <w:pStyle w:val="1151"/>
        <w:ind w:firstLine="420"/>
        <w:spacing w:line="312" w:lineRule="exact"/>
        <w:rPr>
          <w:szCs w:val="21"/>
        </w:rPr>
      </w:pPr>
      <w:r>
        <w:rPr>
          <w:rFonts w:hint="eastAsia"/>
          <w:szCs w:val="21"/>
        </w:rPr>
        <w:t xml:space="preserve">顶盖内设置防凝露板，同时做斜坡导水设计，防止顶板凝露，水珠滴入设备。</w:t>
      </w:r>
      <w:r>
        <w:rPr>
          <w:szCs w:val="21"/>
        </w:rPr>
      </w:r>
      <w:r/>
    </w:p>
    <w:p>
      <w:pPr>
        <w:pStyle w:val="1151"/>
        <w:ind w:firstLine="420"/>
        <w:spacing w:line="312" w:lineRule="exact"/>
        <w:rPr>
          <w:szCs w:val="21"/>
        </w:rPr>
      </w:pPr>
      <w:r>
        <w:rPr>
          <w:szCs w:val="21"/>
        </w:rPr>
        <w:t xml:space="preserve">（3）环网箱泄压孔防水膜设计</w:t>
      </w:r>
      <w:r>
        <w:rPr>
          <w:szCs w:val="21"/>
        </w:rPr>
      </w:r>
      <w:r/>
    </w:p>
    <w:p>
      <w:pPr>
        <w:pStyle w:val="1151"/>
        <w:ind w:firstLine="420"/>
        <w:spacing w:line="312" w:lineRule="exact"/>
        <w:rPr>
          <w:szCs w:val="21"/>
        </w:rPr>
      </w:pPr>
      <w:r>
        <w:rPr>
          <w:szCs w:val="21"/>
        </w:rPr>
        <w:t xml:space="preserve">在环网箱底板泄压孔设置防水措施，避免电缆井内潮气通过泄压孔进入环网开关设备内部，起到了底板防凝露的作用。</w:t>
      </w:r>
      <w:r>
        <w:rPr>
          <w:szCs w:val="21"/>
        </w:rPr>
      </w:r>
      <w:r/>
    </w:p>
    <w:p>
      <w:pPr>
        <w:pStyle w:val="1151"/>
        <w:ind w:firstLine="420"/>
        <w:spacing w:line="312" w:lineRule="exact"/>
        <w:rPr>
          <w:szCs w:val="21"/>
        </w:rPr>
      </w:pPr>
      <w:r>
        <w:rPr>
          <w:szCs w:val="21"/>
        </w:rPr>
        <w:t xml:space="preserve">（4）环网柜仪表箱顶盖倾斜角度设计</w:t>
      </w:r>
      <w:r>
        <w:rPr>
          <w:szCs w:val="21"/>
        </w:rPr>
      </w:r>
      <w:r/>
    </w:p>
    <w:p>
      <w:pPr>
        <w:pStyle w:val="1151"/>
        <w:ind w:firstLine="420"/>
        <w:spacing w:line="312" w:lineRule="exact"/>
        <w:rPr>
          <w:szCs w:val="21"/>
        </w:rPr>
      </w:pPr>
      <w:r>
        <w:rPr>
          <w:szCs w:val="21"/>
        </w:rPr>
        <w:t xml:space="preserve">将环网柜仪表箱顶板做成斜坡，并加装导水槽，可在凝露形成后将水分引流至箱外，避免二次原件受潮。</w:t>
      </w:r>
      <w:r>
        <w:rPr>
          <w:szCs w:val="21"/>
        </w:rPr>
      </w:r>
      <w:r/>
    </w:p>
    <w:p>
      <w:pPr>
        <w:pStyle w:val="1151"/>
        <w:spacing w:line="312" w:lineRule="exact"/>
        <w:rPr>
          <w:szCs w:val="21"/>
        </w:rPr>
      </w:pPr>
      <w:r>
        <w:rPr>
          <w:szCs w:val="21"/>
        </w:rPr>
        <w:t xml:space="preserve">5.2.</w:t>
      </w:r>
      <w:r>
        <w:rPr>
          <w:rFonts w:hint="eastAsia"/>
          <w:szCs w:val="21"/>
        </w:rPr>
        <w:t xml:space="preserve">1.</w:t>
      </w:r>
      <w:r>
        <w:rPr>
          <w:szCs w:val="21"/>
        </w:rPr>
        <w:t xml:space="preserve">18.2 电气防凝露推荐措施</w:t>
      </w:r>
      <w:r>
        <w:rPr>
          <w:szCs w:val="21"/>
        </w:rPr>
      </w:r>
      <w:r/>
    </w:p>
    <w:p>
      <w:pPr>
        <w:pStyle w:val="1151"/>
        <w:ind w:firstLine="420"/>
        <w:spacing w:line="312" w:lineRule="exact"/>
        <w:rPr>
          <w:szCs w:val="21"/>
        </w:rPr>
      </w:pPr>
      <w:r>
        <w:rPr>
          <w:rFonts w:hint="eastAsia"/>
          <w:szCs w:val="21"/>
        </w:rPr>
        <w:t xml:space="preserve">户外环网箱中环网柜的机构箱、仪表箱整体以及PT二次模块、电压切换模块、间隔二次模块、间隔操作模块应进行密封处理，并配合采用无源型除湿措施，减少后期运维工作量。</w:t>
      </w:r>
      <w:r>
        <w:rPr>
          <w:szCs w:val="21"/>
        </w:rPr>
      </w:r>
      <w:r/>
    </w:p>
    <w:p>
      <w:pPr>
        <w:pStyle w:val="1151"/>
        <w:ind w:firstLine="420"/>
        <w:spacing w:line="312" w:lineRule="exact"/>
        <w:rPr>
          <w:szCs w:val="21"/>
        </w:rPr>
      </w:pPr>
      <w:r>
        <w:rPr>
          <w:szCs w:val="21"/>
        </w:rPr>
        <w:t xml:space="preserve">门板操作元件（指示灯、分合闸按钮、转换开关）密封</w:t>
      </w:r>
      <w:r>
        <w:rPr>
          <w:rFonts w:hint="eastAsia"/>
          <w:szCs w:val="21"/>
        </w:rPr>
        <w:t xml:space="preserve">，</w:t>
      </w:r>
      <w:r>
        <w:rPr>
          <w:szCs w:val="21"/>
        </w:rPr>
        <w:t xml:space="preserve">将原二次小室门板操作元件(指示灯、分合闸按钮、转换开关)采用密封技术制作成密封模块或端子密封胶封堵工艺</w:t>
      </w:r>
      <w:r>
        <w:rPr>
          <w:rFonts w:hint="eastAsia"/>
          <w:szCs w:val="21"/>
        </w:rPr>
        <w:t xml:space="preserve">。</w:t>
      </w:r>
      <w:r>
        <w:rPr>
          <w:szCs w:val="21"/>
        </w:rPr>
      </w:r>
      <w:r/>
    </w:p>
    <w:p>
      <w:pPr>
        <w:pStyle w:val="1151"/>
        <w:ind w:firstLine="420"/>
        <w:spacing w:line="312" w:lineRule="exact"/>
        <w:rPr>
          <w:szCs w:val="21"/>
        </w:rPr>
      </w:pPr>
      <w:r>
        <w:rPr>
          <w:szCs w:val="21"/>
        </w:rPr>
        <w:t xml:space="preserve">操作机构各部件应采用锌镍合金等工艺进行处理，须满足防潮、防锈、防腐蚀性能</w:t>
      </w:r>
      <w:r>
        <w:rPr>
          <w:rFonts w:hint="eastAsia"/>
          <w:szCs w:val="21"/>
        </w:rPr>
        <w:t xml:space="preserve">，</w:t>
      </w:r>
      <w:r>
        <w:rPr>
          <w:szCs w:val="21"/>
        </w:rPr>
        <w:t xml:space="preserve">同时，柜体中的操作机构应有防凝露措施。</w:t>
      </w:r>
      <w:r>
        <w:rPr>
          <w:szCs w:val="21"/>
        </w:rPr>
      </w:r>
      <w:r/>
    </w:p>
    <w:p>
      <w:pPr>
        <w:pStyle w:val="1151"/>
        <w:spacing w:line="312" w:lineRule="exact"/>
        <w:rPr>
          <w:szCs w:val="21"/>
        </w:rPr>
      </w:pPr>
      <w:r>
        <w:rPr>
          <w:szCs w:val="21"/>
        </w:rPr>
        <w:t xml:space="preserve">5.2.</w:t>
      </w:r>
      <w:r>
        <w:rPr>
          <w:rFonts w:hint="eastAsia"/>
          <w:szCs w:val="21"/>
        </w:rPr>
        <w:t xml:space="preserve">1.</w:t>
      </w:r>
      <w:r>
        <w:rPr>
          <w:szCs w:val="21"/>
        </w:rPr>
        <w:t xml:space="preserve">18.</w:t>
      </w:r>
      <w:r>
        <w:rPr>
          <w:rFonts w:hint="eastAsia"/>
          <w:szCs w:val="21"/>
        </w:rPr>
        <w:t xml:space="preserve">3</w:t>
      </w:r>
      <w:r>
        <w:rPr>
          <w:szCs w:val="21"/>
        </w:rPr>
        <w:t xml:space="preserve">环网箱外露标准部件材质</w:t>
      </w:r>
      <w:r>
        <w:rPr>
          <w:szCs w:val="21"/>
        </w:rPr>
      </w:r>
      <w:r/>
    </w:p>
    <w:p>
      <w:pPr>
        <w:pStyle w:val="1151"/>
        <w:ind w:firstLine="420"/>
        <w:spacing w:line="312" w:lineRule="exact"/>
        <w:rPr>
          <w:szCs w:val="21"/>
        </w:rPr>
      </w:pPr>
      <w:r>
        <w:rPr>
          <w:szCs w:val="21"/>
        </w:rPr>
        <w:t xml:space="preserve">外露标准部件（如门把手、铰链等）材质采用不锈钢或防锈合金材料。</w:t>
      </w:r>
      <w:r>
        <w:rPr>
          <w:szCs w:val="21"/>
        </w:rPr>
      </w:r>
      <w:r/>
    </w:p>
    <w:p>
      <w:pPr>
        <w:pStyle w:val="1151"/>
        <w:spacing w:line="312" w:lineRule="exact"/>
        <w:rPr>
          <w:szCs w:val="21"/>
        </w:rPr>
      </w:pPr>
      <w:r/>
      <w:bookmarkStart w:id="89" w:name="_Toc11314237"/>
      <w:r>
        <w:rPr>
          <w:szCs w:val="21"/>
        </w:rPr>
        <w:t xml:space="preserve">5.2.</w:t>
      </w:r>
      <w:r>
        <w:rPr>
          <w:rFonts w:hint="eastAsia"/>
          <w:szCs w:val="21"/>
        </w:rPr>
        <w:t xml:space="preserve">1.</w:t>
      </w:r>
      <w:r>
        <w:rPr>
          <w:szCs w:val="21"/>
        </w:rPr>
        <w:t xml:space="preserve">18.4环网箱外壳防腐措施</w:t>
      </w:r>
      <w:bookmarkEnd w:id="89"/>
      <w:r>
        <w:rPr>
          <w:szCs w:val="21"/>
        </w:rPr>
      </w:r>
      <w:r/>
    </w:p>
    <w:p>
      <w:pPr>
        <w:pStyle w:val="1151"/>
        <w:ind w:firstLine="420"/>
        <w:spacing w:line="312" w:lineRule="exact"/>
        <w:rPr>
          <w:szCs w:val="21"/>
        </w:rPr>
      </w:pPr>
      <w:r>
        <w:rPr>
          <w:szCs w:val="21"/>
        </w:rPr>
        <w:t xml:space="preserve">环网箱的底板要进行防腐蚀处理。金属外壳采用脱脂+喷塑或喷漆工艺，满足附着力要求。</w:t>
      </w:r>
      <w:r>
        <w:rPr>
          <w:szCs w:val="21"/>
        </w:rPr>
      </w:r>
      <w:r/>
    </w:p>
    <w:p>
      <w:pPr>
        <w:pStyle w:val="1151"/>
        <w:spacing w:line="312" w:lineRule="exact"/>
        <w:rPr>
          <w:szCs w:val="21"/>
        </w:rPr>
      </w:pPr>
      <w:r/>
      <w:bookmarkStart w:id="90" w:name="_Toc11314238"/>
      <w:r>
        <w:rPr>
          <w:szCs w:val="21"/>
        </w:rPr>
        <w:t xml:space="preserve">5.2.</w:t>
      </w:r>
      <w:r>
        <w:rPr>
          <w:rFonts w:hint="eastAsia"/>
          <w:szCs w:val="21"/>
        </w:rPr>
        <w:t xml:space="preserve">1.</w:t>
      </w:r>
      <w:r>
        <w:rPr>
          <w:szCs w:val="21"/>
        </w:rPr>
        <w:t xml:space="preserve">18.5环网箱外壳防尘措施</w:t>
      </w:r>
      <w:bookmarkEnd w:id="90"/>
      <w:r>
        <w:rPr>
          <w:szCs w:val="21"/>
        </w:rPr>
      </w:r>
      <w:r/>
    </w:p>
    <w:p>
      <w:pPr>
        <w:pStyle w:val="1151"/>
        <w:ind w:firstLine="420"/>
        <w:spacing w:line="312" w:lineRule="exact"/>
        <w:rPr>
          <w:szCs w:val="21"/>
        </w:rPr>
      </w:pPr>
      <w:r>
        <w:rPr>
          <w:szCs w:val="21"/>
        </w:rPr>
        <w:t xml:space="preserve">外壳可采用迷宫防尘结构，缝隙处加装密封条等防尘措施。</w:t>
      </w:r>
      <w:r>
        <w:rPr>
          <w:szCs w:val="21"/>
        </w:rPr>
      </w:r>
      <w:r/>
    </w:p>
    <w:p>
      <w:pPr>
        <w:pStyle w:val="1240"/>
        <w:rPr>
          <w:color w:val="000000"/>
        </w:rPr>
        <w:outlineLvl w:val="2"/>
      </w:pPr>
      <w:r>
        <w:rPr>
          <w:color w:val="000000"/>
        </w:rPr>
        <w:t xml:space="preserve">5.</w:t>
      </w:r>
      <w:r>
        <w:rPr>
          <w:rFonts w:hint="eastAsia"/>
          <w:color w:val="000000"/>
        </w:rPr>
        <w:t xml:space="preserve">2.2设备选型</w:t>
      </w:r>
      <w:r>
        <w:rPr>
          <w:color w:val="000000"/>
        </w:rPr>
      </w:r>
      <w:r/>
    </w:p>
    <w:p>
      <w:pPr>
        <w:pStyle w:val="1151"/>
        <w:ind w:firstLine="420"/>
        <w:spacing w:line="312" w:lineRule="exact"/>
        <w:rPr>
          <w:rFonts w:eastAsia="黑体"/>
          <w:szCs w:val="21"/>
        </w:rPr>
      </w:pPr>
      <w:r>
        <w:rPr>
          <w:szCs w:val="21"/>
        </w:rPr>
        <w:t xml:space="preserve">户外环网箱内可选用共箱型或单元柜</w:t>
      </w:r>
      <w:r>
        <w:rPr>
          <w:rFonts w:hint="eastAsia"/>
          <w:szCs w:val="21"/>
        </w:rPr>
        <w:t xml:space="preserve">环网柜</w:t>
      </w:r>
      <w:r>
        <w:rPr>
          <w:szCs w:val="21"/>
        </w:rPr>
        <w:t xml:space="preserve">方案。</w:t>
      </w:r>
      <w:bookmarkStart w:id="91" w:name="_Toc531852583"/>
      <w:r>
        <w:rPr>
          <w:rFonts w:eastAsia="黑体"/>
          <w:szCs w:val="21"/>
        </w:rPr>
      </w:r>
      <w:r/>
    </w:p>
    <w:p>
      <w:pPr>
        <w:pStyle w:val="1240"/>
        <w:rPr>
          <w:color w:val="000000"/>
        </w:rPr>
        <w:outlineLvl w:val="2"/>
      </w:pPr>
      <w:r/>
      <w:bookmarkEnd w:id="91"/>
      <w:r>
        <w:rPr>
          <w:color w:val="000000"/>
        </w:rPr>
        <w:t xml:space="preserve">5.</w:t>
      </w:r>
      <w:r>
        <w:rPr>
          <w:rFonts w:hint="eastAsia"/>
          <w:color w:val="000000"/>
        </w:rPr>
        <w:t xml:space="preserve">2.3对</w:t>
      </w:r>
      <w:r>
        <w:rPr>
          <w:color w:val="000000"/>
        </w:rPr>
        <w:t xml:space="preserve">SF</w:t>
      </w:r>
      <w:r>
        <w:rPr>
          <w:color w:val="000000"/>
          <w:vertAlign w:val="subscript"/>
        </w:rPr>
        <w:t xml:space="preserve">6</w:t>
      </w:r>
      <w:r>
        <w:rPr>
          <w:rFonts w:hint="eastAsia"/>
          <w:color w:val="000000"/>
        </w:rPr>
        <w:t xml:space="preserve">气体绝缘环网柜的标准化要求</w:t>
      </w:r>
      <w:r>
        <w:rPr>
          <w:color w:val="000000"/>
        </w:rPr>
      </w:r>
      <w:r/>
    </w:p>
    <w:p>
      <w:pPr>
        <w:pStyle w:val="1240"/>
        <w:spacing w:line="306" w:lineRule="exact"/>
        <w:rPr>
          <w:rFonts w:ascii="Times New Roman" w:eastAsia="宋体"/>
          <w:color w:val="000000"/>
          <w:szCs w:val="24"/>
        </w:rPr>
      </w:pPr>
      <w:r>
        <w:rPr>
          <w:rFonts w:ascii="Times New Roman" w:eastAsia="宋体"/>
          <w:color w:val="000000"/>
          <w:szCs w:val="24"/>
        </w:rPr>
        <w:t xml:space="preserve">5.</w:t>
      </w:r>
      <w:r>
        <w:rPr>
          <w:rFonts w:hint="eastAsia" w:ascii="Times New Roman" w:eastAsia="宋体"/>
          <w:color w:val="000000"/>
          <w:szCs w:val="24"/>
        </w:rPr>
        <w:t xml:space="preserve">2.3</w:t>
      </w:r>
      <w:r>
        <w:rPr>
          <w:rFonts w:ascii="Times New Roman" w:eastAsia="宋体"/>
          <w:color w:val="000000"/>
          <w:szCs w:val="24"/>
        </w:rPr>
        <w:t xml:space="preserve">.1 </w:t>
      </w:r>
      <w:r>
        <w:rPr>
          <w:rFonts w:ascii="Times New Roman"/>
          <w:color w:val="000000"/>
        </w:rPr>
        <w:t xml:space="preserve">SF</w:t>
      </w:r>
      <w:r>
        <w:rPr>
          <w:rFonts w:ascii="Times New Roman"/>
          <w:color w:val="000000"/>
          <w:vertAlign w:val="subscript"/>
        </w:rPr>
        <w:t xml:space="preserve">6</w:t>
      </w:r>
      <w:r>
        <w:rPr>
          <w:rFonts w:ascii="Times New Roman" w:eastAsia="宋体"/>
          <w:color w:val="000000"/>
          <w:szCs w:val="24"/>
        </w:rPr>
        <w:t xml:space="preserve">气体绝缘环网柜技术参数应符合DL/T 728、DL/T791的规定。</w:t>
      </w:r>
      <w:r>
        <w:rPr>
          <w:rFonts w:ascii="Times New Roman" w:eastAsia="宋体"/>
          <w:color w:val="000000"/>
          <w:szCs w:val="24"/>
        </w:rPr>
      </w:r>
      <w:r/>
    </w:p>
    <w:p>
      <w:pPr>
        <w:pStyle w:val="1151"/>
        <w:spacing w:line="306" w:lineRule="exact"/>
      </w:pPr>
      <w:r>
        <w:t xml:space="preserve">5.</w:t>
      </w:r>
      <w:r>
        <w:rPr>
          <w:rFonts w:hint="eastAsia"/>
        </w:rPr>
        <w:t xml:space="preserve">2.3</w:t>
      </w:r>
      <w:r>
        <w:t xml:space="preserve">.2 制造厂应明确规定SF</w:t>
      </w:r>
      <w:r>
        <w:rPr>
          <w:vertAlign w:val="subscript"/>
        </w:rPr>
        <w:t xml:space="preserve">6</w:t>
      </w:r>
      <w:r>
        <w:t xml:space="preserve">气体绝缘环网柜中使用的SF</w:t>
      </w:r>
      <w:r>
        <w:rPr>
          <w:vertAlign w:val="subscript"/>
        </w:rPr>
        <w:t xml:space="preserve">6</w:t>
      </w:r>
      <w:r>
        <w:t xml:space="preserve">气体的参数，并为用户提供更新气体和保持要求的气体质量的必要说明。SF</w:t>
      </w:r>
      <w:r>
        <w:rPr>
          <w:vertAlign w:val="subscript"/>
        </w:rPr>
        <w:t xml:space="preserve">6</w:t>
      </w:r>
      <w:r>
        <w:t xml:space="preserve">气体应符合GB/T 12022的规定。在气体交货之前，应向招标人提交新气试验的合格证书，所用气体应经招标人复检合格后方可使用。</w:t>
      </w:r>
      <w:r/>
    </w:p>
    <w:p>
      <w:pPr>
        <w:pStyle w:val="1151"/>
        <w:ind w:left="840" w:hanging="840"/>
        <w:spacing w:line="306" w:lineRule="exact"/>
      </w:pPr>
      <w:r>
        <w:t xml:space="preserve">5.</w:t>
      </w:r>
      <w:r>
        <w:rPr>
          <w:rFonts w:hint="eastAsia"/>
        </w:rPr>
        <w:t xml:space="preserve">2.3</w:t>
      </w:r>
      <w:r>
        <w:t xml:space="preserve">.3 充气隔室应能承受运行中的正常压力和瞬态压力。</w:t>
      </w:r>
      <w:r/>
    </w:p>
    <w:p>
      <w:pPr>
        <w:pStyle w:val="1151"/>
        <w:ind w:left="840" w:hanging="840"/>
        <w:spacing w:line="306" w:lineRule="exact"/>
      </w:pPr>
      <w:r>
        <w:rPr>
          <w:szCs w:val="20"/>
        </w:rPr>
        <w:t xml:space="preserve">5.</w:t>
      </w:r>
      <w:r>
        <w:rPr>
          <w:rFonts w:hint="eastAsia"/>
        </w:rPr>
        <w:t xml:space="preserve">2.3</w:t>
      </w:r>
      <w:r>
        <w:rPr>
          <w:szCs w:val="20"/>
        </w:rPr>
        <w:t xml:space="preserve">.4 制造厂应明确</w:t>
      </w:r>
      <w:r>
        <w:t xml:space="preserve">SF</w:t>
      </w:r>
      <w:r>
        <w:rPr>
          <w:vertAlign w:val="subscript"/>
        </w:rPr>
        <w:t xml:space="preserve">6</w:t>
      </w:r>
      <w:r>
        <w:t xml:space="preserve">气体绝缘环网柜</w:t>
      </w:r>
      <w:r>
        <w:rPr>
          <w:szCs w:val="20"/>
        </w:rPr>
        <w:t xml:space="preserve">的额定充入水平（充气压力）和允许泄漏率。</w:t>
      </w:r>
      <w:r/>
    </w:p>
    <w:p>
      <w:pPr>
        <w:pStyle w:val="1151"/>
        <w:spacing w:line="306" w:lineRule="exact"/>
      </w:pPr>
      <w:r>
        <w:t xml:space="preserve">5.</w:t>
      </w:r>
      <w:r>
        <w:rPr>
          <w:rFonts w:hint="eastAsia"/>
        </w:rPr>
        <w:t xml:space="preserve">2.3</w:t>
      </w:r>
      <w:r>
        <w:t xml:space="preserve">.5 SF</w:t>
      </w:r>
      <w:r>
        <w:rPr>
          <w:vertAlign w:val="subscript"/>
        </w:rPr>
        <w:t xml:space="preserve">6</w:t>
      </w:r>
      <w:r>
        <w:t xml:space="preserve">气体绝缘环网柜可设置用来连接气体处理装置和其他设备的合适连接点（阀门）。</w:t>
      </w:r>
      <w:r/>
    </w:p>
    <w:p>
      <w:pPr>
        <w:pStyle w:val="1151"/>
        <w:ind w:left="840" w:hanging="840"/>
        <w:spacing w:line="306" w:lineRule="exact"/>
      </w:pPr>
      <w:r>
        <w:t xml:space="preserve">5.</w:t>
      </w:r>
      <w:r>
        <w:rPr>
          <w:rFonts w:hint="eastAsia"/>
        </w:rPr>
        <w:t xml:space="preserve">2.3</w:t>
      </w:r>
      <w:r>
        <w:t xml:space="preserve">.6 SF</w:t>
      </w:r>
      <w:r>
        <w:rPr>
          <w:vertAlign w:val="subscript"/>
        </w:rPr>
        <w:t xml:space="preserve">6</w:t>
      </w:r>
      <w:r>
        <w:t xml:space="preserve">气体绝缘环网柜可装设气体监测设备。</w:t>
      </w:r>
      <w:r/>
    </w:p>
    <w:p>
      <w:pPr>
        <w:pStyle w:val="1151"/>
        <w:ind w:left="840" w:hanging="840"/>
        <w:spacing w:line="306" w:lineRule="exact"/>
      </w:pPr>
      <w:r>
        <w:t xml:space="preserve">5.</w:t>
      </w:r>
      <w:r>
        <w:rPr>
          <w:rFonts w:hint="eastAsia"/>
        </w:rPr>
        <w:t xml:space="preserve">2.3</w:t>
      </w:r>
      <w:r>
        <w:t xml:space="preserve">.7 吸附剂：投标人在投标阶段提交一份解释文件，包括吸附剂的位置、种类和质量。</w:t>
      </w:r>
      <w:r/>
    </w:p>
    <w:p>
      <w:pPr>
        <w:pStyle w:val="1151"/>
        <w:ind w:left="840" w:hanging="840"/>
        <w:spacing w:line="306" w:lineRule="exact"/>
      </w:pPr>
      <w:r>
        <w:t xml:space="preserve">5.</w:t>
      </w:r>
      <w:r>
        <w:rPr>
          <w:rFonts w:hint="eastAsia"/>
        </w:rPr>
        <w:t xml:space="preserve">2.3</w:t>
      </w:r>
      <w:r>
        <w:t xml:space="preserve">.8 SF</w:t>
      </w:r>
      <w:r>
        <w:rPr>
          <w:vertAlign w:val="subscript"/>
        </w:rPr>
        <w:t xml:space="preserve">6</w:t>
      </w:r>
      <w:r>
        <w:t xml:space="preserve">气体气箱防护等级应达到IP67，并应提供相应试验报告。</w:t>
      </w:r>
      <w:r/>
    </w:p>
    <w:p>
      <w:pPr>
        <w:pStyle w:val="1240"/>
        <w:spacing w:line="306" w:lineRule="exact"/>
        <w:rPr>
          <w:szCs w:val="24"/>
        </w:rPr>
      </w:pPr>
      <w:r>
        <w:t xml:space="preserve">5.</w:t>
      </w:r>
      <w:r>
        <w:rPr>
          <w:rFonts w:hint="eastAsia"/>
        </w:rPr>
        <w:t xml:space="preserve">2.3</w:t>
      </w:r>
      <w:r>
        <w:t xml:space="preserve">.9 额定充气压力下非灭弧隔室测得水分含量(20</w:t>
      </w:r>
      <w:r>
        <w:rPr>
          <w:szCs w:val="20"/>
        </w:rPr>
        <w:t xml:space="preserve">℃</w:t>
      </w:r>
      <w:r>
        <w:t xml:space="preserve">时)不得大于1000μL/L；灭弧隔室测得水分含量(20℃时)不得大于150μL/L。</w:t>
      </w:r>
      <w:bookmarkStart w:id="92" w:name="_Toc531852593"/>
      <w:r>
        <w:rPr>
          <w:rFonts w:ascii="Times New Roman" w:eastAsia="宋体"/>
          <w:color w:val="000000"/>
          <w:szCs w:val="24"/>
        </w:rPr>
        <w:t xml:space="preserve">5.</w:t>
      </w:r>
      <w:r>
        <w:rPr>
          <w:rFonts w:hint="eastAsia" w:ascii="Times New Roman" w:eastAsia="宋体"/>
          <w:color w:val="000000"/>
          <w:szCs w:val="24"/>
        </w:rPr>
        <w:t xml:space="preserve">2.3</w:t>
      </w:r>
      <w:r>
        <w:rPr>
          <w:rFonts w:ascii="Times New Roman" w:eastAsia="宋体"/>
          <w:color w:val="000000"/>
          <w:szCs w:val="24"/>
        </w:rPr>
        <w:t xml:space="preserve">.10</w:t>
      </w:r>
      <w:r>
        <w:rPr>
          <w:rFonts w:hint="eastAsia" w:ascii="Times New Roman" w:eastAsia="宋体"/>
          <w:bCs/>
          <w:color w:val="000000"/>
          <w:szCs w:val="24"/>
        </w:rPr>
        <w:t xml:space="preserve">柜宽</w:t>
      </w:r>
      <w:bookmarkEnd w:id="92"/>
      <w:r>
        <w:rPr>
          <w:szCs w:val="24"/>
        </w:rPr>
      </w:r>
      <w:r/>
    </w:p>
    <w:p>
      <w:pPr>
        <w:pStyle w:val="1151"/>
        <w:ind w:firstLine="420"/>
        <w:spacing w:line="312" w:lineRule="exact"/>
        <w:rPr>
          <w:szCs w:val="21"/>
        </w:rPr>
      </w:pPr>
      <w:r>
        <w:rPr>
          <w:szCs w:val="21"/>
        </w:rPr>
        <w:t xml:space="preserve">电缆连接单元柜宽为375mm。</w:t>
      </w:r>
      <w:r>
        <w:rPr>
          <w:szCs w:val="21"/>
        </w:rPr>
      </w:r>
      <w:r/>
    </w:p>
    <w:p>
      <w:pPr>
        <w:pStyle w:val="1151"/>
        <w:ind w:firstLine="420"/>
        <w:spacing w:line="312" w:lineRule="exact"/>
        <w:rPr>
          <w:szCs w:val="21"/>
        </w:rPr>
      </w:pPr>
      <w:r>
        <w:rPr>
          <w:szCs w:val="21"/>
        </w:rPr>
        <w:t xml:space="preserve">断路器、组合电器单元柜宽为420mm。</w:t>
      </w:r>
      <w:r>
        <w:rPr>
          <w:szCs w:val="21"/>
        </w:rPr>
      </w:r>
      <w:r/>
    </w:p>
    <w:p>
      <w:pPr>
        <w:pStyle w:val="1151"/>
        <w:ind w:firstLine="420"/>
        <w:spacing w:line="312" w:lineRule="exact"/>
        <w:rPr>
          <w:szCs w:val="21"/>
        </w:rPr>
      </w:pPr>
      <w:r>
        <w:rPr>
          <w:szCs w:val="21"/>
        </w:rPr>
        <w:t xml:space="preserve">带隔离开关PT单元柜宽（底框架）为600mm。</w:t>
      </w:r>
      <w:r>
        <w:rPr>
          <w:szCs w:val="21"/>
        </w:rPr>
      </w:r>
      <w:r/>
    </w:p>
    <w:p>
      <w:pPr>
        <w:pStyle w:val="1151"/>
        <w:ind w:firstLine="420"/>
        <w:spacing w:line="312" w:lineRule="exact"/>
        <w:rPr>
          <w:szCs w:val="21"/>
        </w:rPr>
      </w:pPr>
      <w:r>
        <w:rPr>
          <w:szCs w:val="21"/>
        </w:rPr>
        <w:t xml:space="preserve">共箱柜宽度不作要求。</w:t>
      </w:r>
      <w:r>
        <w:rPr>
          <w:szCs w:val="21"/>
        </w:rPr>
      </w:r>
      <w:r/>
    </w:p>
    <w:p>
      <w:pPr>
        <w:pStyle w:val="1240"/>
        <w:spacing w:line="306" w:lineRule="exact"/>
        <w:rPr>
          <w:szCs w:val="24"/>
        </w:rPr>
      </w:pPr>
      <w:r/>
      <w:bookmarkStart w:id="93" w:name="_Toc531852594"/>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.11 </w:t>
      </w:r>
      <w:r>
        <w:rPr>
          <w:rFonts w:hint="eastAsia" w:ascii="Times New Roman" w:eastAsia="宋体"/>
          <w:bCs/>
          <w:color w:val="000000"/>
          <w:szCs w:val="24"/>
        </w:rPr>
        <w:t xml:space="preserve">柜深</w:t>
      </w:r>
      <w:bookmarkEnd w:id="93"/>
      <w:r>
        <w:rPr>
          <w:szCs w:val="24"/>
        </w:rPr>
      </w:r>
      <w:r/>
    </w:p>
    <w:p>
      <w:pPr>
        <w:pStyle w:val="1151"/>
        <w:ind w:firstLine="420"/>
        <w:spacing w:line="312" w:lineRule="exact"/>
        <w:rPr>
          <w:szCs w:val="21"/>
        </w:rPr>
      </w:pPr>
      <w:r>
        <w:rPr>
          <w:szCs w:val="21"/>
        </w:rPr>
        <w:t xml:space="preserve">定义底框架深度。</w:t>
      </w:r>
      <w:r>
        <w:rPr>
          <w:szCs w:val="21"/>
        </w:rPr>
      </w:r>
      <w:r/>
    </w:p>
    <w:p>
      <w:pPr>
        <w:pStyle w:val="1151"/>
        <w:ind w:firstLine="420"/>
        <w:spacing w:line="312" w:lineRule="exact"/>
        <w:rPr>
          <w:szCs w:val="21"/>
        </w:rPr>
      </w:pPr>
      <w:r>
        <w:rPr>
          <w:szCs w:val="21"/>
        </w:rPr>
        <w:t xml:space="preserve">柜深为750mm。最大外形（投影距离）≤850mm。</w:t>
      </w:r>
      <w:r>
        <w:rPr>
          <w:szCs w:val="21"/>
        </w:rPr>
      </w:r>
      <w:r/>
    </w:p>
    <w:p>
      <w:pPr>
        <w:pStyle w:val="1240"/>
        <w:spacing w:line="306" w:lineRule="exact"/>
        <w:rPr>
          <w:bCs/>
        </w:rPr>
      </w:pPr>
      <w:r/>
      <w:bookmarkStart w:id="94" w:name="_Toc531852595"/>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.12 </w:t>
      </w:r>
      <w:r>
        <w:rPr>
          <w:rFonts w:hint="eastAsia" w:ascii="Times New Roman" w:eastAsia="宋体"/>
          <w:bCs/>
          <w:color w:val="000000"/>
          <w:szCs w:val="24"/>
        </w:rPr>
        <w:t xml:space="preserve">柜高</w:t>
      </w:r>
      <w:bookmarkEnd w:id="94"/>
      <w:r>
        <w:rPr>
          <w:bCs/>
        </w:rPr>
      </w:r>
      <w:r/>
    </w:p>
    <w:p>
      <w:pPr>
        <w:pStyle w:val="1151"/>
        <w:ind w:firstLine="420"/>
        <w:spacing w:line="312" w:lineRule="exact"/>
        <w:rPr>
          <w:szCs w:val="21"/>
        </w:rPr>
      </w:pPr>
      <w:r>
        <w:rPr>
          <w:szCs w:val="21"/>
        </w:rPr>
        <w:t xml:space="preserve">柜体高度（含仪表箱、含顶扩母线）为1950mm。柜前看，柜体高度（不含仪表箱）为1600mm，仪表箱高为350mm。如图</w:t>
      </w:r>
      <w:r>
        <w:rPr>
          <w:rFonts w:hint="eastAsia"/>
          <w:szCs w:val="21"/>
        </w:rPr>
        <w:t xml:space="preserve">2</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4219588" cy="315268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rcRect l="14639" t="0" r="14441" b="0"/>
                        <a:stretch/>
                      </pic:blipFill>
                      <pic:spPr bwMode="auto">
                        <a:xfrm>
                          <a:off x="0" y="0"/>
                          <a:ext cx="4219588" cy="31526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32.3pt;height:248.2pt;mso-wrap-distance-left:0.0pt;mso-wrap-distance-top:0.0pt;mso-wrap-distance-right:0.0pt;mso-wrap-distance-bottom:0.0pt;" stroked="f">
                <v:path textboxrect="0,0,0,0"/>
                <v:imagedata r:id="rId18"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2</w:t>
      </w:r>
      <w:r>
        <w:rPr>
          <w:rFonts w:eastAsia="黑体"/>
          <w:szCs w:val="21"/>
        </w:rPr>
        <w:t xml:space="preserve">柜高示意图</w:t>
      </w:r>
      <w:r>
        <w:rPr>
          <w:rFonts w:eastAsia="黑体"/>
          <w:szCs w:val="21"/>
        </w:rPr>
      </w:r>
      <w:r/>
    </w:p>
    <w:p>
      <w:pPr>
        <w:pStyle w:val="1151"/>
        <w:jc w:val="center"/>
        <w:spacing w:line="312" w:lineRule="exact"/>
        <w:rPr>
          <w:rFonts w:eastAsia="黑体"/>
          <w:szCs w:val="21"/>
        </w:rPr>
      </w:pPr>
      <w:r>
        <w:rPr>
          <w:rFonts w:eastAsia="黑体"/>
          <w:szCs w:val="21"/>
        </w:rPr>
      </w:r>
      <w:r/>
    </w:p>
    <w:p>
      <w:pPr>
        <w:pStyle w:val="1240"/>
        <w:spacing w:line="306" w:lineRule="exact"/>
        <w:rPr>
          <w:szCs w:val="24"/>
        </w:rPr>
      </w:pPr>
      <w:r/>
      <w:bookmarkStart w:id="95" w:name="_Toc531852596"/>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.13 </w:t>
      </w:r>
      <w:r>
        <w:rPr>
          <w:rFonts w:hint="eastAsia" w:ascii="Times New Roman" w:eastAsia="宋体"/>
          <w:bCs/>
          <w:color w:val="000000"/>
          <w:szCs w:val="24"/>
        </w:rPr>
        <w:t xml:space="preserve">仪表箱</w:t>
      </w:r>
      <w:bookmarkEnd w:id="95"/>
      <w:r>
        <w:rPr>
          <w:szCs w:val="24"/>
        </w:rPr>
      </w:r>
      <w:r/>
    </w:p>
    <w:p>
      <w:pPr>
        <w:pStyle w:val="1151"/>
        <w:ind w:firstLine="420"/>
        <w:spacing w:line="312" w:lineRule="exact"/>
        <w:rPr>
          <w:szCs w:val="21"/>
        </w:rPr>
      </w:pPr>
      <w:r>
        <w:rPr>
          <w:szCs w:val="21"/>
        </w:rPr>
        <w:t xml:space="preserve">仪表箱高为350mm，电缆连接单元方案宽度为375mm，断路器、组合电器方案为420mm，PT方案为600mm，深度≥280mm。</w:t>
      </w:r>
      <w:r>
        <w:rPr>
          <w:szCs w:val="21"/>
        </w:rPr>
      </w:r>
      <w:r/>
    </w:p>
    <w:p>
      <w:pPr>
        <w:pStyle w:val="1240"/>
        <w:spacing w:line="306" w:lineRule="exact"/>
        <w:rPr>
          <w:szCs w:val="24"/>
        </w:rPr>
      </w:pPr>
      <w:r/>
      <w:bookmarkStart w:id="96" w:name="_Toc531852597"/>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.14 </w:t>
      </w:r>
      <w:r>
        <w:rPr>
          <w:rFonts w:hint="eastAsia" w:ascii="Times New Roman" w:eastAsia="宋体"/>
          <w:bCs/>
          <w:color w:val="000000"/>
          <w:szCs w:val="24"/>
        </w:rPr>
        <w:t xml:space="preserve">主开关灭弧方式</w:t>
      </w:r>
      <w:bookmarkEnd w:id="96"/>
      <w:r>
        <w:rPr>
          <w:szCs w:val="24"/>
        </w:rPr>
      </w:r>
      <w:r/>
    </w:p>
    <w:p>
      <w:pPr>
        <w:pStyle w:val="1151"/>
        <w:ind w:firstLine="420"/>
        <w:spacing w:line="312" w:lineRule="exact"/>
        <w:rPr>
          <w:szCs w:val="21"/>
        </w:rPr>
      </w:pPr>
      <w:r>
        <w:rPr>
          <w:szCs w:val="21"/>
        </w:rPr>
        <w:t xml:space="preserve">对于断路器，可采用真空或SF</w:t>
      </w:r>
      <w:r>
        <w:rPr>
          <w:szCs w:val="21"/>
          <w:vertAlign w:val="subscript"/>
        </w:rPr>
        <w:t xml:space="preserve">6</w:t>
      </w:r>
      <w:r>
        <w:rPr>
          <w:szCs w:val="21"/>
        </w:rPr>
        <w:t xml:space="preserve">气体灭弧。</w:t>
      </w:r>
      <w:r>
        <w:rPr>
          <w:szCs w:val="21"/>
        </w:rPr>
      </w:r>
      <w:r/>
    </w:p>
    <w:p>
      <w:pPr>
        <w:pStyle w:val="1240"/>
        <w:spacing w:line="306" w:lineRule="exact"/>
        <w:rPr>
          <w:szCs w:val="24"/>
        </w:rPr>
      </w:pPr>
      <w:r/>
      <w:bookmarkStart w:id="97" w:name="_Toc531852598"/>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.15 </w:t>
      </w:r>
      <w:r>
        <w:rPr>
          <w:rFonts w:hint="eastAsia" w:ascii="Times New Roman" w:eastAsia="宋体"/>
          <w:bCs/>
          <w:color w:val="000000"/>
          <w:szCs w:val="24"/>
        </w:rPr>
        <w:t xml:space="preserve">壳体（气箱）材质</w:t>
      </w:r>
      <w:bookmarkEnd w:id="97"/>
      <w:r>
        <w:rPr>
          <w:szCs w:val="24"/>
        </w:rPr>
      </w:r>
      <w:r/>
    </w:p>
    <w:p>
      <w:pPr>
        <w:pStyle w:val="1151"/>
        <w:ind w:firstLine="420"/>
        <w:spacing w:line="312" w:lineRule="exact"/>
        <w:rPr>
          <w:szCs w:val="21"/>
        </w:rPr>
      </w:pPr>
      <w:r>
        <w:rPr>
          <w:szCs w:val="21"/>
        </w:rPr>
        <w:t xml:space="preserve">壳体（气箱）材质的防腐蚀性能不应低于304不锈钢。</w:t>
      </w:r>
      <w:r>
        <w:rPr>
          <w:szCs w:val="21"/>
        </w:rPr>
      </w:r>
      <w:r/>
    </w:p>
    <w:p>
      <w:pPr>
        <w:pStyle w:val="1240"/>
        <w:spacing w:line="306" w:lineRule="exact"/>
        <w:rPr>
          <w:szCs w:val="24"/>
        </w:rPr>
      </w:pPr>
      <w:r/>
      <w:bookmarkStart w:id="98" w:name="_Toc531852599"/>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.16 </w:t>
      </w:r>
      <w:r>
        <w:rPr>
          <w:rFonts w:hint="eastAsia" w:ascii="Times New Roman" w:eastAsia="宋体"/>
          <w:bCs/>
          <w:color w:val="000000"/>
          <w:szCs w:val="24"/>
        </w:rPr>
        <w:t xml:space="preserve">壳体（气箱）材质厚度</w:t>
      </w:r>
      <w:bookmarkEnd w:id="98"/>
      <w:r>
        <w:rPr>
          <w:szCs w:val="24"/>
        </w:rPr>
      </w:r>
      <w:r/>
    </w:p>
    <w:p>
      <w:pPr>
        <w:pStyle w:val="1151"/>
        <w:ind w:firstLine="420"/>
        <w:spacing w:line="312" w:lineRule="exact"/>
        <w:rPr>
          <w:szCs w:val="21"/>
        </w:rPr>
      </w:pPr>
      <w:r>
        <w:rPr>
          <w:szCs w:val="21"/>
        </w:rPr>
        <w:t xml:space="preserve">壳体（气箱）材质标称厚度≥2mm。</w:t>
      </w:r>
      <w:r>
        <w:rPr>
          <w:szCs w:val="21"/>
        </w:rPr>
      </w:r>
      <w:r/>
    </w:p>
    <w:p>
      <w:pPr>
        <w:pStyle w:val="1240"/>
        <w:spacing w:line="306" w:lineRule="exact"/>
        <w:rPr>
          <w:szCs w:val="24"/>
        </w:rPr>
      </w:pPr>
      <w:r/>
      <w:bookmarkStart w:id="99" w:name="_Toc531852600"/>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.17 </w:t>
      </w:r>
      <w:r>
        <w:rPr>
          <w:rFonts w:hint="eastAsia" w:ascii="Times New Roman" w:eastAsia="宋体"/>
          <w:bCs/>
          <w:color w:val="000000"/>
          <w:szCs w:val="24"/>
        </w:rPr>
        <w:t xml:space="preserve">柜体框架材质</w:t>
      </w:r>
      <w:bookmarkEnd w:id="99"/>
      <w:r>
        <w:rPr>
          <w:szCs w:val="24"/>
        </w:rPr>
      </w:r>
      <w:r/>
    </w:p>
    <w:p>
      <w:pPr>
        <w:pStyle w:val="1151"/>
        <w:ind w:firstLine="420"/>
        <w:spacing w:line="312" w:lineRule="exact"/>
        <w:rPr>
          <w:szCs w:val="21"/>
        </w:rPr>
      </w:pPr>
      <w:r>
        <w:rPr>
          <w:szCs w:val="21"/>
        </w:rPr>
        <w:t xml:space="preserve">柜体框架材质采用敷铝锌板（镀锌层厚度达到AZ150及以上，可按照《GB/T 14978 连续热镀铝锌合金镀层钢板及钢带》）或镀锌钢板（牌号为：DX51D+Z275，可按照《GB/T 2518-2008 连续热镀锌钢板及钢带》）。</w:t>
      </w:r>
      <w:r>
        <w:rPr>
          <w:szCs w:val="21"/>
        </w:rPr>
      </w:r>
      <w:r/>
    </w:p>
    <w:p>
      <w:pPr>
        <w:pStyle w:val="1240"/>
        <w:spacing w:line="306" w:lineRule="exact"/>
        <w:rPr>
          <w:szCs w:val="24"/>
        </w:rPr>
      </w:pPr>
      <w:r/>
      <w:bookmarkStart w:id="100" w:name="_Toc531852601"/>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.18 </w:t>
      </w:r>
      <w:r>
        <w:rPr>
          <w:rFonts w:hint="eastAsia" w:ascii="Times New Roman" w:eastAsia="宋体"/>
          <w:bCs/>
          <w:color w:val="000000"/>
          <w:szCs w:val="24"/>
        </w:rPr>
        <w:t xml:space="preserve">柜体材质厚度</w:t>
      </w:r>
      <w:bookmarkEnd w:id="100"/>
      <w:r>
        <w:rPr>
          <w:szCs w:val="24"/>
        </w:rPr>
      </w:r>
      <w:r/>
    </w:p>
    <w:p>
      <w:pPr>
        <w:pStyle w:val="1151"/>
        <w:ind w:firstLine="420"/>
        <w:spacing w:line="312" w:lineRule="exact"/>
        <w:rPr>
          <w:szCs w:val="21"/>
        </w:rPr>
      </w:pPr>
      <w:r>
        <w:rPr>
          <w:szCs w:val="21"/>
        </w:rPr>
        <w:t xml:space="preserve">板材框架材质标称厚度≥2mm，尺寸允许偏差满足《GB/T 708冷轧钢板和钢带的尺寸、外形、重量及允许偏差》的B级精度要求。</w:t>
      </w:r>
      <w:r>
        <w:rPr>
          <w:szCs w:val="21"/>
        </w:rPr>
      </w:r>
      <w:r/>
    </w:p>
    <w:p>
      <w:pPr>
        <w:pStyle w:val="1240"/>
        <w:spacing w:line="306" w:lineRule="exact"/>
        <w:rPr>
          <w:szCs w:val="24"/>
        </w:rPr>
      </w:pPr>
      <w:r/>
      <w:bookmarkStart w:id="101" w:name="_Toc531852602"/>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.19 </w:t>
      </w:r>
      <w:r>
        <w:rPr>
          <w:rFonts w:hint="eastAsia" w:ascii="Times New Roman" w:eastAsia="宋体"/>
          <w:bCs/>
          <w:color w:val="000000"/>
          <w:szCs w:val="24"/>
        </w:rPr>
        <w:t xml:space="preserve">门板材质</w:t>
      </w:r>
      <w:bookmarkEnd w:id="101"/>
      <w:r>
        <w:rPr>
          <w:szCs w:val="24"/>
        </w:rPr>
      </w:r>
      <w:r/>
    </w:p>
    <w:p>
      <w:pPr>
        <w:pStyle w:val="1151"/>
        <w:ind w:firstLine="420"/>
        <w:spacing w:line="312" w:lineRule="exact"/>
        <w:rPr>
          <w:szCs w:val="21"/>
        </w:rPr>
      </w:pPr>
      <w:r>
        <w:rPr>
          <w:szCs w:val="21"/>
        </w:rPr>
        <w:t xml:space="preserve">门板材质为冷轧钢板或敷铝锌板，表面进行喷涂，并满足附着力要求。</w:t>
      </w:r>
      <w:r>
        <w:rPr>
          <w:szCs w:val="21"/>
        </w:rPr>
      </w:r>
      <w:r/>
    </w:p>
    <w:p>
      <w:pPr>
        <w:pStyle w:val="1240"/>
        <w:spacing w:line="306" w:lineRule="exact"/>
        <w:rPr>
          <w:szCs w:val="24"/>
        </w:rPr>
      </w:pPr>
      <w:r/>
      <w:bookmarkStart w:id="102" w:name="_Toc531852603"/>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.20 </w:t>
      </w:r>
      <w:r>
        <w:rPr>
          <w:rFonts w:hint="eastAsia" w:ascii="Times New Roman" w:eastAsia="宋体"/>
          <w:bCs/>
          <w:color w:val="000000"/>
          <w:szCs w:val="24"/>
        </w:rPr>
        <w:t xml:space="preserve">门板材质厚度</w:t>
      </w:r>
      <w:bookmarkEnd w:id="102"/>
      <w:r>
        <w:rPr>
          <w:szCs w:val="24"/>
        </w:rPr>
      </w:r>
      <w:r/>
    </w:p>
    <w:p>
      <w:pPr>
        <w:pStyle w:val="1151"/>
        <w:ind w:firstLine="420"/>
        <w:spacing w:line="312" w:lineRule="exact"/>
        <w:rPr>
          <w:szCs w:val="21"/>
        </w:rPr>
      </w:pPr>
      <w:r>
        <w:rPr>
          <w:szCs w:val="21"/>
        </w:rPr>
        <w:t xml:space="preserve">仪表室、机构室、电缆室门板材质标称厚度≥2mm，电缆室门无观察窗，尺寸允许偏差满足《GB/T 708冷轧钢板和钢带的尺寸、外形、重量及允许偏差》的B级精度要求。</w:t>
      </w:r>
      <w:r>
        <w:rPr>
          <w:szCs w:val="21"/>
        </w:rPr>
      </w:r>
      <w:r/>
    </w:p>
    <w:p>
      <w:pPr>
        <w:pStyle w:val="1240"/>
        <w:spacing w:line="306" w:lineRule="exact"/>
        <w:rPr>
          <w:szCs w:val="24"/>
        </w:rPr>
      </w:pPr>
      <w:r/>
      <w:bookmarkStart w:id="103" w:name="_Toc531852604"/>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.21 </w:t>
      </w:r>
      <w:r>
        <w:rPr>
          <w:rFonts w:hint="eastAsia" w:ascii="Times New Roman" w:eastAsia="宋体"/>
          <w:bCs/>
          <w:color w:val="000000"/>
          <w:szCs w:val="24"/>
        </w:rPr>
        <w:t xml:space="preserve">柜体防护等级</w:t>
      </w:r>
      <w:bookmarkEnd w:id="103"/>
      <w:r>
        <w:rPr>
          <w:szCs w:val="24"/>
        </w:rPr>
      </w:r>
      <w:r/>
    </w:p>
    <w:p>
      <w:pPr>
        <w:pStyle w:val="1151"/>
        <w:ind w:firstLine="420"/>
        <w:spacing w:line="312" w:lineRule="exact"/>
        <w:rPr>
          <w:szCs w:val="21"/>
        </w:rPr>
      </w:pPr>
      <w:r>
        <w:rPr>
          <w:szCs w:val="21"/>
        </w:rPr>
        <w:t xml:space="preserve">柜体外壳防护等级为IP4X，柜内隔室间不小于IP2X。</w:t>
      </w:r>
      <w:r>
        <w:rPr>
          <w:szCs w:val="21"/>
        </w:rPr>
      </w:r>
      <w:r/>
    </w:p>
    <w:p>
      <w:pPr>
        <w:pStyle w:val="1240"/>
        <w:spacing w:line="306" w:lineRule="exact"/>
        <w:rPr>
          <w:szCs w:val="24"/>
        </w:rPr>
      </w:pPr>
      <w:r/>
      <w:bookmarkStart w:id="104" w:name="_Toc531852605"/>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.22 </w:t>
      </w:r>
      <w:r>
        <w:rPr>
          <w:rFonts w:hint="eastAsia" w:ascii="Times New Roman" w:eastAsia="宋体"/>
          <w:bCs/>
          <w:color w:val="000000"/>
          <w:szCs w:val="24"/>
        </w:rPr>
        <w:t xml:space="preserve">主母线扩展方式</w:t>
      </w:r>
      <w:bookmarkEnd w:id="104"/>
      <w:r>
        <w:rPr>
          <w:szCs w:val="24"/>
        </w:rPr>
      </w:r>
      <w:r/>
    </w:p>
    <w:p>
      <w:pPr>
        <w:pStyle w:val="1151"/>
        <w:ind w:firstLine="420"/>
        <w:spacing w:line="312" w:lineRule="exact"/>
        <w:rPr>
          <w:szCs w:val="21"/>
        </w:rPr>
      </w:pPr>
      <w:r>
        <w:rPr>
          <w:szCs w:val="21"/>
        </w:rPr>
        <w:t xml:space="preserve">主母线扩展方式可采用顶扩或侧扩方式。扩展母线的设计安装应抵消环网柜本体现场安装后形成的相关累积误差，满足运行可靠性的要求，如采用弹簧触指或具有适度柔性的扩展母线等。</w:t>
      </w:r>
      <w:r>
        <w:rPr>
          <w:szCs w:val="21"/>
        </w:rPr>
      </w:r>
      <w:r/>
    </w:p>
    <w:p>
      <w:pPr>
        <w:pStyle w:val="1240"/>
        <w:spacing w:line="306" w:lineRule="exact"/>
        <w:rPr>
          <w:szCs w:val="24"/>
        </w:rPr>
      </w:pPr>
      <w:r/>
      <w:bookmarkStart w:id="105" w:name="_Toc531852606"/>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.23 </w:t>
      </w:r>
      <w:r>
        <w:rPr>
          <w:rFonts w:hint="eastAsia" w:ascii="Times New Roman" w:eastAsia="宋体"/>
          <w:bCs/>
          <w:color w:val="000000"/>
          <w:szCs w:val="24"/>
        </w:rPr>
        <w:t xml:space="preserve">可接最多一次电缆数（每相）</w:t>
      </w:r>
      <w:bookmarkEnd w:id="105"/>
      <w:r>
        <w:rPr>
          <w:szCs w:val="24"/>
        </w:rPr>
      </w:r>
      <w:r/>
    </w:p>
    <w:p>
      <w:pPr>
        <w:pStyle w:val="1151"/>
        <w:ind w:firstLine="420"/>
        <w:spacing w:line="312" w:lineRule="exact"/>
        <w:rPr>
          <w:szCs w:val="21"/>
        </w:rPr>
      </w:pPr>
      <w:r>
        <w:rPr>
          <w:szCs w:val="21"/>
        </w:rPr>
        <w:t xml:space="preserve">每相最多可接一次电缆1根。</w:t>
      </w:r>
      <w:r>
        <w:rPr>
          <w:szCs w:val="21"/>
        </w:rPr>
      </w:r>
      <w:r/>
    </w:p>
    <w:p>
      <w:pPr>
        <w:pStyle w:val="1240"/>
        <w:spacing w:line="306" w:lineRule="exact"/>
        <w:rPr>
          <w:szCs w:val="24"/>
        </w:rPr>
      </w:pPr>
      <w:r/>
      <w:bookmarkStart w:id="106" w:name="_Toc531852607"/>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.24 </w:t>
      </w:r>
      <w:r>
        <w:rPr>
          <w:rFonts w:hint="eastAsia" w:ascii="Times New Roman" w:eastAsia="宋体"/>
          <w:bCs/>
          <w:color w:val="000000"/>
          <w:szCs w:val="24"/>
        </w:rPr>
        <w:t xml:space="preserve">一次电缆接线高度</w:t>
      </w:r>
      <w:bookmarkEnd w:id="106"/>
      <w:r>
        <w:rPr>
          <w:szCs w:val="24"/>
        </w:rPr>
      </w:r>
      <w:r/>
    </w:p>
    <w:p>
      <w:pPr>
        <w:pStyle w:val="1151"/>
        <w:ind w:firstLine="420"/>
        <w:spacing w:line="312" w:lineRule="exact"/>
        <w:rPr>
          <w:szCs w:val="21"/>
        </w:rPr>
      </w:pPr>
      <w:r>
        <w:rPr>
          <w:szCs w:val="21"/>
        </w:rPr>
        <w:t xml:space="preserve">断路器柜、电缆连接单元柜一次电缆接线高度为≥650mm，组合电器柜一次电缆接线高度≥500mm。</w:t>
      </w:r>
      <w:r>
        <w:rPr>
          <w:szCs w:val="21"/>
        </w:rPr>
      </w:r>
      <w:r/>
    </w:p>
    <w:p>
      <w:pPr>
        <w:pStyle w:val="1240"/>
        <w:spacing w:line="306" w:lineRule="exact"/>
        <w:rPr>
          <w:szCs w:val="24"/>
        </w:rPr>
      </w:pPr>
      <w:r/>
      <w:bookmarkStart w:id="107" w:name="_Toc531852608"/>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.25 </w:t>
      </w:r>
      <w:r>
        <w:rPr>
          <w:rFonts w:hint="eastAsia" w:ascii="Times New Roman" w:eastAsia="宋体"/>
          <w:bCs/>
          <w:color w:val="000000"/>
          <w:szCs w:val="24"/>
        </w:rPr>
        <w:t xml:space="preserve">一次电缆排列方式</w:t>
      </w:r>
      <w:bookmarkEnd w:id="107"/>
      <w:r>
        <w:rPr>
          <w:szCs w:val="24"/>
        </w:rPr>
      </w:r>
      <w:r/>
    </w:p>
    <w:p>
      <w:pPr>
        <w:pStyle w:val="1151"/>
        <w:ind w:firstLine="420"/>
        <w:spacing w:line="312" w:lineRule="exact"/>
        <w:rPr>
          <w:szCs w:val="21"/>
        </w:rPr>
      </w:pPr>
      <w:r>
        <w:rPr>
          <w:szCs w:val="21"/>
        </w:rPr>
        <w:t xml:space="preserve">一次电缆排列方式为水平一字型。柜前看，从左至右依次为A、B、C相，并应有相位标识，且标识应不易氧化脱落。</w:t>
      </w:r>
      <w:r>
        <w:rPr>
          <w:szCs w:val="21"/>
        </w:rPr>
      </w:r>
      <w:r/>
    </w:p>
    <w:p>
      <w:pPr>
        <w:pStyle w:val="1240"/>
        <w:spacing w:line="306" w:lineRule="exact"/>
        <w:rPr>
          <w:szCs w:val="24"/>
        </w:rPr>
      </w:pPr>
      <w:r/>
      <w:bookmarkStart w:id="108" w:name="_Toc531852609"/>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.26 </w:t>
      </w:r>
      <w:r>
        <w:rPr>
          <w:rFonts w:hint="eastAsia" w:ascii="Times New Roman" w:eastAsia="宋体"/>
          <w:bCs/>
          <w:color w:val="000000"/>
          <w:szCs w:val="24"/>
        </w:rPr>
        <w:t xml:space="preserve">一次电缆固定位置</w:t>
      </w:r>
      <w:bookmarkEnd w:id="108"/>
      <w:r>
        <w:rPr>
          <w:szCs w:val="24"/>
        </w:rPr>
      </w:r>
      <w:r/>
    </w:p>
    <w:p>
      <w:pPr>
        <w:pStyle w:val="1151"/>
        <w:ind w:firstLine="420"/>
        <w:spacing w:line="312" w:lineRule="exact"/>
        <w:rPr>
          <w:szCs w:val="21"/>
        </w:rPr>
      </w:pPr>
      <w:r>
        <w:rPr>
          <w:szCs w:val="21"/>
        </w:rPr>
        <w:t xml:space="preserve">一次电缆固定位置应设置在电缆隔室内。柜内电缆应两点固定，其中电缆室入口处应设置固定点，并进行封堵处理。如图</w:t>
      </w:r>
      <w:r>
        <w:rPr>
          <w:rFonts w:hint="eastAsia"/>
          <w:szCs w:val="21"/>
        </w:rPr>
        <w:t xml:space="preserve">3</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3200502" cy="2314639"/>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0" t="2966" r="0" b="0"/>
                        <a:stretch/>
                      </pic:blipFill>
                      <pic:spPr bwMode="auto">
                        <a:xfrm>
                          <a:off x="0" y="0"/>
                          <a:ext cx="3200502" cy="23146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2.0pt;height:182.3pt;mso-wrap-distance-left:0.0pt;mso-wrap-distance-top:0.0pt;mso-wrap-distance-right:0.0pt;mso-wrap-distance-bottom:0.0pt;" stroked="f">
                <v:path textboxrect="0,0,0,0"/>
                <v:imagedata r:id="rId19" o:title=""/>
              </v:shape>
            </w:pict>
          </mc:Fallback>
        </mc:AlternateContent>
      </w:r>
      <w:r>
        <w:rPr>
          <w:szCs w:val="21"/>
        </w:rPr>
      </w:r>
      <w:r/>
    </w:p>
    <w:p>
      <w:pPr>
        <w:pStyle w:val="1151"/>
        <w:ind w:firstLine="420"/>
        <w:jc w:val="center"/>
        <w:spacing w:line="312" w:lineRule="exact"/>
        <w:rPr>
          <w:rFonts w:eastAsia="黑体"/>
          <w:szCs w:val="21"/>
        </w:rPr>
      </w:pPr>
      <w:r>
        <w:rPr>
          <w:rFonts w:eastAsia="黑体"/>
          <w:szCs w:val="21"/>
        </w:rPr>
        <w:t xml:space="preserve">图</w:t>
      </w:r>
      <w:r>
        <w:rPr>
          <w:rFonts w:hint="eastAsia" w:eastAsia="黑体"/>
          <w:szCs w:val="21"/>
        </w:rPr>
        <w:t xml:space="preserve">3</w:t>
      </w:r>
      <w:r>
        <w:rPr>
          <w:rFonts w:eastAsia="黑体"/>
          <w:szCs w:val="21"/>
        </w:rPr>
        <w:t xml:space="preserve">一次电缆固定示意图</w:t>
      </w:r>
      <w:r>
        <w:rPr>
          <w:rFonts w:eastAsia="黑体"/>
          <w:szCs w:val="21"/>
        </w:rPr>
      </w:r>
      <w:r/>
    </w:p>
    <w:p>
      <w:pPr>
        <w:pStyle w:val="1151"/>
        <w:ind w:firstLine="420"/>
        <w:jc w:val="center"/>
        <w:spacing w:line="312" w:lineRule="exact"/>
        <w:rPr>
          <w:rFonts w:eastAsia="黑体"/>
          <w:szCs w:val="21"/>
        </w:rPr>
      </w:pPr>
      <w:r>
        <w:rPr>
          <w:rFonts w:eastAsia="黑体"/>
          <w:szCs w:val="21"/>
        </w:rPr>
      </w:r>
      <w:r/>
    </w:p>
    <w:p>
      <w:pPr>
        <w:pStyle w:val="1240"/>
        <w:spacing w:line="306" w:lineRule="exact"/>
        <w:rPr>
          <w:szCs w:val="24"/>
        </w:rPr>
      </w:pPr>
      <w:r/>
      <w:bookmarkStart w:id="109" w:name="_Toc531852610"/>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.27 </w:t>
      </w:r>
      <w:r>
        <w:rPr>
          <w:rFonts w:hint="eastAsia" w:ascii="Times New Roman" w:eastAsia="宋体"/>
          <w:bCs/>
          <w:color w:val="000000"/>
          <w:szCs w:val="24"/>
        </w:rPr>
        <w:t xml:space="preserve">一次电缆孔直径</w:t>
      </w:r>
      <w:bookmarkEnd w:id="109"/>
      <w:r>
        <w:rPr>
          <w:szCs w:val="24"/>
        </w:rPr>
      </w:r>
      <w:r/>
    </w:p>
    <w:p>
      <w:pPr>
        <w:pStyle w:val="1151"/>
        <w:ind w:firstLine="420"/>
        <w:spacing w:line="312" w:lineRule="exact"/>
        <w:rPr>
          <w:szCs w:val="21"/>
        </w:rPr>
      </w:pPr>
      <w:r>
        <w:rPr>
          <w:szCs w:val="21"/>
        </w:rPr>
        <w:t xml:space="preserve">一次电缆孔直径为Φ110mm或Φ150mm（根据电缆尺寸选择）。</w:t>
      </w:r>
      <w:r>
        <w:rPr>
          <w:szCs w:val="21"/>
        </w:rPr>
      </w:r>
      <w:r/>
    </w:p>
    <w:p>
      <w:pPr>
        <w:pStyle w:val="1240"/>
        <w:spacing w:line="306" w:lineRule="exact"/>
        <w:rPr>
          <w:szCs w:val="24"/>
        </w:rPr>
      </w:pPr>
      <w:r/>
      <w:bookmarkStart w:id="110" w:name="_Toc531852611"/>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.28 </w:t>
      </w:r>
      <w:r>
        <w:rPr>
          <w:rFonts w:hint="eastAsia" w:ascii="Times New Roman" w:eastAsia="宋体"/>
          <w:bCs/>
          <w:color w:val="000000"/>
          <w:szCs w:val="24"/>
        </w:rPr>
        <w:t xml:space="preserve">一次电缆孔位置</w:t>
      </w:r>
      <w:bookmarkEnd w:id="110"/>
      <w:r>
        <w:rPr>
          <w:szCs w:val="24"/>
        </w:rPr>
      </w:r>
      <w:r/>
    </w:p>
    <w:p>
      <w:pPr>
        <w:pStyle w:val="1151"/>
        <w:ind w:firstLine="420"/>
        <w:spacing w:line="312" w:lineRule="exact"/>
        <w:rPr>
          <w:szCs w:val="21"/>
        </w:rPr>
      </w:pPr>
      <w:r>
        <w:rPr>
          <w:szCs w:val="21"/>
        </w:rPr>
        <w:t xml:space="preserve">与中间相套管对齐，并确保电缆垂直，如图</w:t>
      </w:r>
      <w:r>
        <w:rPr>
          <w:rFonts w:hint="eastAsia"/>
          <w:szCs w:val="21"/>
        </w:rPr>
        <w:t xml:space="preserve">4</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3571875" cy="2981173"/>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571875" cy="29811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1.2pt;height:234.7pt;mso-wrap-distance-left:0.0pt;mso-wrap-distance-top:0.0pt;mso-wrap-distance-right:0.0pt;mso-wrap-distance-bottom:0.0pt;" stroked="f">
                <v:path textboxrect="0,0,0,0"/>
                <v:imagedata r:id="rId20"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4</w:t>
      </w:r>
      <w:r>
        <w:rPr>
          <w:rFonts w:eastAsia="黑体"/>
          <w:szCs w:val="21"/>
        </w:rPr>
        <w:t xml:space="preserve">一次电缆孔位置示意图</w:t>
      </w:r>
      <w:r>
        <w:rPr>
          <w:rFonts w:eastAsia="黑体"/>
          <w:szCs w:val="21"/>
        </w:rPr>
      </w:r>
      <w:r/>
    </w:p>
    <w:p>
      <w:pPr>
        <w:pStyle w:val="1151"/>
        <w:jc w:val="center"/>
        <w:spacing w:line="312" w:lineRule="exact"/>
        <w:rPr>
          <w:rFonts w:eastAsia="黑体"/>
          <w:szCs w:val="21"/>
        </w:rPr>
      </w:pPr>
      <w:r>
        <w:rPr>
          <w:rFonts w:eastAsia="黑体"/>
          <w:szCs w:val="21"/>
        </w:rPr>
      </w:r>
      <w:r/>
    </w:p>
    <w:p>
      <w:pPr>
        <w:pStyle w:val="1240"/>
        <w:spacing w:line="306" w:lineRule="exact"/>
        <w:rPr>
          <w:szCs w:val="24"/>
        </w:rPr>
      </w:pPr>
      <w:r/>
      <w:bookmarkStart w:id="111" w:name="_Toc531852613"/>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.29 </w:t>
      </w:r>
      <w:r>
        <w:rPr>
          <w:rFonts w:hint="eastAsia" w:ascii="Times New Roman" w:eastAsia="宋体"/>
          <w:bCs/>
          <w:color w:val="000000"/>
          <w:szCs w:val="24"/>
        </w:rPr>
        <w:t xml:space="preserve">一次接地排规格</w:t>
      </w:r>
      <w:bookmarkEnd w:id="111"/>
      <w:r>
        <w:rPr>
          <w:szCs w:val="24"/>
        </w:rPr>
      </w:r>
      <w:r/>
    </w:p>
    <w:p>
      <w:pPr>
        <w:pStyle w:val="1151"/>
        <w:ind w:firstLine="420"/>
        <w:spacing w:line="312" w:lineRule="exact"/>
        <w:rPr>
          <w:szCs w:val="21"/>
        </w:rPr>
      </w:pPr>
      <w:r>
        <w:rPr>
          <w:szCs w:val="21"/>
        </w:rPr>
        <w:t xml:space="preserve">一次接地排规格为矩形铜排TMY-30×8mm，一次接地排搭接孔开孔尺寸为2-9×15mm，并柜一次接地搭接排孔距100mm，如图</w:t>
      </w:r>
      <w:r>
        <w:rPr>
          <w:rFonts w:hint="eastAsia"/>
          <w:szCs w:val="21"/>
        </w:rPr>
        <w:t xml:space="preserve">5</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3171787" cy="202892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0" t="0" r="0" b="2700"/>
                        <a:stretch/>
                      </pic:blipFill>
                      <pic:spPr bwMode="auto">
                        <a:xfrm>
                          <a:off x="0" y="0"/>
                          <a:ext cx="3171787" cy="20289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49.7pt;height:159.8pt;mso-wrap-distance-left:0.0pt;mso-wrap-distance-top:0.0pt;mso-wrap-distance-right:0.0pt;mso-wrap-distance-bottom:0.0pt;" stroked="f">
                <v:path textboxrect="0,0,0,0"/>
                <v:imagedata r:id="rId21"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5</w:t>
      </w:r>
      <w:r>
        <w:rPr>
          <w:rFonts w:eastAsia="黑体"/>
          <w:szCs w:val="21"/>
        </w:rPr>
        <w:t xml:space="preserve">接地排开孔位置示意图</w:t>
      </w:r>
      <w:r>
        <w:rPr>
          <w:rFonts w:eastAsia="黑体"/>
          <w:szCs w:val="21"/>
        </w:rPr>
      </w:r>
      <w:r/>
    </w:p>
    <w:p>
      <w:pPr>
        <w:pStyle w:val="1151"/>
        <w:jc w:val="center"/>
        <w:spacing w:line="312" w:lineRule="exact"/>
        <w:rPr>
          <w:rFonts w:eastAsia="黑体"/>
          <w:szCs w:val="21"/>
        </w:rPr>
      </w:pPr>
      <w:r>
        <w:rPr>
          <w:rFonts w:eastAsia="黑体"/>
          <w:szCs w:val="21"/>
        </w:rPr>
      </w:r>
      <w:r/>
    </w:p>
    <w:p>
      <w:pPr>
        <w:pStyle w:val="1240"/>
        <w:spacing w:line="306" w:lineRule="exact"/>
        <w:rPr>
          <w:szCs w:val="24"/>
        </w:rPr>
      </w:pPr>
      <w:r/>
      <w:bookmarkStart w:id="112" w:name="_Toc531852614"/>
      <w:r/>
      <w:bookmarkStart w:id="113" w:name="_Toc489962301"/>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.30 </w:t>
      </w:r>
      <w:r>
        <w:rPr>
          <w:rFonts w:hint="eastAsia" w:ascii="Times New Roman" w:eastAsia="宋体"/>
          <w:bCs/>
          <w:color w:val="000000"/>
          <w:szCs w:val="24"/>
        </w:rPr>
        <w:t xml:space="preserve">一次接地排贯穿孔</w:t>
      </w:r>
      <w:bookmarkEnd w:id="112"/>
      <w:r/>
      <w:bookmarkEnd w:id="113"/>
      <w:r>
        <w:rPr>
          <w:szCs w:val="24"/>
        </w:rPr>
      </w:r>
      <w:r/>
    </w:p>
    <w:p>
      <w:pPr>
        <w:pStyle w:val="1151"/>
        <w:ind w:firstLine="420"/>
        <w:spacing w:line="312" w:lineRule="exact"/>
        <w:rPr>
          <w:szCs w:val="21"/>
        </w:rPr>
      </w:pPr>
      <w:r>
        <w:rPr>
          <w:szCs w:val="21"/>
        </w:rPr>
        <w:t xml:space="preserve">一次接地排贯穿孔尺寸为长方孔12×40mm，孔中心距柜体前框架75mm，距框架底54mm，如图</w:t>
      </w:r>
      <w:r>
        <w:rPr>
          <w:rFonts w:hint="eastAsia"/>
          <w:szCs w:val="21"/>
        </w:rPr>
        <w:t xml:space="preserve">6</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4248074" cy="2562416"/>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248074" cy="25624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34.5pt;height:201.8pt;mso-wrap-distance-left:0.0pt;mso-wrap-distance-top:0.0pt;mso-wrap-distance-right:0.0pt;mso-wrap-distance-bottom:0.0pt;" stroked="f">
                <v:path textboxrect="0,0,0,0"/>
                <v:imagedata r:id="rId22"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6</w:t>
      </w:r>
      <w:r>
        <w:rPr>
          <w:rFonts w:eastAsia="黑体"/>
          <w:szCs w:val="21"/>
        </w:rPr>
        <w:t xml:space="preserve">一次接地排在柜体贯穿孔尺寸及位置示意图</w:t>
      </w:r>
      <w:r>
        <w:rPr>
          <w:rFonts w:eastAsia="黑体"/>
          <w:szCs w:val="21"/>
        </w:rPr>
      </w:r>
      <w:r/>
    </w:p>
    <w:p>
      <w:pPr>
        <w:pStyle w:val="1151"/>
        <w:jc w:val="center"/>
        <w:spacing w:line="312" w:lineRule="exact"/>
        <w:rPr>
          <w:rFonts w:eastAsia="黑体"/>
          <w:szCs w:val="21"/>
        </w:rPr>
      </w:pPr>
      <w:r>
        <w:rPr>
          <w:rFonts w:eastAsia="黑体"/>
          <w:szCs w:val="21"/>
        </w:rPr>
      </w:r>
      <w:r/>
    </w:p>
    <w:p>
      <w:pPr>
        <w:pStyle w:val="1240"/>
        <w:spacing w:line="306" w:lineRule="exact"/>
        <w:rPr>
          <w:szCs w:val="24"/>
        </w:rPr>
      </w:pPr>
      <w:r/>
      <w:bookmarkStart w:id="114" w:name="_Toc531852615"/>
      <w:r/>
      <w:bookmarkStart w:id="115" w:name="_Toc489962312"/>
      <w:r>
        <w:rPr>
          <w:rFonts w:ascii="Times New Roman" w:eastAsia="宋体"/>
          <w:bCs/>
          <w:color w:val="000000"/>
          <w:szCs w:val="24"/>
        </w:rPr>
        <w:t xml:space="preserve">5.</w:t>
      </w:r>
      <w:r>
        <w:rPr>
          <w:rFonts w:hint="eastAsia" w:ascii="Times New Roman" w:eastAsia="宋体"/>
          <w:color w:val="000000"/>
          <w:szCs w:val="24"/>
        </w:rPr>
        <w:t xml:space="preserve">2.3</w:t>
      </w:r>
      <w:r>
        <w:rPr>
          <w:rFonts w:ascii="Times New Roman" w:eastAsia="宋体"/>
          <w:bCs/>
          <w:color w:val="000000"/>
          <w:szCs w:val="24"/>
        </w:rPr>
        <w:t xml:space="preserve">.31 </w:t>
      </w:r>
      <w:r>
        <w:rPr>
          <w:rFonts w:hint="eastAsia" w:ascii="Times New Roman" w:eastAsia="宋体"/>
          <w:bCs/>
          <w:color w:val="000000"/>
          <w:szCs w:val="24"/>
        </w:rPr>
        <w:t xml:space="preserve">仪表箱二次走线孔</w:t>
      </w:r>
      <w:bookmarkEnd w:id="114"/>
      <w:r/>
      <w:bookmarkEnd w:id="115"/>
      <w:r>
        <w:rPr>
          <w:szCs w:val="24"/>
        </w:rPr>
      </w:r>
      <w:r/>
    </w:p>
    <w:p>
      <w:pPr>
        <w:pStyle w:val="1151"/>
        <w:ind w:firstLine="420"/>
        <w:spacing w:line="312" w:lineRule="exact"/>
        <w:rPr>
          <w:szCs w:val="21"/>
        </w:rPr>
      </w:pPr>
      <w:r>
        <w:rPr>
          <w:szCs w:val="21"/>
        </w:rPr>
        <w:t xml:space="preserve">仪表箱二次走线孔采用横向长圆孔，尺寸为50×120mm，中心位置距离前框架100mm，距仪表箱顶部300mm。如图</w:t>
      </w:r>
      <w:r>
        <w:rPr>
          <w:rFonts w:hint="eastAsia"/>
          <w:szCs w:val="21"/>
        </w:rPr>
        <w:t xml:space="preserve">7</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2314677" cy="2362162"/>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rcRect l="27698" t="0" r="29378" b="0"/>
                        <a:stretch/>
                      </pic:blipFill>
                      <pic:spPr bwMode="auto">
                        <a:xfrm>
                          <a:off x="0" y="0"/>
                          <a:ext cx="2314677" cy="23621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82.3pt;height:186.0pt;mso-wrap-distance-left:0.0pt;mso-wrap-distance-top:0.0pt;mso-wrap-distance-right:0.0pt;mso-wrap-distance-bottom:0.0pt;" stroked="f">
                <v:path textboxrect="0,0,0,0"/>
                <v:imagedata r:id="rId23"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7</w:t>
      </w:r>
      <w:r>
        <w:rPr>
          <w:rFonts w:eastAsia="黑体"/>
          <w:szCs w:val="21"/>
        </w:rPr>
        <w:t xml:space="preserve">仪表箱二次走线孔示意图</w:t>
      </w:r>
      <w:r>
        <w:rPr>
          <w:rFonts w:eastAsia="黑体"/>
          <w:szCs w:val="21"/>
        </w:rPr>
      </w:r>
      <w:r/>
    </w:p>
    <w:p>
      <w:pPr>
        <w:pStyle w:val="1240"/>
        <w:jc w:val="center"/>
        <w:spacing w:line="306" w:lineRule="exact"/>
        <w:rPr>
          <w:rFonts w:eastAsia="宋体"/>
          <w:bCs/>
          <w:szCs w:val="24"/>
        </w:rPr>
      </w:pPr>
      <w:r>
        <w:rPr>
          <w:rFonts w:eastAsia="宋体"/>
          <w:bCs/>
          <w:szCs w:val="24"/>
        </w:rPr>
      </w:r>
      <w:r/>
    </w:p>
    <w:p>
      <w:pPr>
        <w:pStyle w:val="1240"/>
        <w:spacing w:line="306" w:lineRule="exact"/>
        <w:rPr>
          <w:rFonts w:ascii="Times New Roman" w:eastAsia="宋体"/>
          <w:bCs/>
          <w:color w:val="000000"/>
          <w:szCs w:val="24"/>
        </w:rPr>
      </w:pPr>
      <w:r/>
      <w:bookmarkStart w:id="116" w:name="_Toc531852616"/>
      <w:r>
        <w:rPr>
          <w:rFonts w:ascii="Times New Roman" w:eastAsia="宋体"/>
          <w:bCs/>
          <w:color w:val="000000"/>
          <w:szCs w:val="24"/>
        </w:rPr>
        <w:t xml:space="preserve">5.</w:t>
      </w:r>
      <w:r>
        <w:rPr>
          <w:rFonts w:hint="eastAsia" w:ascii="Times New Roman" w:eastAsia="宋体"/>
          <w:bCs/>
          <w:color w:val="000000"/>
          <w:szCs w:val="24"/>
        </w:rPr>
        <w:t xml:space="preserve">2.3</w:t>
      </w:r>
      <w:r>
        <w:rPr>
          <w:rFonts w:ascii="Times New Roman" w:eastAsia="宋体"/>
          <w:bCs/>
          <w:color w:val="000000"/>
          <w:szCs w:val="24"/>
        </w:rPr>
        <w:t xml:space="preserve">.32 </w:t>
      </w:r>
      <w:r>
        <w:rPr>
          <w:rFonts w:hint="eastAsia" w:ascii="Times New Roman" w:eastAsia="宋体"/>
          <w:bCs/>
          <w:color w:val="000000"/>
          <w:szCs w:val="24"/>
        </w:rPr>
        <w:t xml:space="preserve">地脚开孔位置</w:t>
      </w:r>
      <w:bookmarkEnd w:id="116"/>
      <w:r>
        <w:rPr>
          <w:rFonts w:ascii="Times New Roman" w:eastAsia="宋体"/>
          <w:bCs/>
          <w:color w:val="000000"/>
          <w:szCs w:val="24"/>
        </w:rPr>
      </w:r>
      <w:r/>
    </w:p>
    <w:p>
      <w:pPr>
        <w:pStyle w:val="1151"/>
        <w:ind w:firstLine="420"/>
        <w:spacing w:line="312" w:lineRule="exact"/>
        <w:rPr>
          <w:szCs w:val="21"/>
        </w:rPr>
      </w:pPr>
      <w:r>
        <w:rPr>
          <w:szCs w:val="21"/>
        </w:rPr>
        <w:t xml:space="preserve">单元柜地脚位置从底框架看，且不包含柜门的尺寸为：</w:t>
      </w:r>
      <w:r>
        <w:rPr>
          <w:szCs w:val="21"/>
        </w:rPr>
      </w:r>
      <w:r/>
    </w:p>
    <w:p>
      <w:pPr>
        <w:pStyle w:val="1151"/>
        <w:ind w:firstLine="420"/>
        <w:spacing w:line="312" w:lineRule="exact"/>
        <w:rPr>
          <w:szCs w:val="21"/>
        </w:rPr>
      </w:pPr>
      <w:r>
        <w:rPr>
          <w:szCs w:val="21"/>
        </w:rPr>
        <w:t xml:space="preserve">M1=M2=50mm。</w:t>
      </w:r>
      <w:r>
        <w:rPr>
          <w:szCs w:val="21"/>
        </w:rPr>
      </w:r>
      <w:r/>
    </w:p>
    <w:p>
      <w:pPr>
        <w:pStyle w:val="1151"/>
        <w:ind w:firstLine="420"/>
        <w:spacing w:line="312" w:lineRule="exact"/>
        <w:rPr>
          <w:szCs w:val="21"/>
        </w:rPr>
      </w:pPr>
      <w:r>
        <w:rPr>
          <w:szCs w:val="21"/>
        </w:rPr>
        <w:t xml:space="preserve">L1=L2=20mm。</w:t>
      </w:r>
      <w:r>
        <w:rPr>
          <w:szCs w:val="21"/>
        </w:rPr>
      </w:r>
      <w:r/>
    </w:p>
    <w:p>
      <w:pPr>
        <w:pStyle w:val="1151"/>
        <w:ind w:firstLine="420"/>
        <w:spacing w:line="312" w:lineRule="exact"/>
        <w:rPr>
          <w:szCs w:val="21"/>
        </w:rPr>
      </w:pPr>
      <w:r>
        <w:rPr>
          <w:szCs w:val="21"/>
        </w:rPr>
        <w:t xml:space="preserve">地脚开孔尺寸为4-Ф13mm。如图</w:t>
      </w:r>
      <w:r>
        <w:rPr>
          <w:rFonts w:hint="eastAsia"/>
          <w:szCs w:val="21"/>
        </w:rPr>
        <w:t xml:space="preserve">8</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3343224" cy="1419149"/>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3343224" cy="1419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63.2pt;height:111.7pt;mso-wrap-distance-left:0.0pt;mso-wrap-distance-top:0.0pt;mso-wrap-distance-right:0.0pt;mso-wrap-distance-bottom:0.0pt;" stroked="f">
                <v:path textboxrect="0,0,0,0"/>
                <v:imagedata r:id="rId24"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8</w:t>
      </w:r>
      <w:r>
        <w:rPr>
          <w:rFonts w:eastAsia="黑体"/>
          <w:szCs w:val="21"/>
        </w:rPr>
        <w:t xml:space="preserve">地脚开孔位置示意图</w:t>
      </w:r>
      <w:r>
        <w:rPr>
          <w:rFonts w:eastAsia="黑体"/>
          <w:szCs w:val="21"/>
        </w:rPr>
      </w:r>
      <w:r/>
    </w:p>
    <w:p>
      <w:pPr>
        <w:pStyle w:val="1151"/>
        <w:jc w:val="center"/>
        <w:spacing w:line="312" w:lineRule="exact"/>
        <w:rPr>
          <w:rFonts w:eastAsia="黑体"/>
          <w:szCs w:val="21"/>
        </w:rPr>
      </w:pPr>
      <w:r>
        <w:rPr>
          <w:rFonts w:eastAsia="黑体"/>
          <w:szCs w:val="21"/>
        </w:rPr>
      </w:r>
      <w:r/>
    </w:p>
    <w:p>
      <w:pPr>
        <w:pStyle w:val="1240"/>
        <w:spacing w:line="306" w:lineRule="exact"/>
        <w:rPr>
          <w:rFonts w:ascii="Times New Roman" w:eastAsia="宋体"/>
          <w:bCs/>
          <w:color w:val="000000"/>
          <w:szCs w:val="24"/>
        </w:rPr>
      </w:pPr>
      <w:r/>
      <w:bookmarkStart w:id="117" w:name="_Toc531852617"/>
      <w:r>
        <w:rPr>
          <w:rFonts w:ascii="Times New Roman" w:eastAsia="宋体"/>
          <w:bCs/>
          <w:color w:val="000000"/>
          <w:szCs w:val="24"/>
        </w:rPr>
        <w:t xml:space="preserve">5.</w:t>
      </w:r>
      <w:r>
        <w:rPr>
          <w:rFonts w:hint="eastAsia" w:ascii="Times New Roman" w:eastAsia="宋体"/>
          <w:bCs/>
          <w:color w:val="000000"/>
          <w:szCs w:val="24"/>
        </w:rPr>
        <w:t xml:space="preserve">2.3</w:t>
      </w:r>
      <w:r>
        <w:rPr>
          <w:rFonts w:ascii="Times New Roman" w:eastAsia="宋体"/>
          <w:bCs/>
          <w:color w:val="000000"/>
          <w:szCs w:val="24"/>
        </w:rPr>
        <w:t xml:space="preserve">.33 </w:t>
      </w:r>
      <w:r>
        <w:rPr>
          <w:rFonts w:hint="eastAsia" w:ascii="Times New Roman" w:eastAsia="宋体"/>
          <w:bCs/>
          <w:color w:val="000000"/>
          <w:szCs w:val="24"/>
        </w:rPr>
        <w:t xml:space="preserve">压力释放通道方向</w:t>
      </w:r>
      <w:bookmarkEnd w:id="117"/>
      <w:r>
        <w:rPr>
          <w:rFonts w:ascii="Times New Roman" w:eastAsia="宋体"/>
          <w:bCs/>
          <w:color w:val="000000"/>
          <w:szCs w:val="24"/>
        </w:rPr>
      </w:r>
      <w:r/>
    </w:p>
    <w:p>
      <w:pPr>
        <w:pStyle w:val="1151"/>
        <w:ind w:firstLine="420"/>
        <w:spacing w:line="312" w:lineRule="exact"/>
        <w:rPr>
          <w:szCs w:val="21"/>
        </w:rPr>
      </w:pPr>
      <w:r>
        <w:rPr>
          <w:szCs w:val="21"/>
        </w:rPr>
        <w:t xml:space="preserve">压力释放通道方向朝向电缆沟。</w:t>
      </w:r>
      <w:r>
        <w:rPr>
          <w:szCs w:val="21"/>
        </w:rPr>
      </w:r>
      <w:r/>
    </w:p>
    <w:p>
      <w:pPr>
        <w:pStyle w:val="1240"/>
        <w:spacing w:line="306" w:lineRule="exact"/>
        <w:rPr>
          <w:szCs w:val="24"/>
        </w:rPr>
      </w:pPr>
      <w:r/>
      <w:bookmarkStart w:id="118" w:name="_Toc531852618"/>
      <w:r>
        <w:rPr>
          <w:rFonts w:ascii="Times New Roman" w:eastAsia="宋体"/>
          <w:bCs/>
          <w:color w:val="000000"/>
          <w:szCs w:val="24"/>
        </w:rPr>
        <w:t xml:space="preserve">5.</w:t>
      </w:r>
      <w:r>
        <w:rPr>
          <w:rFonts w:hint="eastAsia" w:ascii="Times New Roman" w:eastAsia="宋体"/>
          <w:bCs/>
          <w:color w:val="000000"/>
          <w:szCs w:val="24"/>
        </w:rPr>
        <w:t xml:space="preserve">2.3</w:t>
      </w:r>
      <w:r>
        <w:rPr>
          <w:rFonts w:ascii="Times New Roman" w:eastAsia="宋体"/>
          <w:bCs/>
          <w:color w:val="000000"/>
          <w:szCs w:val="24"/>
        </w:rPr>
        <w:t xml:space="preserve">.34 </w:t>
      </w:r>
      <w:r>
        <w:rPr>
          <w:rFonts w:hint="eastAsia" w:ascii="Times New Roman" w:eastAsia="宋体"/>
          <w:bCs/>
          <w:color w:val="000000"/>
          <w:szCs w:val="24"/>
        </w:rPr>
        <w:t xml:space="preserve">基础槽钢</w:t>
      </w:r>
      <w:bookmarkEnd w:id="118"/>
      <w:r>
        <w:rPr>
          <w:szCs w:val="24"/>
        </w:rPr>
      </w:r>
      <w:r/>
    </w:p>
    <w:p>
      <w:pPr>
        <w:pStyle w:val="1151"/>
        <w:ind w:firstLine="420"/>
        <w:spacing w:line="312" w:lineRule="exact"/>
        <w:rPr>
          <w:szCs w:val="21"/>
        </w:rPr>
      </w:pPr>
      <w:r>
        <w:rPr>
          <w:szCs w:val="21"/>
        </w:rPr>
        <w:t xml:space="preserve">基础槽钢为10#热镀锌槽钢，扣放，基础按柜深750mm设计，深度方向间距750mm（槽钢外檐）。槽钢固定孔为M12螺纹孔。如图</w:t>
      </w:r>
      <w:r>
        <w:rPr>
          <w:rFonts w:hint="eastAsia"/>
          <w:szCs w:val="21"/>
        </w:rPr>
        <w:t xml:space="preserve">9</w:t>
      </w:r>
      <w:r>
        <w:rPr>
          <w:szCs w:val="21"/>
        </w:rPr>
        <w:t xml:space="preserve">所示。</w:t>
      </w:r>
      <w:r>
        <w:rPr>
          <w:szCs w:val="21"/>
        </w:rPr>
      </w:r>
      <w:r/>
    </w:p>
    <w:p>
      <w:pPr>
        <w:pStyle w:val="1151"/>
        <w:jc w:val="center"/>
        <w:rPr>
          <w:rFonts w:eastAsia="仿宋_GB2312"/>
          <w:szCs w:val="21"/>
        </w:rPr>
      </w:pPr>
      <w:r>
        <w:rPr>
          <w:szCs w:val="21"/>
        </w:rPr>
        <mc:AlternateContent>
          <mc:Choice Requires="wpg">
            <w:drawing>
              <wp:inline xmlns:wp="http://schemas.openxmlformats.org/drawingml/2006/wordprocessingDrawing" distT="0" distB="0" distL="0" distR="0">
                <wp:extent cx="3324390" cy="2362314"/>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3324390" cy="23623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61.8pt;height:186.0pt;mso-wrap-distance-left:0.0pt;mso-wrap-distance-top:0.0pt;mso-wrap-distance-right:0.0pt;mso-wrap-distance-bottom:0.0pt;" stroked="f">
                <v:path textboxrect="0,0,0,0"/>
                <v:imagedata r:id="rId25" o:title=""/>
              </v:shape>
            </w:pict>
          </mc:Fallback>
        </mc:AlternateContent>
      </w:r>
      <w:r>
        <w:rPr>
          <w:rFonts w:eastAsia="仿宋_GB2312"/>
          <w:szCs w:val="21"/>
        </w:rPr>
      </w:r>
      <w:r/>
    </w:p>
    <w:p>
      <w:pPr>
        <w:pStyle w:val="1151"/>
        <w:ind w:left="619" w:hanging="760"/>
        <w:jc w:val="center"/>
        <w:spacing w:line="312" w:lineRule="exact"/>
        <w:rPr>
          <w:rFonts w:eastAsia="黑体"/>
          <w:szCs w:val="21"/>
        </w:rPr>
      </w:pPr>
      <w:r>
        <w:rPr>
          <w:rFonts w:eastAsia="黑体"/>
          <w:szCs w:val="21"/>
        </w:rPr>
        <w:t xml:space="preserve">图</w:t>
      </w:r>
      <w:r>
        <w:rPr>
          <w:rFonts w:hint="eastAsia" w:eastAsia="黑体"/>
          <w:szCs w:val="21"/>
        </w:rPr>
        <w:t xml:space="preserve">9</w:t>
      </w:r>
      <w:r>
        <w:rPr>
          <w:rFonts w:eastAsia="黑体"/>
          <w:szCs w:val="21"/>
        </w:rPr>
        <w:t xml:space="preserve">基础槽钢示意图</w:t>
      </w:r>
      <w:r>
        <w:rPr>
          <w:rFonts w:eastAsia="黑体"/>
          <w:szCs w:val="21"/>
        </w:rPr>
      </w:r>
      <w:r/>
    </w:p>
    <w:p>
      <w:pPr>
        <w:pStyle w:val="1151"/>
        <w:ind w:left="619" w:hanging="760"/>
        <w:jc w:val="center"/>
        <w:spacing w:line="312" w:lineRule="exact"/>
        <w:rPr>
          <w:rFonts w:eastAsia="黑体"/>
          <w:szCs w:val="21"/>
        </w:rPr>
      </w:pPr>
      <w:r>
        <w:rPr>
          <w:rFonts w:eastAsia="黑体"/>
          <w:szCs w:val="21"/>
        </w:rPr>
      </w:r>
      <w:r/>
    </w:p>
    <w:p>
      <w:pPr>
        <w:pStyle w:val="1240"/>
        <w:spacing w:line="306" w:lineRule="exact"/>
        <w:rPr>
          <w:rFonts w:ascii="Times New Roman" w:eastAsia="宋体"/>
          <w:bCs/>
          <w:color w:val="000000"/>
          <w:szCs w:val="24"/>
        </w:rPr>
      </w:pPr>
      <w:r/>
      <w:bookmarkStart w:id="119" w:name="_Toc489962310"/>
      <w:r/>
      <w:bookmarkStart w:id="120" w:name="_Toc531852619"/>
      <w:r>
        <w:rPr>
          <w:rFonts w:ascii="Times New Roman" w:eastAsia="宋体"/>
          <w:bCs/>
          <w:color w:val="000000"/>
          <w:szCs w:val="24"/>
        </w:rPr>
        <w:t xml:space="preserve">5.</w:t>
      </w:r>
      <w:r>
        <w:rPr>
          <w:rFonts w:hint="eastAsia" w:ascii="Times New Roman" w:eastAsia="宋体"/>
          <w:bCs/>
          <w:color w:val="000000"/>
          <w:szCs w:val="24"/>
        </w:rPr>
        <w:t xml:space="preserve">2.3</w:t>
      </w:r>
      <w:r>
        <w:rPr>
          <w:rFonts w:ascii="Times New Roman" w:eastAsia="宋体"/>
          <w:bCs/>
          <w:color w:val="000000"/>
          <w:szCs w:val="24"/>
        </w:rPr>
        <w:t xml:space="preserve">.35 </w:t>
      </w:r>
      <w:r>
        <w:rPr>
          <w:rFonts w:hint="eastAsia" w:ascii="Times New Roman" w:eastAsia="宋体"/>
          <w:bCs/>
          <w:color w:val="000000"/>
          <w:szCs w:val="24"/>
        </w:rPr>
        <w:t xml:space="preserve">定制尺寸</w:t>
      </w:r>
      <w:bookmarkEnd w:id="120"/>
      <w:r>
        <w:rPr>
          <w:rFonts w:ascii="Times New Roman" w:eastAsia="宋体"/>
          <w:bCs/>
          <w:color w:val="000000"/>
          <w:szCs w:val="24"/>
        </w:rPr>
      </w:r>
      <w:r/>
    </w:p>
    <w:p>
      <w:pPr>
        <w:pStyle w:val="1151"/>
        <w:ind w:firstLine="420"/>
        <w:spacing w:line="312" w:lineRule="exact"/>
        <w:rPr>
          <w:szCs w:val="21"/>
        </w:rPr>
      </w:pPr>
      <w:r>
        <w:rPr>
          <w:szCs w:val="21"/>
        </w:rPr>
        <w:t xml:space="preserve">对于单元柜环网柜，应满足不同厂家产品间的通用互换，为此，补充设计如下定制尺寸。</w:t>
      </w:r>
      <w:r>
        <w:rPr>
          <w:szCs w:val="21"/>
        </w:rPr>
      </w:r>
      <w:r/>
    </w:p>
    <w:p>
      <w:pPr>
        <w:pStyle w:val="1240"/>
        <w:spacing w:line="306" w:lineRule="exact"/>
        <w:rPr>
          <w:rFonts w:ascii="Times New Roman" w:eastAsia="宋体"/>
          <w:bCs/>
          <w:color w:val="000000"/>
          <w:szCs w:val="24"/>
        </w:rPr>
      </w:pPr>
      <w:r/>
      <w:bookmarkStart w:id="121" w:name="_Toc531852620"/>
      <w:r>
        <w:rPr>
          <w:rFonts w:ascii="Times New Roman" w:eastAsia="宋体"/>
          <w:bCs/>
          <w:color w:val="000000"/>
          <w:szCs w:val="24"/>
        </w:rPr>
        <w:t xml:space="preserve">5.</w:t>
      </w:r>
      <w:r>
        <w:rPr>
          <w:rFonts w:hint="eastAsia" w:ascii="Times New Roman" w:eastAsia="宋体"/>
          <w:bCs/>
          <w:color w:val="000000"/>
          <w:szCs w:val="24"/>
        </w:rPr>
        <w:t xml:space="preserve">2.3</w:t>
      </w:r>
      <w:r>
        <w:rPr>
          <w:rFonts w:ascii="Times New Roman" w:eastAsia="宋体"/>
          <w:bCs/>
          <w:color w:val="000000"/>
          <w:szCs w:val="24"/>
        </w:rPr>
        <w:t xml:space="preserve">.35.1 </w:t>
      </w:r>
      <w:r>
        <w:rPr>
          <w:rFonts w:hint="eastAsia" w:ascii="Times New Roman" w:eastAsia="宋体"/>
          <w:bCs/>
          <w:color w:val="000000"/>
          <w:szCs w:val="24"/>
        </w:rPr>
        <w:t xml:space="preserve">侧扩方式</w:t>
      </w:r>
      <w:bookmarkEnd w:id="119"/>
      <w:r/>
      <w:bookmarkEnd w:id="121"/>
      <w:r>
        <w:rPr>
          <w:rFonts w:ascii="Times New Roman" w:eastAsia="宋体"/>
          <w:bCs/>
          <w:color w:val="000000"/>
          <w:szCs w:val="24"/>
        </w:rPr>
      </w:r>
      <w:r/>
    </w:p>
    <w:p>
      <w:pPr>
        <w:pStyle w:val="1151"/>
        <w:ind w:firstLine="420"/>
        <w:jc w:val="left"/>
        <w:spacing w:line="312" w:lineRule="exact"/>
        <w:rPr>
          <w:szCs w:val="21"/>
        </w:rPr>
      </w:pPr>
      <w:r>
        <w:rPr>
          <w:szCs w:val="21"/>
        </w:rPr>
        <w:t xml:space="preserve">（1）主母线侧扩位置、规格及连接器</w:t>
      </w:r>
      <w:r>
        <w:rPr>
          <w:szCs w:val="21"/>
        </w:rPr>
      </w:r>
      <w:r/>
    </w:p>
    <w:p>
      <w:pPr>
        <w:pStyle w:val="1151"/>
        <w:numPr>
          <w:ilvl w:val="0"/>
          <w:numId w:val="3"/>
        </w:numPr>
        <w:jc w:val="left"/>
        <w:spacing w:line="312" w:lineRule="exact"/>
        <w:rPr>
          <w:szCs w:val="21"/>
        </w:rPr>
      </w:pPr>
      <w:r>
        <w:rPr>
          <w:szCs w:val="21"/>
        </w:rPr>
        <w:t xml:space="preserve">侧扩母线中心距地高度为1400mm，母线中心距为150mm，B相中心距前框架500mm，如图</w:t>
      </w:r>
      <w:r>
        <w:rPr>
          <w:rFonts w:hint="eastAsia"/>
          <w:szCs w:val="21"/>
        </w:rPr>
        <w:t xml:space="preserve">10</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3553041" cy="4505477"/>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3553041" cy="45054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79.8pt;height:354.8pt;mso-wrap-distance-left:0.0pt;mso-wrap-distance-top:0.0pt;mso-wrap-distance-right:0.0pt;mso-wrap-distance-bottom:0.0pt;" stroked="f">
                <v:path textboxrect="0,0,0,0"/>
                <v:imagedata r:id="rId26"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10</w:t>
      </w:r>
      <w:r>
        <w:rPr>
          <w:rFonts w:eastAsia="黑体"/>
          <w:szCs w:val="21"/>
        </w:rPr>
        <w:t xml:space="preserve">侧出套管位置示意图</w:t>
      </w:r>
      <w:r>
        <w:rPr>
          <w:rFonts w:eastAsia="黑体"/>
          <w:szCs w:val="21"/>
        </w:rPr>
      </w:r>
      <w:r/>
    </w:p>
    <w:p>
      <w:pPr>
        <w:pStyle w:val="1151"/>
        <w:jc w:val="center"/>
        <w:spacing w:line="312" w:lineRule="exact"/>
        <w:rPr>
          <w:rFonts w:eastAsia="黑体"/>
          <w:szCs w:val="21"/>
        </w:rPr>
      </w:pPr>
      <w:r>
        <w:rPr>
          <w:rFonts w:eastAsia="黑体"/>
          <w:szCs w:val="21"/>
        </w:rPr>
      </w:r>
      <w:r/>
    </w:p>
    <w:p>
      <w:pPr>
        <w:pStyle w:val="1151"/>
        <w:numPr>
          <w:ilvl w:val="0"/>
          <w:numId w:val="3"/>
        </w:numPr>
        <w:spacing w:line="312" w:lineRule="exact"/>
        <w:rPr>
          <w:szCs w:val="21"/>
        </w:rPr>
      </w:pPr>
      <w:r>
        <w:rPr>
          <w:szCs w:val="21"/>
        </w:rPr>
        <w:t xml:space="preserve">母线侧扩方式采用的母线插座及连接器尺寸如图</w:t>
      </w:r>
      <w:r>
        <w:rPr>
          <w:rFonts w:hint="eastAsia"/>
          <w:szCs w:val="21"/>
        </w:rPr>
        <w:t xml:space="preserve">11</w:t>
      </w:r>
      <w:r>
        <w:rPr>
          <w:szCs w:val="21"/>
        </w:rPr>
        <w:t xml:space="preserve">、</w:t>
      </w:r>
      <w:r>
        <w:rPr>
          <w:rFonts w:hint="eastAsia"/>
          <w:szCs w:val="21"/>
        </w:rPr>
        <w:t xml:space="preserve">12</w:t>
      </w:r>
      <w:r>
        <w:rPr>
          <w:szCs w:val="21"/>
        </w:rPr>
        <w:t xml:space="preserve">、</w:t>
      </w:r>
      <w:r>
        <w:rPr>
          <w:rFonts w:hint="eastAsia"/>
          <w:szCs w:val="21"/>
        </w:rPr>
        <w:t xml:space="preserve">13</w:t>
      </w:r>
      <w:r>
        <w:rPr>
          <w:szCs w:val="21"/>
        </w:rPr>
        <w:t xml:space="preserve">所示，以并柜后两母线插座底平面相距32mm为例。其中，为满足不同柜体并柜需要，未添加括号的尺寸为强制尺寸，添加括号的尺寸可供参考。</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5562702" cy="2885986"/>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rcRect l="14107" t="5669" r="15361" b="0"/>
                        <a:stretch/>
                      </pic:blipFill>
                      <pic:spPr bwMode="auto">
                        <a:xfrm>
                          <a:off x="0" y="0"/>
                          <a:ext cx="5562702" cy="28859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38.0pt;height:227.2pt;mso-wrap-distance-left:0.0pt;mso-wrap-distance-top:0.0pt;mso-wrap-distance-right:0.0pt;mso-wrap-distance-bottom:0.0pt;" stroked="f">
                <v:path textboxrect="0,0,0,0"/>
                <v:imagedata r:id="rId27" o:title=""/>
              </v:shape>
            </w:pict>
          </mc:Fallback>
        </mc:AlternateContent>
      </w:r>
      <w:r>
        <w:rPr>
          <w:szCs w:val="21"/>
        </w:rPr>
        <mc:AlternateContent>
          <mc:Choice Requires="wpg">
            <w:drawing>
              <wp:inline xmlns:wp="http://schemas.openxmlformats.org/drawingml/2006/wordprocessingDrawing" distT="0" distB="0" distL="0" distR="0">
                <wp:extent cx="3781476" cy="3810051"/>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3781476" cy="3810051"/>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97.8pt;height:300.0pt;mso-wrap-distance-left:0.0pt;mso-wrap-distance-top:0.0pt;mso-wrap-distance-right:0.0pt;mso-wrap-distance-bottom:0.0pt;" stroked="f">
                <v:path textboxrect="0,0,0,0"/>
                <v:imagedata r:id="rId28"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11</w:t>
      </w:r>
      <w:r>
        <w:rPr>
          <w:rFonts w:eastAsia="黑体"/>
          <w:szCs w:val="21"/>
        </w:rPr>
        <w:t xml:space="preserve">母线插座尺寸示意图</w:t>
      </w:r>
      <w:r>
        <w:rPr>
          <w:rFonts w:eastAsia="黑体"/>
          <w:szCs w:val="21"/>
        </w:rPr>
      </w:r>
      <w:r/>
    </w:p>
    <w:p>
      <w:pPr>
        <w:pStyle w:val="1151"/>
        <w:jc w:val="center"/>
        <w:spacing w:line="312" w:lineRule="exact"/>
        <w:rPr>
          <w:rFonts w:eastAsia="黑体"/>
          <w:szCs w:val="21"/>
        </w:rPr>
      </w:pPr>
      <w:r>
        <w:rPr>
          <w:rFonts w:eastAsia="黑体"/>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4714862" cy="2371827"/>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4714862" cy="23718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71.2pt;height:186.8pt;mso-wrap-distance-left:0.0pt;mso-wrap-distance-top:0.0pt;mso-wrap-distance-right:0.0pt;mso-wrap-distance-bottom:0.0pt;" stroked="f">
                <v:path textboxrect="0,0,0,0"/>
                <v:imagedata r:id="rId29"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12</w:t>
      </w:r>
      <w:r>
        <w:rPr>
          <w:rFonts w:eastAsia="黑体"/>
          <w:szCs w:val="21"/>
        </w:rPr>
        <w:t xml:space="preserve">母线连接器尺寸示意图</w:t>
      </w:r>
      <w:r>
        <w:rPr>
          <w:rFonts w:eastAsia="黑体"/>
          <w:szCs w:val="21"/>
        </w:rPr>
      </w:r>
      <w:r/>
    </w:p>
    <w:p>
      <w:pPr>
        <w:pStyle w:val="1151"/>
        <w:jc w:val="center"/>
        <w:spacing w:line="312" w:lineRule="exact"/>
        <w:rPr>
          <w:rFonts w:eastAsia="黑体"/>
          <w:szCs w:val="21"/>
        </w:rPr>
      </w:pPr>
      <w:r>
        <w:rPr>
          <w:rFonts w:eastAsia="黑体"/>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4429062" cy="2505139"/>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4429062" cy="25051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48.7pt;height:197.3pt;mso-wrap-distance-left:0.0pt;mso-wrap-distance-top:0.0pt;mso-wrap-distance-right:0.0pt;mso-wrap-distance-bottom:0.0pt;" stroked="f">
                <v:path textboxrect="0,0,0,0"/>
                <v:imagedata r:id="rId30"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13</w:t>
      </w:r>
      <w:r>
        <w:rPr>
          <w:rFonts w:eastAsia="黑体"/>
          <w:szCs w:val="21"/>
        </w:rPr>
        <w:t xml:space="preserve">母线插座与连接器并柜尺寸示意图</w:t>
      </w:r>
      <w:r>
        <w:rPr>
          <w:rFonts w:eastAsia="黑体"/>
          <w:szCs w:val="21"/>
        </w:rPr>
      </w:r>
      <w:r/>
    </w:p>
    <w:p>
      <w:pPr>
        <w:pStyle w:val="1151"/>
        <w:jc w:val="center"/>
        <w:spacing w:line="312" w:lineRule="exact"/>
        <w:rPr>
          <w:rFonts w:eastAsia="黑体"/>
          <w:szCs w:val="21"/>
        </w:rPr>
      </w:pPr>
      <w:r>
        <w:rPr>
          <w:rFonts w:eastAsia="黑体"/>
          <w:szCs w:val="21"/>
        </w:rPr>
      </w:r>
      <w:r/>
    </w:p>
    <w:p>
      <w:pPr>
        <w:pStyle w:val="1151"/>
        <w:ind w:firstLine="420"/>
        <w:jc w:val="left"/>
        <w:spacing w:line="312" w:lineRule="exact"/>
        <w:rPr>
          <w:szCs w:val="21"/>
        </w:rPr>
      </w:pPr>
      <w:r>
        <w:rPr>
          <w:szCs w:val="21"/>
        </w:rPr>
        <w:t xml:space="preserve">（2）并柜方式</w:t>
      </w:r>
      <w:r>
        <w:rPr>
          <w:szCs w:val="21"/>
        </w:rPr>
      </w:r>
      <w:r/>
    </w:p>
    <w:p>
      <w:pPr>
        <w:pStyle w:val="1151"/>
        <w:numPr>
          <w:ilvl w:val="1"/>
          <w:numId w:val="4"/>
        </w:numPr>
        <w:jc w:val="left"/>
        <w:spacing w:line="312" w:lineRule="exact"/>
        <w:rPr>
          <w:szCs w:val="21"/>
        </w:rPr>
      </w:pPr>
      <w:r>
        <w:rPr>
          <w:szCs w:val="21"/>
        </w:rPr>
        <w:t xml:space="preserve">气箱上部并柜导向孔中心距侧扩套管中心距高度100mm，孔在A、C相的正上方，尺寸2-Φ12mm。</w:t>
      </w:r>
      <w:r>
        <w:rPr>
          <w:szCs w:val="21"/>
        </w:rPr>
      </w:r>
      <w:r/>
    </w:p>
    <w:p>
      <w:pPr>
        <w:pStyle w:val="1151"/>
        <w:numPr>
          <w:ilvl w:val="1"/>
          <w:numId w:val="4"/>
        </w:numPr>
        <w:jc w:val="left"/>
        <w:spacing w:line="312" w:lineRule="exact"/>
        <w:rPr>
          <w:szCs w:val="21"/>
        </w:rPr>
      </w:pPr>
      <w:r>
        <w:rPr>
          <w:szCs w:val="21"/>
        </w:rPr>
        <w:t xml:space="preserve">气箱并柜孔B相正上方一个，A、C导向孔外侧50mm各一个，高度和导向孔一致，尺寸3-Φ10。气箱并柜螺栓M8×60mm。</w:t>
      </w:r>
      <w:r>
        <w:rPr>
          <w:szCs w:val="21"/>
        </w:rPr>
      </w:r>
      <w:r/>
    </w:p>
    <w:p>
      <w:pPr>
        <w:pStyle w:val="1151"/>
        <w:numPr>
          <w:ilvl w:val="1"/>
          <w:numId w:val="4"/>
        </w:numPr>
        <w:jc w:val="left"/>
        <w:spacing w:line="312" w:lineRule="exact"/>
        <w:rPr>
          <w:szCs w:val="21"/>
        </w:rPr>
      </w:pPr>
      <w:r>
        <w:rPr>
          <w:szCs w:val="21"/>
        </w:rPr>
        <w:t xml:space="preserve">框架并柜孔中最底部靠近电缆室门孔尺寸距前框架65mm，距地100mm。向后间距285mm一个，距前框架65mm的孔向上每隔300mm间距一个，尺寸6-Φ10mm。框架并柜孔必需同时连接3个以上，框架并柜螺栓M8×16mm。</w:t>
      </w:r>
      <w:r>
        <w:rPr>
          <w:szCs w:val="21"/>
        </w:rPr>
      </w:r>
      <w:r/>
    </w:p>
    <w:p>
      <w:pPr>
        <w:pStyle w:val="1151"/>
        <w:ind w:firstLine="420"/>
        <w:jc w:val="left"/>
        <w:spacing w:line="312" w:lineRule="exact"/>
        <w:rPr>
          <w:szCs w:val="21"/>
        </w:rPr>
      </w:pPr>
      <w:r>
        <w:rPr>
          <w:szCs w:val="21"/>
        </w:rPr>
        <w:t xml:space="preserve">如图</w:t>
      </w:r>
      <w:r>
        <w:rPr>
          <w:rFonts w:hint="eastAsia"/>
          <w:szCs w:val="21"/>
        </w:rPr>
        <w:t xml:space="preserve">14</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4819739" cy="4333939"/>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4819739" cy="43339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79.5pt;height:341.3pt;mso-wrap-distance-left:0.0pt;mso-wrap-distance-top:0.0pt;mso-wrap-distance-right:0.0pt;mso-wrap-distance-bottom:0.0pt;" stroked="f">
                <v:path textboxrect="0,0,0,0"/>
                <v:imagedata r:id="rId31"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14</w:t>
      </w:r>
      <w:r>
        <w:rPr>
          <w:rFonts w:eastAsia="黑体"/>
          <w:szCs w:val="21"/>
        </w:rPr>
        <w:t xml:space="preserve">侧出套管并柜孔位置示意图</w:t>
      </w:r>
      <w:r>
        <w:rPr>
          <w:rFonts w:eastAsia="黑体"/>
          <w:szCs w:val="21"/>
        </w:rPr>
      </w:r>
      <w:r/>
    </w:p>
    <w:p>
      <w:pPr>
        <w:pStyle w:val="1151"/>
        <w:jc w:val="center"/>
        <w:spacing w:line="312" w:lineRule="exact"/>
        <w:rPr>
          <w:rFonts w:eastAsia="黑体"/>
          <w:szCs w:val="21"/>
        </w:rPr>
      </w:pPr>
      <w:r>
        <w:rPr>
          <w:rFonts w:eastAsia="黑体"/>
          <w:szCs w:val="21"/>
        </w:rPr>
      </w:r>
      <w:r/>
    </w:p>
    <w:p>
      <w:pPr>
        <w:pStyle w:val="1240"/>
        <w:spacing w:line="306" w:lineRule="exact"/>
        <w:rPr>
          <w:rFonts w:ascii="Times New Roman" w:eastAsia="宋体"/>
          <w:bCs/>
          <w:color w:val="000000"/>
          <w:szCs w:val="24"/>
        </w:rPr>
      </w:pPr>
      <w:r/>
      <w:bookmarkStart w:id="122" w:name="_Toc531852621"/>
      <w:r>
        <w:rPr>
          <w:rFonts w:ascii="Times New Roman" w:eastAsia="宋体"/>
          <w:bCs/>
          <w:color w:val="000000"/>
          <w:szCs w:val="24"/>
        </w:rPr>
        <w:t xml:space="preserve">5.</w:t>
      </w:r>
      <w:r>
        <w:rPr>
          <w:rFonts w:hint="eastAsia" w:ascii="Times New Roman" w:eastAsia="宋体"/>
          <w:bCs/>
          <w:color w:val="000000"/>
          <w:szCs w:val="24"/>
        </w:rPr>
        <w:t xml:space="preserve">2.3</w:t>
      </w:r>
      <w:r>
        <w:rPr>
          <w:rFonts w:ascii="Times New Roman" w:eastAsia="宋体"/>
          <w:bCs/>
          <w:color w:val="000000"/>
          <w:szCs w:val="24"/>
        </w:rPr>
        <w:t xml:space="preserve">.35.2 </w:t>
      </w:r>
      <w:r>
        <w:rPr>
          <w:rFonts w:hint="eastAsia" w:ascii="Times New Roman" w:eastAsia="宋体"/>
          <w:bCs/>
          <w:color w:val="000000"/>
          <w:szCs w:val="24"/>
        </w:rPr>
        <w:t xml:space="preserve">顶扩方式</w:t>
      </w:r>
      <w:bookmarkEnd w:id="122"/>
      <w:r>
        <w:rPr>
          <w:rFonts w:ascii="Times New Roman" w:eastAsia="宋体"/>
          <w:bCs/>
          <w:color w:val="000000"/>
          <w:szCs w:val="24"/>
        </w:rPr>
      </w:r>
      <w:r/>
    </w:p>
    <w:p>
      <w:pPr>
        <w:pStyle w:val="1151"/>
        <w:ind w:firstLine="420"/>
        <w:jc w:val="left"/>
        <w:spacing w:line="312" w:lineRule="exact"/>
        <w:rPr>
          <w:szCs w:val="21"/>
        </w:rPr>
      </w:pPr>
      <w:r>
        <w:rPr>
          <w:szCs w:val="21"/>
        </w:rPr>
        <w:t xml:space="preserve">（1）主母线顶扩位置、规格及连接器</w:t>
      </w:r>
      <w:r>
        <w:rPr>
          <w:szCs w:val="21"/>
        </w:rPr>
      </w:r>
      <w:r/>
    </w:p>
    <w:p>
      <w:pPr>
        <w:pStyle w:val="1151"/>
        <w:numPr>
          <w:ilvl w:val="0"/>
          <w:numId w:val="5"/>
        </w:numPr>
        <w:jc w:val="left"/>
        <w:spacing w:line="312" w:lineRule="exact"/>
        <w:rPr>
          <w:szCs w:val="21"/>
        </w:rPr>
      </w:pPr>
      <w:r>
        <w:rPr>
          <w:szCs w:val="21"/>
        </w:rPr>
        <w:t xml:space="preserve">顶扩母线套管端面距地高度1610mm；母线中心距150mm；B相中心距前底框架500mm；针对PT柜方案，顶扩母线套管中心距柜体右侧185mm，其余方案距柜体右侧95mm。如图</w:t>
      </w:r>
      <w:r>
        <w:rPr>
          <w:rFonts w:hint="eastAsia"/>
          <w:szCs w:val="21"/>
        </w:rPr>
        <w:t xml:space="preserve">15</w:t>
      </w:r>
      <w:r>
        <w:rPr>
          <w:szCs w:val="21"/>
        </w:rPr>
        <w:t xml:space="preserve">所示。</w:t>
      </w:r>
      <w:r>
        <w:rPr>
          <w:szCs w:val="21"/>
        </w:rPr>
      </w:r>
      <w:r/>
    </w:p>
    <w:p>
      <w:pPr>
        <w:pStyle w:val="1151"/>
        <w:numPr>
          <w:ilvl w:val="0"/>
          <w:numId w:val="5"/>
        </w:numPr>
        <w:jc w:val="left"/>
        <w:spacing w:line="312" w:lineRule="exact"/>
        <w:rPr>
          <w:szCs w:val="21"/>
        </w:rPr>
      </w:pPr>
      <w:r>
        <w:rPr>
          <w:szCs w:val="21"/>
        </w:rPr>
        <w:t xml:space="preserve">顶出套管采用C型套管。</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3381629" cy="6743586"/>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rcRect l="16846" t="0" r="17501" b="0"/>
                        <a:stretch/>
                      </pic:blipFill>
                      <pic:spPr bwMode="auto">
                        <a:xfrm>
                          <a:off x="0" y="0"/>
                          <a:ext cx="3381629" cy="67435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66.3pt;height:531.0pt;mso-wrap-distance-left:0.0pt;mso-wrap-distance-top:0.0pt;mso-wrap-distance-right:0.0pt;mso-wrap-distance-bottom:0.0pt;" stroked="f">
                <v:path textboxrect="0,0,0,0"/>
                <v:imagedata r:id="rId32"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15</w:t>
      </w:r>
      <w:r>
        <w:rPr>
          <w:rFonts w:eastAsia="黑体"/>
          <w:szCs w:val="21"/>
        </w:rPr>
        <w:t xml:space="preserve">上出套管位置示意图</w:t>
      </w:r>
      <w:r>
        <w:rPr>
          <w:rFonts w:eastAsia="黑体"/>
          <w:szCs w:val="21"/>
        </w:rPr>
      </w:r>
      <w:r/>
    </w:p>
    <w:p>
      <w:pPr>
        <w:pStyle w:val="1151"/>
        <w:jc w:val="center"/>
        <w:spacing w:line="312" w:lineRule="exact"/>
        <w:rPr>
          <w:rFonts w:eastAsia="黑体"/>
          <w:szCs w:val="21"/>
        </w:rPr>
      </w:pPr>
      <w:r>
        <w:rPr>
          <w:rFonts w:eastAsia="黑体"/>
          <w:szCs w:val="21"/>
        </w:rPr>
      </w:r>
      <w:r/>
    </w:p>
    <w:p>
      <w:pPr>
        <w:pStyle w:val="1151"/>
        <w:ind w:firstLine="420"/>
        <w:jc w:val="left"/>
        <w:spacing w:line="312" w:lineRule="exact"/>
        <w:rPr>
          <w:szCs w:val="21"/>
        </w:rPr>
      </w:pPr>
      <w:r>
        <w:rPr>
          <w:szCs w:val="21"/>
        </w:rPr>
        <w:t xml:space="preserve">（2）并柜方式</w:t>
      </w:r>
      <w:r>
        <w:rPr>
          <w:szCs w:val="21"/>
        </w:rPr>
      </w:r>
      <w:r/>
    </w:p>
    <w:p>
      <w:pPr>
        <w:pStyle w:val="1151"/>
        <w:numPr>
          <w:ilvl w:val="0"/>
          <w:numId w:val="6"/>
        </w:numPr>
        <w:jc w:val="left"/>
        <w:spacing w:line="312" w:lineRule="exact"/>
        <w:rPr>
          <w:szCs w:val="21"/>
        </w:rPr>
      </w:pPr>
      <w:r>
        <w:rPr>
          <w:szCs w:val="21"/>
        </w:rPr>
        <w:t xml:space="preserve">气箱并柜孔中心距离套管顶部108mm，位于A、B、C相的中心线上，尺寸为3-Φ10mm。气箱并柜螺栓M8×60mm。</w:t>
      </w:r>
      <w:r>
        <w:rPr>
          <w:szCs w:val="21"/>
        </w:rPr>
      </w:r>
      <w:r/>
    </w:p>
    <w:p>
      <w:pPr>
        <w:pStyle w:val="1244"/>
        <w:numPr>
          <w:ilvl w:val="0"/>
          <w:numId w:val="6"/>
        </w:numPr>
        <w:jc w:val="left"/>
        <w:spacing w:line="312" w:lineRule="exact"/>
        <w:rPr>
          <w:szCs w:val="21"/>
        </w:rPr>
      </w:pPr>
      <w:r>
        <w:rPr>
          <w:szCs w:val="21"/>
        </w:rPr>
        <w:t xml:space="preserve">框架并柜孔中最底部靠近电缆室门孔尺寸距前框架65mm，距地100mm。向后间距285mm另外布置一个，距前框架65mm的孔向上每间隔300mm布置一个，尺寸6-Φ10mm。框架并柜孔必需同时连接3个以上，框架并柜螺栓M8×16mm。</w:t>
      </w:r>
      <w:r>
        <w:rPr>
          <w:szCs w:val="21"/>
        </w:rPr>
      </w:r>
      <w:r/>
    </w:p>
    <w:p>
      <w:pPr>
        <w:pStyle w:val="1151"/>
        <w:ind w:firstLine="420"/>
        <w:jc w:val="left"/>
        <w:spacing w:line="312" w:lineRule="exact"/>
        <w:rPr>
          <w:szCs w:val="21"/>
        </w:rPr>
      </w:pPr>
      <w:r>
        <w:rPr>
          <w:szCs w:val="21"/>
        </w:rPr>
        <w:t xml:space="preserve">如图</w:t>
      </w:r>
      <w:r>
        <w:rPr>
          <w:rFonts w:hint="eastAsia"/>
          <w:szCs w:val="21"/>
        </w:rPr>
        <w:t xml:space="preserve">16</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2523795" cy="4781626"/>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2523795" cy="4781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98.7pt;height:376.5pt;mso-wrap-distance-left:0.0pt;mso-wrap-distance-top:0.0pt;mso-wrap-distance-right:0.0pt;mso-wrap-distance-bottom:0.0pt;" stroked="f">
                <v:path textboxrect="0,0,0,0"/>
                <v:imagedata r:id="rId33"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16</w:t>
      </w:r>
      <w:r>
        <w:rPr>
          <w:rFonts w:eastAsia="黑体"/>
          <w:szCs w:val="21"/>
        </w:rPr>
        <w:t xml:space="preserve">顶出套管并柜孔位置示意图</w:t>
      </w:r>
      <w:r>
        <w:rPr>
          <w:rFonts w:eastAsia="黑体"/>
          <w:szCs w:val="21"/>
        </w:rPr>
      </w:r>
      <w:r/>
    </w:p>
    <w:p>
      <w:pPr>
        <w:pStyle w:val="1151"/>
        <w:spacing w:line="306" w:lineRule="exact"/>
      </w:pPr>
      <w:r/>
      <w:r/>
    </w:p>
    <w:p>
      <w:pPr>
        <w:pStyle w:val="1240"/>
        <w:rPr>
          <w:color w:val="000000"/>
        </w:rPr>
        <w:outlineLvl w:val="2"/>
      </w:pPr>
      <w:r>
        <w:rPr>
          <w:color w:val="000000"/>
        </w:rPr>
        <w:t xml:space="preserve">5.</w:t>
      </w:r>
      <w:r>
        <w:rPr>
          <w:rFonts w:hint="eastAsia"/>
          <w:color w:val="000000"/>
        </w:rPr>
        <w:t xml:space="preserve">2.4对环保气体绝缘环网柜的标准化要求</w:t>
      </w:r>
      <w:r>
        <w:rPr>
          <w:color w:val="000000"/>
        </w:rPr>
      </w:r>
      <w:r/>
    </w:p>
    <w:p>
      <w:pPr>
        <w:pStyle w:val="1240"/>
        <w:spacing w:line="306" w:lineRule="exact"/>
        <w:rPr>
          <w:rFonts w:ascii="Times New Roman" w:eastAsia="宋体"/>
          <w:color w:val="000000"/>
          <w:szCs w:val="24"/>
        </w:rPr>
      </w:pPr>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color w:val="000000"/>
          <w:szCs w:val="24"/>
        </w:rPr>
        <w:t xml:space="preserve">.1 环保气体绝缘环网柜技术参数应符合DL/T 728、DL/T791的规定。</w:t>
      </w:r>
      <w:r>
        <w:rPr>
          <w:rFonts w:ascii="Times New Roman" w:eastAsia="宋体"/>
          <w:color w:val="000000"/>
          <w:szCs w:val="24"/>
        </w:rPr>
      </w:r>
      <w:r/>
    </w:p>
    <w:p>
      <w:pPr>
        <w:pStyle w:val="1240"/>
        <w:spacing w:line="306" w:lineRule="exact"/>
        <w:rPr>
          <w:rFonts w:ascii="Times New Roman"/>
          <w:color w:val="000000"/>
        </w:rPr>
      </w:pPr>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color w:val="000000"/>
          <w:szCs w:val="24"/>
        </w:rPr>
        <w:t xml:space="preserve">.2 环保气体绝缘环网柜应采用母线侧三工位开关。</w:t>
      </w:r>
      <w:r>
        <w:rPr>
          <w:rFonts w:ascii="Times New Roman"/>
          <w:color w:val="000000"/>
        </w:rPr>
      </w:r>
      <w:r/>
    </w:p>
    <w:p>
      <w:pPr>
        <w:pStyle w:val="1151"/>
        <w:spacing w:line="306" w:lineRule="exact"/>
      </w:pPr>
      <w:r>
        <w:t xml:space="preserve">5.</w:t>
      </w:r>
      <w:r>
        <w:rPr>
          <w:rFonts w:hint="eastAsia"/>
        </w:rPr>
        <w:t xml:space="preserve">2.4</w:t>
      </w:r>
      <w:r>
        <w:t xml:space="preserve">.3 制造厂应明确规定气体绝缘环网柜中使用的环保气体的参数，并为用户提供更新气体和保持要求的气体质量的必要说明。在气体交货之前，应向招标人提交新气试验的合格证书，所用气体应经招标人复检合格后方可使用。</w:t>
      </w:r>
      <w:r/>
    </w:p>
    <w:p>
      <w:pPr>
        <w:pStyle w:val="1151"/>
        <w:ind w:left="840" w:hanging="840"/>
        <w:spacing w:line="306" w:lineRule="exact"/>
      </w:pPr>
      <w:r>
        <w:t xml:space="preserve">5.</w:t>
      </w:r>
      <w:r>
        <w:rPr>
          <w:rFonts w:hint="eastAsia"/>
        </w:rPr>
        <w:t xml:space="preserve">2.4</w:t>
      </w:r>
      <w:r>
        <w:t xml:space="preserve">.4 充气隔室应能承受运行中的正常压力和瞬态压力。</w:t>
      </w:r>
      <w:r/>
    </w:p>
    <w:p>
      <w:pPr>
        <w:pStyle w:val="1151"/>
        <w:ind w:left="840" w:hanging="840"/>
        <w:spacing w:line="306" w:lineRule="exact"/>
      </w:pPr>
      <w:r>
        <w:rPr>
          <w:szCs w:val="20"/>
        </w:rPr>
        <w:t xml:space="preserve">5.</w:t>
      </w:r>
      <w:r>
        <w:rPr>
          <w:rFonts w:hint="eastAsia"/>
        </w:rPr>
        <w:t xml:space="preserve">2.4</w:t>
      </w:r>
      <w:r>
        <w:rPr>
          <w:szCs w:val="20"/>
        </w:rPr>
        <w:t xml:space="preserve">.5 制造厂应明确</w:t>
      </w:r>
      <w:r>
        <w:t xml:space="preserve">环保气体绝缘环网柜</w:t>
      </w:r>
      <w:r>
        <w:rPr>
          <w:szCs w:val="20"/>
        </w:rPr>
        <w:t xml:space="preserve">的额定充入水平（充气压力）和允许泄漏率。</w:t>
      </w:r>
      <w:r/>
    </w:p>
    <w:p>
      <w:pPr>
        <w:pStyle w:val="1151"/>
        <w:spacing w:line="306" w:lineRule="exact"/>
      </w:pPr>
      <w:r>
        <w:t xml:space="preserve">5.</w:t>
      </w:r>
      <w:r>
        <w:rPr>
          <w:rFonts w:hint="eastAsia"/>
        </w:rPr>
        <w:t xml:space="preserve">2.4</w:t>
      </w:r>
      <w:r>
        <w:t xml:space="preserve">.6 环保气体绝缘环网柜可设置用来连接气体处理装置和其他设备的合适连接点（阀门）。</w:t>
      </w:r>
      <w:r/>
    </w:p>
    <w:p>
      <w:pPr>
        <w:pStyle w:val="1151"/>
        <w:ind w:left="840" w:hanging="840"/>
        <w:spacing w:line="306" w:lineRule="exact"/>
      </w:pPr>
      <w:r>
        <w:t xml:space="preserve">5.</w:t>
      </w:r>
      <w:r>
        <w:rPr>
          <w:rFonts w:hint="eastAsia"/>
        </w:rPr>
        <w:t xml:space="preserve">2.4</w:t>
      </w:r>
      <w:r>
        <w:t xml:space="preserve">.7 环保气体绝缘环网柜可装设气体监测设备。</w:t>
      </w:r>
      <w:r/>
    </w:p>
    <w:p>
      <w:pPr>
        <w:pStyle w:val="1151"/>
        <w:ind w:left="840" w:hanging="840"/>
        <w:spacing w:line="306" w:lineRule="exact"/>
      </w:pPr>
      <w:r>
        <w:t xml:space="preserve">5.</w:t>
      </w:r>
      <w:r>
        <w:rPr>
          <w:rFonts w:hint="eastAsia"/>
        </w:rPr>
        <w:t xml:space="preserve">2.4</w:t>
      </w:r>
      <w:r>
        <w:t xml:space="preserve">.8 吸附剂：投标人在投标阶段提交一份解释文件，包括吸附剂的位置、种类和质量。</w:t>
      </w:r>
      <w:r/>
    </w:p>
    <w:p>
      <w:pPr>
        <w:pStyle w:val="1151"/>
        <w:ind w:left="840" w:hanging="840"/>
        <w:spacing w:line="306" w:lineRule="exact"/>
      </w:pPr>
      <w:r>
        <w:t xml:space="preserve">5.</w:t>
      </w:r>
      <w:r>
        <w:rPr>
          <w:rFonts w:hint="eastAsia"/>
        </w:rPr>
        <w:t xml:space="preserve">2.4</w:t>
      </w:r>
      <w:r>
        <w:t xml:space="preserve">.9 环保气体气箱防护等级应达到IP67，并应提供相应试验报告。</w:t>
      </w:r>
      <w:r/>
    </w:p>
    <w:p>
      <w:pPr>
        <w:pStyle w:val="1151"/>
        <w:spacing w:line="306" w:lineRule="exact"/>
      </w:pPr>
      <w:r>
        <w:t xml:space="preserve">5.</w:t>
      </w:r>
      <w:r>
        <w:rPr>
          <w:rFonts w:hint="eastAsia"/>
        </w:rPr>
        <w:t xml:space="preserve">2.4</w:t>
      </w:r>
      <w:r>
        <w:t xml:space="preserve">.10 额定充气压力下非灭弧隔室测得水分含量(20</w:t>
      </w:r>
      <w:r>
        <w:rPr>
          <w:szCs w:val="20"/>
        </w:rPr>
        <w:t xml:space="preserve">℃</w:t>
      </w:r>
      <w:r>
        <w:t xml:space="preserve">时)不得大于1000μL/L；灭弧隔室测得水分含量(20</w:t>
      </w:r>
      <w:r>
        <w:rPr>
          <w:szCs w:val="20"/>
        </w:rPr>
        <w:t xml:space="preserve">℃</w:t>
      </w:r>
      <w:r>
        <w:t xml:space="preserve">时)不得大于150μL/L。</w:t>
      </w:r>
      <w:r/>
    </w:p>
    <w:p>
      <w:pPr>
        <w:pStyle w:val="1240"/>
        <w:spacing w:line="306" w:lineRule="exact"/>
        <w:rPr>
          <w:szCs w:val="24"/>
        </w:rPr>
      </w:pPr>
      <w:r/>
      <w:bookmarkStart w:id="123" w:name="_Toc531852634"/>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color w:val="000000"/>
          <w:szCs w:val="24"/>
        </w:rPr>
        <w:t xml:space="preserve">.11</w:t>
      </w:r>
      <w:r>
        <w:rPr>
          <w:rFonts w:hint="eastAsia" w:ascii="Times New Roman" w:eastAsia="宋体"/>
          <w:bCs/>
          <w:color w:val="000000"/>
          <w:szCs w:val="24"/>
        </w:rPr>
        <w:t xml:space="preserve">柜宽</w:t>
      </w:r>
      <w:bookmarkEnd w:id="123"/>
      <w:r>
        <w:rPr>
          <w:szCs w:val="24"/>
        </w:rPr>
      </w:r>
      <w:r/>
    </w:p>
    <w:p>
      <w:pPr>
        <w:pStyle w:val="1151"/>
        <w:ind w:firstLine="420"/>
        <w:spacing w:line="312" w:lineRule="exact"/>
        <w:rPr>
          <w:szCs w:val="21"/>
        </w:rPr>
      </w:pPr>
      <w:r>
        <w:rPr>
          <w:szCs w:val="21"/>
        </w:rPr>
        <w:t xml:space="preserve">PT单元柜宽为600mm，其他方案单元柜宽均为420</w:t>
      </w:r>
      <w:r>
        <w:rPr>
          <w:szCs w:val="21"/>
        </w:rPr>
        <w:t xml:space="preserve">mm</w:t>
      </w:r>
      <w:r>
        <w:rPr>
          <w:szCs w:val="21"/>
        </w:rPr>
        <w:t xml:space="preserve">。</w:t>
      </w:r>
      <w:r>
        <w:rPr>
          <w:szCs w:val="21"/>
        </w:rPr>
      </w:r>
      <w:r/>
    </w:p>
    <w:p>
      <w:pPr>
        <w:pStyle w:val="1151"/>
        <w:ind w:firstLine="420"/>
        <w:spacing w:line="312" w:lineRule="exact"/>
        <w:rPr>
          <w:szCs w:val="21"/>
        </w:rPr>
      </w:pPr>
      <w:r>
        <w:rPr>
          <w:szCs w:val="21"/>
        </w:rPr>
        <w:t xml:space="preserve">共箱柜宽度不作要求。</w:t>
      </w:r>
      <w:r>
        <w:rPr>
          <w:szCs w:val="21"/>
        </w:rPr>
      </w:r>
      <w:r/>
    </w:p>
    <w:p>
      <w:pPr>
        <w:pStyle w:val="1240"/>
        <w:spacing w:line="306" w:lineRule="exact"/>
        <w:rPr>
          <w:szCs w:val="24"/>
        </w:rPr>
      </w:pPr>
      <w:r/>
      <w:bookmarkStart w:id="124" w:name="_Toc531852635"/>
      <w:r>
        <w:rPr>
          <w:rFonts w:ascii="Times New Roman" w:eastAsia="宋体"/>
          <w:bCs/>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.12 </w:t>
      </w:r>
      <w:r>
        <w:rPr>
          <w:rFonts w:hint="eastAsia" w:ascii="Times New Roman" w:eastAsia="宋体"/>
          <w:bCs/>
          <w:color w:val="000000"/>
          <w:szCs w:val="24"/>
        </w:rPr>
        <w:t xml:space="preserve">柜深</w:t>
      </w:r>
      <w:bookmarkEnd w:id="124"/>
      <w:r>
        <w:rPr>
          <w:szCs w:val="24"/>
        </w:rPr>
      </w:r>
      <w:r/>
    </w:p>
    <w:p>
      <w:pPr>
        <w:pStyle w:val="1151"/>
        <w:ind w:firstLine="420"/>
        <w:spacing w:line="312" w:lineRule="exact"/>
        <w:rPr>
          <w:szCs w:val="21"/>
        </w:rPr>
      </w:pPr>
      <w:r>
        <w:rPr>
          <w:szCs w:val="21"/>
        </w:rPr>
        <w:t xml:space="preserve">定义底框架深度。</w:t>
      </w:r>
      <w:r>
        <w:rPr>
          <w:szCs w:val="21"/>
        </w:rPr>
      </w:r>
      <w:r/>
    </w:p>
    <w:p>
      <w:pPr>
        <w:pStyle w:val="1151"/>
        <w:ind w:firstLine="420"/>
        <w:spacing w:line="312" w:lineRule="exact"/>
        <w:rPr>
          <w:szCs w:val="21"/>
        </w:rPr>
      </w:pPr>
      <w:r>
        <w:rPr>
          <w:szCs w:val="21"/>
        </w:rPr>
        <w:t xml:space="preserve">各类功能单元柜深（不含前后门）为850mm。最大外形（投影距离）≤950mm。</w:t>
      </w:r>
      <w:r>
        <w:rPr>
          <w:szCs w:val="21"/>
        </w:rPr>
      </w:r>
      <w:r/>
    </w:p>
    <w:p>
      <w:pPr>
        <w:pStyle w:val="1240"/>
        <w:spacing w:line="306" w:lineRule="exact"/>
        <w:rPr>
          <w:szCs w:val="24"/>
        </w:rPr>
      </w:pPr>
      <w:r/>
      <w:bookmarkStart w:id="125" w:name="_Toc531852636"/>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.13 </w:t>
      </w:r>
      <w:r>
        <w:rPr>
          <w:rFonts w:hint="eastAsia" w:ascii="Times New Roman" w:eastAsia="宋体"/>
          <w:bCs/>
          <w:color w:val="000000"/>
          <w:szCs w:val="24"/>
        </w:rPr>
        <w:t xml:space="preserve">柜高</w:t>
      </w:r>
      <w:bookmarkEnd w:id="125"/>
      <w:r>
        <w:rPr>
          <w:szCs w:val="24"/>
        </w:rPr>
      </w:r>
      <w:r/>
    </w:p>
    <w:p>
      <w:pPr>
        <w:pStyle w:val="1151"/>
        <w:ind w:firstLine="420"/>
        <w:spacing w:line="312" w:lineRule="exact"/>
        <w:rPr>
          <w:szCs w:val="21"/>
        </w:rPr>
      </w:pPr>
      <w:r>
        <w:rPr>
          <w:szCs w:val="21"/>
        </w:rPr>
        <w:t xml:space="preserve">定义前框架高度。</w:t>
      </w:r>
      <w:r>
        <w:rPr>
          <w:szCs w:val="21"/>
        </w:rPr>
      </w:r>
      <w:r/>
    </w:p>
    <w:p>
      <w:pPr>
        <w:pStyle w:val="1151"/>
        <w:ind w:firstLine="420"/>
        <w:spacing w:line="312" w:lineRule="exact"/>
        <w:rPr>
          <w:szCs w:val="21"/>
        </w:rPr>
      </w:pPr>
      <w:r>
        <w:rPr>
          <w:szCs w:val="21"/>
        </w:rPr>
        <w:t xml:space="preserve">柜前看，侧扩柜体高度（不含仪表箱）为1650mm，其中仪表箱高度为350mm，如图</w:t>
      </w:r>
      <w:r>
        <w:rPr>
          <w:rFonts w:hint="eastAsia"/>
          <w:szCs w:val="21"/>
        </w:rPr>
        <w:t xml:space="preserve">17</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4343603" cy="4619790"/>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4343603" cy="46197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342.0pt;height:363.8pt;mso-wrap-distance-left:0.0pt;mso-wrap-distance-top:0.0pt;mso-wrap-distance-right:0.0pt;mso-wrap-distance-bottom:0.0pt;" stroked="f">
                <v:path textboxrect="0,0,0,0"/>
                <v:imagedata r:id="rId34" o:title=""/>
              </v:shape>
            </w:pict>
          </mc:Fallback>
        </mc:AlternateContent>
      </w:r>
      <w:r>
        <w:rPr>
          <w:szCs w:val="21"/>
        </w:rPr>
      </w:r>
      <w:r/>
    </w:p>
    <w:p>
      <w:pPr>
        <w:pStyle w:val="1151"/>
        <w:ind w:firstLine="3150"/>
        <w:jc w:val="left"/>
        <w:spacing w:line="312" w:lineRule="exact"/>
        <w:rPr>
          <w:rFonts w:eastAsia="黑体"/>
          <w:szCs w:val="21"/>
        </w:rPr>
      </w:pPr>
      <w:r>
        <w:rPr>
          <w:szCs w:val="21"/>
        </w:rPr>
        <w:t xml:space="preserve">图</w:t>
      </w:r>
      <w:r>
        <w:rPr>
          <w:rFonts w:hint="eastAsia" w:eastAsia="黑体"/>
          <w:szCs w:val="21"/>
        </w:rPr>
        <w:t xml:space="preserve">17</w:t>
      </w:r>
      <w:r>
        <w:rPr>
          <w:rFonts w:eastAsia="黑体"/>
          <w:szCs w:val="21"/>
        </w:rPr>
        <w:t xml:space="preserve">侧扩柜体外形尺寸图</w:t>
      </w:r>
      <w:r>
        <w:rPr>
          <w:rFonts w:eastAsia="黑体"/>
          <w:szCs w:val="21"/>
        </w:rPr>
      </w:r>
      <w:r/>
    </w:p>
    <w:p>
      <w:pPr>
        <w:pStyle w:val="1151"/>
        <w:ind w:firstLine="3150"/>
        <w:jc w:val="left"/>
        <w:spacing w:line="312" w:lineRule="exact"/>
        <w:rPr>
          <w:szCs w:val="21"/>
        </w:rPr>
      </w:pPr>
      <w:r>
        <w:rPr>
          <w:szCs w:val="21"/>
        </w:rPr>
      </w:r>
      <w:r/>
    </w:p>
    <w:p>
      <w:pPr>
        <w:pStyle w:val="1151"/>
        <w:ind w:firstLine="420"/>
        <w:spacing w:line="312" w:lineRule="exact"/>
        <w:rPr>
          <w:szCs w:val="21"/>
        </w:rPr>
      </w:pPr>
      <w:r>
        <w:rPr>
          <w:szCs w:val="21"/>
        </w:rPr>
        <w:t xml:space="preserve">柜前看，顶扩柜体高度（不含仪表箱）为1600mm，其中仪表箱高度为350mm，且上出线高度不应高于仪表箱，如图</w:t>
      </w:r>
      <w:r>
        <w:rPr>
          <w:rFonts w:hint="eastAsia"/>
          <w:szCs w:val="21"/>
        </w:rPr>
        <w:t xml:space="preserve">18</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4781398" cy="4705198"/>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4781398" cy="47051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376.5pt;height:370.5pt;mso-wrap-distance-left:0.0pt;mso-wrap-distance-top:0.0pt;mso-wrap-distance-right:0.0pt;mso-wrap-distance-bottom:0.0pt;" stroked="f">
                <v:path textboxrect="0,0,0,0"/>
                <v:imagedata r:id="rId35"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18</w:t>
      </w:r>
      <w:r>
        <w:rPr>
          <w:rFonts w:eastAsia="黑体"/>
          <w:szCs w:val="21"/>
        </w:rPr>
        <w:t xml:space="preserve">顶扩柜体外形尺寸图</w:t>
      </w:r>
      <w:r>
        <w:rPr>
          <w:rFonts w:eastAsia="黑体"/>
          <w:szCs w:val="21"/>
        </w:rPr>
      </w:r>
      <w:r/>
    </w:p>
    <w:p>
      <w:pPr>
        <w:pStyle w:val="1151"/>
        <w:jc w:val="center"/>
        <w:spacing w:line="312" w:lineRule="exact"/>
        <w:rPr>
          <w:rFonts w:eastAsia="黑体"/>
          <w:szCs w:val="21"/>
        </w:rPr>
      </w:pPr>
      <w:r>
        <w:rPr>
          <w:rFonts w:eastAsia="黑体"/>
          <w:szCs w:val="21"/>
        </w:rPr>
      </w:r>
      <w:r/>
    </w:p>
    <w:p>
      <w:pPr>
        <w:pStyle w:val="1240"/>
        <w:spacing w:line="306" w:lineRule="exact"/>
        <w:rPr>
          <w:szCs w:val="24"/>
        </w:rPr>
      </w:pPr>
      <w:r/>
      <w:bookmarkStart w:id="126" w:name="_Toc531852637"/>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.14 </w:t>
      </w:r>
      <w:r>
        <w:rPr>
          <w:rFonts w:hint="eastAsia" w:ascii="Times New Roman" w:eastAsia="宋体"/>
          <w:bCs/>
          <w:color w:val="000000"/>
          <w:szCs w:val="24"/>
        </w:rPr>
        <w:t xml:space="preserve">仪表箱</w:t>
      </w:r>
      <w:bookmarkEnd w:id="126"/>
      <w:r>
        <w:rPr>
          <w:szCs w:val="24"/>
        </w:rPr>
      </w:r>
      <w:r/>
    </w:p>
    <w:p>
      <w:pPr>
        <w:pStyle w:val="1151"/>
        <w:ind w:firstLine="420"/>
        <w:spacing w:line="312" w:lineRule="exact"/>
        <w:rPr>
          <w:szCs w:val="21"/>
        </w:rPr>
      </w:pPr>
      <w:r>
        <w:rPr>
          <w:szCs w:val="21"/>
        </w:rPr>
        <w:t xml:space="preserve">仪表箱高度为350mm，PT柜方案宽度为600mm，其余方案宽度为420mm，深度（不含门）≥280mm。</w:t>
      </w:r>
      <w:r>
        <w:rPr>
          <w:szCs w:val="21"/>
        </w:rPr>
      </w:r>
      <w:r/>
    </w:p>
    <w:p>
      <w:pPr>
        <w:pStyle w:val="1240"/>
        <w:spacing w:line="306" w:lineRule="exact"/>
        <w:rPr>
          <w:szCs w:val="24"/>
        </w:rPr>
      </w:pPr>
      <w:r/>
      <w:bookmarkStart w:id="127" w:name="_Toc531852638"/>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.15 </w:t>
      </w:r>
      <w:r>
        <w:rPr>
          <w:rFonts w:hint="eastAsia" w:ascii="Times New Roman" w:eastAsia="宋体"/>
          <w:bCs/>
          <w:color w:val="000000"/>
          <w:szCs w:val="24"/>
        </w:rPr>
        <w:t xml:space="preserve">主开关灭弧方式</w:t>
      </w:r>
      <w:bookmarkEnd w:id="127"/>
      <w:r>
        <w:rPr>
          <w:szCs w:val="24"/>
        </w:rPr>
      </w:r>
      <w:r/>
    </w:p>
    <w:p>
      <w:pPr>
        <w:pStyle w:val="1151"/>
        <w:ind w:firstLine="420"/>
        <w:spacing w:line="312" w:lineRule="exact"/>
        <w:rPr>
          <w:szCs w:val="21"/>
        </w:rPr>
      </w:pPr>
      <w:r>
        <w:rPr>
          <w:szCs w:val="21"/>
        </w:rPr>
        <w:t xml:space="preserve">断路器采用真空灭弧。</w:t>
      </w:r>
      <w:r>
        <w:rPr>
          <w:szCs w:val="21"/>
        </w:rPr>
      </w:r>
      <w:r/>
    </w:p>
    <w:p>
      <w:pPr>
        <w:pStyle w:val="1240"/>
        <w:spacing w:line="306" w:lineRule="exact"/>
        <w:rPr>
          <w:szCs w:val="24"/>
        </w:rPr>
      </w:pPr>
      <w:r/>
      <w:bookmarkStart w:id="128" w:name="_Toc531852639"/>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.16 </w:t>
      </w:r>
      <w:r>
        <w:rPr>
          <w:rFonts w:hint="eastAsia" w:ascii="Times New Roman" w:eastAsia="宋体"/>
          <w:bCs/>
          <w:color w:val="000000"/>
          <w:szCs w:val="24"/>
        </w:rPr>
        <w:t xml:space="preserve">壳体（气箱）材质</w:t>
      </w:r>
      <w:bookmarkEnd w:id="128"/>
      <w:r>
        <w:rPr>
          <w:szCs w:val="24"/>
        </w:rPr>
      </w:r>
      <w:r/>
    </w:p>
    <w:p>
      <w:pPr>
        <w:pStyle w:val="1151"/>
        <w:ind w:firstLine="420"/>
        <w:spacing w:line="312" w:lineRule="exact"/>
        <w:rPr>
          <w:szCs w:val="21"/>
        </w:rPr>
      </w:pPr>
      <w:r>
        <w:rPr>
          <w:szCs w:val="21"/>
        </w:rPr>
        <w:t xml:space="preserve">壳体（气箱）材质的防腐蚀性能不应低于304不锈钢。</w:t>
      </w:r>
      <w:r>
        <w:rPr>
          <w:szCs w:val="21"/>
        </w:rPr>
      </w:r>
      <w:r/>
    </w:p>
    <w:p>
      <w:pPr>
        <w:pStyle w:val="1240"/>
        <w:spacing w:line="306" w:lineRule="exact"/>
        <w:rPr>
          <w:szCs w:val="24"/>
        </w:rPr>
      </w:pPr>
      <w:r/>
      <w:bookmarkStart w:id="129" w:name="_Toc531852640"/>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.17 </w:t>
      </w:r>
      <w:r>
        <w:rPr>
          <w:rFonts w:hint="eastAsia" w:ascii="Times New Roman" w:eastAsia="宋体"/>
          <w:bCs/>
          <w:color w:val="000000"/>
          <w:szCs w:val="24"/>
        </w:rPr>
        <w:t xml:space="preserve">壳体（气箱）材质厚度</w:t>
      </w:r>
      <w:bookmarkEnd w:id="129"/>
      <w:r>
        <w:rPr>
          <w:szCs w:val="24"/>
        </w:rPr>
      </w:r>
      <w:r/>
    </w:p>
    <w:p>
      <w:pPr>
        <w:pStyle w:val="1151"/>
        <w:ind w:firstLine="420"/>
        <w:spacing w:line="312" w:lineRule="exact"/>
        <w:rPr>
          <w:szCs w:val="21"/>
        </w:rPr>
      </w:pPr>
      <w:r>
        <w:rPr>
          <w:szCs w:val="21"/>
        </w:rPr>
        <w:t xml:space="preserve">壳体（气箱）材质标称厚度（mm）≥2mm。</w:t>
      </w:r>
      <w:r>
        <w:rPr>
          <w:szCs w:val="21"/>
        </w:rPr>
      </w:r>
      <w:r/>
    </w:p>
    <w:p>
      <w:pPr>
        <w:pStyle w:val="1240"/>
        <w:spacing w:line="306" w:lineRule="exact"/>
        <w:rPr>
          <w:szCs w:val="24"/>
        </w:rPr>
      </w:pPr>
      <w:r/>
      <w:bookmarkStart w:id="130" w:name="_Toc531852641"/>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.18 </w:t>
      </w:r>
      <w:r>
        <w:rPr>
          <w:rFonts w:hint="eastAsia" w:ascii="Times New Roman" w:eastAsia="宋体"/>
          <w:bCs/>
          <w:color w:val="000000"/>
          <w:szCs w:val="24"/>
        </w:rPr>
        <w:t xml:space="preserve">柜体框架材质</w:t>
      </w:r>
      <w:bookmarkEnd w:id="130"/>
      <w:r>
        <w:rPr>
          <w:szCs w:val="24"/>
        </w:rPr>
      </w:r>
      <w:r/>
    </w:p>
    <w:p>
      <w:pPr>
        <w:pStyle w:val="1151"/>
        <w:ind w:firstLine="420"/>
        <w:spacing w:line="312" w:lineRule="exact"/>
        <w:rPr>
          <w:szCs w:val="21"/>
        </w:rPr>
      </w:pPr>
      <w:r>
        <w:rPr>
          <w:szCs w:val="21"/>
        </w:rPr>
        <w:t xml:space="preserve">柜体框架材质采用敷铝锌板（镀锌层厚度达到AZ150及以上，可按照《GB/T 14978 连续热镀铝锌合金镀层钢板及钢带》）或镀锌钢板（牌号为：DX51D+Z275，可按照《GB/T 2518-2008 连续热镀锌钢板及钢带》）。</w:t>
      </w:r>
      <w:r>
        <w:rPr>
          <w:szCs w:val="21"/>
        </w:rPr>
      </w:r>
      <w:r/>
    </w:p>
    <w:p>
      <w:pPr>
        <w:pStyle w:val="1240"/>
        <w:spacing w:line="306" w:lineRule="exact"/>
        <w:rPr>
          <w:bCs/>
        </w:rPr>
      </w:pPr>
      <w:r/>
      <w:bookmarkStart w:id="131" w:name="_Toc531852642"/>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.19 </w:t>
      </w:r>
      <w:r>
        <w:rPr>
          <w:rFonts w:hint="eastAsia" w:ascii="Times New Roman" w:eastAsia="宋体"/>
          <w:bCs/>
          <w:color w:val="000000"/>
          <w:szCs w:val="24"/>
        </w:rPr>
        <w:t xml:space="preserve">柜体材质厚度</w:t>
      </w:r>
      <w:bookmarkEnd w:id="131"/>
      <w:r>
        <w:rPr>
          <w:bCs/>
        </w:rPr>
      </w:r>
      <w:r/>
    </w:p>
    <w:p>
      <w:pPr>
        <w:pStyle w:val="1151"/>
        <w:ind w:firstLine="420"/>
        <w:spacing w:line="312" w:lineRule="exact"/>
        <w:rPr>
          <w:szCs w:val="21"/>
        </w:rPr>
      </w:pPr>
      <w:r>
        <w:rPr>
          <w:szCs w:val="21"/>
        </w:rPr>
        <w:t xml:space="preserve">板材框架材质标称厚度≥2mm，尺寸允许偏差满足《GB/T 708冷轧钢板和钢带的尺寸、外形、重量及允许偏差》的B级精度要求。</w:t>
      </w:r>
      <w:r>
        <w:rPr>
          <w:szCs w:val="21"/>
        </w:rPr>
      </w:r>
      <w:r/>
    </w:p>
    <w:p>
      <w:pPr>
        <w:pStyle w:val="1240"/>
        <w:spacing w:line="306" w:lineRule="exact"/>
        <w:rPr>
          <w:szCs w:val="24"/>
        </w:rPr>
      </w:pPr>
      <w:r/>
      <w:bookmarkStart w:id="132" w:name="_Toc531852643"/>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.20 </w:t>
      </w:r>
      <w:r>
        <w:rPr>
          <w:rFonts w:hint="eastAsia" w:ascii="Times New Roman" w:eastAsia="宋体"/>
          <w:bCs/>
          <w:color w:val="000000"/>
          <w:szCs w:val="24"/>
        </w:rPr>
        <w:t xml:space="preserve">门板材质</w:t>
      </w:r>
      <w:bookmarkEnd w:id="132"/>
      <w:r>
        <w:rPr>
          <w:szCs w:val="24"/>
        </w:rPr>
      </w:r>
      <w:r/>
    </w:p>
    <w:p>
      <w:pPr>
        <w:pStyle w:val="1151"/>
        <w:ind w:firstLine="420"/>
        <w:spacing w:line="312" w:lineRule="exact"/>
        <w:rPr>
          <w:szCs w:val="21"/>
        </w:rPr>
      </w:pPr>
      <w:r>
        <w:rPr>
          <w:szCs w:val="21"/>
        </w:rPr>
        <w:t xml:space="preserve">门板材质为冷轧钢板或敷铝锌板，表面进行喷涂，并满足附着力要求。</w:t>
      </w:r>
      <w:r>
        <w:rPr>
          <w:szCs w:val="21"/>
        </w:rPr>
      </w:r>
      <w:r/>
    </w:p>
    <w:p>
      <w:pPr>
        <w:pStyle w:val="1240"/>
        <w:spacing w:line="306" w:lineRule="exact"/>
        <w:rPr>
          <w:szCs w:val="24"/>
        </w:rPr>
      </w:pPr>
      <w:r/>
      <w:bookmarkStart w:id="133" w:name="_Toc531852644"/>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.21 </w:t>
      </w:r>
      <w:r>
        <w:rPr>
          <w:rFonts w:hint="eastAsia" w:ascii="Times New Roman" w:eastAsia="宋体"/>
          <w:bCs/>
          <w:color w:val="000000"/>
          <w:szCs w:val="24"/>
        </w:rPr>
        <w:t xml:space="preserve">门板材质厚度</w:t>
      </w:r>
      <w:bookmarkEnd w:id="133"/>
      <w:r>
        <w:rPr>
          <w:szCs w:val="24"/>
        </w:rPr>
      </w:r>
      <w:r/>
    </w:p>
    <w:p>
      <w:pPr>
        <w:pStyle w:val="1151"/>
        <w:ind w:firstLine="420"/>
        <w:spacing w:line="312" w:lineRule="exact"/>
        <w:rPr>
          <w:szCs w:val="21"/>
        </w:rPr>
      </w:pPr>
      <w:r>
        <w:rPr>
          <w:szCs w:val="21"/>
        </w:rPr>
        <w:t xml:space="preserve">仪表室、机构室、电缆室门板材质标称厚度≥2mm，电缆室门无观察窗，尺寸允许偏差满足《GB/T 708冷轧钢板和钢带的尺寸、外形、重量及允许偏差》的B级精度要求。</w:t>
      </w:r>
      <w:r>
        <w:rPr>
          <w:szCs w:val="21"/>
        </w:rPr>
      </w:r>
      <w:r/>
    </w:p>
    <w:p>
      <w:pPr>
        <w:pStyle w:val="1240"/>
        <w:spacing w:line="306" w:lineRule="exact"/>
        <w:rPr>
          <w:szCs w:val="24"/>
        </w:rPr>
      </w:pPr>
      <w:r/>
      <w:bookmarkStart w:id="134" w:name="_Toc531852645"/>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.22 </w:t>
      </w:r>
      <w:r>
        <w:rPr>
          <w:rFonts w:hint="eastAsia" w:ascii="Times New Roman" w:eastAsia="宋体"/>
          <w:bCs/>
          <w:color w:val="000000"/>
          <w:szCs w:val="24"/>
        </w:rPr>
        <w:t xml:space="preserve">柜体防护等级</w:t>
      </w:r>
      <w:bookmarkEnd w:id="134"/>
      <w:r>
        <w:rPr>
          <w:szCs w:val="24"/>
        </w:rPr>
      </w:r>
      <w:r/>
    </w:p>
    <w:p>
      <w:pPr>
        <w:pStyle w:val="1151"/>
        <w:ind w:firstLine="420"/>
        <w:spacing w:line="312" w:lineRule="exact"/>
        <w:rPr>
          <w:szCs w:val="21"/>
        </w:rPr>
      </w:pPr>
      <w:r>
        <w:rPr>
          <w:szCs w:val="21"/>
        </w:rPr>
        <w:t xml:space="preserve">柜体外壳防护等级为IP4X，柜内隔室间不小于IP2X。</w:t>
      </w:r>
      <w:r>
        <w:rPr>
          <w:szCs w:val="21"/>
        </w:rPr>
      </w:r>
      <w:r/>
    </w:p>
    <w:p>
      <w:pPr>
        <w:pStyle w:val="1240"/>
        <w:spacing w:line="306" w:lineRule="exact"/>
        <w:rPr>
          <w:szCs w:val="24"/>
        </w:rPr>
      </w:pPr>
      <w:r/>
      <w:bookmarkStart w:id="135" w:name="_Toc531852646"/>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.23 </w:t>
      </w:r>
      <w:r>
        <w:rPr>
          <w:rFonts w:hint="eastAsia" w:ascii="Times New Roman" w:eastAsia="宋体"/>
          <w:bCs/>
          <w:color w:val="000000"/>
          <w:szCs w:val="24"/>
        </w:rPr>
        <w:t xml:space="preserve">主母线扩展方式</w:t>
      </w:r>
      <w:bookmarkEnd w:id="135"/>
      <w:r>
        <w:rPr>
          <w:szCs w:val="24"/>
        </w:rPr>
      </w:r>
      <w:r/>
    </w:p>
    <w:p>
      <w:pPr>
        <w:pStyle w:val="1151"/>
        <w:ind w:firstLine="420"/>
        <w:spacing w:line="312" w:lineRule="exact"/>
        <w:rPr>
          <w:szCs w:val="21"/>
        </w:rPr>
      </w:pPr>
      <w:r>
        <w:rPr>
          <w:szCs w:val="21"/>
        </w:rPr>
        <w:t xml:space="preserve">主母线扩展方式可采用顶扩或侧扩方式。扩展母线的设计安装应抵消环网柜本体现场安装后形成的相关累积误差，满足运行可靠性的要求，如采用弹簧触指或具有适度柔性的扩展母线等。</w:t>
      </w:r>
      <w:r>
        <w:rPr>
          <w:szCs w:val="21"/>
        </w:rPr>
      </w:r>
      <w:r/>
    </w:p>
    <w:p>
      <w:pPr>
        <w:pStyle w:val="1240"/>
        <w:spacing w:line="306" w:lineRule="exact"/>
        <w:rPr>
          <w:szCs w:val="24"/>
        </w:rPr>
      </w:pPr>
      <w:r/>
      <w:bookmarkStart w:id="136" w:name="_Toc531852647"/>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.24 </w:t>
      </w:r>
      <w:r>
        <w:rPr>
          <w:rFonts w:hint="eastAsia" w:ascii="Times New Roman" w:eastAsia="宋体"/>
          <w:bCs/>
          <w:color w:val="000000"/>
          <w:szCs w:val="24"/>
        </w:rPr>
        <w:t xml:space="preserve">可接最多一次电缆数（每相）</w:t>
      </w:r>
      <w:bookmarkEnd w:id="136"/>
      <w:r>
        <w:rPr>
          <w:szCs w:val="24"/>
        </w:rPr>
      </w:r>
      <w:r/>
    </w:p>
    <w:p>
      <w:pPr>
        <w:pStyle w:val="1151"/>
        <w:ind w:firstLine="420"/>
        <w:spacing w:line="312" w:lineRule="exact"/>
        <w:rPr>
          <w:szCs w:val="21"/>
        </w:rPr>
      </w:pPr>
      <w:r>
        <w:rPr>
          <w:szCs w:val="21"/>
        </w:rPr>
        <w:t xml:space="preserve">每相最多可接一次电缆1根。</w:t>
      </w:r>
      <w:r>
        <w:rPr>
          <w:szCs w:val="21"/>
        </w:rPr>
      </w:r>
      <w:r/>
    </w:p>
    <w:p>
      <w:pPr>
        <w:pStyle w:val="1240"/>
        <w:spacing w:line="306" w:lineRule="exact"/>
        <w:rPr>
          <w:szCs w:val="24"/>
        </w:rPr>
      </w:pPr>
      <w:r/>
      <w:bookmarkStart w:id="137" w:name="_Toc531852648"/>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.25 </w:t>
      </w:r>
      <w:r>
        <w:rPr>
          <w:rFonts w:hint="eastAsia" w:ascii="Times New Roman" w:eastAsia="宋体"/>
          <w:bCs/>
          <w:color w:val="000000"/>
          <w:szCs w:val="24"/>
        </w:rPr>
        <w:t xml:space="preserve">一次电缆接线高度</w:t>
      </w:r>
      <w:bookmarkEnd w:id="137"/>
      <w:r>
        <w:rPr>
          <w:szCs w:val="24"/>
        </w:rPr>
      </w:r>
      <w:r/>
    </w:p>
    <w:p>
      <w:pPr>
        <w:pStyle w:val="1151"/>
        <w:ind w:firstLine="420"/>
        <w:spacing w:line="312" w:lineRule="exact"/>
        <w:rPr>
          <w:szCs w:val="21"/>
        </w:rPr>
      </w:pPr>
      <w:r>
        <w:rPr>
          <w:szCs w:val="21"/>
        </w:rPr>
        <w:t xml:space="preserve">一次电缆接线高度≥650mm。</w:t>
      </w:r>
      <w:r>
        <w:rPr>
          <w:szCs w:val="21"/>
        </w:rPr>
      </w:r>
      <w:r/>
    </w:p>
    <w:p>
      <w:pPr>
        <w:pStyle w:val="1240"/>
        <w:spacing w:line="306" w:lineRule="exact"/>
        <w:rPr>
          <w:szCs w:val="24"/>
        </w:rPr>
      </w:pPr>
      <w:r/>
      <w:bookmarkStart w:id="138" w:name="_Toc531852649"/>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.26 </w:t>
      </w:r>
      <w:r>
        <w:rPr>
          <w:rFonts w:hint="eastAsia" w:ascii="Times New Roman" w:eastAsia="宋体"/>
          <w:bCs/>
          <w:color w:val="000000"/>
          <w:szCs w:val="24"/>
        </w:rPr>
        <w:t xml:space="preserve">一次电缆排列方式</w:t>
      </w:r>
      <w:bookmarkEnd w:id="138"/>
      <w:r>
        <w:rPr>
          <w:szCs w:val="24"/>
        </w:rPr>
      </w:r>
      <w:r/>
    </w:p>
    <w:p>
      <w:pPr>
        <w:pStyle w:val="1151"/>
        <w:ind w:firstLine="420"/>
        <w:spacing w:line="312" w:lineRule="exact"/>
        <w:rPr>
          <w:szCs w:val="21"/>
        </w:rPr>
      </w:pPr>
      <w:r>
        <w:rPr>
          <w:szCs w:val="21"/>
        </w:rPr>
        <w:t xml:space="preserve">一次电缆排列方式为水平一字型。柜前看，从左至右依次为A、B、C相，并应有相位标识，且标识应不易氧化脱落。</w:t>
      </w:r>
      <w:r>
        <w:rPr>
          <w:szCs w:val="21"/>
        </w:rPr>
      </w:r>
      <w:r/>
    </w:p>
    <w:p>
      <w:pPr>
        <w:pStyle w:val="1240"/>
        <w:spacing w:line="306" w:lineRule="exact"/>
        <w:rPr>
          <w:szCs w:val="24"/>
        </w:rPr>
      </w:pPr>
      <w:r/>
      <w:bookmarkStart w:id="139" w:name="_Toc531852650"/>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.27 </w:t>
      </w:r>
      <w:r>
        <w:rPr>
          <w:rFonts w:hint="eastAsia" w:ascii="Times New Roman" w:eastAsia="宋体"/>
          <w:bCs/>
          <w:color w:val="000000"/>
          <w:szCs w:val="24"/>
        </w:rPr>
        <w:t xml:space="preserve">一次电缆固定位置</w:t>
      </w:r>
      <w:bookmarkEnd w:id="139"/>
      <w:r>
        <w:rPr>
          <w:szCs w:val="24"/>
        </w:rPr>
      </w:r>
      <w:r/>
    </w:p>
    <w:p>
      <w:pPr>
        <w:pStyle w:val="1151"/>
        <w:ind w:firstLine="420"/>
        <w:spacing w:line="312" w:lineRule="exact"/>
        <w:rPr>
          <w:szCs w:val="21"/>
        </w:rPr>
      </w:pPr>
      <w:r>
        <w:rPr>
          <w:szCs w:val="21"/>
        </w:rPr>
        <w:t xml:space="preserve">一次电缆固定位置应设置在电缆隔室内。柜内电缆应两点固定，其中电缆室入口处应设置固定点。如图3所示。</w:t>
      </w:r>
      <w:r>
        <w:rPr>
          <w:szCs w:val="21"/>
        </w:rPr>
      </w:r>
      <w:r/>
    </w:p>
    <w:p>
      <w:pPr>
        <w:pStyle w:val="1240"/>
        <w:spacing w:line="306" w:lineRule="exact"/>
        <w:rPr>
          <w:szCs w:val="24"/>
        </w:rPr>
      </w:pPr>
      <w:r/>
      <w:bookmarkStart w:id="140" w:name="_Toc531852651"/>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.28 </w:t>
      </w:r>
      <w:r>
        <w:rPr>
          <w:rFonts w:hint="eastAsia" w:ascii="Times New Roman" w:eastAsia="宋体"/>
          <w:bCs/>
          <w:color w:val="000000"/>
          <w:szCs w:val="24"/>
        </w:rPr>
        <w:t xml:space="preserve">一次电缆孔直径</w:t>
      </w:r>
      <w:bookmarkEnd w:id="140"/>
      <w:r>
        <w:rPr>
          <w:szCs w:val="24"/>
        </w:rPr>
      </w:r>
      <w:r/>
    </w:p>
    <w:p>
      <w:pPr>
        <w:pStyle w:val="1151"/>
        <w:ind w:firstLine="420"/>
        <w:spacing w:line="312" w:lineRule="exact"/>
        <w:rPr>
          <w:szCs w:val="21"/>
        </w:rPr>
      </w:pPr>
      <w:r>
        <w:rPr>
          <w:szCs w:val="21"/>
        </w:rPr>
        <w:t xml:space="preserve">一次电缆孔直径为Φ110mm或Φ150mm（根据电缆尺寸选择）。</w:t>
      </w:r>
      <w:r>
        <w:rPr>
          <w:szCs w:val="21"/>
        </w:rPr>
      </w:r>
      <w:r/>
    </w:p>
    <w:p>
      <w:pPr>
        <w:pStyle w:val="1240"/>
        <w:spacing w:line="306" w:lineRule="exact"/>
        <w:rPr>
          <w:szCs w:val="24"/>
        </w:rPr>
      </w:pPr>
      <w:r/>
      <w:bookmarkStart w:id="141" w:name="_Toc531852652"/>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.29 </w:t>
      </w:r>
      <w:r>
        <w:rPr>
          <w:rFonts w:hint="eastAsia" w:ascii="Times New Roman" w:eastAsia="宋体"/>
          <w:bCs/>
          <w:color w:val="000000"/>
          <w:szCs w:val="24"/>
        </w:rPr>
        <w:t xml:space="preserve">一次电缆孔位置</w:t>
      </w:r>
      <w:bookmarkEnd w:id="141"/>
      <w:r>
        <w:rPr>
          <w:szCs w:val="24"/>
        </w:rPr>
      </w:r>
      <w:r/>
    </w:p>
    <w:p>
      <w:pPr>
        <w:pStyle w:val="1151"/>
        <w:ind w:firstLine="420"/>
        <w:spacing w:line="312" w:lineRule="exact"/>
        <w:rPr>
          <w:szCs w:val="21"/>
        </w:rPr>
      </w:pPr>
      <w:r>
        <w:rPr>
          <w:szCs w:val="21"/>
        </w:rPr>
        <w:t xml:space="preserve">电缆孔中心与B相套管对齐，并确保电缆垂直。</w:t>
      </w:r>
      <w:r>
        <w:rPr>
          <w:szCs w:val="21"/>
        </w:rPr>
      </w:r>
      <w:r/>
    </w:p>
    <w:p>
      <w:pPr>
        <w:pStyle w:val="1240"/>
        <w:spacing w:line="306" w:lineRule="exact"/>
        <w:rPr>
          <w:szCs w:val="24"/>
        </w:rPr>
      </w:pPr>
      <w:r/>
      <w:bookmarkStart w:id="142" w:name="_Toc531852653"/>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.30 </w:t>
      </w:r>
      <w:r>
        <w:rPr>
          <w:rFonts w:hint="eastAsia" w:ascii="Times New Roman" w:eastAsia="宋体"/>
          <w:bCs/>
          <w:color w:val="000000"/>
          <w:szCs w:val="24"/>
        </w:rPr>
        <w:t xml:space="preserve">一次接地排规格</w:t>
      </w:r>
      <w:bookmarkEnd w:id="142"/>
      <w:r>
        <w:rPr>
          <w:szCs w:val="24"/>
        </w:rPr>
      </w:r>
      <w:r/>
    </w:p>
    <w:p>
      <w:pPr>
        <w:pStyle w:val="1151"/>
        <w:ind w:firstLine="420"/>
        <w:spacing w:line="312" w:lineRule="exact"/>
        <w:rPr>
          <w:szCs w:val="21"/>
        </w:rPr>
      </w:pPr>
      <w:r>
        <w:rPr>
          <w:szCs w:val="21"/>
        </w:rPr>
        <w:t xml:space="preserve">一次接地排规格为矩形铜排TMY-30mm×8mm，一次接地排搭接孔开孔尺寸为2-9×15mm，并柜一次接地搭接排孔距100mm，如图</w:t>
      </w:r>
      <w:r>
        <w:rPr>
          <w:rFonts w:hint="eastAsia"/>
          <w:szCs w:val="21"/>
        </w:rPr>
        <w:t xml:space="preserve">19</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3124175" cy="2047939"/>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3124175" cy="20479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46.0pt;height:161.3pt;mso-wrap-distance-left:0.0pt;mso-wrap-distance-top:0.0pt;mso-wrap-distance-right:0.0pt;mso-wrap-distance-bottom:0.0pt;" stroked="f">
                <v:path textboxrect="0,0,0,0"/>
                <v:imagedata r:id="rId36"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19</w:t>
      </w:r>
      <w:r>
        <w:rPr>
          <w:rFonts w:eastAsia="黑体"/>
          <w:szCs w:val="21"/>
        </w:rPr>
        <w:t xml:space="preserve">接地排开孔位置示意图</w:t>
      </w:r>
      <w:r>
        <w:rPr>
          <w:rFonts w:eastAsia="黑体"/>
          <w:szCs w:val="21"/>
        </w:rPr>
      </w:r>
      <w:r/>
    </w:p>
    <w:p>
      <w:pPr>
        <w:pStyle w:val="1151"/>
        <w:jc w:val="center"/>
        <w:spacing w:line="312" w:lineRule="exact"/>
        <w:rPr>
          <w:rFonts w:eastAsia="黑体"/>
          <w:szCs w:val="21"/>
        </w:rPr>
      </w:pPr>
      <w:r>
        <w:rPr>
          <w:rFonts w:eastAsia="黑体"/>
          <w:szCs w:val="21"/>
        </w:rPr>
      </w:r>
      <w:r/>
    </w:p>
    <w:p>
      <w:pPr>
        <w:pStyle w:val="1240"/>
        <w:spacing w:line="306" w:lineRule="exact"/>
        <w:rPr>
          <w:szCs w:val="24"/>
        </w:rPr>
      </w:pPr>
      <w:r/>
      <w:bookmarkStart w:id="143" w:name="_Toc531852654"/>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.31 </w:t>
      </w:r>
      <w:r>
        <w:rPr>
          <w:rFonts w:hint="eastAsia" w:ascii="Times New Roman" w:eastAsia="宋体"/>
          <w:bCs/>
          <w:color w:val="000000"/>
          <w:szCs w:val="24"/>
        </w:rPr>
        <w:t xml:space="preserve">一次接地排贯穿孔</w:t>
      </w:r>
      <w:bookmarkEnd w:id="143"/>
      <w:r>
        <w:rPr>
          <w:szCs w:val="24"/>
        </w:rPr>
      </w:r>
      <w:r/>
    </w:p>
    <w:p>
      <w:pPr>
        <w:pStyle w:val="1151"/>
        <w:ind w:firstLine="420"/>
        <w:spacing w:line="312" w:lineRule="exact"/>
        <w:rPr>
          <w:szCs w:val="21"/>
        </w:rPr>
      </w:pPr>
      <w:r>
        <w:rPr>
          <w:szCs w:val="21"/>
        </w:rPr>
        <w:t xml:space="preserve">一次接地排贯穿孔尺寸为长方孔12×40mm，孔中心距前框架75mm，距底框架54mm，如图</w:t>
      </w:r>
      <w:r>
        <w:rPr>
          <w:rFonts w:hint="eastAsia"/>
          <w:szCs w:val="21"/>
        </w:rPr>
        <w:t xml:space="preserve">20</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4248074" cy="2562416"/>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4248074" cy="25624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334.5pt;height:201.8pt;mso-wrap-distance-left:0.0pt;mso-wrap-distance-top:0.0pt;mso-wrap-distance-right:0.0pt;mso-wrap-distance-bottom:0.0pt;" stroked="f">
                <v:path textboxrect="0,0,0,0"/>
                <v:imagedata r:id="rId37"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20</w:t>
      </w:r>
      <w:r>
        <w:rPr>
          <w:rFonts w:eastAsia="黑体"/>
          <w:szCs w:val="21"/>
        </w:rPr>
        <w:t xml:space="preserve">一次接地排在柜体贯穿孔尺寸及位置示意图</w:t>
      </w:r>
      <w:r>
        <w:rPr>
          <w:rFonts w:eastAsia="黑体"/>
          <w:szCs w:val="21"/>
        </w:rPr>
      </w:r>
      <w:r/>
    </w:p>
    <w:p>
      <w:pPr>
        <w:pStyle w:val="1151"/>
        <w:jc w:val="center"/>
        <w:spacing w:line="312" w:lineRule="exact"/>
        <w:rPr>
          <w:rFonts w:eastAsia="黑体"/>
          <w:szCs w:val="21"/>
        </w:rPr>
      </w:pPr>
      <w:r>
        <w:rPr>
          <w:rFonts w:eastAsia="黑体"/>
          <w:szCs w:val="21"/>
        </w:rPr>
      </w:r>
      <w:r/>
    </w:p>
    <w:p>
      <w:pPr>
        <w:pStyle w:val="1240"/>
        <w:spacing w:line="306" w:lineRule="exact"/>
        <w:rPr>
          <w:szCs w:val="24"/>
        </w:rPr>
      </w:pPr>
      <w:r/>
      <w:bookmarkStart w:id="144" w:name="_Toc531852655"/>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.32 </w:t>
      </w:r>
      <w:r>
        <w:rPr>
          <w:rFonts w:hint="eastAsia" w:ascii="Times New Roman" w:eastAsia="宋体"/>
          <w:bCs/>
          <w:color w:val="000000"/>
          <w:szCs w:val="24"/>
        </w:rPr>
        <w:t xml:space="preserve">仪表箱二次走线孔</w:t>
      </w:r>
      <w:bookmarkEnd w:id="144"/>
      <w:r>
        <w:rPr>
          <w:szCs w:val="24"/>
        </w:rPr>
      </w:r>
      <w:r/>
    </w:p>
    <w:p>
      <w:pPr>
        <w:pStyle w:val="1151"/>
        <w:ind w:firstLine="420"/>
        <w:spacing w:line="312" w:lineRule="exact"/>
        <w:rPr>
          <w:szCs w:val="21"/>
        </w:rPr>
      </w:pPr>
      <w:r>
        <w:rPr>
          <w:szCs w:val="21"/>
        </w:rPr>
        <w:t xml:space="preserve">仪表箱二次过线孔采用横向长圆孔，尺寸为50×120mm长圆孔。中心位置距前框架100mm，距仪表箱顶面300mm。如图</w:t>
      </w:r>
      <w:r>
        <w:rPr>
          <w:rFonts w:hint="eastAsia"/>
          <w:szCs w:val="21"/>
        </w:rPr>
        <w:t xml:space="preserve">21</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2066874" cy="2067014"/>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rcRect l="27698" t="0" r="29378" b="0"/>
                        <a:stretch/>
                      </pic:blipFill>
                      <pic:spPr bwMode="auto">
                        <a:xfrm>
                          <a:off x="0" y="0"/>
                          <a:ext cx="2066874" cy="20670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62.7pt;height:162.8pt;mso-wrap-distance-left:0.0pt;mso-wrap-distance-top:0.0pt;mso-wrap-distance-right:0.0pt;mso-wrap-distance-bottom:0.0pt;" stroked="f">
                <v:path textboxrect="0,0,0,0"/>
                <v:imagedata r:id="rId38"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21</w:t>
      </w:r>
      <w:r>
        <w:rPr>
          <w:rFonts w:eastAsia="黑体"/>
          <w:szCs w:val="21"/>
        </w:rPr>
        <w:t xml:space="preserve">仪表箱二次走线孔示意图</w:t>
      </w:r>
      <w:r>
        <w:rPr>
          <w:rFonts w:eastAsia="黑体"/>
          <w:szCs w:val="21"/>
        </w:rPr>
      </w:r>
      <w:r/>
    </w:p>
    <w:p>
      <w:pPr>
        <w:pStyle w:val="1151"/>
        <w:jc w:val="center"/>
        <w:spacing w:line="312" w:lineRule="exact"/>
        <w:rPr>
          <w:rFonts w:eastAsia="黑体"/>
          <w:szCs w:val="21"/>
        </w:rPr>
      </w:pPr>
      <w:r>
        <w:rPr>
          <w:rFonts w:eastAsia="黑体"/>
          <w:szCs w:val="21"/>
        </w:rPr>
      </w:r>
      <w:r/>
    </w:p>
    <w:p>
      <w:pPr>
        <w:pStyle w:val="1240"/>
        <w:spacing w:line="306" w:lineRule="exact"/>
        <w:rPr>
          <w:szCs w:val="24"/>
        </w:rPr>
      </w:pPr>
      <w:r/>
      <w:bookmarkStart w:id="145" w:name="_Toc531852656"/>
      <w:r>
        <w:rPr>
          <w:rFonts w:ascii="Times New Roman" w:eastAsia="宋体"/>
          <w:color w:val="000000"/>
          <w:szCs w:val="24"/>
        </w:rPr>
        <w:t xml:space="preserve">5.</w:t>
      </w:r>
      <w:r>
        <w:rPr>
          <w:rFonts w:hint="eastAsia" w:ascii="Times New Roman" w:eastAsia="宋体"/>
          <w:color w:val="000000"/>
          <w:szCs w:val="24"/>
        </w:rPr>
        <w:t xml:space="preserve">2.4</w:t>
      </w:r>
      <w:r>
        <w:rPr>
          <w:rFonts w:ascii="Times New Roman" w:eastAsia="宋体"/>
          <w:bCs/>
          <w:color w:val="000000"/>
          <w:szCs w:val="24"/>
        </w:rPr>
        <w:t xml:space="preserve">.33 </w:t>
      </w:r>
      <w:r>
        <w:rPr>
          <w:rFonts w:hint="eastAsia" w:ascii="Times New Roman" w:eastAsia="宋体"/>
          <w:bCs/>
          <w:color w:val="000000"/>
          <w:szCs w:val="24"/>
        </w:rPr>
        <w:t xml:space="preserve">地脚开孔位置</w:t>
      </w:r>
      <w:bookmarkEnd w:id="145"/>
      <w:r>
        <w:rPr>
          <w:szCs w:val="24"/>
        </w:rPr>
      </w:r>
      <w:r/>
    </w:p>
    <w:p>
      <w:pPr>
        <w:pStyle w:val="1151"/>
        <w:ind w:firstLine="420"/>
        <w:spacing w:line="312" w:lineRule="exact"/>
        <w:rPr>
          <w:szCs w:val="21"/>
        </w:rPr>
      </w:pPr>
      <w:r>
        <w:rPr>
          <w:szCs w:val="21"/>
        </w:rPr>
        <w:t xml:space="preserve">单元柜地脚位置从底框架看，且不包含柜门的尺寸为：</w:t>
      </w:r>
      <w:r>
        <w:rPr>
          <w:szCs w:val="21"/>
        </w:rPr>
      </w:r>
      <w:r/>
    </w:p>
    <w:p>
      <w:pPr>
        <w:pStyle w:val="1151"/>
        <w:ind w:firstLine="420"/>
        <w:spacing w:line="312" w:lineRule="exact"/>
        <w:rPr>
          <w:szCs w:val="21"/>
        </w:rPr>
      </w:pPr>
      <w:r>
        <w:rPr>
          <w:szCs w:val="21"/>
        </w:rPr>
        <w:t xml:space="preserve">M1=50mm；M2=150mm。</w:t>
      </w:r>
      <w:r>
        <w:rPr>
          <w:szCs w:val="21"/>
        </w:rPr>
      </w:r>
      <w:r/>
    </w:p>
    <w:p>
      <w:pPr>
        <w:pStyle w:val="1151"/>
        <w:ind w:firstLine="420"/>
        <w:spacing w:line="312" w:lineRule="exact"/>
        <w:rPr>
          <w:szCs w:val="21"/>
        </w:rPr>
      </w:pPr>
      <w:r>
        <w:rPr>
          <w:szCs w:val="21"/>
        </w:rPr>
        <w:t xml:space="preserve">L1=L2=20mm。</w:t>
      </w:r>
      <w:r>
        <w:rPr>
          <w:szCs w:val="21"/>
        </w:rPr>
      </w:r>
      <w:r/>
    </w:p>
    <w:p>
      <w:pPr>
        <w:pStyle w:val="1151"/>
        <w:ind w:firstLine="420"/>
        <w:spacing w:line="312" w:lineRule="exact"/>
        <w:rPr>
          <w:szCs w:val="21"/>
        </w:rPr>
      </w:pPr>
      <w:r>
        <w:rPr>
          <w:szCs w:val="21"/>
        </w:rPr>
        <w:t xml:space="preserve">地脚开孔尺寸为4-Ф13mm。如图</w:t>
      </w:r>
      <w:r>
        <w:rPr>
          <w:rFonts w:hint="eastAsia"/>
          <w:szCs w:val="21"/>
        </w:rPr>
        <w:t xml:space="preserve">22</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2990850" cy="1380896"/>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rcRect l="0" t="4341" r="0" b="-13"/>
                        <a:stretch/>
                      </pic:blipFill>
                      <pic:spPr bwMode="auto">
                        <a:xfrm>
                          <a:off x="0" y="0"/>
                          <a:ext cx="2990850" cy="13808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235.5pt;height:108.7pt;mso-wrap-distance-left:0.0pt;mso-wrap-distance-top:0.0pt;mso-wrap-distance-right:0.0pt;mso-wrap-distance-bottom:0.0pt;" stroked="f">
                <v:path textboxrect="0,0,0,0"/>
                <v:imagedata r:id="rId39"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22</w:t>
      </w:r>
      <w:r>
        <w:rPr>
          <w:rFonts w:eastAsia="黑体"/>
          <w:szCs w:val="21"/>
        </w:rPr>
        <w:t xml:space="preserve">地脚开孔示意图</w:t>
      </w:r>
      <w:r>
        <w:rPr>
          <w:rFonts w:eastAsia="黑体"/>
          <w:szCs w:val="21"/>
        </w:rPr>
      </w:r>
      <w:r/>
    </w:p>
    <w:p>
      <w:pPr>
        <w:pStyle w:val="1151"/>
        <w:jc w:val="center"/>
        <w:spacing w:line="312" w:lineRule="exact"/>
        <w:rPr>
          <w:rFonts w:eastAsia="黑体"/>
          <w:szCs w:val="21"/>
        </w:rPr>
      </w:pPr>
      <w:r>
        <w:rPr>
          <w:rFonts w:eastAsia="黑体"/>
          <w:szCs w:val="21"/>
        </w:rPr>
      </w:r>
      <w:r/>
    </w:p>
    <w:p>
      <w:pPr>
        <w:pStyle w:val="1240"/>
        <w:spacing w:line="306" w:lineRule="exact"/>
        <w:rPr>
          <w:rFonts w:ascii="Times New Roman" w:eastAsia="宋体"/>
          <w:bCs/>
          <w:color w:val="000000"/>
          <w:szCs w:val="24"/>
        </w:rPr>
      </w:pPr>
      <w:r/>
      <w:bookmarkStart w:id="146" w:name="_Toc531852657"/>
      <w:r>
        <w:rPr>
          <w:rFonts w:ascii="Times New Roman" w:eastAsia="宋体"/>
          <w:bCs/>
          <w:color w:val="000000"/>
          <w:szCs w:val="24"/>
        </w:rPr>
        <w:t xml:space="preserve">5.</w:t>
      </w:r>
      <w:r>
        <w:rPr>
          <w:rFonts w:hint="eastAsia" w:ascii="Times New Roman" w:eastAsia="宋体"/>
          <w:bCs/>
          <w:color w:val="000000"/>
          <w:szCs w:val="24"/>
        </w:rPr>
        <w:t xml:space="preserve">2.4</w:t>
      </w:r>
      <w:r>
        <w:rPr>
          <w:rFonts w:ascii="Times New Roman" w:eastAsia="宋体"/>
          <w:bCs/>
          <w:color w:val="000000"/>
          <w:szCs w:val="24"/>
        </w:rPr>
        <w:t xml:space="preserve">.34 </w:t>
      </w:r>
      <w:r>
        <w:rPr>
          <w:rFonts w:hint="eastAsia" w:ascii="Times New Roman" w:eastAsia="宋体"/>
          <w:bCs/>
          <w:color w:val="000000"/>
          <w:szCs w:val="24"/>
        </w:rPr>
        <w:t xml:space="preserve">压力释放通道方向</w:t>
      </w:r>
      <w:bookmarkEnd w:id="146"/>
      <w:r>
        <w:rPr>
          <w:rFonts w:ascii="Times New Roman" w:eastAsia="宋体"/>
          <w:bCs/>
          <w:color w:val="000000"/>
          <w:szCs w:val="24"/>
        </w:rPr>
      </w:r>
      <w:r/>
    </w:p>
    <w:p>
      <w:pPr>
        <w:pStyle w:val="1151"/>
        <w:ind w:firstLine="420"/>
        <w:spacing w:line="312" w:lineRule="exact"/>
        <w:rPr>
          <w:szCs w:val="21"/>
        </w:rPr>
      </w:pPr>
      <w:r>
        <w:rPr>
          <w:szCs w:val="21"/>
        </w:rPr>
        <w:t xml:space="preserve">压力释放通道方向朝向电缆沟。</w:t>
      </w:r>
      <w:r>
        <w:rPr>
          <w:szCs w:val="21"/>
        </w:rPr>
      </w:r>
      <w:r/>
    </w:p>
    <w:p>
      <w:pPr>
        <w:pStyle w:val="1240"/>
        <w:spacing w:line="306" w:lineRule="exact"/>
        <w:rPr>
          <w:rFonts w:ascii="Times New Roman" w:eastAsia="宋体"/>
          <w:bCs/>
          <w:color w:val="000000"/>
          <w:szCs w:val="24"/>
        </w:rPr>
      </w:pPr>
      <w:r/>
      <w:bookmarkStart w:id="147" w:name="_Toc531852658"/>
      <w:r>
        <w:rPr>
          <w:rFonts w:ascii="Times New Roman" w:eastAsia="宋体"/>
          <w:bCs/>
          <w:color w:val="000000"/>
          <w:szCs w:val="24"/>
        </w:rPr>
        <w:t xml:space="preserve">5.</w:t>
      </w:r>
      <w:r>
        <w:rPr>
          <w:rFonts w:hint="eastAsia" w:ascii="Times New Roman" w:eastAsia="宋体"/>
          <w:bCs/>
          <w:color w:val="000000"/>
          <w:szCs w:val="24"/>
        </w:rPr>
        <w:t xml:space="preserve">2.4</w:t>
      </w:r>
      <w:r>
        <w:rPr>
          <w:rFonts w:ascii="Times New Roman" w:eastAsia="宋体"/>
          <w:bCs/>
          <w:color w:val="000000"/>
          <w:szCs w:val="24"/>
        </w:rPr>
        <w:t xml:space="preserve">.35 </w:t>
      </w:r>
      <w:r>
        <w:rPr>
          <w:rFonts w:hint="eastAsia" w:ascii="Times New Roman" w:eastAsia="宋体"/>
          <w:bCs/>
          <w:color w:val="000000"/>
          <w:szCs w:val="24"/>
        </w:rPr>
        <w:t xml:space="preserve">基础槽钢</w:t>
      </w:r>
      <w:bookmarkEnd w:id="147"/>
      <w:r>
        <w:rPr>
          <w:rFonts w:ascii="Times New Roman" w:eastAsia="宋体"/>
          <w:bCs/>
          <w:color w:val="000000"/>
          <w:szCs w:val="24"/>
        </w:rPr>
      </w:r>
      <w:r/>
    </w:p>
    <w:p>
      <w:pPr>
        <w:pStyle w:val="1151"/>
        <w:ind w:firstLine="420"/>
        <w:spacing w:line="312" w:lineRule="exact"/>
        <w:rPr>
          <w:szCs w:val="21"/>
        </w:rPr>
      </w:pPr>
      <w:r>
        <w:rPr>
          <w:szCs w:val="21"/>
        </w:rPr>
        <w:t xml:space="preserve">基础槽钢为10#热镀锌槽钢，扣放，基础按柜深750mm设计，深度方向间距750mm（槽钢外檐）。槽钢固定孔为M12螺纹孔。柜体框架与前槽钢对齐。</w:t>
      </w:r>
      <w:r>
        <w:rPr>
          <w:szCs w:val="21"/>
        </w:rPr>
      </w:r>
      <w:r/>
    </w:p>
    <w:p>
      <w:pPr>
        <w:pStyle w:val="1240"/>
        <w:spacing w:line="306" w:lineRule="exact"/>
        <w:rPr>
          <w:rFonts w:ascii="Times New Roman" w:eastAsia="宋体"/>
          <w:bCs/>
          <w:color w:val="000000"/>
          <w:szCs w:val="24"/>
        </w:rPr>
      </w:pPr>
      <w:r/>
      <w:bookmarkStart w:id="148" w:name="_Toc531852659"/>
      <w:r>
        <w:rPr>
          <w:rFonts w:ascii="Times New Roman" w:eastAsia="宋体"/>
          <w:bCs/>
          <w:color w:val="000000"/>
          <w:szCs w:val="24"/>
        </w:rPr>
        <w:t xml:space="preserve">5.</w:t>
      </w:r>
      <w:r>
        <w:rPr>
          <w:rFonts w:hint="eastAsia" w:ascii="Times New Roman" w:eastAsia="宋体"/>
          <w:bCs/>
          <w:color w:val="000000"/>
          <w:szCs w:val="24"/>
        </w:rPr>
        <w:t xml:space="preserve">2.4</w:t>
      </w:r>
      <w:r>
        <w:rPr>
          <w:rFonts w:ascii="Times New Roman" w:eastAsia="宋体"/>
          <w:bCs/>
          <w:color w:val="000000"/>
          <w:szCs w:val="24"/>
        </w:rPr>
        <w:t xml:space="preserve">.36 </w:t>
      </w:r>
      <w:r>
        <w:rPr>
          <w:rFonts w:hint="eastAsia" w:ascii="Times New Roman" w:eastAsia="宋体"/>
          <w:bCs/>
          <w:color w:val="000000"/>
          <w:szCs w:val="24"/>
        </w:rPr>
        <w:t xml:space="preserve">定制尺寸</w:t>
      </w:r>
      <w:bookmarkEnd w:id="148"/>
      <w:r>
        <w:rPr>
          <w:rFonts w:ascii="Times New Roman" w:eastAsia="宋体"/>
          <w:bCs/>
          <w:color w:val="000000"/>
          <w:szCs w:val="24"/>
        </w:rPr>
      </w:r>
      <w:r/>
    </w:p>
    <w:p>
      <w:pPr>
        <w:pStyle w:val="1151"/>
        <w:ind w:firstLine="420"/>
        <w:spacing w:line="312" w:lineRule="exact"/>
        <w:rPr>
          <w:szCs w:val="21"/>
        </w:rPr>
      </w:pPr>
      <w:r>
        <w:rPr>
          <w:rFonts w:hint="eastAsia"/>
          <w:szCs w:val="21"/>
        </w:rPr>
        <w:t xml:space="preserve">对</w:t>
      </w:r>
      <w:r>
        <w:rPr>
          <w:szCs w:val="21"/>
        </w:rPr>
        <w:t xml:space="preserve">于单</w:t>
      </w:r>
      <w:r>
        <w:rPr>
          <w:rFonts w:hint="eastAsia"/>
          <w:szCs w:val="21"/>
        </w:rPr>
        <w:t xml:space="preserve">元</w:t>
      </w:r>
      <w:r>
        <w:rPr>
          <w:szCs w:val="21"/>
        </w:rPr>
        <w:t xml:space="preserve">柜环网柜，应满足不同厂家产品间的通用互换，为此，补充设计如下定制尺寸。</w:t>
      </w:r>
      <w:r>
        <w:rPr>
          <w:szCs w:val="21"/>
        </w:rPr>
      </w:r>
      <w:r/>
    </w:p>
    <w:p>
      <w:pPr>
        <w:pStyle w:val="1240"/>
        <w:spacing w:line="306" w:lineRule="exact"/>
        <w:rPr>
          <w:rFonts w:ascii="Times New Roman" w:eastAsia="宋体"/>
          <w:bCs/>
          <w:color w:val="000000"/>
          <w:szCs w:val="24"/>
        </w:rPr>
      </w:pPr>
      <w:r/>
      <w:bookmarkStart w:id="149" w:name="_Toc531852660"/>
      <w:r>
        <w:rPr>
          <w:rFonts w:ascii="Times New Roman" w:eastAsia="宋体"/>
          <w:bCs/>
          <w:color w:val="000000"/>
          <w:szCs w:val="24"/>
        </w:rPr>
        <w:t xml:space="preserve">5.</w:t>
      </w:r>
      <w:r>
        <w:rPr>
          <w:rFonts w:hint="eastAsia" w:ascii="Times New Roman" w:eastAsia="宋体"/>
          <w:bCs/>
          <w:color w:val="000000"/>
          <w:szCs w:val="24"/>
        </w:rPr>
        <w:t xml:space="preserve">2.4</w:t>
      </w:r>
      <w:r>
        <w:rPr>
          <w:rFonts w:ascii="Times New Roman" w:eastAsia="宋体"/>
          <w:bCs/>
          <w:color w:val="000000"/>
          <w:szCs w:val="24"/>
        </w:rPr>
        <w:t xml:space="preserve">.36.1 </w:t>
      </w:r>
      <w:r>
        <w:rPr>
          <w:rFonts w:hint="eastAsia" w:ascii="Times New Roman" w:eastAsia="宋体"/>
          <w:bCs/>
          <w:color w:val="000000"/>
          <w:szCs w:val="24"/>
        </w:rPr>
        <w:t xml:space="preserve">侧扩方式</w:t>
      </w:r>
      <w:bookmarkEnd w:id="149"/>
      <w:r>
        <w:rPr>
          <w:rFonts w:ascii="Times New Roman" w:eastAsia="宋体"/>
          <w:bCs/>
          <w:color w:val="000000"/>
          <w:szCs w:val="24"/>
        </w:rPr>
      </w:r>
      <w:r/>
    </w:p>
    <w:p>
      <w:pPr>
        <w:pStyle w:val="1151"/>
        <w:ind w:firstLine="420"/>
        <w:jc w:val="left"/>
        <w:spacing w:line="312" w:lineRule="exact"/>
        <w:rPr>
          <w:szCs w:val="21"/>
        </w:rPr>
      </w:pPr>
      <w:r>
        <w:rPr>
          <w:szCs w:val="21"/>
        </w:rPr>
        <w:t xml:space="preserve">（1）主母线侧扩位置、规格及连接器</w:t>
      </w:r>
      <w:r>
        <w:rPr>
          <w:szCs w:val="21"/>
        </w:rPr>
      </w:r>
      <w:r/>
    </w:p>
    <w:p>
      <w:pPr>
        <w:pStyle w:val="1151"/>
        <w:numPr>
          <w:ilvl w:val="0"/>
          <w:numId w:val="7"/>
        </w:numPr>
        <w:jc w:val="left"/>
        <w:spacing w:line="312" w:lineRule="exact"/>
        <w:rPr>
          <w:szCs w:val="21"/>
        </w:rPr>
      </w:pPr>
      <w:r>
        <w:rPr>
          <w:szCs w:val="21"/>
        </w:rPr>
        <w:t xml:space="preserve">侧扩母线中心距地高度为1550mm，母线中心距为150mm，B相中心距前底框架510mm。</w:t>
      </w:r>
      <w:r>
        <w:rPr>
          <w:szCs w:val="21"/>
        </w:rPr>
      </w:r>
      <w:r/>
    </w:p>
    <w:p>
      <w:pPr>
        <w:pStyle w:val="1151"/>
        <w:numPr>
          <w:ilvl w:val="0"/>
          <w:numId w:val="7"/>
        </w:numPr>
        <w:jc w:val="left"/>
        <w:spacing w:line="312" w:lineRule="exact"/>
        <w:rPr>
          <w:szCs w:val="21"/>
        </w:rPr>
      </w:pPr>
      <w:r>
        <w:rPr>
          <w:szCs w:val="21"/>
        </w:rPr>
        <w:t xml:space="preserve">母线侧扩方式采用的母线插座及连接器尺寸与SF</w:t>
      </w:r>
      <w:r>
        <w:rPr>
          <w:szCs w:val="21"/>
          <w:vertAlign w:val="subscript"/>
        </w:rPr>
        <w:t xml:space="preserve">6</w:t>
      </w:r>
      <w:r>
        <w:rPr>
          <w:szCs w:val="21"/>
        </w:rPr>
        <w:t xml:space="preserve">气体绝缘环网柜的要求相同。其中，为满足不同柜体并柜需要，未添加括号的尺寸为强制尺寸，添加括号的尺寸可供参考，且可根据产品内部绝缘、产品特点等对外形进行差异化设计。</w:t>
      </w:r>
      <w:r>
        <w:rPr>
          <w:szCs w:val="21"/>
        </w:rPr>
      </w:r>
      <w:r/>
    </w:p>
    <w:p>
      <w:pPr>
        <w:pStyle w:val="1151"/>
        <w:ind w:firstLine="420"/>
        <w:jc w:val="left"/>
        <w:spacing w:line="312" w:lineRule="exact"/>
        <w:rPr>
          <w:szCs w:val="21"/>
        </w:rPr>
      </w:pPr>
      <w:r>
        <w:rPr>
          <w:szCs w:val="21"/>
        </w:rPr>
        <w:t xml:space="preserve">（2）并柜方式</w:t>
      </w:r>
      <w:r>
        <w:rPr>
          <w:szCs w:val="21"/>
        </w:rPr>
      </w:r>
      <w:r/>
    </w:p>
    <w:p>
      <w:pPr>
        <w:pStyle w:val="1151"/>
        <w:numPr>
          <w:ilvl w:val="0"/>
          <w:numId w:val="8"/>
        </w:numPr>
        <w:jc w:val="left"/>
        <w:spacing w:line="312" w:lineRule="exact"/>
        <w:rPr>
          <w:szCs w:val="21"/>
        </w:rPr>
      </w:pPr>
      <w:r>
        <w:rPr>
          <w:szCs w:val="21"/>
        </w:rPr>
        <w:t xml:space="preserve">气箱上部并柜导向孔中心距侧扩套管中心距高度110±0.5mm，孔在A、C相的正上方，尺寸2-Φ12mm。</w:t>
      </w:r>
      <w:r>
        <w:rPr>
          <w:szCs w:val="21"/>
        </w:rPr>
      </w:r>
      <w:r/>
    </w:p>
    <w:p>
      <w:pPr>
        <w:pStyle w:val="1151"/>
        <w:numPr>
          <w:ilvl w:val="0"/>
          <w:numId w:val="8"/>
        </w:numPr>
        <w:jc w:val="left"/>
        <w:spacing w:line="312" w:lineRule="exact"/>
        <w:rPr>
          <w:szCs w:val="21"/>
        </w:rPr>
      </w:pPr>
      <w:r>
        <w:rPr>
          <w:szCs w:val="21"/>
        </w:rPr>
        <w:t xml:space="preserve">气箱并柜孔B相正上方一个，A、C导向孔外侧50mm各一个，高度和导向孔一致，尺寸3-Φ10。气箱并柜螺栓M8×60mm。</w:t>
      </w:r>
      <w:r>
        <w:rPr>
          <w:szCs w:val="21"/>
        </w:rPr>
      </w:r>
      <w:r/>
    </w:p>
    <w:p>
      <w:pPr>
        <w:pStyle w:val="1151"/>
        <w:numPr>
          <w:ilvl w:val="0"/>
          <w:numId w:val="8"/>
        </w:numPr>
        <w:jc w:val="left"/>
        <w:spacing w:line="312" w:lineRule="exact"/>
        <w:rPr>
          <w:szCs w:val="21"/>
        </w:rPr>
      </w:pPr>
      <w:r>
        <w:rPr>
          <w:szCs w:val="21"/>
        </w:rPr>
        <w:t xml:space="preserve">框架并柜孔中最底部靠近电缆室门孔尺寸距前框架65mm，距地100mm。向后间距285mm一个，距前框架65mm的孔向上每隔300mm间距一个，尺寸6-Φ10mm。框架并柜孔必需同时连接3个以上，框架并柜螺栓M8×16mm。</w:t>
      </w:r>
      <w:r>
        <w:rPr>
          <w:szCs w:val="21"/>
        </w:rPr>
      </w:r>
      <w:r/>
    </w:p>
    <w:p>
      <w:pPr>
        <w:pStyle w:val="1151"/>
        <w:ind w:firstLine="420"/>
        <w:jc w:val="left"/>
        <w:spacing w:line="312" w:lineRule="exact"/>
        <w:rPr>
          <w:bCs/>
          <w:szCs w:val="21"/>
        </w:rPr>
      </w:pPr>
      <w:r>
        <w:rPr>
          <w:bCs/>
          <w:szCs w:val="21"/>
        </w:rPr>
        <w:t xml:space="preserve">如图</w:t>
      </w:r>
      <w:r>
        <w:rPr>
          <w:rFonts w:hint="eastAsia"/>
          <w:bCs/>
          <w:szCs w:val="21"/>
        </w:rPr>
        <w:t xml:space="preserve">23</w:t>
      </w:r>
      <w:r>
        <w:rPr>
          <w:bCs/>
          <w:szCs w:val="21"/>
        </w:rPr>
        <w:t xml:space="preserve">所示。</w:t>
      </w:r>
      <w:r>
        <w:rPr>
          <w:bCs/>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2819400" cy="3790607"/>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rcRect l="56944" t="20683" r="27546" b="28708"/>
                        <a:stretch/>
                      </pic:blipFill>
                      <pic:spPr bwMode="auto">
                        <a:xfrm>
                          <a:off x="0" y="0"/>
                          <a:ext cx="2819400" cy="37906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222.0pt;height:298.5pt;mso-wrap-distance-left:0.0pt;mso-wrap-distance-top:0.0pt;mso-wrap-distance-right:0.0pt;mso-wrap-distance-bottom:0.0pt;" stroked="f">
                <v:path textboxrect="0,0,0,0"/>
                <v:imagedata r:id="rId40" o:title=""/>
              </v:shape>
            </w:pict>
          </mc:Fallback>
        </mc:AlternateContent>
      </w:r>
      <w:r>
        <w:rPr>
          <w:szCs w:val="21"/>
        </w:rPr>
      </w:r>
      <w:r/>
    </w:p>
    <w:p>
      <w:pPr>
        <w:pStyle w:val="1151"/>
        <w:ind w:firstLine="735"/>
        <w:jc w:val="center"/>
        <w:spacing w:line="312" w:lineRule="exact"/>
        <w:rPr>
          <w:rFonts w:eastAsia="黑体"/>
          <w:szCs w:val="21"/>
        </w:rPr>
      </w:pPr>
      <w:r>
        <w:rPr>
          <w:rFonts w:eastAsia="黑体"/>
          <w:szCs w:val="21"/>
        </w:rPr>
        <w:t xml:space="preserve">图</w:t>
      </w:r>
      <w:r>
        <w:rPr>
          <w:rFonts w:hint="eastAsia" w:eastAsia="黑体"/>
          <w:szCs w:val="21"/>
        </w:rPr>
        <w:t xml:space="preserve">23</w:t>
      </w:r>
      <w:r>
        <w:rPr>
          <w:rFonts w:eastAsia="黑体"/>
          <w:szCs w:val="21"/>
        </w:rPr>
        <w:t xml:space="preserve">侧扩并柜尺寸图</w:t>
      </w:r>
      <w:r>
        <w:rPr>
          <w:rFonts w:eastAsia="黑体"/>
          <w:szCs w:val="21"/>
        </w:rPr>
      </w:r>
      <w:r/>
    </w:p>
    <w:p>
      <w:pPr>
        <w:pStyle w:val="1151"/>
        <w:ind w:firstLine="735"/>
        <w:jc w:val="center"/>
        <w:spacing w:line="312" w:lineRule="exact"/>
        <w:rPr>
          <w:rFonts w:eastAsia="黑体"/>
          <w:szCs w:val="21"/>
        </w:rPr>
      </w:pPr>
      <w:r>
        <w:rPr>
          <w:rFonts w:eastAsia="黑体"/>
          <w:szCs w:val="21"/>
        </w:rPr>
      </w:r>
      <w:r/>
    </w:p>
    <w:p>
      <w:pPr>
        <w:pStyle w:val="1240"/>
        <w:spacing w:line="306" w:lineRule="exact"/>
        <w:rPr>
          <w:rFonts w:ascii="Times New Roman" w:eastAsia="宋体"/>
          <w:bCs/>
          <w:color w:val="000000"/>
          <w:szCs w:val="24"/>
        </w:rPr>
      </w:pPr>
      <w:r/>
      <w:bookmarkStart w:id="150" w:name="_Toc531852661"/>
      <w:r>
        <w:rPr>
          <w:rFonts w:ascii="Times New Roman" w:eastAsia="宋体"/>
          <w:bCs/>
          <w:color w:val="000000"/>
          <w:szCs w:val="24"/>
        </w:rPr>
        <w:t xml:space="preserve">5.</w:t>
      </w:r>
      <w:r>
        <w:rPr>
          <w:rFonts w:hint="eastAsia" w:ascii="Times New Roman" w:eastAsia="宋体"/>
          <w:bCs/>
          <w:color w:val="000000"/>
          <w:szCs w:val="24"/>
        </w:rPr>
        <w:t xml:space="preserve">2.4</w:t>
      </w:r>
      <w:r>
        <w:rPr>
          <w:rFonts w:ascii="Times New Roman" w:eastAsia="宋体"/>
          <w:bCs/>
          <w:color w:val="000000"/>
          <w:szCs w:val="24"/>
        </w:rPr>
        <w:t xml:space="preserve">.36.2 </w:t>
      </w:r>
      <w:r>
        <w:rPr>
          <w:rFonts w:hint="eastAsia" w:ascii="Times New Roman" w:eastAsia="宋体"/>
          <w:bCs/>
          <w:color w:val="000000"/>
          <w:szCs w:val="24"/>
        </w:rPr>
        <w:t xml:space="preserve">顶扩方式</w:t>
      </w:r>
      <w:bookmarkEnd w:id="150"/>
      <w:r>
        <w:rPr>
          <w:rFonts w:ascii="Times New Roman" w:eastAsia="宋体"/>
          <w:bCs/>
          <w:color w:val="000000"/>
          <w:szCs w:val="24"/>
        </w:rPr>
      </w:r>
      <w:r/>
    </w:p>
    <w:p>
      <w:pPr>
        <w:pStyle w:val="1151"/>
        <w:ind w:firstLine="420"/>
        <w:jc w:val="left"/>
        <w:spacing w:line="312" w:lineRule="exact"/>
        <w:rPr>
          <w:szCs w:val="21"/>
        </w:rPr>
      </w:pPr>
      <w:r>
        <w:rPr>
          <w:szCs w:val="21"/>
        </w:rPr>
        <w:t xml:space="preserve">（1）主母线顶扩位置、规格及连接器</w:t>
      </w:r>
      <w:r>
        <w:rPr>
          <w:szCs w:val="21"/>
        </w:rPr>
      </w:r>
      <w:r/>
    </w:p>
    <w:p>
      <w:pPr>
        <w:pStyle w:val="1151"/>
        <w:numPr>
          <w:ilvl w:val="0"/>
          <w:numId w:val="9"/>
        </w:numPr>
        <w:jc w:val="left"/>
        <w:spacing w:line="312" w:lineRule="exact"/>
        <w:rPr>
          <w:szCs w:val="21"/>
        </w:rPr>
      </w:pPr>
      <w:r>
        <w:rPr>
          <w:szCs w:val="21"/>
        </w:rPr>
        <w:t xml:space="preserve">顶扩母线套管端面距地高度1728mm；母线中心距150mm；B相中心距前底框架510mm；针对PT柜方案，顶扩母线套管中心距柜体右侧250mm，其余方案距柜体左侧160mm（柜前看）。</w:t>
      </w:r>
      <w:r>
        <w:rPr>
          <w:szCs w:val="21"/>
        </w:rPr>
      </w:r>
      <w:r/>
    </w:p>
    <w:p>
      <w:pPr>
        <w:pStyle w:val="1151"/>
        <w:numPr>
          <w:ilvl w:val="0"/>
          <w:numId w:val="9"/>
        </w:numPr>
        <w:jc w:val="left"/>
        <w:spacing w:line="312" w:lineRule="exact"/>
        <w:rPr>
          <w:szCs w:val="21"/>
        </w:rPr>
      </w:pPr>
      <w:r>
        <w:rPr>
          <w:szCs w:val="21"/>
        </w:rPr>
        <w:t xml:space="preserve">顶出套管采用C型套管。与SF</w:t>
      </w:r>
      <w:r>
        <w:rPr>
          <w:szCs w:val="21"/>
          <w:vertAlign w:val="subscript"/>
        </w:rPr>
        <w:t xml:space="preserve">6</w:t>
      </w:r>
      <w:r>
        <w:rPr>
          <w:szCs w:val="21"/>
        </w:rPr>
        <w:t xml:space="preserve">气体绝缘环网柜的要求相同。</w:t>
      </w:r>
      <w:r>
        <w:rPr>
          <w:szCs w:val="21"/>
        </w:rPr>
      </w:r>
      <w:r/>
    </w:p>
    <w:p>
      <w:pPr>
        <w:pStyle w:val="1151"/>
        <w:ind w:firstLine="420"/>
        <w:jc w:val="left"/>
        <w:spacing w:line="312" w:lineRule="exact"/>
        <w:rPr>
          <w:bCs/>
          <w:szCs w:val="21"/>
        </w:rPr>
      </w:pPr>
      <w:r>
        <w:rPr>
          <w:szCs w:val="21"/>
        </w:rPr>
        <w:t xml:space="preserve">（2）并柜方式</w:t>
      </w:r>
      <w:r>
        <w:rPr>
          <w:bCs/>
          <w:szCs w:val="21"/>
        </w:rPr>
      </w:r>
      <w:r/>
    </w:p>
    <w:p>
      <w:pPr>
        <w:pStyle w:val="1151"/>
        <w:numPr>
          <w:ilvl w:val="0"/>
          <w:numId w:val="10"/>
        </w:numPr>
        <w:jc w:val="left"/>
        <w:spacing w:line="312" w:lineRule="exact"/>
        <w:rPr>
          <w:szCs w:val="21"/>
        </w:rPr>
      </w:pPr>
      <w:r>
        <w:rPr>
          <w:szCs w:val="21"/>
        </w:rPr>
        <w:t xml:space="preserve">气箱并柜孔中心距离套管顶部108mm，位于A、B、C相的中心线上，尺寸为3-Φ10mm。气箱并柜螺栓M8×60mm。</w:t>
      </w:r>
      <w:r>
        <w:rPr>
          <w:szCs w:val="21"/>
        </w:rPr>
      </w:r>
      <w:r/>
    </w:p>
    <w:p>
      <w:pPr>
        <w:pStyle w:val="1151"/>
        <w:numPr>
          <w:ilvl w:val="0"/>
          <w:numId w:val="10"/>
        </w:numPr>
        <w:jc w:val="left"/>
        <w:spacing w:line="312" w:lineRule="exact"/>
        <w:rPr>
          <w:szCs w:val="21"/>
        </w:rPr>
      </w:pPr>
      <w:r>
        <w:rPr>
          <w:szCs w:val="21"/>
        </w:rPr>
        <w:t xml:space="preserve">框架并柜孔中最底部靠近电缆室门孔尺寸距前框架65mm，距地100mm。向后间距285mm另外布置一个，距前框架65mm的孔向上每间隔300mm布置一个，向上最后一个并柜孔间距不足300mm，调整为270mm，尺寸6-Φ10mm。框架并柜孔必需同时连接3个以上，框架并柜螺栓M8×16mm。</w:t>
      </w:r>
      <w:r>
        <w:rPr>
          <w:szCs w:val="21"/>
        </w:rPr>
      </w:r>
      <w:r/>
    </w:p>
    <w:p>
      <w:pPr>
        <w:pStyle w:val="1151"/>
        <w:numPr>
          <w:ilvl w:val="0"/>
          <w:numId w:val="10"/>
        </w:numPr>
        <w:jc w:val="left"/>
        <w:spacing w:line="312" w:lineRule="exact"/>
        <w:rPr>
          <w:szCs w:val="21"/>
        </w:rPr>
      </w:pPr>
      <w:r>
        <w:rPr>
          <w:szCs w:val="21"/>
        </w:rPr>
        <w:t xml:space="preserve">距框架后端面65mm，距地100mm开有一个并柜孔，向上间距300mm开有一个并柜孔。</w:t>
      </w:r>
      <w:r>
        <w:rPr>
          <w:szCs w:val="21"/>
        </w:rPr>
      </w:r>
      <w:r/>
    </w:p>
    <w:p>
      <w:pPr>
        <w:pStyle w:val="1151"/>
        <w:ind w:firstLine="420"/>
        <w:jc w:val="left"/>
        <w:spacing w:line="312" w:lineRule="exact"/>
        <w:rPr>
          <w:bCs/>
          <w:szCs w:val="21"/>
        </w:rPr>
      </w:pPr>
      <w:r>
        <w:rPr>
          <w:bCs/>
          <w:szCs w:val="21"/>
        </w:rPr>
        <w:t xml:space="preserve">如图</w:t>
      </w:r>
      <w:r>
        <w:rPr>
          <w:rFonts w:hint="eastAsia"/>
          <w:bCs/>
          <w:szCs w:val="21"/>
        </w:rPr>
        <w:t xml:space="preserve">24</w:t>
      </w:r>
      <w:r>
        <w:rPr>
          <w:bCs/>
          <w:szCs w:val="21"/>
        </w:rPr>
        <w:t xml:space="preserve">所示。</w:t>
      </w:r>
      <w:r>
        <w:rPr>
          <w:bCs/>
          <w:szCs w:val="21"/>
        </w:rPr>
      </w:r>
      <w:r/>
    </w:p>
    <w:p>
      <w:pPr>
        <w:pStyle w:val="1151"/>
        <w:jc w:val="center"/>
        <w:rPr>
          <w:bCs/>
          <w:szCs w:val="21"/>
        </w:rPr>
      </w:pPr>
      <w:r>
        <w:rPr>
          <w:bCs/>
          <w:szCs w:val="21"/>
        </w:rPr>
        <mc:AlternateContent>
          <mc:Choice Requires="wpg">
            <w:drawing>
              <wp:inline xmlns:wp="http://schemas.openxmlformats.org/drawingml/2006/wordprocessingDrawing" distT="0" distB="0" distL="0" distR="0">
                <wp:extent cx="4962741" cy="5533835"/>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4962741" cy="5533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390.8pt;height:435.7pt;mso-wrap-distance-left:0.0pt;mso-wrap-distance-top:0.0pt;mso-wrap-distance-right:0.0pt;mso-wrap-distance-bottom:0.0pt;" stroked="f">
                <v:path textboxrect="0,0,0,0"/>
                <v:imagedata r:id="rId41" o:title=""/>
              </v:shape>
            </w:pict>
          </mc:Fallback>
        </mc:AlternateContent>
      </w:r>
      <w:r>
        <w:rPr>
          <w:bCs/>
          <w:szCs w:val="21"/>
        </w:rPr>
      </w:r>
      <w:r/>
    </w:p>
    <w:p>
      <w:pPr>
        <w:pStyle w:val="1151"/>
        <w:ind w:left="3465" w:hanging="3465"/>
        <w:jc w:val="center"/>
        <w:spacing w:line="312" w:lineRule="exact"/>
        <w:rPr>
          <w:rFonts w:eastAsia="黑体"/>
          <w:szCs w:val="21"/>
        </w:rPr>
      </w:pPr>
      <w:r>
        <w:rPr>
          <w:rFonts w:eastAsia="黑体"/>
          <w:szCs w:val="21"/>
        </w:rPr>
        <w:t xml:space="preserve">图</w:t>
      </w:r>
      <w:r>
        <w:rPr>
          <w:rFonts w:hint="eastAsia" w:eastAsia="黑体"/>
          <w:szCs w:val="21"/>
        </w:rPr>
        <w:t xml:space="preserve">24</w:t>
      </w:r>
      <w:r>
        <w:rPr>
          <w:rFonts w:eastAsia="黑体"/>
          <w:szCs w:val="21"/>
        </w:rPr>
        <w:t xml:space="preserve">顶扩并柜尺寸图</w:t>
      </w:r>
      <w:r>
        <w:rPr>
          <w:rFonts w:eastAsia="黑体"/>
          <w:szCs w:val="21"/>
        </w:rPr>
      </w:r>
      <w:r/>
    </w:p>
    <w:p>
      <w:pPr>
        <w:pStyle w:val="1151"/>
        <w:spacing w:line="306" w:lineRule="exact"/>
      </w:pPr>
      <w:r/>
      <w:r/>
    </w:p>
    <w:p>
      <w:pPr>
        <w:pStyle w:val="1240"/>
        <w:rPr>
          <w:color w:val="000000"/>
        </w:rPr>
        <w:outlineLvl w:val="2"/>
      </w:pPr>
      <w:r>
        <w:rPr>
          <w:color w:val="000000"/>
        </w:rPr>
        <w:t xml:space="preserve">5.</w:t>
      </w:r>
      <w:r>
        <w:rPr>
          <w:rFonts w:hint="eastAsia"/>
          <w:color w:val="000000"/>
        </w:rPr>
        <w:t xml:space="preserve">2.5　对固体绝缘环网柜的标准化要求</w:t>
      </w:r>
      <w:r>
        <w:rPr>
          <w:color w:val="000000"/>
        </w:rPr>
      </w:r>
      <w:r/>
    </w:p>
    <w:p>
      <w:pPr>
        <w:pStyle w:val="1240"/>
        <w:spacing w:line="306" w:lineRule="exact"/>
        <w:rPr>
          <w:rFonts w:ascii="Times New Roman" w:eastAsia="宋体"/>
          <w:color w:val="000000"/>
          <w:szCs w:val="24"/>
        </w:rPr>
      </w:pPr>
      <w:r>
        <w:rPr>
          <w:rFonts w:ascii="Times New Roman" w:eastAsia="宋体"/>
          <w:color w:val="000000"/>
          <w:szCs w:val="24"/>
        </w:rPr>
        <w:t xml:space="preserve">5.</w:t>
      </w:r>
      <w:r>
        <w:rPr>
          <w:rFonts w:hint="eastAsia" w:ascii="Times New Roman" w:eastAsia="宋体"/>
          <w:color w:val="000000"/>
          <w:szCs w:val="24"/>
        </w:rPr>
        <w:t xml:space="preserve">2.5</w:t>
      </w:r>
      <w:r>
        <w:rPr>
          <w:rFonts w:ascii="Times New Roman" w:eastAsia="宋体"/>
          <w:color w:val="000000"/>
          <w:szCs w:val="24"/>
        </w:rPr>
        <w:t xml:space="preserve">.1 固体绝缘环网柜应采用母线侧三工位开关。</w:t>
      </w:r>
      <w:r>
        <w:rPr>
          <w:rFonts w:ascii="Times New Roman" w:eastAsia="宋体"/>
          <w:color w:val="000000"/>
          <w:szCs w:val="24"/>
        </w:rPr>
      </w:r>
      <w:r/>
    </w:p>
    <w:p>
      <w:pPr>
        <w:pStyle w:val="1151"/>
        <w:ind w:left="840" w:hanging="840"/>
        <w:spacing w:line="306" w:lineRule="exact"/>
      </w:pPr>
      <w:r>
        <w:t xml:space="preserve">5.</w:t>
      </w:r>
      <w:r>
        <w:rPr>
          <w:rFonts w:hint="eastAsia"/>
        </w:rPr>
        <w:t xml:space="preserve">2.5</w:t>
      </w:r>
      <w:r>
        <w:t xml:space="preserve">.2 高压元件（断路器、隔离开关、接地开关及高压带电体等）间的绝缘方式</w:t>
      </w:r>
      <w:r/>
    </w:p>
    <w:p>
      <w:pPr>
        <w:pStyle w:val="1151"/>
        <w:ind w:left="840" w:hanging="840"/>
        <w:spacing w:line="306" w:lineRule="exact"/>
      </w:pPr>
      <w:r>
        <w:t xml:space="preserve">以固体绝缘介质为主。主导电回路中的固体绝缘组件（极柱或绝缘箱）外表面应采取表面屏</w:t>
      </w:r>
      <w:r/>
    </w:p>
    <w:p>
      <w:pPr>
        <w:pStyle w:val="1151"/>
        <w:ind w:left="840" w:hanging="840"/>
        <w:spacing w:line="306" w:lineRule="exact"/>
      </w:pPr>
      <w:r>
        <w:t xml:space="preserve">蔽接地层工艺处理，所选用的导电材料和实施的工艺方法都必须使得导电层与绝缘件表面粘</w:t>
      </w:r>
      <w:r/>
    </w:p>
    <w:p>
      <w:pPr>
        <w:pStyle w:val="1151"/>
        <w:ind w:left="840" w:hanging="840"/>
        <w:spacing w:line="306" w:lineRule="exact"/>
      </w:pPr>
      <w:r>
        <w:t xml:space="preserve">附牢固、耐磨损、防潮、防尘、防腐蚀性能</w:t>
      </w:r>
      <w:r>
        <w:rPr>
          <w:rFonts w:hint="eastAsia"/>
        </w:rPr>
        <w:t xml:space="preserve">，</w:t>
      </w:r>
      <w:r>
        <w:t xml:space="preserve">建议采用电弧熔锌工艺进行涂敷。</w:t>
      </w:r>
      <w:r/>
    </w:p>
    <w:p>
      <w:pPr>
        <w:pStyle w:val="1151"/>
        <w:spacing w:line="320" w:lineRule="exact"/>
      </w:pPr>
      <w:r>
        <w:t xml:space="preserve">5.</w:t>
      </w:r>
      <w:r>
        <w:rPr>
          <w:rFonts w:hint="eastAsia"/>
        </w:rPr>
        <w:t xml:space="preserve">2.5</w:t>
      </w:r>
      <w:r>
        <w:t xml:space="preserve">.3 各单独的或组合后的固体绝缘模块，模块间应采用密封连接，其表面导电层应可靠导通并与壳体可靠连接。</w:t>
      </w:r>
      <w:r/>
    </w:p>
    <w:p>
      <w:pPr>
        <w:pStyle w:val="1151"/>
        <w:spacing w:line="320" w:lineRule="exact"/>
      </w:pPr>
      <w:r>
        <w:t xml:space="preserve">5.</w:t>
      </w:r>
      <w:r>
        <w:rPr>
          <w:rFonts w:hint="eastAsia"/>
        </w:rPr>
        <w:t xml:space="preserve">2.5</w:t>
      </w:r>
      <w:r>
        <w:t xml:space="preserve">.4 主回路固体绝缘组件（极柱或绝缘箱）外表面应通过接地回路试验，并满足导电连续性要求：从主回路固体绝缘组件外表面导电层或半导电层到规定的接地点间通以直流30A时，电压降不应超过3V。</w:t>
      </w:r>
      <w:r/>
    </w:p>
    <w:p>
      <w:pPr>
        <w:pStyle w:val="1151"/>
        <w:spacing w:line="320" w:lineRule="exact"/>
      </w:pPr>
      <w:r>
        <w:t xml:space="preserve">5.</w:t>
      </w:r>
      <w:r>
        <w:rPr>
          <w:rFonts w:hint="eastAsia"/>
        </w:rPr>
        <w:t xml:space="preserve">2.5</w:t>
      </w:r>
      <w:r>
        <w:t xml:space="preserve">.5 固体绝缘件应能承受机械的、电的、热的效应，其设计还应考虑温度、凝露、湿气、污秽等环境因素及老化的影响，以保证设备的安全运行。</w:t>
      </w:r>
      <w:r/>
    </w:p>
    <w:p>
      <w:pPr>
        <w:pStyle w:val="1151"/>
        <w:spacing w:line="320" w:lineRule="exact"/>
      </w:pPr>
      <w:r>
        <w:t xml:space="preserve">5.</w:t>
      </w:r>
      <w:r>
        <w:rPr>
          <w:rFonts w:hint="eastAsia"/>
        </w:rPr>
        <w:t xml:space="preserve">2.5</w:t>
      </w:r>
      <w:r>
        <w:t xml:space="preserve">.6 固体绝缘件的制造，不应使得真空灭弧室性能降低或性能丧失（如果有灭弧室）。</w:t>
      </w:r>
      <w:r/>
    </w:p>
    <w:p>
      <w:pPr>
        <w:pStyle w:val="1151"/>
        <w:spacing w:line="320" w:lineRule="exact"/>
      </w:pPr>
      <w:r>
        <w:t xml:space="preserve">5.</w:t>
      </w:r>
      <w:r>
        <w:rPr>
          <w:rFonts w:hint="eastAsia"/>
        </w:rPr>
        <w:t xml:space="preserve">2.5</w:t>
      </w:r>
      <w:r>
        <w:t xml:space="preserve">.7 固体绝缘件表面应平整光滑，绝缘件不应有降低电气和机械性能的疏松、杂质、气泡、气孔和裂纹等缺陷。</w:t>
      </w:r>
      <w:r/>
    </w:p>
    <w:p>
      <w:pPr>
        <w:pStyle w:val="1151"/>
        <w:spacing w:line="320" w:lineRule="exact"/>
      </w:pPr>
      <w:r>
        <w:t xml:space="preserve">5.</w:t>
      </w:r>
      <w:r>
        <w:rPr>
          <w:rFonts w:hint="eastAsia"/>
        </w:rPr>
        <w:t xml:space="preserve">2.5</w:t>
      </w:r>
      <w:r>
        <w:t xml:space="preserve">.8 出厂的固体绝缘件上应有永久性标识，标识不应降低绝缘强度和机械强度。标识上应识别：</w:t>
      </w:r>
      <w:r/>
    </w:p>
    <w:p>
      <w:pPr>
        <w:pStyle w:val="1151"/>
        <w:ind w:firstLine="420"/>
        <w:spacing w:line="320" w:lineRule="exact"/>
      </w:pPr>
      <w:r>
        <w:t xml:space="preserve">a）制造企业名称/或商标；</w:t>
      </w:r>
      <w:r/>
    </w:p>
    <w:p>
      <w:pPr>
        <w:pStyle w:val="1151"/>
        <w:ind w:firstLine="420"/>
        <w:spacing w:line="320" w:lineRule="exact"/>
      </w:pPr>
      <w:r>
        <w:t xml:space="preserve">b）</w:t>
      </w:r>
      <w:r>
        <w:tab/>
      </w:r>
      <w:r>
        <w:t xml:space="preserve">出厂编号及制造日期。</w:t>
      </w:r>
      <w:r/>
    </w:p>
    <w:p>
      <w:pPr>
        <w:pStyle w:val="1151"/>
        <w:spacing w:line="320" w:lineRule="exact"/>
      </w:pPr>
      <w:r>
        <w:t xml:space="preserve">5.</w:t>
      </w:r>
      <w:r>
        <w:rPr>
          <w:rFonts w:hint="eastAsia"/>
        </w:rPr>
        <w:t xml:space="preserve">2.5</w:t>
      </w:r>
      <w:r>
        <w:t xml:space="preserve">.9 制造厂应明确给出所使用的固体材料的种类，并为用户提供使用条件和要求的必要说明。</w:t>
      </w:r>
      <w:r/>
    </w:p>
    <w:p>
      <w:pPr>
        <w:pStyle w:val="1151"/>
        <w:spacing w:line="320" w:lineRule="exact"/>
      </w:pPr>
      <w:r>
        <w:t xml:space="preserve">5.</w:t>
      </w:r>
      <w:r>
        <w:rPr>
          <w:rFonts w:hint="eastAsia"/>
        </w:rPr>
        <w:t xml:space="preserve">2.5</w:t>
      </w:r>
      <w:r>
        <w:t xml:space="preserve">.10 在满足绝缘条件下，各相模块应进行局部放电测量，具体要求如下：</w:t>
      </w:r>
      <w:r/>
    </w:p>
    <w:p>
      <w:pPr>
        <w:pStyle w:val="1151"/>
        <w:ind w:firstLine="420"/>
        <w:spacing w:line="320" w:lineRule="exact"/>
      </w:pPr>
      <w:r>
        <w:t xml:space="preserve">a）</w:t>
      </w:r>
      <w:r>
        <w:tab/>
      </w:r>
      <w:r>
        <w:t xml:space="preserve">固体绝缘组件的局部放电量不应大于5pC（1.1U</w:t>
      </w:r>
      <w:r>
        <w:rPr>
          <w:vertAlign w:val="subscript"/>
        </w:rPr>
        <w:t xml:space="preserve">r</w:t>
      </w:r>
      <w:r>
        <w:t xml:space="preserve">下测量值）；</w:t>
      </w:r>
      <w:r/>
    </w:p>
    <w:p>
      <w:pPr>
        <w:pStyle w:val="1151"/>
        <w:ind w:firstLine="420"/>
        <w:spacing w:line="320" w:lineRule="exact"/>
      </w:pPr>
      <w:r>
        <w:t xml:space="preserve">b）</w:t>
      </w:r>
      <w:r>
        <w:tab/>
      </w:r>
      <w:r>
        <w:t xml:space="preserve">固体绝缘环网柜各功能单元的局部放电量不应大于20pC（1.1U</w:t>
      </w:r>
      <w:r>
        <w:rPr>
          <w:vertAlign w:val="subscript"/>
        </w:rPr>
        <w:t xml:space="preserve">r</w:t>
      </w:r>
      <w:r>
        <w:t xml:space="preserve">下测量值）；</w:t>
      </w:r>
      <w:r/>
    </w:p>
    <w:p>
      <w:pPr>
        <w:pStyle w:val="1151"/>
        <w:ind w:left="840" w:hanging="420"/>
        <w:spacing w:line="320" w:lineRule="exact"/>
      </w:pPr>
      <w:r>
        <w:t xml:space="preserve">c）</w:t>
      </w:r>
      <w:r>
        <w:tab/>
      </w:r>
      <w:r>
        <w:t xml:space="preserve">柜中配备电流互感器和电压互感器的各自局部放电量不应大于20pC（在1.2U</w:t>
      </w:r>
      <w:r>
        <w:rPr>
          <w:vertAlign w:val="subscript"/>
        </w:rPr>
        <w:t xml:space="preserve">m</w:t>
      </w:r>
      <w:r>
        <w:t xml:space="preserve">下测量值）。</w:t>
      </w:r>
      <w:r/>
    </w:p>
    <w:p>
      <w:pPr>
        <w:pStyle w:val="1151"/>
        <w:spacing w:line="320" w:lineRule="exact"/>
      </w:pPr>
      <w:r>
        <w:t xml:space="preserve">5.</w:t>
      </w:r>
      <w:r>
        <w:rPr>
          <w:rFonts w:hint="eastAsia"/>
        </w:rPr>
        <w:t xml:space="preserve">2.5</w:t>
      </w:r>
      <w:r>
        <w:t xml:space="preserve">.11 在满足绝缘条件下，应按DL/T 593中6.2.8的要求进行凝露试验。</w:t>
      </w:r>
      <w:r/>
    </w:p>
    <w:p>
      <w:pPr>
        <w:pStyle w:val="1151"/>
        <w:spacing w:line="320" w:lineRule="exact"/>
      </w:pPr>
      <w:r/>
      <w:bookmarkStart w:id="151" w:name="_Toc531852667"/>
      <w:r>
        <w:t xml:space="preserve">5.</w:t>
      </w:r>
      <w:r>
        <w:rPr>
          <w:rFonts w:hint="eastAsia"/>
        </w:rPr>
        <w:t xml:space="preserve">2.5</w:t>
      </w:r>
      <w:r>
        <w:t xml:space="preserve">.12柜宽</w:t>
      </w:r>
      <w:bookmarkEnd w:id="151"/>
      <w:r/>
      <w:r/>
    </w:p>
    <w:p>
      <w:pPr>
        <w:pStyle w:val="1151"/>
        <w:ind w:firstLine="420"/>
        <w:spacing w:line="312" w:lineRule="exact"/>
        <w:rPr>
          <w:szCs w:val="21"/>
        </w:rPr>
      </w:pPr>
      <w:r>
        <w:rPr>
          <w:szCs w:val="21"/>
        </w:rPr>
        <w:t xml:space="preserve">PT柜单元柜宽为600mm，其他方案各单元柜宽为420mm。</w:t>
      </w:r>
      <w:r>
        <w:rPr>
          <w:szCs w:val="21"/>
        </w:rPr>
      </w:r>
      <w:r/>
    </w:p>
    <w:p>
      <w:pPr>
        <w:pStyle w:val="1151"/>
        <w:spacing w:line="320" w:lineRule="exact"/>
      </w:pPr>
      <w:r/>
      <w:bookmarkStart w:id="152" w:name="_Toc531852668"/>
      <w:r>
        <w:t xml:space="preserve">5.</w:t>
      </w:r>
      <w:r>
        <w:rPr>
          <w:rFonts w:hint="eastAsia"/>
        </w:rPr>
        <w:t xml:space="preserve">2.5</w:t>
      </w:r>
      <w:r>
        <w:t xml:space="preserve">.13 柜深</w:t>
      </w:r>
      <w:bookmarkEnd w:id="152"/>
      <w:r/>
      <w:r/>
    </w:p>
    <w:p>
      <w:pPr>
        <w:pStyle w:val="1151"/>
        <w:ind w:firstLine="420"/>
        <w:spacing w:line="312" w:lineRule="exact"/>
        <w:rPr>
          <w:szCs w:val="21"/>
        </w:rPr>
      </w:pPr>
      <w:r>
        <w:rPr>
          <w:szCs w:val="21"/>
        </w:rPr>
        <w:t xml:space="preserve">各类功能单元柜底框架深度为875mm。最大外形（投影距离）为900mm。</w:t>
      </w:r>
      <w:r>
        <w:rPr>
          <w:szCs w:val="21"/>
        </w:rPr>
      </w:r>
      <w:r/>
    </w:p>
    <w:p>
      <w:pPr>
        <w:pStyle w:val="1151"/>
        <w:spacing w:line="320" w:lineRule="exact"/>
      </w:pPr>
      <w:r/>
      <w:bookmarkStart w:id="153" w:name="_Toc531852669"/>
      <w:r>
        <w:t xml:space="preserve">5.</w:t>
      </w:r>
      <w:r>
        <w:rPr>
          <w:rFonts w:hint="eastAsia"/>
        </w:rPr>
        <w:t xml:space="preserve">2.5</w:t>
      </w:r>
      <w:r>
        <w:t xml:space="preserve">.14 柜高</w:t>
      </w:r>
      <w:bookmarkEnd w:id="153"/>
      <w:r/>
      <w:r/>
    </w:p>
    <w:p>
      <w:pPr>
        <w:pStyle w:val="1151"/>
        <w:ind w:firstLine="420"/>
        <w:spacing w:line="312" w:lineRule="exact"/>
        <w:rPr>
          <w:szCs w:val="21"/>
        </w:rPr>
      </w:pPr>
      <w:r>
        <w:rPr>
          <w:szCs w:val="21"/>
        </w:rPr>
        <w:t xml:space="preserve">定义柜体外形高度（含仪表室、顶扩母线）。</w:t>
      </w:r>
      <w:r>
        <w:rPr>
          <w:szCs w:val="21"/>
        </w:rPr>
      </w:r>
      <w:r/>
    </w:p>
    <w:p>
      <w:pPr>
        <w:pStyle w:val="1151"/>
        <w:ind w:firstLine="420"/>
        <w:spacing w:line="312" w:lineRule="exact"/>
        <w:rPr>
          <w:szCs w:val="21"/>
        </w:rPr>
      </w:pPr>
      <w:r>
        <w:rPr>
          <w:szCs w:val="21"/>
        </w:rPr>
        <w:t xml:space="preserve">各柜型柜体高度=1700mm。</w:t>
      </w:r>
      <w:r>
        <w:rPr>
          <w:szCs w:val="21"/>
        </w:rPr>
      </w:r>
      <w:r/>
    </w:p>
    <w:p>
      <w:pPr>
        <w:pStyle w:val="1151"/>
        <w:spacing w:line="320" w:lineRule="exact"/>
      </w:pPr>
      <w:r/>
      <w:bookmarkStart w:id="154" w:name="_Toc531852670"/>
      <w:r>
        <w:t xml:space="preserve">5.</w:t>
      </w:r>
      <w:r>
        <w:rPr>
          <w:rFonts w:hint="eastAsia"/>
        </w:rPr>
        <w:t xml:space="preserve">2.5</w:t>
      </w:r>
      <w:r>
        <w:t xml:space="preserve">.15 仪表箱</w:t>
      </w:r>
      <w:bookmarkEnd w:id="154"/>
      <w:r/>
      <w:r/>
    </w:p>
    <w:p>
      <w:pPr>
        <w:pStyle w:val="1151"/>
        <w:ind w:firstLine="420"/>
        <w:spacing w:line="312" w:lineRule="exact"/>
        <w:rPr>
          <w:szCs w:val="21"/>
        </w:rPr>
      </w:pPr>
      <w:r>
        <w:rPr>
          <w:szCs w:val="21"/>
        </w:rPr>
        <w:t xml:space="preserve">仪表箱高度为350mm，PT柜方案宽度为600mm，其余方案宽度为420mm，深度（不含门）≥280mm。</w:t>
      </w:r>
      <w:r>
        <w:rPr>
          <w:szCs w:val="21"/>
        </w:rPr>
      </w:r>
      <w:r/>
    </w:p>
    <w:p>
      <w:pPr>
        <w:pStyle w:val="1151"/>
        <w:spacing w:line="320" w:lineRule="exact"/>
      </w:pPr>
      <w:r/>
      <w:bookmarkStart w:id="155" w:name="_Toc531852671"/>
      <w:r>
        <w:t xml:space="preserve">5.</w:t>
      </w:r>
      <w:r>
        <w:rPr>
          <w:rFonts w:hint="eastAsia"/>
        </w:rPr>
        <w:t xml:space="preserve">2.5</w:t>
      </w:r>
      <w:r>
        <w:t xml:space="preserve">.16 主开关灭弧方式</w:t>
      </w:r>
      <w:bookmarkEnd w:id="155"/>
      <w:r/>
      <w:r/>
    </w:p>
    <w:p>
      <w:pPr>
        <w:pStyle w:val="1151"/>
        <w:ind w:firstLine="420"/>
        <w:spacing w:line="312" w:lineRule="exact"/>
        <w:rPr>
          <w:szCs w:val="21"/>
        </w:rPr>
      </w:pPr>
      <w:r>
        <w:rPr>
          <w:szCs w:val="21"/>
        </w:rPr>
        <w:t xml:space="preserve">主开关采用真空灭弧方式。</w:t>
      </w:r>
      <w:r>
        <w:rPr>
          <w:szCs w:val="21"/>
        </w:rPr>
      </w:r>
      <w:r/>
    </w:p>
    <w:p>
      <w:pPr>
        <w:pStyle w:val="1151"/>
        <w:spacing w:line="320" w:lineRule="exact"/>
      </w:pPr>
      <w:r/>
      <w:bookmarkStart w:id="156" w:name="_Toc2668"/>
      <w:r/>
      <w:bookmarkStart w:id="157" w:name="_Toc531852672"/>
      <w:r/>
      <w:bookmarkStart w:id="158" w:name="_Toc10492"/>
      <w:r>
        <w:t xml:space="preserve">5.</w:t>
      </w:r>
      <w:r>
        <w:rPr>
          <w:rFonts w:hint="eastAsia"/>
        </w:rPr>
        <w:t xml:space="preserve">2.5</w:t>
      </w:r>
      <w:r>
        <w:t xml:space="preserve">.17 主母线</w:t>
      </w:r>
      <w:bookmarkEnd w:id="156"/>
      <w:r/>
      <w:bookmarkEnd w:id="157"/>
      <w:r/>
      <w:bookmarkEnd w:id="158"/>
      <w:r/>
      <w:r/>
    </w:p>
    <w:p>
      <w:pPr>
        <w:pStyle w:val="1151"/>
        <w:ind w:firstLine="420"/>
        <w:spacing w:line="312" w:lineRule="exact"/>
        <w:rPr>
          <w:szCs w:val="21"/>
        </w:rPr>
      </w:pPr>
      <w:r>
        <w:rPr>
          <w:szCs w:val="21"/>
        </w:rPr>
        <w:t xml:space="preserve">环网柜的主母线应采用绝缘母线，绝缘外表面可靠接地，柜与柜间用金属隔板隔开，但不得产生涡流，两端母线应用绝缘封堵密封。</w:t>
      </w:r>
      <w:r>
        <w:rPr>
          <w:szCs w:val="21"/>
        </w:rPr>
      </w:r>
      <w:r/>
    </w:p>
    <w:p>
      <w:pPr>
        <w:pStyle w:val="1151"/>
        <w:ind w:firstLine="420"/>
        <w:spacing w:line="312" w:lineRule="exact"/>
        <w:rPr>
          <w:szCs w:val="21"/>
        </w:rPr>
      </w:pPr>
      <w:r>
        <w:rPr>
          <w:szCs w:val="21"/>
        </w:rPr>
        <w:t xml:space="preserve">主母线的导电截面积不小于300mm²。</w:t>
      </w:r>
      <w:r>
        <w:rPr>
          <w:szCs w:val="21"/>
        </w:rPr>
      </w:r>
      <w:r/>
    </w:p>
    <w:p>
      <w:pPr>
        <w:pStyle w:val="1151"/>
        <w:ind w:firstLine="420"/>
        <w:spacing w:line="312" w:lineRule="exact"/>
        <w:rPr>
          <w:szCs w:val="21"/>
        </w:rPr>
      </w:pPr>
      <w:r>
        <w:rPr>
          <w:szCs w:val="21"/>
        </w:rPr>
        <w:t xml:space="preserve">主母线接合处应有防止电场集中和局部放电的措施。</w:t>
      </w:r>
      <w:r>
        <w:rPr>
          <w:szCs w:val="21"/>
        </w:rPr>
      </w:r>
      <w:r/>
    </w:p>
    <w:p>
      <w:pPr>
        <w:pStyle w:val="1151"/>
        <w:spacing w:line="320" w:lineRule="exact"/>
      </w:pPr>
      <w:r/>
      <w:bookmarkStart w:id="159" w:name="_Toc531852674"/>
      <w:r>
        <w:t xml:space="preserve">5.</w:t>
      </w:r>
      <w:r>
        <w:rPr>
          <w:rFonts w:hint="eastAsia"/>
        </w:rPr>
        <w:t xml:space="preserve">2.5</w:t>
      </w:r>
      <w:r>
        <w:t xml:space="preserve">.18 柜体框架材质</w:t>
      </w:r>
      <w:bookmarkEnd w:id="159"/>
      <w:r/>
      <w:r/>
    </w:p>
    <w:p>
      <w:pPr>
        <w:pStyle w:val="1151"/>
        <w:ind w:firstLine="420"/>
        <w:spacing w:line="312" w:lineRule="exact"/>
        <w:rPr>
          <w:szCs w:val="21"/>
        </w:rPr>
      </w:pPr>
      <w:r>
        <w:rPr>
          <w:szCs w:val="21"/>
        </w:rPr>
        <w:t xml:space="preserve">柜体框架材质采用敷铝锌板（镀锌层厚度达到AZ150及以上，可按照《GB/T 14978 连续热镀铝锌合金镀层钢板及钢带》）或镀锌钢板（牌号为：DX51D+Z275，可按照《GB/T 2518-2008 连续热镀锌钢板及钢带》）。</w:t>
      </w:r>
      <w:r>
        <w:rPr>
          <w:szCs w:val="21"/>
        </w:rPr>
      </w:r>
      <w:r/>
    </w:p>
    <w:p>
      <w:pPr>
        <w:pStyle w:val="1151"/>
        <w:spacing w:line="320" w:lineRule="exact"/>
      </w:pPr>
      <w:r/>
      <w:bookmarkStart w:id="160" w:name="_Toc531852675"/>
      <w:r>
        <w:t xml:space="preserve">5.</w:t>
      </w:r>
      <w:r>
        <w:rPr>
          <w:rFonts w:hint="eastAsia"/>
        </w:rPr>
        <w:t xml:space="preserve">2.5</w:t>
      </w:r>
      <w:r>
        <w:t xml:space="preserve">.19 柜体板材厚度</w:t>
      </w:r>
      <w:bookmarkEnd w:id="160"/>
      <w:r/>
      <w:r/>
    </w:p>
    <w:p>
      <w:pPr>
        <w:pStyle w:val="1151"/>
        <w:ind w:firstLine="420"/>
        <w:spacing w:line="312" w:lineRule="exact"/>
        <w:rPr>
          <w:bCs/>
          <w:szCs w:val="21"/>
        </w:rPr>
      </w:pPr>
      <w:r>
        <w:rPr>
          <w:bCs/>
          <w:szCs w:val="21"/>
        </w:rPr>
        <w:t xml:space="preserve">板材框架材质标称厚度≥2mm，尺寸允许偏差满足《GB/T 708冷轧钢板和钢带的尺寸、外形、重量及允许偏差》的B级精度要求。</w:t>
      </w:r>
      <w:r>
        <w:rPr>
          <w:bCs/>
          <w:szCs w:val="21"/>
        </w:rPr>
      </w:r>
      <w:r/>
    </w:p>
    <w:p>
      <w:pPr>
        <w:pStyle w:val="1151"/>
        <w:spacing w:line="320" w:lineRule="exact"/>
      </w:pPr>
      <w:r/>
      <w:bookmarkStart w:id="161" w:name="_Toc531852676"/>
      <w:r>
        <w:t xml:space="preserve">5.</w:t>
      </w:r>
      <w:r>
        <w:rPr>
          <w:rFonts w:hint="eastAsia"/>
        </w:rPr>
        <w:t xml:space="preserve">2.5</w:t>
      </w:r>
      <w:r>
        <w:t xml:space="preserve">.20 门板材质</w:t>
      </w:r>
      <w:bookmarkEnd w:id="161"/>
      <w:r/>
      <w:r/>
    </w:p>
    <w:p>
      <w:pPr>
        <w:pStyle w:val="1151"/>
        <w:ind w:firstLine="420"/>
        <w:spacing w:line="312" w:lineRule="exact"/>
        <w:rPr>
          <w:szCs w:val="21"/>
        </w:rPr>
      </w:pPr>
      <w:r>
        <w:rPr>
          <w:szCs w:val="21"/>
        </w:rPr>
        <w:t xml:space="preserve">门板材质为冷轧钢板或敷铝锌板，表面进行喷涂，并满足附着力要求。</w:t>
      </w:r>
      <w:r>
        <w:rPr>
          <w:szCs w:val="21"/>
        </w:rPr>
      </w:r>
      <w:r/>
    </w:p>
    <w:p>
      <w:pPr>
        <w:pStyle w:val="1151"/>
        <w:spacing w:line="320" w:lineRule="exact"/>
      </w:pPr>
      <w:r/>
      <w:bookmarkStart w:id="162" w:name="_Toc531852677"/>
      <w:r>
        <w:t xml:space="preserve">5.</w:t>
      </w:r>
      <w:r>
        <w:rPr>
          <w:rFonts w:hint="eastAsia"/>
        </w:rPr>
        <w:t xml:space="preserve">2.5</w:t>
      </w:r>
      <w:r>
        <w:t xml:space="preserve">.21 门板材质厚度</w:t>
      </w:r>
      <w:bookmarkEnd w:id="162"/>
      <w:r/>
      <w:r/>
    </w:p>
    <w:p>
      <w:pPr>
        <w:pStyle w:val="1151"/>
        <w:ind w:firstLine="420"/>
        <w:jc w:val="left"/>
        <w:spacing w:line="312" w:lineRule="exact"/>
        <w:rPr>
          <w:szCs w:val="21"/>
        </w:rPr>
      </w:pPr>
      <w:r>
        <w:rPr>
          <w:szCs w:val="21"/>
        </w:rPr>
        <w:t xml:space="preserve">仪表室、机构室、电缆室门板材质标称厚度不小于2mm，电缆室门无观察窗</w:t>
      </w:r>
      <w:r>
        <w:rPr>
          <w:bCs/>
          <w:szCs w:val="21"/>
        </w:rPr>
        <w:t xml:space="preserve">，尺寸允许偏差满足《GB/T 708冷轧钢板和钢带的尺寸、外形、重量及允许偏差》的B级精度要求</w:t>
      </w:r>
      <w:r>
        <w:rPr>
          <w:szCs w:val="21"/>
        </w:rPr>
        <w:t xml:space="preserve">。</w:t>
      </w:r>
      <w:r>
        <w:rPr>
          <w:szCs w:val="21"/>
        </w:rPr>
      </w:r>
      <w:r/>
    </w:p>
    <w:p>
      <w:pPr>
        <w:pStyle w:val="1151"/>
        <w:spacing w:line="320" w:lineRule="exact"/>
      </w:pPr>
      <w:r/>
      <w:bookmarkStart w:id="163" w:name="_Toc531852678"/>
      <w:r>
        <w:t xml:space="preserve">5.</w:t>
      </w:r>
      <w:r>
        <w:rPr>
          <w:rFonts w:hint="eastAsia"/>
        </w:rPr>
        <w:t xml:space="preserve">2.5</w:t>
      </w:r>
      <w:r>
        <w:t xml:space="preserve">.22 柜体防护等级</w:t>
      </w:r>
      <w:bookmarkEnd w:id="163"/>
      <w:r/>
      <w:r/>
    </w:p>
    <w:p>
      <w:pPr>
        <w:pStyle w:val="1151"/>
        <w:ind w:firstLine="420"/>
        <w:jc w:val="left"/>
        <w:spacing w:line="312" w:lineRule="exact"/>
        <w:rPr>
          <w:szCs w:val="21"/>
        </w:rPr>
      </w:pPr>
      <w:r>
        <w:rPr>
          <w:szCs w:val="21"/>
        </w:rPr>
        <w:t xml:space="preserve">柜体外壳防护等级为IP4X，柜内隔室间不小于IP2X。</w:t>
      </w:r>
      <w:r>
        <w:rPr>
          <w:szCs w:val="21"/>
        </w:rPr>
      </w:r>
      <w:r/>
    </w:p>
    <w:p>
      <w:pPr>
        <w:pStyle w:val="1151"/>
        <w:spacing w:line="320" w:lineRule="exact"/>
      </w:pPr>
      <w:r/>
      <w:bookmarkStart w:id="164" w:name="_Toc531852679"/>
      <w:r>
        <w:t xml:space="preserve">5.</w:t>
      </w:r>
      <w:r>
        <w:rPr>
          <w:rFonts w:hint="eastAsia"/>
        </w:rPr>
        <w:t xml:space="preserve">2.5</w:t>
      </w:r>
      <w:r>
        <w:t xml:space="preserve">.23 每相最多可接一次电缆数</w:t>
      </w:r>
      <w:bookmarkEnd w:id="164"/>
      <w:r/>
      <w:r/>
    </w:p>
    <w:p>
      <w:pPr>
        <w:pStyle w:val="1151"/>
        <w:ind w:firstLine="420"/>
        <w:spacing w:line="312" w:lineRule="exact"/>
        <w:rPr>
          <w:szCs w:val="21"/>
        </w:rPr>
      </w:pPr>
      <w:r>
        <w:rPr>
          <w:szCs w:val="21"/>
        </w:rPr>
        <w:t xml:space="preserve">每相最多可接一次电缆1根。</w:t>
      </w:r>
      <w:r>
        <w:rPr>
          <w:szCs w:val="21"/>
        </w:rPr>
      </w:r>
      <w:r/>
    </w:p>
    <w:p>
      <w:pPr>
        <w:pStyle w:val="1151"/>
        <w:spacing w:line="320" w:lineRule="exact"/>
      </w:pPr>
      <w:r/>
      <w:bookmarkStart w:id="165" w:name="_Toc531852680"/>
      <w:r>
        <w:t xml:space="preserve">5.</w:t>
      </w:r>
      <w:r>
        <w:rPr>
          <w:rFonts w:hint="eastAsia"/>
        </w:rPr>
        <w:t xml:space="preserve">2.5</w:t>
      </w:r>
      <w:r>
        <w:t xml:space="preserve">.24 一次电缆接线高度</w:t>
      </w:r>
      <w:bookmarkEnd w:id="165"/>
      <w:r/>
      <w:r/>
    </w:p>
    <w:p>
      <w:pPr>
        <w:pStyle w:val="1151"/>
        <w:ind w:left="420"/>
        <w:jc w:val="left"/>
        <w:spacing w:line="312" w:lineRule="exact"/>
        <w:rPr>
          <w:szCs w:val="21"/>
        </w:rPr>
      </w:pPr>
      <w:r>
        <w:rPr>
          <w:szCs w:val="21"/>
        </w:rPr>
        <w:t xml:space="preserve">一次电缆接线高度≥650mm。</w:t>
      </w:r>
      <w:r>
        <w:rPr>
          <w:szCs w:val="21"/>
        </w:rPr>
      </w:r>
      <w:r/>
    </w:p>
    <w:p>
      <w:pPr>
        <w:pStyle w:val="1151"/>
        <w:spacing w:line="320" w:lineRule="exact"/>
      </w:pPr>
      <w:r/>
      <w:bookmarkStart w:id="166" w:name="_Toc531852681"/>
      <w:r>
        <w:t xml:space="preserve">5.</w:t>
      </w:r>
      <w:r>
        <w:rPr>
          <w:rFonts w:hint="eastAsia"/>
        </w:rPr>
        <w:t xml:space="preserve">2.5</w:t>
      </w:r>
      <w:r>
        <w:t xml:space="preserve">.25 一次电缆排列方式</w:t>
      </w:r>
      <w:bookmarkEnd w:id="166"/>
      <w:r/>
      <w:r/>
    </w:p>
    <w:p>
      <w:pPr>
        <w:pStyle w:val="1151"/>
        <w:ind w:firstLine="420"/>
        <w:spacing w:line="312" w:lineRule="exact"/>
        <w:rPr>
          <w:szCs w:val="21"/>
        </w:rPr>
      </w:pPr>
      <w:r>
        <w:rPr>
          <w:szCs w:val="21"/>
        </w:rPr>
        <w:t xml:space="preserve">一次电缆排列方式为水平一字型。柜前看，从左至右依次为A、B、C相，并应有相位标识，且标识应不易氧化脱落。</w:t>
      </w:r>
      <w:r>
        <w:rPr>
          <w:szCs w:val="21"/>
        </w:rPr>
      </w:r>
      <w:r/>
    </w:p>
    <w:p>
      <w:pPr>
        <w:pStyle w:val="1151"/>
        <w:spacing w:line="320" w:lineRule="exact"/>
      </w:pPr>
      <w:r/>
      <w:bookmarkStart w:id="167" w:name="_Toc531852682"/>
      <w:r>
        <w:t xml:space="preserve">5.</w:t>
      </w:r>
      <w:r>
        <w:rPr>
          <w:rFonts w:hint="eastAsia"/>
        </w:rPr>
        <w:t xml:space="preserve">2.5</w:t>
      </w:r>
      <w:r>
        <w:t xml:space="preserve">.26 一次电缆固定位置</w:t>
      </w:r>
      <w:bookmarkEnd w:id="167"/>
      <w:r/>
      <w:r/>
    </w:p>
    <w:p>
      <w:pPr>
        <w:pStyle w:val="1151"/>
        <w:ind w:firstLine="420"/>
        <w:spacing w:line="312" w:lineRule="exact"/>
        <w:rPr>
          <w:szCs w:val="21"/>
        </w:rPr>
      </w:pPr>
      <w:r>
        <w:rPr>
          <w:szCs w:val="21"/>
        </w:rPr>
        <w:t xml:space="preserve">一次电缆固定位置应设置在电缆室隔室内，采用上、下两点固定方式，分别为主电缆（电缆室入口）固定和分支电缆固定。如图</w:t>
      </w:r>
      <w:r>
        <w:rPr>
          <w:rFonts w:hint="eastAsia"/>
          <w:szCs w:val="21"/>
        </w:rPr>
        <w:t xml:space="preserve">25</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1828978" cy="2295436"/>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rcRect l="42270" t="16248" r="37723" b="17786"/>
                        <a:stretch/>
                      </pic:blipFill>
                      <pic:spPr bwMode="auto">
                        <a:xfrm>
                          <a:off x="0" y="0"/>
                          <a:ext cx="1828978" cy="22954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44.0pt;height:180.7pt;mso-wrap-distance-left:0.0pt;mso-wrap-distance-top:0.0pt;mso-wrap-distance-right:0.0pt;mso-wrap-distance-bottom:0.0pt;" stroked="f">
                <v:path textboxrect="0,0,0,0"/>
                <v:imagedata r:id="rId42" o:title=""/>
              </v:shape>
            </w:pict>
          </mc:Fallback>
        </mc:AlternateContent>
      </w:r>
      <w:r>
        <w:rPr>
          <w:szCs w:val="21"/>
        </w:rPr>
      </w:r>
      <w:r/>
    </w:p>
    <w:p>
      <w:pPr>
        <w:pStyle w:val="1151"/>
        <w:ind w:left="3465" w:hanging="3465"/>
        <w:jc w:val="center"/>
        <w:spacing w:line="312" w:lineRule="exact"/>
        <w:rPr>
          <w:rFonts w:eastAsia="黑体"/>
          <w:szCs w:val="21"/>
        </w:rPr>
      </w:pPr>
      <w:r>
        <w:rPr>
          <w:rFonts w:eastAsia="黑体"/>
          <w:szCs w:val="21"/>
        </w:rPr>
        <w:t xml:space="preserve">图</w:t>
      </w:r>
      <w:r>
        <w:rPr>
          <w:rFonts w:hint="eastAsia" w:eastAsia="黑体"/>
          <w:szCs w:val="21"/>
        </w:rPr>
        <w:t xml:space="preserve">25</w:t>
      </w:r>
      <w:r>
        <w:rPr>
          <w:rFonts w:eastAsia="黑体"/>
          <w:szCs w:val="21"/>
        </w:rPr>
        <w:t xml:space="preserve">一次电缆固定位置示意图</w:t>
      </w:r>
      <w:r>
        <w:rPr>
          <w:rFonts w:eastAsia="黑体"/>
          <w:szCs w:val="21"/>
        </w:rPr>
      </w:r>
      <w:r/>
    </w:p>
    <w:p>
      <w:pPr>
        <w:pStyle w:val="1151"/>
        <w:ind w:left="3465" w:hanging="3465"/>
        <w:jc w:val="center"/>
        <w:spacing w:line="312" w:lineRule="exact"/>
        <w:rPr>
          <w:rFonts w:eastAsia="黑体"/>
          <w:szCs w:val="21"/>
        </w:rPr>
      </w:pPr>
      <w:r>
        <w:rPr>
          <w:rFonts w:eastAsia="黑体"/>
          <w:szCs w:val="21"/>
        </w:rPr>
      </w:r>
      <w:r/>
    </w:p>
    <w:p>
      <w:pPr>
        <w:pStyle w:val="1151"/>
        <w:spacing w:line="320" w:lineRule="exact"/>
      </w:pPr>
      <w:r/>
      <w:bookmarkStart w:id="168" w:name="_Toc531852683"/>
      <w:r>
        <w:t xml:space="preserve">5.</w:t>
      </w:r>
      <w:r>
        <w:rPr>
          <w:rFonts w:hint="eastAsia"/>
        </w:rPr>
        <w:t xml:space="preserve">2.5</w:t>
      </w:r>
      <w:r>
        <w:t xml:space="preserve">.27 一次电缆安装端相间距</w:t>
      </w:r>
      <w:bookmarkEnd w:id="168"/>
      <w:r/>
      <w:r/>
    </w:p>
    <w:p>
      <w:pPr>
        <w:pStyle w:val="1151"/>
        <w:ind w:firstLine="420"/>
        <w:spacing w:line="312" w:lineRule="exact"/>
        <w:rPr>
          <w:szCs w:val="21"/>
        </w:rPr>
      </w:pPr>
      <w:r>
        <w:rPr>
          <w:szCs w:val="21"/>
        </w:rPr>
        <w:t xml:space="preserve">一次电缆安装端相间距不做硬性要求，但需满足标准化用互感器的安装使用。</w:t>
      </w:r>
      <w:r>
        <w:rPr>
          <w:szCs w:val="21"/>
        </w:rPr>
      </w:r>
      <w:r/>
    </w:p>
    <w:p>
      <w:pPr>
        <w:pStyle w:val="1151"/>
        <w:spacing w:line="320" w:lineRule="exact"/>
      </w:pPr>
      <w:r/>
      <w:bookmarkStart w:id="169" w:name="_Toc531852684"/>
      <w:r>
        <w:t xml:space="preserve">5.</w:t>
      </w:r>
      <w:r>
        <w:rPr>
          <w:rFonts w:hint="eastAsia"/>
        </w:rPr>
        <w:t xml:space="preserve">2.5</w:t>
      </w:r>
      <w:r>
        <w:t xml:space="preserve">.28 一次电缆孔直径</w:t>
      </w:r>
      <w:bookmarkEnd w:id="169"/>
      <w:r/>
      <w:r/>
    </w:p>
    <w:p>
      <w:pPr>
        <w:pStyle w:val="1151"/>
        <w:ind w:firstLine="420"/>
        <w:spacing w:line="312" w:lineRule="exact"/>
        <w:rPr>
          <w:szCs w:val="21"/>
        </w:rPr>
      </w:pPr>
      <w:r>
        <w:rPr>
          <w:szCs w:val="21"/>
        </w:rPr>
        <w:t xml:space="preserve">一次电缆孔直径尺寸为φ110mm或者φ150mm（根据进出线电缆尺寸选择）。</w:t>
      </w:r>
      <w:r>
        <w:rPr>
          <w:szCs w:val="21"/>
        </w:rPr>
      </w:r>
      <w:r/>
    </w:p>
    <w:p>
      <w:pPr>
        <w:pStyle w:val="1151"/>
        <w:spacing w:line="320" w:lineRule="exact"/>
      </w:pPr>
      <w:r/>
      <w:bookmarkStart w:id="170" w:name="_Toc531852685"/>
      <w:r>
        <w:t xml:space="preserve">5.</w:t>
      </w:r>
      <w:r>
        <w:rPr>
          <w:rFonts w:hint="eastAsia"/>
        </w:rPr>
        <w:t xml:space="preserve">2.5</w:t>
      </w:r>
      <w:r>
        <w:t xml:space="preserve">.29 一次电缆孔位置</w:t>
      </w:r>
      <w:bookmarkEnd w:id="170"/>
      <w:r/>
      <w:r/>
    </w:p>
    <w:p>
      <w:pPr>
        <w:pStyle w:val="1151"/>
        <w:ind w:firstLine="480"/>
        <w:jc w:val="left"/>
        <w:spacing w:line="312" w:lineRule="exact"/>
        <w:tabs>
          <w:tab w:val="left" w:pos="420" w:leader="none"/>
        </w:tabs>
        <w:rPr>
          <w:szCs w:val="21"/>
        </w:rPr>
      </w:pPr>
      <w:r>
        <w:rPr>
          <w:szCs w:val="21"/>
        </w:rPr>
        <w:t xml:space="preserve">一次电缆孔距柜体框架前端（不含柜门）尺寸：</w:t>
      </w:r>
      <w:r>
        <w:rPr>
          <w:szCs w:val="21"/>
        </w:rPr>
      </w:r>
      <w:r/>
    </w:p>
    <w:p>
      <w:pPr>
        <w:pStyle w:val="1151"/>
        <w:ind w:left="420"/>
        <w:spacing w:line="312" w:lineRule="exact"/>
        <w:rPr>
          <w:szCs w:val="21"/>
        </w:rPr>
      </w:pPr>
      <w:r>
        <w:rPr>
          <w:szCs w:val="21"/>
        </w:rPr>
        <w:t xml:space="preserve">（1）各柜型定制方案1：H=210mm。</w:t>
      </w:r>
      <w:r>
        <w:rPr>
          <w:szCs w:val="21"/>
        </w:rPr>
      </w:r>
      <w:r/>
    </w:p>
    <w:p>
      <w:pPr>
        <w:pStyle w:val="1151"/>
        <w:ind w:firstLine="420"/>
        <w:spacing w:line="312" w:lineRule="exact"/>
        <w:rPr>
          <w:szCs w:val="21"/>
        </w:rPr>
      </w:pPr>
      <w:r>
        <w:rPr>
          <w:szCs w:val="21"/>
        </w:rPr>
        <w:t xml:space="preserve">（2）各柜型定制方案2：H=235mm。</w:t>
      </w:r>
      <w:r>
        <w:rPr>
          <w:szCs w:val="21"/>
        </w:rPr>
      </w:r>
      <w:r/>
    </w:p>
    <w:p>
      <w:pPr>
        <w:pStyle w:val="1151"/>
        <w:ind w:firstLine="480"/>
        <w:jc w:val="left"/>
        <w:spacing w:line="312" w:lineRule="exact"/>
        <w:tabs>
          <w:tab w:val="left" w:pos="420" w:leader="none"/>
        </w:tabs>
        <w:rPr>
          <w:szCs w:val="21"/>
        </w:rPr>
      </w:pPr>
      <w:r>
        <w:rPr>
          <w:szCs w:val="21"/>
        </w:rPr>
        <w:t xml:space="preserve">电缆进线孔中心与进出线套管端面对齐，确保电缆垂直，并可进行单电缆加避雷器安装。如图40所示。</w:t>
      </w:r>
      <w:r>
        <w:rPr>
          <w:szCs w:val="21"/>
        </w:rPr>
      </w:r>
      <w:r/>
    </w:p>
    <w:p>
      <w:pPr>
        <w:pStyle w:val="1151"/>
        <w:spacing w:line="320" w:lineRule="exact"/>
      </w:pPr>
      <w:r/>
      <w:bookmarkStart w:id="171" w:name="_Toc531852686"/>
      <w:r>
        <w:t xml:space="preserve">5.</w:t>
      </w:r>
      <w:r>
        <w:rPr>
          <w:rFonts w:hint="eastAsia"/>
        </w:rPr>
        <w:t xml:space="preserve">2.5</w:t>
      </w:r>
      <w:r>
        <w:t xml:space="preserve">.30 主母线扩展方式</w:t>
      </w:r>
      <w:bookmarkEnd w:id="171"/>
      <w:r/>
      <w:r/>
    </w:p>
    <w:p>
      <w:pPr>
        <w:pStyle w:val="1151"/>
        <w:ind w:firstLine="480"/>
        <w:jc w:val="left"/>
        <w:spacing w:line="312" w:lineRule="exact"/>
        <w:tabs>
          <w:tab w:val="left" w:pos="420" w:leader="none"/>
        </w:tabs>
        <w:rPr>
          <w:szCs w:val="21"/>
        </w:rPr>
      </w:pPr>
      <w:r>
        <w:rPr>
          <w:szCs w:val="21"/>
        </w:rPr>
        <w:t xml:space="preserve">固体绝缘环网柜的主母线扩展方式可采用顶扩母线方式。扩展母线的设计安装应抵消环网柜本体现场安装后形成的相关累积误差，满足运行可靠性的要求，如采用弹簧触指或具有适度柔性的扩展母线等。</w:t>
      </w:r>
      <w:r>
        <w:rPr>
          <w:szCs w:val="21"/>
        </w:rPr>
      </w:r>
      <w:r/>
    </w:p>
    <w:p>
      <w:pPr>
        <w:pStyle w:val="1151"/>
        <w:spacing w:line="320" w:lineRule="exact"/>
      </w:pPr>
      <w:r/>
      <w:bookmarkStart w:id="172" w:name="_Toc531852687"/>
      <w:r>
        <w:t xml:space="preserve">5.</w:t>
      </w:r>
      <w:r>
        <w:rPr>
          <w:rFonts w:hint="eastAsia"/>
        </w:rPr>
        <w:t xml:space="preserve">2.5</w:t>
      </w:r>
      <w:r>
        <w:t xml:space="preserve">.31 扩展母线接线端对地高度</w:t>
      </w:r>
      <w:bookmarkEnd w:id="172"/>
      <w:r/>
      <w:r/>
    </w:p>
    <w:p>
      <w:pPr>
        <w:pStyle w:val="1151"/>
        <w:ind w:firstLine="420"/>
        <w:spacing w:line="312" w:lineRule="exact"/>
        <w:rPr>
          <w:szCs w:val="21"/>
        </w:rPr>
      </w:pPr>
      <w:r>
        <w:rPr>
          <w:szCs w:val="21"/>
        </w:rPr>
        <w:t xml:space="preserve">（1）各柜型定制方案1：扩展母线接线端对地高度=1240mm。</w:t>
      </w:r>
      <w:r>
        <w:rPr>
          <w:szCs w:val="21"/>
        </w:rPr>
      </w:r>
      <w:r/>
    </w:p>
    <w:p>
      <w:pPr>
        <w:pStyle w:val="1151"/>
        <w:ind w:firstLine="420"/>
        <w:spacing w:line="312" w:lineRule="exact"/>
        <w:rPr>
          <w:szCs w:val="21"/>
        </w:rPr>
      </w:pPr>
      <w:r>
        <w:rPr>
          <w:szCs w:val="21"/>
        </w:rPr>
        <w:t xml:space="preserve">（2）各柜型定制方案2：扩展母线接线端对地高度=1440mm。</w:t>
      </w:r>
      <w:r>
        <w:rPr>
          <w:szCs w:val="21"/>
        </w:rPr>
      </w:r>
      <w:r/>
    </w:p>
    <w:p>
      <w:pPr>
        <w:pStyle w:val="1151"/>
        <w:spacing w:line="320" w:lineRule="exact"/>
      </w:pPr>
      <w:r/>
      <w:bookmarkStart w:id="173" w:name="_Toc531852688"/>
      <w:r>
        <w:t xml:space="preserve">5.</w:t>
      </w:r>
      <w:r>
        <w:rPr>
          <w:rFonts w:hint="eastAsia"/>
        </w:rPr>
        <w:t xml:space="preserve">2.5</w:t>
      </w:r>
      <w:r>
        <w:t xml:space="preserve">.32 扩展母线接线端中心距柜体前底框架深度</w:t>
      </w:r>
      <w:bookmarkEnd w:id="173"/>
      <w:r/>
      <w:r/>
    </w:p>
    <w:p>
      <w:pPr>
        <w:pStyle w:val="1151"/>
        <w:ind w:firstLine="420"/>
        <w:spacing w:line="312" w:lineRule="exact"/>
        <w:rPr>
          <w:szCs w:val="21"/>
        </w:rPr>
      </w:pPr>
      <w:r>
        <w:rPr>
          <w:szCs w:val="21"/>
        </w:rPr>
        <w:t xml:space="preserve">（1）各柜型定制方案1：</w:t>
      </w:r>
      <w:r>
        <w:rPr>
          <w:szCs w:val="21"/>
        </w:rPr>
      </w:r>
      <w:r/>
    </w:p>
    <w:p>
      <w:pPr>
        <w:pStyle w:val="1151"/>
        <w:ind w:firstLine="480"/>
        <w:jc w:val="left"/>
        <w:spacing w:line="312" w:lineRule="exact"/>
        <w:tabs>
          <w:tab w:val="left" w:pos="420" w:leader="none"/>
        </w:tabs>
        <w:rPr>
          <w:szCs w:val="21"/>
        </w:rPr>
      </w:pPr>
      <w:r>
        <w:rPr>
          <w:szCs w:val="21"/>
        </w:rPr>
        <w:t xml:space="preserve">B相母线接线端中心距柜体前底框架深度=722mm。</w:t>
      </w:r>
      <w:r>
        <w:rPr>
          <w:szCs w:val="21"/>
        </w:rPr>
      </w:r>
      <w:r/>
    </w:p>
    <w:p>
      <w:pPr>
        <w:pStyle w:val="1151"/>
        <w:ind w:firstLine="420"/>
        <w:spacing w:line="312" w:lineRule="exact"/>
        <w:rPr>
          <w:szCs w:val="21"/>
        </w:rPr>
      </w:pPr>
      <w:r>
        <w:rPr>
          <w:szCs w:val="21"/>
        </w:rPr>
        <w:t xml:space="preserve">（2）各柜型定制方案2：</w:t>
      </w:r>
      <w:r>
        <w:rPr>
          <w:szCs w:val="21"/>
        </w:rPr>
      </w:r>
      <w:r/>
    </w:p>
    <w:p>
      <w:pPr>
        <w:pStyle w:val="1151"/>
        <w:ind w:firstLine="420"/>
        <w:spacing w:line="312" w:lineRule="exact"/>
        <w:rPr>
          <w:szCs w:val="21"/>
        </w:rPr>
      </w:pPr>
      <w:r>
        <w:rPr>
          <w:szCs w:val="21"/>
        </w:rPr>
        <w:t xml:space="preserve">B相母线接线端中心距柜体前底框架深度=585mm。</w:t>
      </w:r>
      <w:r>
        <w:rPr>
          <w:szCs w:val="21"/>
        </w:rPr>
      </w:r>
      <w:r/>
    </w:p>
    <w:p>
      <w:pPr>
        <w:pStyle w:val="1151"/>
        <w:spacing w:line="320" w:lineRule="exact"/>
      </w:pPr>
      <w:r/>
      <w:bookmarkStart w:id="174" w:name="_Toc531852689"/>
      <w:r>
        <w:t xml:space="preserve">5.</w:t>
      </w:r>
      <w:r>
        <w:rPr>
          <w:rFonts w:hint="eastAsia"/>
        </w:rPr>
        <w:t xml:space="preserve">2.5</w:t>
      </w:r>
      <w:r>
        <w:t xml:space="preserve">.33 扩展母线套管位置尺寸</w:t>
      </w:r>
      <w:bookmarkEnd w:id="174"/>
      <w:r/>
      <w:r/>
    </w:p>
    <w:p>
      <w:pPr>
        <w:pStyle w:val="1151"/>
        <w:ind w:firstLine="420"/>
        <w:spacing w:line="312" w:lineRule="exact"/>
        <w:rPr>
          <w:szCs w:val="21"/>
        </w:rPr>
      </w:pPr>
      <w:r>
        <w:rPr>
          <w:szCs w:val="21"/>
        </w:rPr>
        <w:t xml:space="preserve">（1）各柜型定制方案1：</w:t>
      </w:r>
      <w:r>
        <w:rPr>
          <w:szCs w:val="21"/>
        </w:rPr>
      </w:r>
      <w:r/>
    </w:p>
    <w:p>
      <w:pPr>
        <w:pStyle w:val="1151"/>
        <w:ind w:firstLine="480"/>
        <w:jc w:val="left"/>
        <w:spacing w:line="312" w:lineRule="exact"/>
        <w:tabs>
          <w:tab w:val="left" w:pos="420" w:leader="none"/>
        </w:tabs>
        <w:rPr>
          <w:szCs w:val="21"/>
        </w:rPr>
      </w:pPr>
      <w:r>
        <w:rPr>
          <w:szCs w:val="21"/>
        </w:rPr>
        <w:t xml:space="preserve">扩展母线套管：水平方向相间距=135mm；垂直方向上部相间距=74mm；垂直方向下部相间距=98mm。</w:t>
      </w:r>
      <w:r>
        <w:rPr>
          <w:szCs w:val="21"/>
        </w:rPr>
      </w:r>
      <w:r/>
    </w:p>
    <w:p>
      <w:pPr>
        <w:pStyle w:val="1151"/>
        <w:ind w:firstLine="480"/>
        <w:jc w:val="left"/>
        <w:spacing w:line="312" w:lineRule="exact"/>
        <w:tabs>
          <w:tab w:val="left" w:pos="420" w:leader="none"/>
        </w:tabs>
        <w:rPr>
          <w:szCs w:val="21"/>
        </w:rPr>
      </w:pPr>
      <w:r>
        <w:rPr>
          <w:szCs w:val="21"/>
        </w:rPr>
        <w:t xml:space="preserve">中间相距柜体右侧距离=210mm(PT柜为300mm)。如图</w:t>
      </w:r>
      <w:r>
        <w:rPr>
          <w:rFonts w:hint="eastAsia"/>
          <w:szCs w:val="21"/>
        </w:rPr>
        <w:t xml:space="preserve">26</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2305126" cy="3886137"/>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2305126" cy="38861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81.5pt;height:306.0pt;mso-wrap-distance-left:0.0pt;mso-wrap-distance-top:0.0pt;mso-wrap-distance-right:0.0pt;mso-wrap-distance-bottom:0.0pt;" stroked="f">
                <v:path textboxrect="0,0,0,0"/>
                <v:imagedata r:id="rId43"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26</w:t>
      </w:r>
      <w:r>
        <w:rPr>
          <w:rFonts w:eastAsia="黑体"/>
          <w:szCs w:val="21"/>
        </w:rPr>
        <w:t xml:space="preserve">各柜型定制方案1母线套管位置尺寸图（柜体后视图）</w:t>
      </w:r>
      <w:r>
        <w:rPr>
          <w:rFonts w:eastAsia="黑体"/>
          <w:szCs w:val="21"/>
        </w:rPr>
      </w:r>
      <w:r/>
    </w:p>
    <w:p>
      <w:pPr>
        <w:pStyle w:val="1151"/>
        <w:jc w:val="center"/>
        <w:spacing w:line="312" w:lineRule="exact"/>
        <w:rPr>
          <w:rFonts w:eastAsia="黑体"/>
          <w:szCs w:val="21"/>
        </w:rPr>
      </w:pPr>
      <w:r>
        <w:rPr>
          <w:rFonts w:eastAsia="黑体"/>
          <w:szCs w:val="21"/>
        </w:rPr>
      </w:r>
      <w:r/>
    </w:p>
    <w:p>
      <w:pPr>
        <w:pStyle w:val="1151"/>
        <w:ind w:firstLine="420"/>
        <w:spacing w:line="312" w:lineRule="exact"/>
        <w:rPr>
          <w:szCs w:val="21"/>
        </w:rPr>
      </w:pPr>
      <w:r>
        <w:rPr>
          <w:szCs w:val="21"/>
        </w:rPr>
        <w:t xml:space="preserve">（2）各柜型定制方案2：</w:t>
      </w:r>
      <w:r>
        <w:rPr>
          <w:szCs w:val="21"/>
        </w:rPr>
      </w:r>
      <w:r/>
    </w:p>
    <w:p>
      <w:pPr>
        <w:pStyle w:val="1151"/>
        <w:ind w:firstLine="480"/>
        <w:jc w:val="left"/>
        <w:spacing w:line="312" w:lineRule="exact"/>
        <w:tabs>
          <w:tab w:val="left" w:pos="420" w:leader="none"/>
        </w:tabs>
        <w:rPr>
          <w:szCs w:val="21"/>
        </w:rPr>
      </w:pPr>
      <w:r>
        <w:rPr>
          <w:szCs w:val="21"/>
        </w:rPr>
        <w:t xml:space="preserve">扩展母线套管：垂直方向相间距=130mm；水平方向相间距=90mm。</w:t>
      </w:r>
      <w:r>
        <w:rPr>
          <w:szCs w:val="21"/>
        </w:rPr>
      </w:r>
      <w:r/>
    </w:p>
    <w:p>
      <w:pPr>
        <w:pStyle w:val="1151"/>
        <w:ind w:firstLine="480"/>
        <w:jc w:val="left"/>
        <w:spacing w:line="312" w:lineRule="exact"/>
        <w:tabs>
          <w:tab w:val="left" w:pos="420" w:leader="none"/>
        </w:tabs>
        <w:rPr>
          <w:szCs w:val="21"/>
        </w:rPr>
      </w:pPr>
      <w:r>
        <w:rPr>
          <w:szCs w:val="21"/>
        </w:rPr>
        <w:t xml:space="preserve">中间相距柜体右侧距离=210mm(PT柜为300mm)。如图</w:t>
      </w:r>
      <w:r>
        <w:rPr>
          <w:rFonts w:hint="eastAsia"/>
          <w:szCs w:val="21"/>
        </w:rPr>
        <w:t xml:space="preserve">27</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3267100" cy="197153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3267100" cy="1971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257.3pt;height:155.2pt;mso-wrap-distance-left:0.0pt;mso-wrap-distance-top:0.0pt;mso-wrap-distance-right:0.0pt;mso-wrap-distance-bottom:0.0pt;" stroked="f">
                <v:path textboxrect="0,0,0,0"/>
                <v:imagedata r:id="rId44" o:title=""/>
              </v:shape>
            </w:pict>
          </mc:Fallback>
        </mc:AlternateContent>
      </w:r>
      <w:r>
        <w:rPr>
          <w:szCs w:val="21"/>
        </w:rPr>
      </w:r>
      <w:r/>
    </w:p>
    <w:p>
      <w:pPr>
        <w:pStyle w:val="1151"/>
        <w:ind w:left="3465" w:hanging="3465"/>
        <w:jc w:val="center"/>
        <w:spacing w:line="312" w:lineRule="exact"/>
        <w:rPr>
          <w:rFonts w:eastAsia="黑体"/>
          <w:szCs w:val="21"/>
        </w:rPr>
      </w:pPr>
      <w:r>
        <w:rPr>
          <w:rFonts w:eastAsia="黑体"/>
          <w:szCs w:val="21"/>
        </w:rPr>
        <w:t xml:space="preserve">图</w:t>
      </w:r>
      <w:r>
        <w:rPr>
          <w:rFonts w:hint="eastAsia" w:eastAsia="黑体"/>
          <w:szCs w:val="21"/>
        </w:rPr>
        <w:t xml:space="preserve">27</w:t>
      </w:r>
      <w:r>
        <w:rPr>
          <w:rFonts w:eastAsia="黑体"/>
          <w:szCs w:val="21"/>
        </w:rPr>
        <w:t xml:space="preserve">各柜型定制方案2母线套管位置尺寸图（柜体俯视图）</w:t>
      </w:r>
      <w:r>
        <w:rPr>
          <w:rFonts w:eastAsia="黑体"/>
          <w:szCs w:val="21"/>
        </w:rPr>
      </w:r>
      <w:r/>
    </w:p>
    <w:p>
      <w:pPr>
        <w:pStyle w:val="1151"/>
        <w:ind w:left="3465" w:hanging="3465"/>
        <w:jc w:val="center"/>
        <w:spacing w:line="312" w:lineRule="exact"/>
        <w:rPr>
          <w:rFonts w:eastAsia="黑体"/>
          <w:szCs w:val="21"/>
        </w:rPr>
      </w:pPr>
      <w:r>
        <w:rPr>
          <w:rFonts w:eastAsia="黑体"/>
          <w:szCs w:val="21"/>
        </w:rPr>
      </w:r>
      <w:r/>
    </w:p>
    <w:p>
      <w:pPr>
        <w:pStyle w:val="1151"/>
        <w:spacing w:line="320" w:lineRule="exact"/>
      </w:pPr>
      <w:r/>
      <w:bookmarkStart w:id="175" w:name="_Toc531852690"/>
      <w:r>
        <w:t xml:space="preserve">5.</w:t>
      </w:r>
      <w:r>
        <w:rPr>
          <w:rFonts w:hint="eastAsia"/>
        </w:rPr>
        <w:t xml:space="preserve">2.5</w:t>
      </w:r>
      <w:r>
        <w:t xml:space="preserve">.34 扩展母线尺寸</w:t>
      </w:r>
      <w:bookmarkEnd w:id="175"/>
      <w:r/>
      <w:r/>
    </w:p>
    <w:p>
      <w:pPr>
        <w:pStyle w:val="1151"/>
        <w:ind w:firstLine="420"/>
        <w:spacing w:line="312" w:lineRule="exact"/>
        <w:rPr>
          <w:szCs w:val="21"/>
        </w:rPr>
      </w:pPr>
      <w:r>
        <w:rPr>
          <w:szCs w:val="21"/>
        </w:rPr>
        <w:t xml:space="preserve">（1）各柜型定制方案1：环网柜顶出连接母线，见图</w:t>
      </w:r>
      <w:r>
        <w:rPr>
          <w:rFonts w:hint="eastAsia"/>
          <w:szCs w:val="21"/>
        </w:rPr>
        <w:t xml:space="preserve">28</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2762237" cy="895337"/>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rcRect l="616" t="9941" r="1921" b="16192"/>
                        <a:stretch/>
                      </pic:blipFill>
                      <pic:spPr bwMode="auto">
                        <a:xfrm>
                          <a:off x="0" y="0"/>
                          <a:ext cx="2762237" cy="8953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217.5pt;height:70.5pt;mso-wrap-distance-left:0.0pt;mso-wrap-distance-top:0.0pt;mso-wrap-distance-right:0.0pt;mso-wrap-distance-bottom:0.0pt;" stroked="f">
                <v:path textboxrect="0,0,0,0"/>
                <v:imagedata r:id="rId45" o:title=""/>
              </v:shape>
            </w:pict>
          </mc:Fallback>
        </mc:AlternateContent>
      </w:r>
      <w:r>
        <w:rPr>
          <w:szCs w:val="21"/>
        </w:rPr>
      </w:r>
      <w:r/>
    </w:p>
    <w:p>
      <w:pPr>
        <w:pStyle w:val="1151"/>
        <w:ind w:left="3465" w:hanging="3465"/>
        <w:jc w:val="center"/>
        <w:spacing w:line="312" w:lineRule="exact"/>
        <w:rPr>
          <w:rFonts w:eastAsia="黑体"/>
          <w:szCs w:val="21"/>
        </w:rPr>
      </w:pPr>
      <w:r>
        <w:rPr>
          <w:rFonts w:eastAsia="黑体"/>
          <w:szCs w:val="21"/>
        </w:rPr>
        <w:t xml:space="preserve">图</w:t>
      </w:r>
      <w:r>
        <w:rPr>
          <w:rFonts w:hint="eastAsia" w:eastAsia="黑体"/>
          <w:szCs w:val="21"/>
        </w:rPr>
        <w:t xml:space="preserve">28</w:t>
      </w:r>
      <w:r>
        <w:rPr>
          <w:rFonts w:eastAsia="黑体"/>
          <w:szCs w:val="21"/>
        </w:rPr>
        <w:t xml:space="preserve">母线连接尺寸图</w:t>
      </w:r>
      <w:r>
        <w:rPr>
          <w:rFonts w:eastAsia="黑体"/>
          <w:szCs w:val="21"/>
        </w:rPr>
      </w:r>
      <w:r/>
    </w:p>
    <w:p>
      <w:pPr>
        <w:pStyle w:val="1151"/>
        <w:ind w:left="3465" w:hanging="3465"/>
        <w:jc w:val="center"/>
        <w:spacing w:line="312" w:lineRule="exact"/>
        <w:rPr>
          <w:rFonts w:eastAsia="黑体"/>
          <w:szCs w:val="21"/>
        </w:rPr>
      </w:pPr>
      <w:r>
        <w:rPr>
          <w:rFonts w:eastAsia="黑体"/>
          <w:szCs w:val="21"/>
        </w:rPr>
      </w:r>
      <w:r/>
    </w:p>
    <w:p>
      <w:pPr>
        <w:pStyle w:val="1151"/>
        <w:ind w:firstLine="420"/>
        <w:spacing w:line="312" w:lineRule="exact"/>
        <w:rPr>
          <w:szCs w:val="21"/>
        </w:rPr>
      </w:pPr>
      <w:r>
        <w:rPr>
          <w:szCs w:val="21"/>
        </w:rPr>
        <w:t xml:space="preserve">（2）各柜型定制方案2：母线外形尺寸参考气体绝缘环网柜顶出连接母线。</w:t>
      </w:r>
      <w:r>
        <w:rPr>
          <w:szCs w:val="21"/>
        </w:rPr>
      </w:r>
      <w:r/>
    </w:p>
    <w:p>
      <w:pPr>
        <w:pStyle w:val="1151"/>
        <w:spacing w:line="320" w:lineRule="exact"/>
      </w:pPr>
      <w:r/>
      <w:bookmarkStart w:id="176" w:name="_Toc531852691"/>
      <w:r>
        <w:t xml:space="preserve">5.</w:t>
      </w:r>
      <w:r>
        <w:rPr>
          <w:rFonts w:hint="eastAsia"/>
        </w:rPr>
        <w:t xml:space="preserve">2.5</w:t>
      </w:r>
      <w:r>
        <w:t xml:space="preserve">.35 扩展母线套管尺寸</w:t>
      </w:r>
      <w:bookmarkEnd w:id="176"/>
      <w:r/>
      <w:r/>
    </w:p>
    <w:p>
      <w:pPr>
        <w:pStyle w:val="1151"/>
        <w:ind w:firstLine="480"/>
        <w:jc w:val="left"/>
        <w:spacing w:line="312" w:lineRule="exact"/>
        <w:tabs>
          <w:tab w:val="left" w:pos="420" w:leader="none"/>
        </w:tabs>
        <w:rPr>
          <w:szCs w:val="21"/>
        </w:rPr>
      </w:pPr>
      <w:r>
        <w:rPr>
          <w:szCs w:val="21"/>
        </w:rPr>
        <w:t xml:space="preserve">扩展母线套管尺寸为标准C型套管尺寸。</w:t>
      </w:r>
      <w:r>
        <w:rPr>
          <w:szCs w:val="21"/>
        </w:rPr>
      </w:r>
      <w:r/>
    </w:p>
    <w:p>
      <w:pPr>
        <w:pStyle w:val="1151"/>
        <w:spacing w:line="320" w:lineRule="exact"/>
      </w:pPr>
      <w:r/>
      <w:bookmarkStart w:id="177" w:name="_Toc531852692"/>
      <w:r>
        <w:t xml:space="preserve">5.</w:t>
      </w:r>
      <w:r>
        <w:rPr>
          <w:rFonts w:hint="eastAsia"/>
        </w:rPr>
        <w:t xml:space="preserve">2.5</w:t>
      </w:r>
      <w:r>
        <w:t xml:space="preserve">.36 一次接地排规格</w:t>
      </w:r>
      <w:bookmarkEnd w:id="177"/>
      <w:r/>
      <w:r/>
    </w:p>
    <w:p>
      <w:pPr>
        <w:pStyle w:val="1151"/>
        <w:ind w:firstLine="420"/>
        <w:spacing w:line="312" w:lineRule="exact"/>
        <w:rPr>
          <w:szCs w:val="21"/>
        </w:rPr>
      </w:pPr>
      <w:r>
        <w:rPr>
          <w:bCs/>
          <w:szCs w:val="21"/>
        </w:rPr>
        <w:t xml:space="preserve">一次接地排规格为矩形铜排TMY-30mm×8mm</w:t>
      </w:r>
      <w:r>
        <w:rPr>
          <w:szCs w:val="21"/>
        </w:rPr>
        <w:t xml:space="preserve">，一次接地排搭接孔开孔尺寸为Φ9×15mm，并柜一次接地搭接排孔距100mm。</w:t>
      </w:r>
      <w:r>
        <w:rPr>
          <w:szCs w:val="21"/>
        </w:rPr>
      </w:r>
      <w:r/>
    </w:p>
    <w:p>
      <w:pPr>
        <w:pStyle w:val="1151"/>
        <w:spacing w:line="320" w:lineRule="exact"/>
      </w:pPr>
      <w:r/>
      <w:bookmarkStart w:id="178" w:name="_Toc531852693"/>
      <w:r>
        <w:t xml:space="preserve">5.</w:t>
      </w:r>
      <w:r>
        <w:rPr>
          <w:rFonts w:hint="eastAsia"/>
        </w:rPr>
        <w:t xml:space="preserve">2.5</w:t>
      </w:r>
      <w:r>
        <w:t xml:space="preserve">.37 一次接地排位置尺寸</w:t>
      </w:r>
      <w:bookmarkEnd w:id="178"/>
      <w:r/>
      <w:r/>
    </w:p>
    <w:p>
      <w:pPr>
        <w:pStyle w:val="1151"/>
        <w:ind w:firstLine="420"/>
        <w:jc w:val="left"/>
        <w:spacing w:line="312" w:lineRule="exact"/>
        <w:rPr>
          <w:szCs w:val="21"/>
        </w:rPr>
      </w:pPr>
      <w:r>
        <w:rPr>
          <w:szCs w:val="21"/>
        </w:rPr>
        <w:t xml:space="preserve">各柜型方案的接地排位置尺寸一致。一次接地排位于柜体电缆室前下方位置，便于现场接地线的安装和使用。</w:t>
      </w:r>
      <w:r>
        <w:rPr>
          <w:szCs w:val="21"/>
        </w:rPr>
      </w:r>
      <w:r/>
    </w:p>
    <w:p>
      <w:pPr>
        <w:pStyle w:val="1151"/>
        <w:ind w:firstLine="420"/>
        <w:spacing w:line="312" w:lineRule="exact"/>
        <w:rPr>
          <w:szCs w:val="21"/>
        </w:rPr>
      </w:pPr>
      <w:r>
        <w:rPr>
          <w:szCs w:val="21"/>
        </w:rPr>
        <w:t xml:space="preserve">一次接地排贯穿孔尺寸为</w:t>
      </w:r>
      <w:r>
        <w:rPr>
          <w:bCs/>
          <w:szCs w:val="21"/>
        </w:rPr>
        <w:t xml:space="preserve">长方孔</w:t>
      </w:r>
      <w:r>
        <w:rPr>
          <w:szCs w:val="21"/>
        </w:rPr>
        <w:t xml:space="preserve">12×40mm，孔中心距前框架75mm，距底框架54mm，如图</w:t>
      </w:r>
      <w:r>
        <w:rPr>
          <w:rFonts w:hint="eastAsia"/>
          <w:szCs w:val="21"/>
        </w:rPr>
        <w:t xml:space="preserve">29</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2095754" cy="2619273"/>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2095754" cy="26192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65.0pt;height:206.2pt;mso-wrap-distance-left:0.0pt;mso-wrap-distance-top:0.0pt;mso-wrap-distance-right:0.0pt;mso-wrap-distance-bottom:0.0pt;" stroked="f">
                <v:path textboxrect="0,0,0,0"/>
                <v:imagedata r:id="rId46" o:title=""/>
              </v:shape>
            </w:pict>
          </mc:Fallback>
        </mc:AlternateContent>
      </w:r>
      <w:r>
        <w:rPr>
          <w:szCs w:val="21"/>
        </w:rPr>
      </w:r>
      <w:r/>
    </w:p>
    <w:p>
      <w:pPr>
        <w:pStyle w:val="1151"/>
        <w:ind w:left="3465" w:hanging="3465"/>
        <w:jc w:val="center"/>
        <w:spacing w:line="312" w:lineRule="exact"/>
        <w:rPr>
          <w:rFonts w:eastAsia="黑体"/>
          <w:szCs w:val="21"/>
        </w:rPr>
      </w:pPr>
      <w:r>
        <w:rPr>
          <w:rFonts w:eastAsia="黑体"/>
          <w:szCs w:val="21"/>
        </w:rPr>
        <w:t xml:space="preserve">图</w:t>
      </w:r>
      <w:r>
        <w:rPr>
          <w:rFonts w:hint="eastAsia" w:eastAsia="黑体"/>
          <w:szCs w:val="21"/>
        </w:rPr>
        <w:t xml:space="preserve">29</w:t>
      </w:r>
      <w:r>
        <w:rPr>
          <w:rFonts w:eastAsia="黑体"/>
          <w:szCs w:val="21"/>
        </w:rPr>
        <w:t xml:space="preserve">一次接地排位置尺寸图</w:t>
      </w:r>
      <w:r>
        <w:rPr>
          <w:rFonts w:eastAsia="黑体"/>
          <w:szCs w:val="21"/>
        </w:rPr>
      </w:r>
      <w:r/>
    </w:p>
    <w:p>
      <w:pPr>
        <w:pStyle w:val="1151"/>
        <w:ind w:left="3465" w:hanging="3465"/>
        <w:jc w:val="center"/>
        <w:spacing w:line="312" w:lineRule="exact"/>
        <w:rPr>
          <w:rFonts w:eastAsia="黑体"/>
          <w:szCs w:val="21"/>
        </w:rPr>
      </w:pPr>
      <w:r>
        <w:rPr>
          <w:rFonts w:eastAsia="黑体"/>
          <w:szCs w:val="21"/>
        </w:rPr>
      </w:r>
      <w:r/>
    </w:p>
    <w:p>
      <w:pPr>
        <w:pStyle w:val="1151"/>
        <w:spacing w:line="320" w:lineRule="exact"/>
      </w:pPr>
      <w:r/>
      <w:bookmarkStart w:id="179" w:name="_Toc531852694"/>
      <w:r>
        <w:t xml:space="preserve">5.</w:t>
      </w:r>
      <w:r>
        <w:rPr>
          <w:rFonts w:hint="eastAsia"/>
        </w:rPr>
        <w:t xml:space="preserve">2.5</w:t>
      </w:r>
      <w:r>
        <w:t xml:space="preserve">.38 柜体并柜形式</w:t>
      </w:r>
      <w:bookmarkEnd w:id="179"/>
      <w:r/>
      <w:r/>
    </w:p>
    <w:p>
      <w:pPr>
        <w:pStyle w:val="1151"/>
        <w:ind w:firstLine="480"/>
        <w:jc w:val="left"/>
        <w:spacing w:line="312" w:lineRule="exact"/>
        <w:tabs>
          <w:tab w:val="left" w:pos="420" w:leader="none"/>
        </w:tabs>
        <w:rPr>
          <w:szCs w:val="21"/>
        </w:rPr>
      </w:pPr>
      <w:r>
        <w:rPr>
          <w:szCs w:val="21"/>
        </w:rPr>
        <w:t xml:space="preserve">柜体间采用螺栓连接方式进行拼装，规格M8×20mm。</w:t>
      </w:r>
      <w:r>
        <w:rPr>
          <w:szCs w:val="21"/>
        </w:rPr>
      </w:r>
      <w:r/>
    </w:p>
    <w:p>
      <w:pPr>
        <w:pStyle w:val="1151"/>
        <w:spacing w:line="320" w:lineRule="exact"/>
      </w:pPr>
      <w:r/>
      <w:bookmarkStart w:id="180" w:name="_Toc531852695"/>
      <w:r>
        <w:t xml:space="preserve">5.</w:t>
      </w:r>
      <w:r>
        <w:rPr>
          <w:rFonts w:hint="eastAsia"/>
        </w:rPr>
        <w:t xml:space="preserve">2.5</w:t>
      </w:r>
      <w:r>
        <w:t xml:space="preserve">.39 多回路柜体并柜尺寸</w:t>
      </w:r>
      <w:bookmarkEnd w:id="180"/>
      <w:r/>
      <w:r/>
    </w:p>
    <w:p>
      <w:pPr>
        <w:pStyle w:val="1151"/>
        <w:ind w:left="480"/>
        <w:jc w:val="left"/>
        <w:spacing w:line="312" w:lineRule="exact"/>
        <w:tabs>
          <w:tab w:val="left" w:pos="420" w:leader="none"/>
        </w:tabs>
        <w:rPr>
          <w:szCs w:val="21"/>
        </w:rPr>
      </w:pPr>
      <w:r>
        <w:rPr>
          <w:szCs w:val="21"/>
        </w:rPr>
        <w:t xml:space="preserve">并柜开孔尺寸：φ10mm。</w:t>
      </w:r>
      <w:r>
        <w:rPr>
          <w:szCs w:val="21"/>
        </w:rPr>
      </w:r>
      <w:r/>
    </w:p>
    <w:p>
      <w:pPr>
        <w:pStyle w:val="1151"/>
        <w:ind w:firstLine="480"/>
        <w:jc w:val="left"/>
        <w:spacing w:line="312" w:lineRule="exact"/>
        <w:tabs>
          <w:tab w:val="left" w:pos="420" w:leader="none"/>
        </w:tabs>
        <w:rPr>
          <w:szCs w:val="21"/>
        </w:rPr>
      </w:pPr>
      <w:r>
        <w:rPr>
          <w:szCs w:val="21"/>
        </w:rPr>
        <w:t xml:space="preserve">并柜孔分布柜体前后两侧，保证每侧并柜时连接3个以上并柜孔。如图</w:t>
      </w:r>
      <w:r>
        <w:rPr>
          <w:rFonts w:hint="eastAsia"/>
          <w:szCs w:val="21"/>
        </w:rPr>
        <w:t xml:space="preserve">30</w:t>
      </w:r>
      <w:r>
        <w:rPr>
          <w:szCs w:val="21"/>
        </w:rPr>
        <w:t xml:space="preserve">、</w:t>
      </w:r>
      <w:r>
        <w:rPr>
          <w:rFonts w:hint="eastAsia"/>
          <w:szCs w:val="21"/>
        </w:rPr>
        <w:t xml:space="preserve">31</w:t>
      </w:r>
      <w:r>
        <w:rPr>
          <w:szCs w:val="21"/>
        </w:rPr>
        <w:t xml:space="preserve">。</w:t>
      </w:r>
      <w:r>
        <w:rPr>
          <w:szCs w:val="21"/>
        </w:rPr>
      </w:r>
      <w:r/>
    </w:p>
    <w:p>
      <w:pPr>
        <w:pStyle w:val="1151"/>
        <w:ind w:firstLine="420"/>
        <w:jc w:val="left"/>
        <w:spacing w:line="312" w:lineRule="exact"/>
        <w:tabs>
          <w:tab w:val="left" w:pos="420" w:leader="none"/>
        </w:tabs>
        <w:rPr>
          <w:szCs w:val="21"/>
        </w:rPr>
      </w:pPr>
      <w:r>
        <w:rPr>
          <w:szCs w:val="21"/>
        </w:rPr>
        <w:t xml:space="preserve">（1）</w:t>
      </w:r>
      <w:r>
        <w:rPr>
          <w:szCs w:val="21"/>
          <w:lang w:val="zh-CN"/>
        </w:rPr>
        <w:t xml:space="preserve">各柜型</w:t>
      </w:r>
      <w:r>
        <w:rPr>
          <w:szCs w:val="21"/>
        </w:rPr>
        <w:t xml:space="preserve">定制</w:t>
      </w:r>
      <w:r>
        <w:rPr>
          <w:szCs w:val="21"/>
          <w:lang w:val="zh-CN"/>
        </w:rPr>
        <w:t xml:space="preserve">方案</w:t>
      </w:r>
      <w:r>
        <w:rPr>
          <w:szCs w:val="21"/>
        </w:rPr>
        <w:t xml:space="preserve">1并柜孔分布：</w:t>
      </w:r>
      <w:r>
        <w:rPr>
          <w:szCs w:val="21"/>
        </w:rPr>
      </w:r>
      <w:r/>
    </w:p>
    <w:p>
      <w:pPr>
        <w:pStyle w:val="1151"/>
        <w:jc w:val="center"/>
        <w:rPr>
          <w:szCs w:val="21"/>
          <w:lang w:val="zh-CN"/>
        </w:rPr>
      </w:pPr>
      <w:r>
        <w:rPr>
          <w:szCs w:val="21"/>
        </w:rPr>
        <mc:AlternateContent>
          <mc:Choice Requires="wpg">
            <w:drawing>
              <wp:inline xmlns:wp="http://schemas.openxmlformats.org/drawingml/2006/wordprocessingDrawing" distT="0" distB="0" distL="0" distR="0">
                <wp:extent cx="2362175" cy="3133585"/>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2362175" cy="31335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86.0pt;height:246.7pt;mso-wrap-distance-left:0.0pt;mso-wrap-distance-top:0.0pt;mso-wrap-distance-right:0.0pt;mso-wrap-distance-bottom:0.0pt;" stroked="f">
                <v:path textboxrect="0,0,0,0"/>
                <v:imagedata r:id="rId47" o:title=""/>
              </v:shape>
            </w:pict>
          </mc:Fallback>
        </mc:AlternateContent>
      </w:r>
      <w:r>
        <w:rPr>
          <w:szCs w:val="21"/>
          <w:lang w:val="zh-CN"/>
        </w:rPr>
      </w:r>
      <w:r/>
    </w:p>
    <w:p>
      <w:pPr>
        <w:pStyle w:val="1151"/>
        <w:ind w:left="3465" w:hanging="3465"/>
        <w:jc w:val="center"/>
        <w:spacing w:line="312" w:lineRule="exact"/>
        <w:rPr>
          <w:rFonts w:eastAsia="黑体"/>
          <w:szCs w:val="21"/>
        </w:rPr>
      </w:pPr>
      <w:r>
        <w:rPr>
          <w:rFonts w:eastAsia="黑体"/>
          <w:szCs w:val="21"/>
        </w:rPr>
        <w:t xml:space="preserve">图</w:t>
      </w:r>
      <w:r>
        <w:rPr>
          <w:rFonts w:hint="eastAsia" w:eastAsia="黑体"/>
          <w:szCs w:val="21"/>
        </w:rPr>
        <w:t xml:space="preserve">30</w:t>
      </w:r>
      <w:r>
        <w:rPr>
          <w:rFonts w:eastAsia="黑体"/>
          <w:szCs w:val="21"/>
        </w:rPr>
        <w:t xml:space="preserve">各柜型定制方案1并柜孔分布尺寸图</w:t>
      </w:r>
      <w:r>
        <w:rPr>
          <w:rFonts w:eastAsia="黑体"/>
          <w:szCs w:val="21"/>
        </w:rPr>
      </w:r>
      <w:r/>
    </w:p>
    <w:p>
      <w:pPr>
        <w:pStyle w:val="1151"/>
        <w:ind w:left="3465" w:hanging="3465"/>
        <w:jc w:val="center"/>
        <w:spacing w:line="312" w:lineRule="exact"/>
        <w:rPr>
          <w:rFonts w:eastAsia="黑体"/>
          <w:szCs w:val="21"/>
        </w:rPr>
      </w:pPr>
      <w:r>
        <w:rPr>
          <w:rFonts w:eastAsia="黑体"/>
          <w:szCs w:val="21"/>
        </w:rPr>
      </w:r>
      <w:r/>
    </w:p>
    <w:p>
      <w:pPr>
        <w:pStyle w:val="1151"/>
        <w:ind w:firstLine="420"/>
        <w:jc w:val="left"/>
        <w:spacing w:line="312" w:lineRule="exact"/>
        <w:tabs>
          <w:tab w:val="left" w:pos="420" w:leader="none"/>
        </w:tabs>
        <w:rPr>
          <w:szCs w:val="21"/>
        </w:rPr>
      </w:pPr>
      <w:r>
        <w:rPr>
          <w:szCs w:val="21"/>
        </w:rPr>
        <w:t xml:space="preserve">（2）</w:t>
      </w:r>
      <w:r>
        <w:rPr>
          <w:szCs w:val="21"/>
          <w:lang w:val="zh-CN"/>
        </w:rPr>
        <w:t xml:space="preserve">各柜型</w:t>
      </w:r>
      <w:r>
        <w:rPr>
          <w:szCs w:val="21"/>
        </w:rPr>
        <w:t xml:space="preserve">定制</w:t>
      </w:r>
      <w:r>
        <w:rPr>
          <w:szCs w:val="21"/>
          <w:lang w:val="zh-CN"/>
        </w:rPr>
        <w:t xml:space="preserve">方案</w:t>
      </w:r>
      <w:r>
        <w:rPr>
          <w:szCs w:val="21"/>
        </w:rPr>
        <w:t xml:space="preserve">2并柜孔分布：</w:t>
      </w:r>
      <w:r>
        <w:rPr>
          <w:szCs w:val="21"/>
        </w:rPr>
      </w:r>
      <w:r/>
    </w:p>
    <w:p>
      <w:pPr>
        <w:pStyle w:val="1151"/>
        <w:jc w:val="center"/>
        <w:rPr>
          <w:b/>
          <w:szCs w:val="21"/>
          <w:lang w:val="zh-CN"/>
        </w:rPr>
      </w:pPr>
      <w:r>
        <w:rPr>
          <w:szCs w:val="21"/>
        </w:rPr>
        <mc:AlternateContent>
          <mc:Choice Requires="wpg">
            <w:drawing>
              <wp:inline xmlns:wp="http://schemas.openxmlformats.org/drawingml/2006/wordprocessingDrawing" distT="0" distB="0" distL="0" distR="0">
                <wp:extent cx="2533650" cy="3257487"/>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2533650" cy="32574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99.5pt;height:256.5pt;mso-wrap-distance-left:0.0pt;mso-wrap-distance-top:0.0pt;mso-wrap-distance-right:0.0pt;mso-wrap-distance-bottom:0.0pt;" stroked="f">
                <v:path textboxrect="0,0,0,0"/>
                <v:imagedata r:id="rId48" o:title=""/>
              </v:shape>
            </w:pict>
          </mc:Fallback>
        </mc:AlternateContent>
      </w:r>
      <w:r>
        <w:rPr>
          <w:b/>
          <w:szCs w:val="21"/>
          <w:lang w:val="zh-CN"/>
        </w:rPr>
      </w:r>
      <w:r/>
    </w:p>
    <w:p>
      <w:pPr>
        <w:pStyle w:val="1151"/>
        <w:ind w:left="3465" w:hanging="3465"/>
        <w:jc w:val="center"/>
        <w:spacing w:line="312" w:lineRule="exact"/>
        <w:rPr>
          <w:rFonts w:eastAsia="黑体"/>
          <w:szCs w:val="21"/>
        </w:rPr>
      </w:pPr>
      <w:r>
        <w:rPr>
          <w:rFonts w:eastAsia="黑体"/>
          <w:szCs w:val="21"/>
        </w:rPr>
        <w:t xml:space="preserve">图</w:t>
      </w:r>
      <w:r>
        <w:rPr>
          <w:rFonts w:hint="eastAsia" w:eastAsia="黑体"/>
          <w:szCs w:val="21"/>
        </w:rPr>
        <w:t xml:space="preserve">31</w:t>
      </w:r>
      <w:r>
        <w:rPr>
          <w:rFonts w:eastAsia="黑体"/>
          <w:szCs w:val="21"/>
        </w:rPr>
        <w:t xml:space="preserve">各柜型方案2并柜孔分布尺寸图</w:t>
      </w:r>
      <w:r>
        <w:rPr>
          <w:rFonts w:eastAsia="黑体"/>
          <w:szCs w:val="21"/>
        </w:rPr>
      </w:r>
      <w:r/>
    </w:p>
    <w:p>
      <w:pPr>
        <w:pStyle w:val="1151"/>
        <w:ind w:left="3465" w:hanging="3465"/>
        <w:jc w:val="center"/>
        <w:spacing w:line="312" w:lineRule="exact"/>
        <w:rPr>
          <w:rFonts w:eastAsia="黑体"/>
          <w:szCs w:val="21"/>
        </w:rPr>
      </w:pPr>
      <w:r>
        <w:rPr>
          <w:rFonts w:eastAsia="黑体"/>
          <w:szCs w:val="21"/>
        </w:rPr>
      </w:r>
      <w:r/>
    </w:p>
    <w:p>
      <w:pPr>
        <w:pStyle w:val="1151"/>
        <w:spacing w:line="320" w:lineRule="exact"/>
      </w:pPr>
      <w:r/>
      <w:bookmarkStart w:id="181" w:name="_Toc531852696"/>
      <w:r>
        <w:t xml:space="preserve">5.</w:t>
      </w:r>
      <w:r>
        <w:rPr>
          <w:rFonts w:hint="eastAsia"/>
        </w:rPr>
        <w:t xml:space="preserve">2.5</w:t>
      </w:r>
      <w:r>
        <w:t xml:space="preserve">.40仪表室二次走线孔</w:t>
      </w:r>
      <w:bookmarkEnd w:id="181"/>
      <w:r/>
      <w:r/>
    </w:p>
    <w:p>
      <w:pPr>
        <w:pStyle w:val="1151"/>
        <w:ind w:firstLine="480"/>
        <w:jc w:val="left"/>
        <w:spacing w:line="312" w:lineRule="exact"/>
        <w:tabs>
          <w:tab w:val="left" w:pos="420" w:leader="none"/>
        </w:tabs>
        <w:rPr>
          <w:szCs w:val="21"/>
        </w:rPr>
      </w:pPr>
      <w:r>
        <w:rPr>
          <w:bCs/>
          <w:szCs w:val="21"/>
        </w:rPr>
        <w:t xml:space="preserve">仪表箱二次过线孔采用横向长圆孔，</w:t>
      </w:r>
      <w:r>
        <w:rPr>
          <w:szCs w:val="21"/>
          <w:lang w:val="zh-CN"/>
        </w:rPr>
        <w:t xml:space="preserve">尺寸为φ</w:t>
      </w:r>
      <w:r>
        <w:rPr>
          <w:szCs w:val="21"/>
        </w:rPr>
        <w:t xml:space="preserve">50×120mm，加装护套。二次走线孔中心距仪表室前框架距离100mm，距仪表室顶框架距离300mm。如图</w:t>
      </w:r>
      <w:r>
        <w:rPr>
          <w:rFonts w:hint="eastAsia"/>
          <w:szCs w:val="21"/>
        </w:rPr>
        <w:t xml:space="preserve">32</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2047900" cy="1524191"/>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rcRect l="31801" t="29997" r="44691" b="18954"/>
                        <a:stretch/>
                      </pic:blipFill>
                      <pic:spPr bwMode="auto">
                        <a:xfrm>
                          <a:off x="0" y="0"/>
                          <a:ext cx="2047900" cy="15241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61.3pt;height:120.0pt;mso-wrap-distance-left:0.0pt;mso-wrap-distance-top:0.0pt;mso-wrap-distance-right:0.0pt;mso-wrap-distance-bottom:0.0pt;" stroked="f">
                <v:path textboxrect="0,0,0,0"/>
                <v:imagedata r:id="rId49" o:title=""/>
              </v:shape>
            </w:pict>
          </mc:Fallback>
        </mc:AlternateContent>
      </w:r>
      <w:r>
        <w:rPr>
          <w:szCs w:val="21"/>
        </w:rPr>
      </w:r>
      <w:r/>
    </w:p>
    <w:p>
      <w:pPr>
        <w:pStyle w:val="1151"/>
        <w:ind w:left="3465" w:hanging="3465"/>
        <w:jc w:val="center"/>
        <w:spacing w:line="312" w:lineRule="exact"/>
        <w:rPr>
          <w:rFonts w:eastAsia="黑体"/>
          <w:szCs w:val="21"/>
        </w:rPr>
      </w:pPr>
      <w:r>
        <w:rPr>
          <w:rFonts w:eastAsia="黑体"/>
          <w:szCs w:val="21"/>
        </w:rPr>
        <w:t xml:space="preserve">图</w:t>
      </w:r>
      <w:r>
        <w:rPr>
          <w:rFonts w:hint="eastAsia" w:eastAsia="黑体"/>
          <w:szCs w:val="21"/>
        </w:rPr>
        <w:t xml:space="preserve">32</w:t>
      </w:r>
      <w:r>
        <w:rPr>
          <w:rFonts w:eastAsia="黑体"/>
          <w:szCs w:val="21"/>
        </w:rPr>
        <w:t xml:space="preserve">二次仪表室接口尺寸图</w:t>
      </w:r>
      <w:r>
        <w:rPr>
          <w:rFonts w:eastAsia="黑体"/>
          <w:szCs w:val="21"/>
        </w:rPr>
      </w:r>
      <w:r/>
    </w:p>
    <w:p>
      <w:pPr>
        <w:pStyle w:val="1151"/>
        <w:ind w:left="3465" w:hanging="3465"/>
        <w:jc w:val="center"/>
        <w:spacing w:line="312" w:lineRule="exact"/>
        <w:rPr>
          <w:rFonts w:eastAsia="黑体"/>
          <w:szCs w:val="21"/>
        </w:rPr>
      </w:pPr>
      <w:r>
        <w:rPr>
          <w:rFonts w:eastAsia="黑体"/>
          <w:szCs w:val="21"/>
        </w:rPr>
      </w:r>
      <w:r/>
    </w:p>
    <w:p>
      <w:pPr>
        <w:pStyle w:val="1151"/>
        <w:spacing w:line="320" w:lineRule="exact"/>
      </w:pPr>
      <w:r/>
      <w:bookmarkStart w:id="182" w:name="_Toc531852697"/>
      <w:r>
        <w:t xml:space="preserve">5.</w:t>
      </w:r>
      <w:r>
        <w:rPr>
          <w:rFonts w:hint="eastAsia"/>
        </w:rPr>
        <w:t xml:space="preserve">2.5</w:t>
      </w:r>
      <w:r>
        <w:t xml:space="preserve">.41 地脚开孔位置</w:t>
      </w:r>
      <w:bookmarkEnd w:id="182"/>
      <w:r/>
      <w:r/>
    </w:p>
    <w:p>
      <w:pPr>
        <w:pStyle w:val="1151"/>
        <w:ind w:firstLine="480"/>
        <w:jc w:val="left"/>
        <w:spacing w:line="312" w:lineRule="exact"/>
        <w:tabs>
          <w:tab w:val="left" w:pos="420" w:leader="none"/>
        </w:tabs>
        <w:rPr>
          <w:szCs w:val="21"/>
        </w:rPr>
      </w:pPr>
      <w:r>
        <w:rPr>
          <w:szCs w:val="21"/>
        </w:rPr>
        <w:t xml:space="preserve">单元柜地脚位置从底框架看，且不包含柜门的尺寸为：</w:t>
      </w:r>
      <w:r>
        <w:rPr>
          <w:szCs w:val="21"/>
        </w:rPr>
      </w:r>
      <w:r/>
    </w:p>
    <w:p>
      <w:pPr>
        <w:pStyle w:val="1151"/>
        <w:ind w:firstLine="480"/>
        <w:jc w:val="left"/>
        <w:spacing w:line="312" w:lineRule="exact"/>
        <w:tabs>
          <w:tab w:val="left" w:pos="420" w:leader="none"/>
        </w:tabs>
        <w:rPr>
          <w:szCs w:val="21"/>
        </w:rPr>
      </w:pPr>
      <w:r>
        <w:rPr>
          <w:szCs w:val="21"/>
        </w:rPr>
        <w:t xml:space="preserve">M1=50mm；M2=175mm。</w:t>
      </w:r>
      <w:r>
        <w:rPr>
          <w:szCs w:val="21"/>
        </w:rPr>
      </w:r>
      <w:r/>
    </w:p>
    <w:p>
      <w:pPr>
        <w:pStyle w:val="1151"/>
        <w:ind w:firstLine="480"/>
        <w:jc w:val="left"/>
        <w:spacing w:line="312" w:lineRule="exact"/>
        <w:tabs>
          <w:tab w:val="left" w:pos="420" w:leader="none"/>
        </w:tabs>
        <w:rPr>
          <w:szCs w:val="21"/>
        </w:rPr>
      </w:pPr>
      <w:r>
        <w:rPr>
          <w:szCs w:val="21"/>
        </w:rPr>
        <w:t xml:space="preserve">L1=L2=20mm。</w:t>
      </w:r>
      <w:r>
        <w:rPr>
          <w:szCs w:val="21"/>
        </w:rPr>
      </w:r>
      <w:r/>
    </w:p>
    <w:p>
      <w:pPr>
        <w:pStyle w:val="1151"/>
        <w:ind w:firstLine="480"/>
        <w:jc w:val="left"/>
        <w:spacing w:line="312" w:lineRule="exact"/>
        <w:tabs>
          <w:tab w:val="left" w:pos="420" w:leader="none"/>
        </w:tabs>
        <w:rPr>
          <w:szCs w:val="21"/>
        </w:rPr>
      </w:pPr>
      <w:r>
        <w:rPr>
          <w:szCs w:val="21"/>
        </w:rPr>
        <w:t xml:space="preserve">地脚开孔尺寸为4-Ф13mm。如图</w:t>
      </w:r>
      <w:r>
        <w:rPr>
          <w:rFonts w:hint="eastAsia"/>
          <w:szCs w:val="21"/>
        </w:rPr>
        <w:t xml:space="preserve">33</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3019298" cy="1447787"/>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rcRect l="31172" t="26512" r="29278" b="23329"/>
                        <a:stretch/>
                      </pic:blipFill>
                      <pic:spPr bwMode="auto">
                        <a:xfrm>
                          <a:off x="0" y="0"/>
                          <a:ext cx="3019298" cy="14477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237.7pt;height:114.0pt;mso-wrap-distance-left:0.0pt;mso-wrap-distance-top:0.0pt;mso-wrap-distance-right:0.0pt;mso-wrap-distance-bottom:0.0pt;" stroked="f">
                <v:path textboxrect="0,0,0,0"/>
                <v:imagedata r:id="rId50" o:title=""/>
              </v:shape>
            </w:pict>
          </mc:Fallback>
        </mc:AlternateContent>
      </w:r>
      <w:r>
        <w:rPr>
          <w:szCs w:val="21"/>
        </w:rPr>
      </w:r>
      <w:r/>
    </w:p>
    <w:p>
      <w:pPr>
        <w:pStyle w:val="1151"/>
        <w:ind w:left="3465" w:hanging="3465"/>
        <w:jc w:val="center"/>
        <w:spacing w:line="312" w:lineRule="exact"/>
        <w:rPr>
          <w:rFonts w:eastAsia="黑体"/>
          <w:szCs w:val="21"/>
        </w:rPr>
      </w:pPr>
      <w:r>
        <w:rPr>
          <w:rFonts w:eastAsia="黑体"/>
          <w:szCs w:val="21"/>
        </w:rPr>
        <w:t xml:space="preserve">图</w:t>
      </w:r>
      <w:r>
        <w:rPr>
          <w:rFonts w:hint="eastAsia" w:eastAsia="黑体"/>
          <w:szCs w:val="21"/>
        </w:rPr>
        <w:t xml:space="preserve">33</w:t>
      </w:r>
      <w:r>
        <w:rPr>
          <w:rFonts w:eastAsia="黑体"/>
          <w:szCs w:val="21"/>
        </w:rPr>
        <w:t xml:space="preserve">地脚开孔位置示意图</w:t>
      </w:r>
      <w:r>
        <w:rPr>
          <w:rFonts w:eastAsia="黑体"/>
          <w:szCs w:val="21"/>
        </w:rPr>
      </w:r>
      <w:r/>
    </w:p>
    <w:p>
      <w:pPr>
        <w:pStyle w:val="1151"/>
        <w:ind w:left="3465" w:hanging="3465"/>
        <w:jc w:val="center"/>
        <w:spacing w:line="312" w:lineRule="exact"/>
        <w:rPr>
          <w:rFonts w:eastAsia="黑体"/>
          <w:szCs w:val="21"/>
        </w:rPr>
      </w:pPr>
      <w:r>
        <w:rPr>
          <w:rFonts w:eastAsia="黑体"/>
          <w:szCs w:val="21"/>
        </w:rPr>
      </w:r>
      <w:r/>
    </w:p>
    <w:p>
      <w:pPr>
        <w:pStyle w:val="1151"/>
        <w:spacing w:line="320" w:lineRule="exact"/>
      </w:pPr>
      <w:r/>
      <w:bookmarkStart w:id="183" w:name="_Toc531852698"/>
      <w:r>
        <w:t xml:space="preserve">5.</w:t>
      </w:r>
      <w:r>
        <w:rPr>
          <w:rFonts w:hint="eastAsia"/>
        </w:rPr>
        <w:t xml:space="preserve">2.5</w:t>
      </w:r>
      <w:r>
        <w:t xml:space="preserve">.42 压力释放通道方向</w:t>
      </w:r>
      <w:bookmarkEnd w:id="183"/>
      <w:r/>
      <w:r/>
    </w:p>
    <w:p>
      <w:pPr>
        <w:pStyle w:val="1151"/>
        <w:ind w:firstLine="480"/>
        <w:jc w:val="left"/>
        <w:spacing w:line="312" w:lineRule="exact"/>
        <w:tabs>
          <w:tab w:val="left" w:pos="420" w:leader="none"/>
        </w:tabs>
        <w:rPr>
          <w:szCs w:val="21"/>
        </w:rPr>
      </w:pPr>
      <w:r>
        <w:rPr>
          <w:szCs w:val="21"/>
        </w:rPr>
        <w:t xml:space="preserve">开关柜故障压力释放方向朝向电缆沟。</w:t>
      </w:r>
      <w:r>
        <w:rPr>
          <w:szCs w:val="21"/>
        </w:rPr>
      </w:r>
      <w:r/>
    </w:p>
    <w:p>
      <w:pPr>
        <w:pStyle w:val="1151"/>
        <w:jc w:val="center"/>
        <w:rPr>
          <w:szCs w:val="21"/>
        </w:rPr>
      </w:pP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2145983</wp:posOffset>
                </wp:positionH>
                <wp:positionV relativeFrom="paragraph">
                  <wp:posOffset>3368992</wp:posOffset>
                </wp:positionV>
                <wp:extent cx="288290" cy="184785"/>
                <wp:effectExtent l="0" t="0" r="0" b="0"/>
                <wp:wrapNone/>
                <wp:docPr id="38" name=""/>
                <wp:cNvGraphicFramePr/>
                <a:graphic xmlns:a="http://schemas.openxmlformats.org/drawingml/2006/main">
                  <a:graphicData uri="http://schemas.microsoft.com/office/word/2010/wordprocessingShape">
                    <wps:wsp>
                      <wps:cNvPr id="0" name=""/>
                      <wps:cNvSpPr/>
                      <wps:spPr bwMode="auto">
                        <a:xfrm rot="5400000">
                          <a:off x="0" y="0"/>
                          <a:ext cx="288290" cy="184785"/>
                        </a:xfrm>
                        <a:custGeom>
                          <a:avLst>
                            <a:gd name="adj0" fmla="val 16201"/>
                            <a:gd name="adj1" fmla="val 5400"/>
                          </a:avLst>
                          <a:gdLst>
                            <a:gd name="gd0" fmla="val 65536"/>
                            <a:gd name="gd1" fmla="val adj0"/>
                            <a:gd name="gd2" fmla="val adj1"/>
                            <a:gd name="gd3" fmla="+- 21600 0 adj1"/>
                            <a:gd name="gd4" fmla="+- 10800 0 adj1"/>
                            <a:gd name="gd5" fmla="+- 21600 0 adj0"/>
                            <a:gd name="gd6" fmla="*/ gd5 gd4 10800"/>
                            <a:gd name="gd7" fmla="+- 21600 0 gd6"/>
                            <a:gd name="gd8" fmla="val gd1"/>
                            <a:gd name="gd9" fmla="val 0"/>
                            <a:gd name="gd10" fmla="val gd1"/>
                            <a:gd name="gd11" fmla="val gd2"/>
                            <a:gd name="gd12" fmla="val 0"/>
                            <a:gd name="gd13" fmla="val gd2"/>
                            <a:gd name="gd14" fmla="val gd6"/>
                            <a:gd name="gd15" fmla="val 10800"/>
                            <a:gd name="gd16" fmla="val 0"/>
                            <a:gd name="gd17" fmla="val gd3"/>
                            <a:gd name="gd18" fmla="val gd1"/>
                            <a:gd name="gd19" fmla="val gd3"/>
                            <a:gd name="gd20" fmla="val gd1"/>
                            <a:gd name="gd21" fmla="val 21600"/>
                            <a:gd name="gd22" fmla="val 21600"/>
                            <a:gd name="gd23" fmla="val 10800"/>
                            <a:gd name="gd24" fmla="*/ w gd6 21600"/>
                            <a:gd name="gd25" fmla="*/ h gd2 21600"/>
                            <a:gd name="gd26" fmla="*/ w gd7 21600"/>
                            <a:gd name="gd27" fmla="*/ h gd3 21600"/>
                            <a:gd name="gd28" fmla="*/ w adj0 21600"/>
                            <a:gd name="gd29" fmla="*/ h adj1 21600"/>
                          </a:gdLst>
                          <a:ahLst>
                            <a:ahXY gdRefX="adj0" minX="0" maxX="21600" gdRefY="adj1" minY="0" maxY="10800">
                              <a:pos x="gd28" y="gd29"/>
                            </a:ahXY>
                          </a:ahLst>
                          <a:cxnLst/>
                          <a:rect l="gd24" t="gd25" r="gd26" b="gd27"/>
                          <a:pathLst>
                            <a:path w="21600" h="21600" fill="norm" stroke="1" extrusionOk="0">
                              <a:moveTo>
                                <a:pt x="gd8" y="gd9"/>
                              </a:moveTo>
                              <a:lnTo>
                                <a:pt x="gd10" y="gd11"/>
                              </a:lnTo>
                              <a:lnTo>
                                <a:pt x="gd12" y="gd13"/>
                              </a:lnTo>
                              <a:lnTo>
                                <a:pt x="gd14" y="gd15"/>
                              </a:lnTo>
                              <a:lnTo>
                                <a:pt x="gd16" y="gd17"/>
                              </a:lnTo>
                              <a:lnTo>
                                <a:pt x="gd18" y="gd19"/>
                              </a:lnTo>
                              <a:lnTo>
                                <a:pt x="gd20" y="gd21"/>
                              </a:lnTo>
                              <a:lnTo>
                                <a:pt x="gd22" y="gd23"/>
                              </a:lnTo>
                              <a:close/>
                            </a:path>
                            <a:path w="21600" h="21600" fill="norm" stroke="1" extrusionOk="0"/>
                          </a:pathLst>
                        </a:custGeom>
                        <a:solidFill>
                          <a:srgbClr val="FF0000"/>
                        </a:solidFill>
                        <a:ln>
                          <a:noFill/>
                        </a:ln>
                      </wps:spPr>
                      <wps:txbx>
                        <w:txbxContent>
                          <w:p>
                            <w:pPr>
                              <w:pStyle w:val="1151"/>
                              <w:jc w:val="center"/>
                            </w:pPr>
                            <w:r/>
                            <w:r/>
                          </w:p>
                          <w:p>
                            <w:pPr>
                              <w:pStyle w:val="1151"/>
                            </w:pPr>
                            <w:r/>
                            <w:r/>
                          </w:p>
                        </w:txbxContent>
                      </wps:txbx>
                      <wps:bodyPr wrap="square" upright="1"/>
                    </wps:wsp>
                  </a:graphicData>
                </a:graphic>
              </wp:anchor>
            </w:drawing>
          </mc:Choice>
          <mc:Fallback>
            <w:pict>
              <v:shape id="shape 37" o:spid="_x0000_s37" style="position:absolute;z-index:251658241;o:allowoverlap:true;o:allowincell:true;mso-position-horizontal-relative:text;margin-left:169.0pt;mso-position-horizontal:absolute;mso-position-vertical-relative:text;margin-top:265.3pt;mso-position-vertical:absolute;width:22.7pt;height:14.5pt;mso-wrap-distance-left:9.0pt;mso-wrap-distance-top:0.0pt;mso-wrap-distance-right:9.0pt;mso-wrap-distance-bottom:0.0pt;rotation:90;visibility:visible;" path="m75005,0l75005,25000l0,25000l12498,50000l0,75000l75005,75000l75005,100000l100000,50000xee" coordsize="100000,100000" fillcolor="#FF0000" stroked="f">
                <v:path textboxrect="12497,25000,87502,75000"/>
                <v:textbox inset="0,0,0,0">
                  <w:txbxContent>
                    <w:p>
                      <w:pPr>
                        <w:pStyle w:val="1151"/>
                        <w:jc w:val="center"/>
                      </w:pPr>
                      <w:r/>
                      <w:r/>
                    </w:p>
                    <w:p>
                      <w:pPr>
                        <w:pStyle w:val="1151"/>
                      </w:pPr>
                      <w:r/>
                      <w:r/>
                    </w:p>
                  </w:txbxContent>
                </v:textbox>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2213293</wp:posOffset>
                </wp:positionH>
                <wp:positionV relativeFrom="paragraph">
                  <wp:posOffset>2227898</wp:posOffset>
                </wp:positionV>
                <wp:extent cx="281940" cy="184785"/>
                <wp:effectExtent l="0" t="0" r="0" b="0"/>
                <wp:wrapNone/>
                <wp:docPr id="39" name=""/>
                <wp:cNvGraphicFramePr/>
                <a:graphic xmlns:a="http://schemas.openxmlformats.org/drawingml/2006/main">
                  <a:graphicData uri="http://schemas.microsoft.com/office/word/2010/wordprocessingShape">
                    <wps:wsp>
                      <wps:cNvPr id="0" name=""/>
                      <wps:cNvSpPr/>
                      <wps:spPr bwMode="auto">
                        <a:xfrm rot="5400000">
                          <a:off x="0" y="0"/>
                          <a:ext cx="281940" cy="184785"/>
                        </a:xfrm>
                        <a:custGeom>
                          <a:avLst>
                            <a:gd name="adj0" fmla="val 16201"/>
                            <a:gd name="adj1" fmla="val 5400"/>
                          </a:avLst>
                          <a:gdLst>
                            <a:gd name="gd0" fmla="val 65536"/>
                            <a:gd name="gd1" fmla="val adj0"/>
                            <a:gd name="gd2" fmla="val adj1"/>
                            <a:gd name="gd3" fmla="+- 21600 0 adj1"/>
                            <a:gd name="gd4" fmla="+- 10800 0 adj1"/>
                            <a:gd name="gd5" fmla="+- 21600 0 adj0"/>
                            <a:gd name="gd6" fmla="*/ gd5 gd4 10800"/>
                            <a:gd name="gd7" fmla="+- 21600 0 gd6"/>
                            <a:gd name="gd8" fmla="val gd1"/>
                            <a:gd name="gd9" fmla="val 0"/>
                            <a:gd name="gd10" fmla="val gd1"/>
                            <a:gd name="gd11" fmla="val gd2"/>
                            <a:gd name="gd12" fmla="val 0"/>
                            <a:gd name="gd13" fmla="val gd2"/>
                            <a:gd name="gd14" fmla="val gd6"/>
                            <a:gd name="gd15" fmla="val 10800"/>
                            <a:gd name="gd16" fmla="val 0"/>
                            <a:gd name="gd17" fmla="val gd3"/>
                            <a:gd name="gd18" fmla="val gd1"/>
                            <a:gd name="gd19" fmla="val gd3"/>
                            <a:gd name="gd20" fmla="val gd1"/>
                            <a:gd name="gd21" fmla="val 21600"/>
                            <a:gd name="gd22" fmla="val 21600"/>
                            <a:gd name="gd23" fmla="val 10800"/>
                            <a:gd name="gd24" fmla="*/ w gd6 21600"/>
                            <a:gd name="gd25" fmla="*/ h gd2 21600"/>
                            <a:gd name="gd26" fmla="*/ w gd7 21600"/>
                            <a:gd name="gd27" fmla="*/ h gd3 21600"/>
                            <a:gd name="gd28" fmla="*/ w adj0 21600"/>
                            <a:gd name="gd29" fmla="*/ h adj1 21600"/>
                          </a:gdLst>
                          <a:ahLst>
                            <a:ahXY gdRefX="adj0" minX="0" maxX="21600" gdRefY="adj1" minY="0" maxY="10800">
                              <a:pos x="gd28" y="gd29"/>
                            </a:ahXY>
                          </a:ahLst>
                          <a:cxnLst/>
                          <a:rect l="gd24" t="gd25" r="gd26" b="gd27"/>
                          <a:pathLst>
                            <a:path w="21600" h="21600" fill="norm" stroke="1" extrusionOk="0">
                              <a:moveTo>
                                <a:pt x="gd8" y="gd9"/>
                              </a:moveTo>
                              <a:lnTo>
                                <a:pt x="gd10" y="gd11"/>
                              </a:lnTo>
                              <a:lnTo>
                                <a:pt x="gd12" y="gd13"/>
                              </a:lnTo>
                              <a:lnTo>
                                <a:pt x="gd14" y="gd15"/>
                              </a:lnTo>
                              <a:lnTo>
                                <a:pt x="gd16" y="gd17"/>
                              </a:lnTo>
                              <a:lnTo>
                                <a:pt x="gd18" y="gd19"/>
                              </a:lnTo>
                              <a:lnTo>
                                <a:pt x="gd20" y="gd21"/>
                              </a:lnTo>
                              <a:lnTo>
                                <a:pt x="gd22" y="gd23"/>
                              </a:lnTo>
                              <a:close/>
                            </a:path>
                            <a:path w="21600" h="21600" fill="norm" stroke="1" extrusionOk="0"/>
                          </a:pathLst>
                        </a:custGeom>
                        <a:solidFill>
                          <a:srgbClr val="FF0000"/>
                        </a:solidFill>
                        <a:ln>
                          <a:noFill/>
                        </a:ln>
                      </wps:spPr>
                      <wps:txbx>
                        <w:txbxContent>
                          <w:p>
                            <w:pPr>
                              <w:pStyle w:val="1151"/>
                              <w:jc w:val="center"/>
                            </w:pPr>
                            <w:r/>
                            <w:r/>
                          </w:p>
                          <w:p>
                            <w:pPr>
                              <w:pStyle w:val="1151"/>
                            </w:pPr>
                            <w:r/>
                            <w:r/>
                          </w:p>
                        </w:txbxContent>
                      </wps:txbx>
                      <wps:bodyPr wrap="square" upright="1"/>
                    </wps:wsp>
                  </a:graphicData>
                </a:graphic>
              </wp:anchor>
            </w:drawing>
          </mc:Choice>
          <mc:Fallback>
            <w:pict>
              <v:shape id="shape 38" o:spid="_x0000_s38" style="position:absolute;z-index:524288;o:allowoverlap:true;o:allowincell:true;mso-position-horizontal-relative:text;margin-left:174.3pt;mso-position-horizontal:absolute;mso-position-vertical-relative:text;margin-top:175.4pt;mso-position-vertical:absolute;width:22.2pt;height:14.5pt;mso-wrap-distance-left:9.0pt;mso-wrap-distance-top:0.0pt;mso-wrap-distance-right:9.0pt;mso-wrap-distance-bottom:0.0pt;rotation:90;visibility:visible;" path="m75005,0l75005,25000l0,25000l12498,50000l0,75000l75005,75000l75005,100000l100000,50000xee" coordsize="100000,100000" fillcolor="#FF0000" stroked="f">
                <v:path textboxrect="12497,25000,87502,75000"/>
                <v:textbox inset="0,0,0,0">
                  <w:txbxContent>
                    <w:p>
                      <w:pPr>
                        <w:pStyle w:val="1151"/>
                        <w:jc w:val="center"/>
                      </w:pPr>
                      <w:r/>
                      <w:r/>
                    </w:p>
                    <w:p>
                      <w:pPr>
                        <w:pStyle w:val="1151"/>
                      </w:pPr>
                      <w:r/>
                      <w:r/>
                    </w:p>
                  </w:txbxContent>
                </v:textbox>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2506980</wp:posOffset>
                </wp:positionH>
                <wp:positionV relativeFrom="paragraph">
                  <wp:posOffset>2926715</wp:posOffset>
                </wp:positionV>
                <wp:extent cx="294640" cy="184785"/>
                <wp:effectExtent l="0" t="0" r="0" b="0"/>
                <wp:wrapNone/>
                <wp:docPr id="40" name=""/>
                <wp:cNvGraphicFramePr/>
                <a:graphic xmlns:a="http://schemas.openxmlformats.org/drawingml/2006/main">
                  <a:graphicData uri="http://schemas.microsoft.com/office/word/2010/wordprocessingShape">
                    <wps:wsp>
                      <wps:cNvPr id="0" name=""/>
                      <wps:cNvSpPr/>
                      <wps:spPr bwMode="auto">
                        <a:xfrm rot="10800000">
                          <a:off x="0" y="0"/>
                          <a:ext cx="294640" cy="184785"/>
                        </a:xfrm>
                        <a:custGeom>
                          <a:avLst>
                            <a:gd name="adj0" fmla="val 16200"/>
                            <a:gd name="adj1" fmla="val 5400"/>
                          </a:avLst>
                          <a:gdLst>
                            <a:gd name="gd0" fmla="val 65536"/>
                            <a:gd name="gd1" fmla="val adj0"/>
                            <a:gd name="gd2" fmla="val adj1"/>
                            <a:gd name="gd3" fmla="+- 21600 0 adj1"/>
                            <a:gd name="gd4" fmla="+- 10800 0 adj1"/>
                            <a:gd name="gd5" fmla="+- 21600 0 adj0"/>
                            <a:gd name="gd6" fmla="*/ gd5 gd4 10800"/>
                            <a:gd name="gd7" fmla="+- 21600 0 gd6"/>
                            <a:gd name="gd8" fmla="val gd1"/>
                            <a:gd name="gd9" fmla="val 0"/>
                            <a:gd name="gd10" fmla="val gd1"/>
                            <a:gd name="gd11" fmla="val gd2"/>
                            <a:gd name="gd12" fmla="val 0"/>
                            <a:gd name="gd13" fmla="val gd2"/>
                            <a:gd name="gd14" fmla="val gd6"/>
                            <a:gd name="gd15" fmla="val 10800"/>
                            <a:gd name="gd16" fmla="val 0"/>
                            <a:gd name="gd17" fmla="val gd3"/>
                            <a:gd name="gd18" fmla="val gd1"/>
                            <a:gd name="gd19" fmla="val gd3"/>
                            <a:gd name="gd20" fmla="val gd1"/>
                            <a:gd name="gd21" fmla="val 21600"/>
                            <a:gd name="gd22" fmla="val 21600"/>
                            <a:gd name="gd23" fmla="val 10800"/>
                            <a:gd name="gd24" fmla="*/ w gd6 21600"/>
                            <a:gd name="gd25" fmla="*/ h gd2 21600"/>
                            <a:gd name="gd26" fmla="*/ w gd7 21600"/>
                            <a:gd name="gd27" fmla="*/ h gd3 21600"/>
                            <a:gd name="gd28" fmla="*/ w adj0 21600"/>
                            <a:gd name="gd29" fmla="*/ h adj1 21600"/>
                          </a:gdLst>
                          <a:ahLst>
                            <a:ahXY gdRefX="adj0" minX="0" maxX="21600" gdRefY="adj1" minY="0" maxY="10800">
                              <a:pos x="gd28" y="gd29"/>
                            </a:ahXY>
                          </a:ahLst>
                          <a:cxnLst/>
                          <a:rect l="gd24" t="gd25" r="gd26" b="gd27"/>
                          <a:pathLst>
                            <a:path w="21600" h="21600" fill="norm" stroke="1" extrusionOk="0">
                              <a:moveTo>
                                <a:pt x="gd8" y="gd9"/>
                              </a:moveTo>
                              <a:lnTo>
                                <a:pt x="gd10" y="gd11"/>
                              </a:lnTo>
                              <a:lnTo>
                                <a:pt x="gd12" y="gd13"/>
                              </a:lnTo>
                              <a:lnTo>
                                <a:pt x="gd14" y="gd15"/>
                              </a:lnTo>
                              <a:lnTo>
                                <a:pt x="gd16" y="gd17"/>
                              </a:lnTo>
                              <a:lnTo>
                                <a:pt x="gd18" y="gd19"/>
                              </a:lnTo>
                              <a:lnTo>
                                <a:pt x="gd20" y="gd21"/>
                              </a:lnTo>
                              <a:lnTo>
                                <a:pt x="gd22" y="gd23"/>
                              </a:lnTo>
                              <a:close/>
                            </a:path>
                            <a:path w="21600" h="21600" fill="norm" stroke="1" extrusionOk="0"/>
                          </a:pathLst>
                        </a:custGeom>
                        <a:solidFill>
                          <a:srgbClr val="FF0000"/>
                        </a:solidFill>
                        <a:ln>
                          <a:noFill/>
                        </a:ln>
                      </wps:spPr>
                      <wps:txbx>
                        <w:txbxContent>
                          <w:p>
                            <w:pPr>
                              <w:pStyle w:val="1151"/>
                              <w:jc w:val="center"/>
                            </w:pPr>
                            <w:r/>
                            <w:r/>
                          </w:p>
                          <w:p>
                            <w:pPr>
                              <w:pStyle w:val="1151"/>
                            </w:pPr>
                            <w:r/>
                            <w:r/>
                          </w:p>
                        </w:txbxContent>
                      </wps:txbx>
                      <wps:bodyPr wrap="square" upright="1"/>
                    </wps:wsp>
                  </a:graphicData>
                </a:graphic>
              </wp:anchor>
            </w:drawing>
          </mc:Choice>
          <mc:Fallback>
            <w:pict>
              <v:shape id="shape 39" o:spid="_x0000_s39" style="position:absolute;z-index:251658242;o:allowoverlap:true;o:allowincell:true;mso-position-horizontal-relative:text;margin-left:197.4pt;mso-position-horizontal:absolute;mso-position-vertical-relative:text;margin-top:230.4pt;mso-position-vertical:absolute;width:23.2pt;height:14.5pt;mso-wrap-distance-left:9.0pt;mso-wrap-distance-top:0.0pt;mso-wrap-distance-right:9.0pt;mso-wrap-distance-bottom:0.0pt;rotation:180;visibility:visible;" path="m75000,0l75000,25000l0,25000l12500,50000l0,75000l75000,75000l75000,100000l100000,50000xee" coordsize="100000,100000" fillcolor="#FF0000" stroked="f">
                <v:path textboxrect="12500,25000,87500,75000"/>
                <v:textbox inset="0,0,0,0">
                  <w:txbxContent>
                    <w:p>
                      <w:pPr>
                        <w:pStyle w:val="1151"/>
                        <w:jc w:val="center"/>
                      </w:pPr>
                      <w:r/>
                      <w:r/>
                    </w:p>
                    <w:p>
                      <w:pPr>
                        <w:pStyle w:val="1151"/>
                      </w:pPr>
                      <w:r/>
                      <w:r/>
                    </w:p>
                  </w:txbxContent>
                </v:textbox>
              </v:shape>
            </w:pict>
          </mc:Fallback>
        </mc:AlternateContent>
      </w:r>
      <w:r>
        <w:rPr>
          <w:szCs w:val="21"/>
        </w:rPr>
        <mc:AlternateContent>
          <mc:Choice Requires="wpg">
            <w:drawing>
              <wp:inline xmlns:wp="http://schemas.openxmlformats.org/drawingml/2006/wordprocessingDrawing" distT="0" distB="0" distL="0" distR="0">
                <wp:extent cx="2600173" cy="3552749"/>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rcRect l="53664" t="35205" r="25734" b="11754"/>
                        <a:stretch/>
                      </pic:blipFill>
                      <pic:spPr bwMode="auto">
                        <a:xfrm>
                          <a:off x="0" y="0"/>
                          <a:ext cx="2600173" cy="35527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204.7pt;height:279.7pt;mso-wrap-distance-left:0.0pt;mso-wrap-distance-top:0.0pt;mso-wrap-distance-right:0.0pt;mso-wrap-distance-bottom:0.0pt;" stroked="f">
                <v:path textboxrect="0,0,0,0"/>
                <v:imagedata r:id="rId51" o:title=""/>
              </v:shape>
            </w:pict>
          </mc:Fallback>
        </mc:AlternateContent>
      </w:r>
      <w:r>
        <w:rPr>
          <w:szCs w:val="21"/>
        </w:rPr>
      </w:r>
      <w:r/>
    </w:p>
    <w:p>
      <w:pPr>
        <w:pStyle w:val="1151"/>
        <w:ind w:left="3465" w:hanging="3465"/>
        <w:jc w:val="center"/>
        <w:spacing w:line="312" w:lineRule="exact"/>
        <w:rPr>
          <w:rFonts w:eastAsia="黑体"/>
          <w:szCs w:val="21"/>
        </w:rPr>
      </w:pPr>
      <w:r>
        <w:rPr>
          <w:rFonts w:eastAsia="黑体"/>
          <w:szCs w:val="21"/>
        </w:rPr>
        <w:t xml:space="preserve">图</w:t>
      </w:r>
      <w:r>
        <w:rPr>
          <w:rFonts w:hint="eastAsia" w:eastAsia="黑体"/>
          <w:szCs w:val="21"/>
        </w:rPr>
        <w:t xml:space="preserve">34</w:t>
      </w:r>
      <w:r>
        <w:rPr>
          <w:rFonts w:eastAsia="黑体"/>
          <w:szCs w:val="21"/>
        </w:rPr>
        <w:t xml:space="preserve">压力释放通道方向示意图</w:t>
      </w:r>
      <w:r>
        <w:rPr>
          <w:rFonts w:eastAsia="黑体"/>
          <w:szCs w:val="21"/>
        </w:rPr>
      </w:r>
      <w:r/>
    </w:p>
    <w:p>
      <w:pPr>
        <w:pStyle w:val="1151"/>
        <w:ind w:left="3465" w:hanging="3465"/>
        <w:jc w:val="center"/>
        <w:spacing w:line="312" w:lineRule="exact"/>
        <w:rPr>
          <w:rFonts w:eastAsia="黑体"/>
          <w:szCs w:val="21"/>
        </w:rPr>
      </w:pPr>
      <w:r>
        <w:rPr>
          <w:rFonts w:eastAsia="黑体"/>
          <w:szCs w:val="21"/>
        </w:rPr>
      </w:r>
      <w:r/>
    </w:p>
    <w:p>
      <w:pPr>
        <w:pStyle w:val="1151"/>
        <w:spacing w:line="320" w:lineRule="exact"/>
      </w:pPr>
      <w:r/>
      <w:bookmarkStart w:id="184" w:name="_Toc531852699"/>
      <w:r>
        <w:t xml:space="preserve">5.</w:t>
      </w:r>
      <w:r>
        <w:rPr>
          <w:rFonts w:hint="eastAsia"/>
        </w:rPr>
        <w:t xml:space="preserve">2.5</w:t>
      </w:r>
      <w:r>
        <w:t xml:space="preserve">.43 基础槽钢</w:t>
      </w:r>
      <w:bookmarkEnd w:id="184"/>
      <w:r/>
      <w:r/>
    </w:p>
    <w:p>
      <w:pPr>
        <w:pStyle w:val="1151"/>
        <w:ind w:firstLine="480"/>
        <w:jc w:val="left"/>
        <w:spacing w:line="312" w:lineRule="exact"/>
        <w:tabs>
          <w:tab w:val="left" w:pos="420" w:leader="none"/>
        </w:tabs>
        <w:rPr>
          <w:szCs w:val="21"/>
        </w:rPr>
      </w:pPr>
      <w:r>
        <w:rPr>
          <w:szCs w:val="21"/>
        </w:rPr>
        <w:t xml:space="preserve">与SF</w:t>
      </w:r>
      <w:r>
        <w:rPr>
          <w:szCs w:val="21"/>
          <w:vertAlign w:val="subscript"/>
        </w:rPr>
        <w:t xml:space="preserve">6</w:t>
      </w:r>
      <w:r>
        <w:rPr>
          <w:szCs w:val="21"/>
        </w:rPr>
        <w:t xml:space="preserve">气体绝缘环网柜的要求相同。</w:t>
      </w:r>
      <w:r>
        <w:rPr>
          <w:szCs w:val="21"/>
        </w:rPr>
      </w:r>
      <w:r/>
    </w:p>
    <w:p>
      <w:pPr>
        <w:pStyle w:val="1240"/>
        <w:rPr>
          <w:color w:val="000000"/>
        </w:rPr>
        <w:outlineLvl w:val="2"/>
      </w:pPr>
      <w:r>
        <w:rPr>
          <w:color w:val="000000"/>
        </w:rPr>
        <w:t xml:space="preserve">5.</w:t>
      </w:r>
      <w:r>
        <w:rPr>
          <w:rFonts w:hint="eastAsia"/>
          <w:color w:val="000000"/>
        </w:rPr>
        <w:t xml:space="preserve">2.6　对常压密封空气绝缘环网柜的标准化要求</w:t>
      </w:r>
      <w:r>
        <w:rPr>
          <w:color w:val="000000"/>
        </w:rPr>
      </w:r>
      <w:r/>
    </w:p>
    <w:p>
      <w:pPr>
        <w:pStyle w:val="1151"/>
        <w:spacing w:line="320" w:lineRule="exact"/>
      </w:pPr>
      <w:r/>
      <w:bookmarkStart w:id="185" w:name="_Toc531852708"/>
      <w:r>
        <w:t xml:space="preserve">5.</w:t>
      </w:r>
      <w:r>
        <w:rPr>
          <w:rFonts w:hint="eastAsia"/>
        </w:rPr>
        <w:t xml:space="preserve">2.6</w:t>
      </w:r>
      <w:r>
        <w:t xml:space="preserve">.1 柜宽</w:t>
      </w:r>
      <w:bookmarkEnd w:id="185"/>
      <w:r/>
      <w:r/>
    </w:p>
    <w:p>
      <w:pPr>
        <w:pStyle w:val="1151"/>
        <w:ind w:firstLine="420"/>
        <w:spacing w:line="312" w:lineRule="exact"/>
        <w:rPr>
          <w:szCs w:val="21"/>
        </w:rPr>
      </w:pPr>
      <w:r>
        <w:rPr>
          <w:szCs w:val="21"/>
        </w:rPr>
        <w:t xml:space="preserve">PT柜单元柜宽为600mm，其他方案单元柜宽为460mm。</w:t>
      </w:r>
      <w:r>
        <w:rPr>
          <w:szCs w:val="21"/>
        </w:rPr>
      </w:r>
      <w:r/>
    </w:p>
    <w:p>
      <w:pPr>
        <w:pStyle w:val="1151"/>
        <w:ind w:firstLine="420"/>
        <w:spacing w:line="312" w:lineRule="exact"/>
        <w:rPr>
          <w:szCs w:val="21"/>
        </w:rPr>
      </w:pPr>
      <w:r>
        <w:rPr>
          <w:szCs w:val="21"/>
        </w:rPr>
        <w:t xml:space="preserve">共箱柜宽度不作要求。</w:t>
      </w:r>
      <w:r>
        <w:rPr>
          <w:szCs w:val="21"/>
        </w:rPr>
      </w:r>
      <w:r/>
    </w:p>
    <w:p>
      <w:pPr>
        <w:pStyle w:val="1151"/>
        <w:spacing w:line="320" w:lineRule="exact"/>
      </w:pPr>
      <w:r/>
      <w:bookmarkStart w:id="186" w:name="_Toc531852709"/>
      <w:r>
        <w:t xml:space="preserve">5.</w:t>
      </w:r>
      <w:r>
        <w:rPr>
          <w:rFonts w:hint="eastAsia"/>
        </w:rPr>
        <w:t xml:space="preserve">2.6</w:t>
      </w:r>
      <w:r>
        <w:t xml:space="preserve">.2 柜深</w:t>
      </w:r>
      <w:bookmarkEnd w:id="186"/>
      <w:r/>
      <w:r/>
    </w:p>
    <w:p>
      <w:pPr>
        <w:pStyle w:val="1151"/>
        <w:ind w:firstLine="420"/>
        <w:spacing w:line="312" w:lineRule="exact"/>
        <w:rPr>
          <w:szCs w:val="21"/>
        </w:rPr>
      </w:pPr>
      <w:r>
        <w:rPr>
          <w:szCs w:val="21"/>
        </w:rPr>
        <w:t xml:space="preserve">定义底框架深度。</w:t>
      </w:r>
      <w:r>
        <w:rPr>
          <w:szCs w:val="21"/>
        </w:rPr>
      </w:r>
      <w:r/>
    </w:p>
    <w:p>
      <w:pPr>
        <w:pStyle w:val="1151"/>
        <w:ind w:firstLine="420"/>
        <w:spacing w:line="312" w:lineRule="exact"/>
        <w:rPr>
          <w:szCs w:val="21"/>
        </w:rPr>
      </w:pPr>
      <w:r>
        <w:rPr>
          <w:szCs w:val="21"/>
        </w:rPr>
        <w:t xml:space="preserve">各类功能单元柜深为670mm。最大外形（投影距离）≤770mm。</w:t>
      </w:r>
      <w:r>
        <w:rPr>
          <w:szCs w:val="21"/>
        </w:rPr>
      </w:r>
      <w:r/>
    </w:p>
    <w:p>
      <w:pPr>
        <w:pStyle w:val="1151"/>
        <w:spacing w:line="320" w:lineRule="exact"/>
      </w:pPr>
      <w:r/>
      <w:bookmarkStart w:id="187" w:name="_Toc531852710"/>
      <w:r>
        <w:t xml:space="preserve">5.</w:t>
      </w:r>
      <w:r>
        <w:rPr>
          <w:rFonts w:hint="eastAsia"/>
        </w:rPr>
        <w:t xml:space="preserve">2.6</w:t>
      </w:r>
      <w:r>
        <w:t xml:space="preserve">.3 柜高</w:t>
      </w:r>
      <w:bookmarkEnd w:id="187"/>
      <w:r/>
      <w:r/>
    </w:p>
    <w:p>
      <w:pPr>
        <w:pStyle w:val="1151"/>
        <w:ind w:firstLine="420"/>
        <w:spacing w:line="312" w:lineRule="exact"/>
        <w:rPr>
          <w:szCs w:val="21"/>
        </w:rPr>
      </w:pPr>
      <w:r>
        <w:rPr>
          <w:szCs w:val="21"/>
        </w:rPr>
        <w:t xml:space="preserve">针对侧扩方式，柜体高度（不含仪表箱）为1640mm，其中仪表箱高度为350mm，如图</w:t>
      </w:r>
      <w:r>
        <w:rPr>
          <w:rFonts w:hint="eastAsia"/>
          <w:szCs w:val="21"/>
        </w:rPr>
        <w:t xml:space="preserve">35</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2562073" cy="3219323"/>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2562073" cy="3219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201.7pt;height:253.5pt;mso-wrap-distance-left:0.0pt;mso-wrap-distance-top:0.0pt;mso-wrap-distance-right:0.0pt;mso-wrap-distance-bottom:0.0pt;" stroked="f">
                <v:path textboxrect="0,0,0,0"/>
                <v:imagedata r:id="rId52" o:title=""/>
              </v:shape>
            </w:pict>
          </mc:Fallback>
        </mc:AlternateContent>
      </w:r>
      <w:r>
        <w:rPr>
          <w:szCs w:val="21"/>
        </w:rPr>
      </w:r>
      <w:r/>
    </w:p>
    <w:p>
      <w:pPr>
        <w:pStyle w:val="1151"/>
        <w:ind w:left="619" w:hanging="760"/>
        <w:jc w:val="center"/>
        <w:spacing w:line="312" w:lineRule="exact"/>
        <w:rPr>
          <w:rFonts w:eastAsia="黑体"/>
          <w:szCs w:val="21"/>
        </w:rPr>
      </w:pPr>
      <w:r>
        <w:rPr>
          <w:rFonts w:eastAsia="黑体"/>
          <w:szCs w:val="21"/>
        </w:rPr>
        <w:t xml:space="preserve">图</w:t>
      </w:r>
      <w:r>
        <w:rPr>
          <w:rFonts w:hint="eastAsia" w:eastAsia="黑体"/>
          <w:szCs w:val="21"/>
        </w:rPr>
        <w:t xml:space="preserve">35</w:t>
      </w:r>
      <w:r>
        <w:rPr>
          <w:rFonts w:eastAsia="黑体"/>
          <w:szCs w:val="21"/>
        </w:rPr>
        <w:t xml:space="preserve">侧扩展外形尺寸图</w:t>
      </w:r>
      <w:r>
        <w:rPr>
          <w:rFonts w:eastAsia="黑体"/>
          <w:szCs w:val="21"/>
        </w:rPr>
      </w:r>
      <w:r/>
    </w:p>
    <w:p>
      <w:pPr>
        <w:pStyle w:val="1151"/>
        <w:ind w:left="619" w:hanging="760"/>
        <w:jc w:val="center"/>
        <w:spacing w:line="312" w:lineRule="exact"/>
        <w:rPr>
          <w:rFonts w:eastAsia="黑体"/>
          <w:szCs w:val="21"/>
        </w:rPr>
      </w:pPr>
      <w:r>
        <w:rPr>
          <w:rFonts w:eastAsia="黑体"/>
          <w:szCs w:val="21"/>
        </w:rPr>
      </w:r>
      <w:r/>
    </w:p>
    <w:p>
      <w:pPr>
        <w:pStyle w:val="1151"/>
        <w:ind w:firstLine="420"/>
        <w:spacing w:line="312" w:lineRule="exact"/>
        <w:rPr>
          <w:szCs w:val="21"/>
        </w:rPr>
      </w:pPr>
      <w:r>
        <w:rPr>
          <w:szCs w:val="21"/>
        </w:rPr>
        <w:t xml:space="preserve">针对顶扩方式，柜前看，柜体高度（不含仪表箱）为1640mm，其中仪表箱高度为350mm，且上出线高度不应高于仪表箱，如图</w:t>
      </w:r>
      <w:r>
        <w:rPr>
          <w:rFonts w:hint="eastAsia"/>
          <w:szCs w:val="21"/>
        </w:rPr>
        <w:t xml:space="preserve">36</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2609914" cy="2981325"/>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rcRect l="0" t="7703" r="0" b="10959"/>
                        <a:stretch/>
                      </pic:blipFill>
                      <pic:spPr bwMode="auto">
                        <a:xfrm>
                          <a:off x="0" y="0"/>
                          <a:ext cx="2609914" cy="2981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205.5pt;height:234.8pt;mso-wrap-distance-left:0.0pt;mso-wrap-distance-top:0.0pt;mso-wrap-distance-right:0.0pt;mso-wrap-distance-bottom:0.0pt;" stroked="f">
                <v:path textboxrect="0,0,0,0"/>
                <v:imagedata r:id="rId53" o:title=""/>
              </v:shape>
            </w:pict>
          </mc:Fallback>
        </mc:AlternateContent>
      </w:r>
      <w:r>
        <w:rPr>
          <w:szCs w:val="21"/>
        </w:rPr>
      </w:r>
      <w:r/>
    </w:p>
    <w:p>
      <w:pPr>
        <w:pStyle w:val="1151"/>
        <w:ind w:left="619" w:hanging="760"/>
        <w:jc w:val="center"/>
        <w:spacing w:line="312" w:lineRule="exact"/>
        <w:rPr>
          <w:rFonts w:eastAsia="黑体"/>
          <w:szCs w:val="21"/>
        </w:rPr>
      </w:pPr>
      <w:r>
        <w:rPr>
          <w:rFonts w:eastAsia="黑体"/>
          <w:szCs w:val="21"/>
        </w:rPr>
        <w:t xml:space="preserve">图</w:t>
      </w:r>
      <w:r>
        <w:rPr>
          <w:rFonts w:hint="eastAsia" w:eastAsia="黑体"/>
          <w:szCs w:val="21"/>
        </w:rPr>
        <w:t xml:space="preserve">36</w:t>
      </w:r>
      <w:r>
        <w:rPr>
          <w:rFonts w:eastAsia="黑体"/>
          <w:szCs w:val="21"/>
        </w:rPr>
        <w:t xml:space="preserve">顶扩展外形尺寸图</w:t>
      </w:r>
      <w:r>
        <w:rPr>
          <w:rFonts w:eastAsia="黑体"/>
          <w:szCs w:val="21"/>
        </w:rPr>
      </w:r>
      <w:r/>
    </w:p>
    <w:p>
      <w:pPr>
        <w:pStyle w:val="1151"/>
        <w:ind w:left="619" w:hanging="760"/>
        <w:jc w:val="center"/>
        <w:spacing w:line="312" w:lineRule="exact"/>
        <w:rPr>
          <w:rFonts w:eastAsia="黑体"/>
          <w:szCs w:val="21"/>
        </w:rPr>
      </w:pPr>
      <w:r>
        <w:rPr>
          <w:rFonts w:eastAsia="黑体"/>
          <w:szCs w:val="21"/>
        </w:rPr>
      </w:r>
      <w:r/>
    </w:p>
    <w:p>
      <w:pPr>
        <w:pStyle w:val="1151"/>
        <w:spacing w:line="320" w:lineRule="exact"/>
      </w:pPr>
      <w:r/>
      <w:bookmarkStart w:id="188" w:name="_Toc531852711"/>
      <w:r>
        <w:t xml:space="preserve">5.</w:t>
      </w:r>
      <w:r>
        <w:rPr>
          <w:rFonts w:hint="eastAsia"/>
        </w:rPr>
        <w:t xml:space="preserve">2.6</w:t>
      </w:r>
      <w:r>
        <w:t xml:space="preserve">.4 仪表箱外形尺寸</w:t>
      </w:r>
      <w:bookmarkEnd w:id="188"/>
      <w:r/>
      <w:r/>
    </w:p>
    <w:p>
      <w:pPr>
        <w:pStyle w:val="1151"/>
        <w:ind w:firstLine="420"/>
        <w:spacing w:line="312" w:lineRule="exact"/>
        <w:rPr>
          <w:szCs w:val="21"/>
        </w:rPr>
      </w:pPr>
      <w:r>
        <w:rPr>
          <w:szCs w:val="21"/>
        </w:rPr>
        <w:t xml:space="preserve">仪表箱高度为350mm，宽度为460mm，深度（不含门）≥280mm。</w:t>
      </w:r>
      <w:r>
        <w:rPr>
          <w:szCs w:val="21"/>
        </w:rPr>
      </w:r>
      <w:r/>
    </w:p>
    <w:p>
      <w:pPr>
        <w:pStyle w:val="1151"/>
        <w:spacing w:line="320" w:lineRule="exact"/>
      </w:pPr>
      <w:r/>
      <w:bookmarkStart w:id="189" w:name="_Toc531852712"/>
      <w:r>
        <w:t xml:space="preserve">5.</w:t>
      </w:r>
      <w:r>
        <w:rPr>
          <w:rFonts w:hint="eastAsia"/>
        </w:rPr>
        <w:t xml:space="preserve">2.6</w:t>
      </w:r>
      <w:r>
        <w:t xml:space="preserve">.5 主开关灭弧方式</w:t>
      </w:r>
      <w:bookmarkEnd w:id="189"/>
      <w:r/>
      <w:r/>
    </w:p>
    <w:p>
      <w:pPr>
        <w:pStyle w:val="1151"/>
        <w:ind w:firstLine="420"/>
        <w:spacing w:line="312" w:lineRule="exact"/>
        <w:rPr>
          <w:szCs w:val="21"/>
        </w:rPr>
      </w:pPr>
      <w:r>
        <w:rPr>
          <w:szCs w:val="21"/>
        </w:rPr>
        <w:t xml:space="preserve">断路器均采用真空灭弧。</w:t>
      </w:r>
      <w:r>
        <w:rPr>
          <w:szCs w:val="21"/>
        </w:rPr>
      </w:r>
      <w:r/>
    </w:p>
    <w:p>
      <w:pPr>
        <w:pStyle w:val="1151"/>
        <w:spacing w:line="320" w:lineRule="exact"/>
      </w:pPr>
      <w:r/>
      <w:bookmarkStart w:id="190" w:name="_Toc531852713"/>
      <w:r>
        <w:t xml:space="preserve">5.</w:t>
      </w:r>
      <w:r>
        <w:rPr>
          <w:rFonts w:hint="eastAsia"/>
        </w:rPr>
        <w:t xml:space="preserve">2.6</w:t>
      </w:r>
      <w:r>
        <w:t xml:space="preserve">.6 柜体框架材质</w:t>
      </w:r>
      <w:bookmarkEnd w:id="190"/>
      <w:r/>
      <w:r/>
    </w:p>
    <w:p>
      <w:pPr>
        <w:pStyle w:val="1151"/>
        <w:ind w:firstLine="420"/>
        <w:spacing w:line="312" w:lineRule="exact"/>
        <w:rPr>
          <w:szCs w:val="21"/>
        </w:rPr>
      </w:pPr>
      <w:r>
        <w:rPr>
          <w:szCs w:val="21"/>
        </w:rPr>
        <w:t xml:space="preserve">柜体框架材质采用敷铝锌板（镀锌层厚度达到AZ150及以上，可按照《GB/T 14978 连续热镀铝锌合金镀层钢板及钢带》）或镀锌钢板（牌号为：DX51D+Z275，可按照《GB/T 2518-2008 连续热镀锌钢板及钢带》）。</w:t>
      </w:r>
      <w:r>
        <w:rPr>
          <w:szCs w:val="21"/>
        </w:rPr>
      </w:r>
      <w:r/>
    </w:p>
    <w:p>
      <w:pPr>
        <w:pStyle w:val="1151"/>
        <w:spacing w:line="320" w:lineRule="exact"/>
      </w:pPr>
      <w:r/>
      <w:bookmarkStart w:id="191" w:name="_Toc531852714"/>
      <w:r>
        <w:t xml:space="preserve">5.</w:t>
      </w:r>
      <w:r>
        <w:rPr>
          <w:rFonts w:hint="eastAsia"/>
        </w:rPr>
        <w:t xml:space="preserve">2.6</w:t>
      </w:r>
      <w:r>
        <w:t xml:space="preserve">.7 柜体材质厚度</w:t>
      </w:r>
      <w:bookmarkEnd w:id="191"/>
      <w:r/>
      <w:r/>
    </w:p>
    <w:p>
      <w:pPr>
        <w:pStyle w:val="1151"/>
        <w:ind w:firstLine="420"/>
        <w:spacing w:line="312" w:lineRule="exact"/>
        <w:rPr>
          <w:bCs/>
          <w:szCs w:val="21"/>
        </w:rPr>
      </w:pPr>
      <w:r>
        <w:rPr>
          <w:bCs/>
          <w:szCs w:val="21"/>
        </w:rPr>
        <w:t xml:space="preserve">板材框架材质标称厚度≥2mm，尺寸允许偏差满足《GB/T 708冷轧钢板和钢带的尺寸、外形、重量及允许偏差》的B级精度要求。</w:t>
      </w:r>
      <w:r>
        <w:rPr>
          <w:bCs/>
          <w:szCs w:val="21"/>
        </w:rPr>
      </w:r>
      <w:r/>
    </w:p>
    <w:p>
      <w:pPr>
        <w:pStyle w:val="1151"/>
        <w:spacing w:line="320" w:lineRule="exact"/>
      </w:pPr>
      <w:r/>
      <w:bookmarkStart w:id="192" w:name="_Toc531852715"/>
      <w:r>
        <w:t xml:space="preserve">5.</w:t>
      </w:r>
      <w:r>
        <w:rPr>
          <w:rFonts w:hint="eastAsia"/>
        </w:rPr>
        <w:t xml:space="preserve">2.6</w:t>
      </w:r>
      <w:r>
        <w:t xml:space="preserve">.8 门板材质</w:t>
      </w:r>
      <w:bookmarkEnd w:id="192"/>
      <w:r/>
      <w:r/>
    </w:p>
    <w:p>
      <w:pPr>
        <w:pStyle w:val="1151"/>
        <w:ind w:firstLine="420"/>
        <w:spacing w:line="312" w:lineRule="exact"/>
        <w:rPr>
          <w:szCs w:val="21"/>
        </w:rPr>
      </w:pPr>
      <w:r>
        <w:rPr>
          <w:szCs w:val="21"/>
        </w:rPr>
        <w:t xml:space="preserve">门板材质为冷轧钢板或敷铝锌板，表面进行喷涂，并满足附着力要求。</w:t>
      </w:r>
      <w:r>
        <w:rPr>
          <w:szCs w:val="21"/>
        </w:rPr>
      </w:r>
      <w:r/>
    </w:p>
    <w:p>
      <w:pPr>
        <w:pStyle w:val="1151"/>
        <w:spacing w:line="320" w:lineRule="exact"/>
      </w:pPr>
      <w:r/>
      <w:bookmarkStart w:id="193" w:name="_Toc531852716"/>
      <w:r>
        <w:t xml:space="preserve">5.</w:t>
      </w:r>
      <w:r>
        <w:rPr>
          <w:rFonts w:hint="eastAsia"/>
        </w:rPr>
        <w:t xml:space="preserve">2.6</w:t>
      </w:r>
      <w:r>
        <w:t xml:space="preserve">.9 门板材质厚度</w:t>
      </w:r>
      <w:bookmarkEnd w:id="193"/>
      <w:r/>
      <w:r/>
    </w:p>
    <w:p>
      <w:pPr>
        <w:pStyle w:val="1151"/>
        <w:ind w:firstLine="480"/>
        <w:spacing w:line="312" w:lineRule="exact"/>
        <w:rPr>
          <w:szCs w:val="21"/>
        </w:rPr>
      </w:pPr>
      <w:r>
        <w:rPr>
          <w:szCs w:val="21"/>
        </w:rPr>
        <w:t xml:space="preserve">仪表室、机构室、电缆室门板材质标称厚度≥2mm</w:t>
      </w:r>
      <w:r>
        <w:rPr>
          <w:bCs/>
          <w:szCs w:val="21"/>
        </w:rPr>
        <w:t xml:space="preserve">，</w:t>
      </w:r>
      <w:r>
        <w:rPr>
          <w:szCs w:val="21"/>
        </w:rPr>
        <w:t xml:space="preserve">电缆室门无观察窗</w:t>
      </w:r>
      <w:r>
        <w:rPr>
          <w:bCs/>
          <w:szCs w:val="21"/>
        </w:rPr>
        <w:t xml:space="preserve">，尺寸允许偏差满足《GB/T 708冷轧钢板和钢带的尺寸、外形、重量及允许偏差》的B级精度要求</w:t>
      </w:r>
      <w:r>
        <w:rPr>
          <w:szCs w:val="21"/>
        </w:rPr>
        <w:t xml:space="preserve">。</w:t>
      </w:r>
      <w:r>
        <w:rPr>
          <w:szCs w:val="21"/>
        </w:rPr>
      </w:r>
      <w:r/>
    </w:p>
    <w:p>
      <w:pPr>
        <w:pStyle w:val="1151"/>
        <w:spacing w:line="320" w:lineRule="exact"/>
      </w:pPr>
      <w:r/>
      <w:bookmarkStart w:id="194" w:name="_Toc531852717"/>
      <w:r>
        <w:t xml:space="preserve">5.</w:t>
      </w:r>
      <w:r>
        <w:rPr>
          <w:rFonts w:hint="eastAsia"/>
        </w:rPr>
        <w:t xml:space="preserve">2.6</w:t>
      </w:r>
      <w:r>
        <w:t xml:space="preserve">.10 柜体防护等级</w:t>
      </w:r>
      <w:bookmarkEnd w:id="194"/>
      <w:r/>
      <w:r/>
    </w:p>
    <w:p>
      <w:pPr>
        <w:pStyle w:val="1151"/>
        <w:ind w:firstLine="420"/>
        <w:jc w:val="left"/>
        <w:spacing w:line="312" w:lineRule="exact"/>
        <w:rPr>
          <w:szCs w:val="21"/>
        </w:rPr>
      </w:pPr>
      <w:r>
        <w:rPr>
          <w:szCs w:val="21"/>
        </w:rPr>
        <w:t xml:space="preserve">柜体外壳防护等级为IP4X，柜内隔室间不小于IP2X。</w:t>
      </w:r>
      <w:r>
        <w:rPr>
          <w:szCs w:val="21"/>
        </w:rPr>
      </w:r>
      <w:r/>
    </w:p>
    <w:p>
      <w:pPr>
        <w:pStyle w:val="1151"/>
        <w:spacing w:line="320" w:lineRule="exact"/>
      </w:pPr>
      <w:r/>
      <w:bookmarkStart w:id="195" w:name="_Toc531852718"/>
      <w:r>
        <w:t xml:space="preserve">5.</w:t>
      </w:r>
      <w:r>
        <w:rPr>
          <w:rFonts w:hint="eastAsia"/>
        </w:rPr>
        <w:t xml:space="preserve">2.6</w:t>
      </w:r>
      <w:r>
        <w:t xml:space="preserve">.11 主母线扩展方式</w:t>
      </w:r>
      <w:bookmarkEnd w:id="195"/>
      <w:r/>
      <w:r/>
    </w:p>
    <w:p>
      <w:pPr>
        <w:pStyle w:val="1151"/>
        <w:ind w:firstLine="420"/>
        <w:jc w:val="left"/>
        <w:spacing w:line="312" w:lineRule="exact"/>
        <w:rPr>
          <w:szCs w:val="21"/>
        </w:rPr>
      </w:pPr>
      <w:r>
        <w:rPr>
          <w:szCs w:val="21"/>
        </w:rPr>
        <w:t xml:space="preserve">主母线扩展方式可采用顶扩或侧扩方式。扩展母线的设计安装应抵消环网柜本体现场安装后形成的相关累积误差，满足运行可靠性的要求，如采用弹簧触指或具有适度柔性的扩展母线等。</w:t>
      </w:r>
      <w:r>
        <w:rPr>
          <w:szCs w:val="21"/>
        </w:rPr>
      </w:r>
      <w:r/>
    </w:p>
    <w:p>
      <w:pPr>
        <w:pStyle w:val="1151"/>
        <w:spacing w:line="320" w:lineRule="exact"/>
      </w:pPr>
      <w:r/>
      <w:bookmarkStart w:id="196" w:name="_Toc531852719"/>
      <w:r>
        <w:t xml:space="preserve">5.</w:t>
      </w:r>
      <w:r>
        <w:rPr>
          <w:rFonts w:hint="eastAsia"/>
        </w:rPr>
        <w:t xml:space="preserve">2.6</w:t>
      </w:r>
      <w:r>
        <w:t xml:space="preserve">.12 可接最多一次电缆数（每相）</w:t>
      </w:r>
      <w:bookmarkEnd w:id="196"/>
      <w:r/>
      <w:r/>
    </w:p>
    <w:p>
      <w:pPr>
        <w:pStyle w:val="1151"/>
        <w:ind w:firstLine="420"/>
        <w:spacing w:line="312" w:lineRule="exact"/>
        <w:rPr>
          <w:szCs w:val="21"/>
        </w:rPr>
      </w:pPr>
      <w:r>
        <w:rPr>
          <w:szCs w:val="21"/>
        </w:rPr>
        <w:t xml:space="preserve">每相最多可接一次电缆1根。</w:t>
      </w:r>
      <w:r>
        <w:rPr>
          <w:szCs w:val="21"/>
        </w:rPr>
      </w:r>
      <w:r/>
    </w:p>
    <w:p>
      <w:pPr>
        <w:pStyle w:val="1151"/>
        <w:spacing w:line="320" w:lineRule="exact"/>
      </w:pPr>
      <w:r/>
      <w:bookmarkStart w:id="197" w:name="_Toc531852720"/>
      <w:r>
        <w:t xml:space="preserve">5.</w:t>
      </w:r>
      <w:r>
        <w:rPr>
          <w:rFonts w:hint="eastAsia"/>
        </w:rPr>
        <w:t xml:space="preserve">2.6</w:t>
      </w:r>
      <w:r>
        <w:t xml:space="preserve">.13 一次电缆接线高度</w:t>
      </w:r>
      <w:bookmarkEnd w:id="197"/>
      <w:r/>
      <w:r/>
    </w:p>
    <w:p>
      <w:pPr>
        <w:pStyle w:val="1151"/>
        <w:ind w:left="420"/>
        <w:jc w:val="left"/>
        <w:spacing w:line="312" w:lineRule="exact"/>
        <w:rPr>
          <w:szCs w:val="21"/>
        </w:rPr>
      </w:pPr>
      <w:r>
        <w:rPr>
          <w:szCs w:val="21"/>
        </w:rPr>
        <w:t xml:space="preserve">一次电缆接线高度≥650mm。</w:t>
      </w:r>
      <w:r>
        <w:rPr>
          <w:szCs w:val="21"/>
        </w:rPr>
      </w:r>
      <w:r/>
    </w:p>
    <w:p>
      <w:pPr>
        <w:pStyle w:val="1151"/>
        <w:spacing w:line="320" w:lineRule="exact"/>
      </w:pPr>
      <w:r/>
      <w:bookmarkStart w:id="198" w:name="_Toc531852721"/>
      <w:r>
        <w:t xml:space="preserve">5.</w:t>
      </w:r>
      <w:r>
        <w:rPr>
          <w:rFonts w:hint="eastAsia"/>
        </w:rPr>
        <w:t xml:space="preserve">2.6</w:t>
      </w:r>
      <w:r>
        <w:t xml:space="preserve">.14 一次电缆排列方式</w:t>
      </w:r>
      <w:bookmarkEnd w:id="198"/>
      <w:r/>
      <w:r/>
    </w:p>
    <w:p>
      <w:pPr>
        <w:pStyle w:val="1151"/>
        <w:ind w:firstLine="420"/>
        <w:spacing w:line="312" w:lineRule="exact"/>
        <w:rPr>
          <w:szCs w:val="21"/>
        </w:rPr>
      </w:pPr>
      <w:r>
        <w:rPr>
          <w:szCs w:val="21"/>
        </w:rPr>
        <w:t xml:space="preserve">一次电缆排列方式为水平一字型。柜前看，从左至右依次为A、B、C相，并应有相位标识，且标识应不易氧化脱落。</w:t>
      </w:r>
      <w:r>
        <w:rPr>
          <w:szCs w:val="21"/>
        </w:rPr>
      </w:r>
      <w:r/>
    </w:p>
    <w:p>
      <w:pPr>
        <w:pStyle w:val="1151"/>
        <w:spacing w:line="320" w:lineRule="exact"/>
      </w:pPr>
      <w:r/>
      <w:bookmarkStart w:id="199" w:name="_Toc531852722"/>
      <w:r>
        <w:t xml:space="preserve">5.</w:t>
      </w:r>
      <w:r>
        <w:rPr>
          <w:rFonts w:hint="eastAsia"/>
        </w:rPr>
        <w:t xml:space="preserve">2.6</w:t>
      </w:r>
      <w:r>
        <w:t xml:space="preserve">.15 一次电缆固定位置</w:t>
      </w:r>
      <w:bookmarkEnd w:id="199"/>
      <w:r/>
      <w:r/>
    </w:p>
    <w:p>
      <w:pPr>
        <w:pStyle w:val="1151"/>
        <w:ind w:firstLine="480"/>
        <w:spacing w:line="312" w:lineRule="exact"/>
        <w:rPr>
          <w:szCs w:val="21"/>
        </w:rPr>
      </w:pPr>
      <w:r>
        <w:rPr>
          <w:szCs w:val="21"/>
        </w:rPr>
        <w:t xml:space="preserve">一次电缆固定位置应设置在电缆隔室内。柜内电缆应两点固定，其中电缆室入口处应设置固定点，如图</w:t>
      </w:r>
      <w:r>
        <w:rPr>
          <w:rFonts w:hint="eastAsia"/>
          <w:szCs w:val="21"/>
        </w:rPr>
        <w:t xml:space="preserve">37</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3581527" cy="1962252"/>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rcRect l="1779" t="4790" r="2543" b="4876"/>
                        <a:stretch/>
                      </pic:blipFill>
                      <pic:spPr bwMode="auto">
                        <a:xfrm>
                          <a:off x="0" y="0"/>
                          <a:ext cx="3581527" cy="1962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282.0pt;height:154.5pt;mso-wrap-distance-left:0.0pt;mso-wrap-distance-top:0.0pt;mso-wrap-distance-right:0.0pt;mso-wrap-distance-bottom:0.0pt;" stroked="f">
                <v:path textboxrect="0,0,0,0"/>
                <v:imagedata r:id="rId54"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37</w:t>
      </w:r>
      <w:r>
        <w:rPr>
          <w:rFonts w:eastAsia="黑体"/>
          <w:szCs w:val="21"/>
        </w:rPr>
        <w:t xml:space="preserve">一次电缆固定示意图</w:t>
      </w:r>
      <w:r>
        <w:rPr>
          <w:rFonts w:eastAsia="黑体"/>
          <w:szCs w:val="21"/>
        </w:rPr>
      </w:r>
      <w:r/>
    </w:p>
    <w:p>
      <w:pPr>
        <w:pStyle w:val="1151"/>
        <w:jc w:val="center"/>
        <w:spacing w:line="312" w:lineRule="exact"/>
        <w:rPr>
          <w:rFonts w:eastAsia="黑体"/>
          <w:szCs w:val="21"/>
        </w:rPr>
      </w:pPr>
      <w:r>
        <w:rPr>
          <w:rFonts w:eastAsia="黑体"/>
          <w:szCs w:val="21"/>
        </w:rPr>
      </w:r>
      <w:r/>
    </w:p>
    <w:p>
      <w:pPr>
        <w:pStyle w:val="1151"/>
        <w:spacing w:line="320" w:lineRule="exact"/>
      </w:pPr>
      <w:r/>
      <w:bookmarkStart w:id="200" w:name="_Toc531852723"/>
      <w:r>
        <w:t xml:space="preserve">5.</w:t>
      </w:r>
      <w:r>
        <w:rPr>
          <w:rFonts w:hint="eastAsia"/>
        </w:rPr>
        <w:t xml:space="preserve">2.6</w:t>
      </w:r>
      <w:r>
        <w:t xml:space="preserve">.16 一次电缆孔直径</w:t>
      </w:r>
      <w:bookmarkEnd w:id="200"/>
      <w:r/>
      <w:r/>
    </w:p>
    <w:p>
      <w:pPr>
        <w:pStyle w:val="1151"/>
        <w:ind w:firstLine="420"/>
        <w:spacing w:line="312" w:lineRule="exact"/>
        <w:rPr>
          <w:szCs w:val="21"/>
        </w:rPr>
      </w:pPr>
      <w:r>
        <w:rPr>
          <w:szCs w:val="21"/>
        </w:rPr>
        <w:t xml:space="preserve">一次电缆孔直径Φ为110mm或150mm（根据电缆尺寸选择）。</w:t>
      </w:r>
      <w:r>
        <w:rPr>
          <w:szCs w:val="21"/>
        </w:rPr>
      </w:r>
      <w:r/>
    </w:p>
    <w:p>
      <w:pPr>
        <w:pStyle w:val="1151"/>
        <w:spacing w:line="320" w:lineRule="exact"/>
      </w:pPr>
      <w:r/>
      <w:bookmarkStart w:id="201" w:name="_Toc531852724"/>
      <w:r>
        <w:t xml:space="preserve">5.</w:t>
      </w:r>
      <w:r>
        <w:rPr>
          <w:rFonts w:hint="eastAsia"/>
        </w:rPr>
        <w:t xml:space="preserve">2.6</w:t>
      </w:r>
      <w:r>
        <w:t xml:space="preserve">.17 一次电缆孔位置</w:t>
      </w:r>
      <w:bookmarkEnd w:id="201"/>
      <w:r/>
      <w:r/>
    </w:p>
    <w:p>
      <w:pPr>
        <w:pStyle w:val="1151"/>
        <w:ind w:firstLine="420"/>
        <w:spacing w:line="320" w:lineRule="exact"/>
      </w:pPr>
      <w:r>
        <w:t xml:space="preserve">与中间相套管对齐，并确保电缆垂直。</w:t>
      </w:r>
      <w:r/>
    </w:p>
    <w:p>
      <w:pPr>
        <w:pStyle w:val="1151"/>
        <w:spacing w:line="320" w:lineRule="exact"/>
      </w:pPr>
      <w:r/>
      <w:bookmarkStart w:id="202" w:name="_Toc531852725"/>
      <w:r>
        <w:t xml:space="preserve">5.</w:t>
      </w:r>
      <w:r>
        <w:rPr>
          <w:rFonts w:hint="eastAsia"/>
        </w:rPr>
        <w:t xml:space="preserve">2.6</w:t>
      </w:r>
      <w:r>
        <w:t xml:space="preserve">.18 一次接地排规格</w:t>
      </w:r>
      <w:bookmarkEnd w:id="202"/>
      <w:r/>
      <w:r/>
    </w:p>
    <w:p>
      <w:pPr>
        <w:pStyle w:val="1151"/>
        <w:ind w:firstLine="482"/>
        <w:spacing w:line="312" w:lineRule="exact"/>
        <w:rPr>
          <w:szCs w:val="21"/>
        </w:rPr>
      </w:pPr>
      <w:r>
        <w:rPr>
          <w:bCs/>
          <w:szCs w:val="21"/>
        </w:rPr>
        <w:t xml:space="preserve">一次接地排规格为矩形铜排TMY-30mm×8mm</w:t>
      </w:r>
      <w:r>
        <w:rPr>
          <w:szCs w:val="21"/>
        </w:rPr>
        <w:t xml:space="preserve">，一次接地排搭接孔开孔尺寸为Φ8.5×13.5mm，并柜一次接地搭接排孔距97mm。</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2828938" cy="2047913"/>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rcRect l="0" t="3909" r="0" b="4406"/>
                        <a:stretch/>
                      </pic:blipFill>
                      <pic:spPr bwMode="auto">
                        <a:xfrm>
                          <a:off x="0" y="0"/>
                          <a:ext cx="2828938" cy="20479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222.8pt;height:161.3pt;mso-wrap-distance-left:0.0pt;mso-wrap-distance-top:0.0pt;mso-wrap-distance-right:0.0pt;mso-wrap-distance-bottom:0.0pt;" stroked="f">
                <v:path textboxrect="0,0,0,0"/>
                <v:imagedata r:id="rId55"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38</w:t>
      </w:r>
      <w:r>
        <w:rPr>
          <w:rFonts w:eastAsia="黑体"/>
          <w:szCs w:val="21"/>
        </w:rPr>
        <w:t xml:space="preserve">接地排开孔位置示意图</w:t>
      </w:r>
      <w:r>
        <w:rPr>
          <w:rFonts w:eastAsia="黑体"/>
          <w:szCs w:val="21"/>
        </w:rPr>
      </w:r>
      <w:r/>
    </w:p>
    <w:p>
      <w:pPr>
        <w:pStyle w:val="1151"/>
        <w:jc w:val="center"/>
        <w:spacing w:line="312" w:lineRule="exact"/>
        <w:rPr>
          <w:rFonts w:eastAsia="黑体"/>
          <w:szCs w:val="21"/>
        </w:rPr>
      </w:pPr>
      <w:r>
        <w:rPr>
          <w:rFonts w:eastAsia="黑体"/>
          <w:szCs w:val="21"/>
        </w:rPr>
      </w:r>
      <w:r/>
    </w:p>
    <w:p>
      <w:pPr>
        <w:pStyle w:val="1151"/>
        <w:spacing w:line="320" w:lineRule="exact"/>
      </w:pPr>
      <w:r/>
      <w:bookmarkStart w:id="203" w:name="_Toc531852726"/>
      <w:r>
        <w:t xml:space="preserve">5.</w:t>
      </w:r>
      <w:r>
        <w:rPr>
          <w:rFonts w:hint="eastAsia"/>
        </w:rPr>
        <w:t xml:space="preserve">2.6</w:t>
      </w:r>
      <w:r>
        <w:t xml:space="preserve">.19 一次接地排贯穿孔</w:t>
      </w:r>
      <w:bookmarkEnd w:id="203"/>
      <w:r/>
      <w:r/>
    </w:p>
    <w:p>
      <w:pPr>
        <w:pStyle w:val="1151"/>
        <w:ind w:firstLine="420"/>
        <w:jc w:val="left"/>
        <w:spacing w:line="312" w:lineRule="exact"/>
        <w:rPr>
          <w:szCs w:val="21"/>
        </w:rPr>
      </w:pPr>
      <w:r>
        <w:rPr>
          <w:szCs w:val="21"/>
        </w:rPr>
        <w:t xml:space="preserve">一次接地排贯穿孔尺寸为</w:t>
      </w:r>
      <w:r>
        <w:rPr>
          <w:bCs/>
          <w:szCs w:val="21"/>
        </w:rPr>
        <w:t xml:space="preserve">长方孔</w:t>
      </w:r>
      <w:r>
        <w:rPr>
          <w:szCs w:val="21"/>
        </w:rPr>
        <w:t xml:space="preserve">9×31mm，位置在柜体距后框架331mm，距框架底59mm，如图</w:t>
      </w:r>
      <w:r>
        <w:rPr>
          <w:rFonts w:hint="eastAsia"/>
          <w:szCs w:val="21"/>
        </w:rPr>
        <w:t xml:space="preserve">39</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1930476" cy="1810512"/>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930476" cy="18105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52.0pt;height:142.6pt;mso-wrap-distance-left:0.0pt;mso-wrap-distance-top:0.0pt;mso-wrap-distance-right:0.0pt;mso-wrap-distance-bottom:0.0pt;" stroked="f">
                <v:path textboxrect="0,0,0,0"/>
                <v:imagedata r:id="rId56"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39</w:t>
      </w:r>
      <w:r>
        <w:rPr>
          <w:rFonts w:eastAsia="黑体"/>
          <w:szCs w:val="21"/>
        </w:rPr>
        <w:t xml:space="preserve">一次接地排在柜体贯穿孔尺寸及位置示意图</w:t>
      </w:r>
      <w:r>
        <w:rPr>
          <w:rFonts w:eastAsia="黑体"/>
          <w:szCs w:val="21"/>
        </w:rPr>
      </w:r>
      <w:r/>
    </w:p>
    <w:p>
      <w:pPr>
        <w:pStyle w:val="1151"/>
        <w:jc w:val="center"/>
        <w:spacing w:line="312" w:lineRule="exact"/>
        <w:rPr>
          <w:szCs w:val="21"/>
        </w:rPr>
      </w:pPr>
      <w:r>
        <w:rPr>
          <w:szCs w:val="21"/>
        </w:rPr>
      </w:r>
      <w:r/>
    </w:p>
    <w:p>
      <w:pPr>
        <w:pStyle w:val="1151"/>
        <w:spacing w:line="320" w:lineRule="exact"/>
      </w:pPr>
      <w:r/>
      <w:bookmarkStart w:id="204" w:name="_Toc531852727"/>
      <w:r>
        <w:t xml:space="preserve">5.</w:t>
      </w:r>
      <w:r>
        <w:rPr>
          <w:rFonts w:hint="eastAsia"/>
        </w:rPr>
        <w:t xml:space="preserve">2.6</w:t>
      </w:r>
      <w:r>
        <w:t xml:space="preserve">.20 仪表箱二次走线孔</w:t>
      </w:r>
      <w:bookmarkEnd w:id="204"/>
      <w:r/>
      <w:r/>
    </w:p>
    <w:p>
      <w:pPr>
        <w:pStyle w:val="1151"/>
        <w:ind w:firstLine="420"/>
        <w:jc w:val="left"/>
        <w:spacing w:line="312" w:lineRule="exact"/>
        <w:rPr>
          <w:szCs w:val="21"/>
        </w:rPr>
      </w:pPr>
      <w:r>
        <w:rPr>
          <w:szCs w:val="21"/>
        </w:rPr>
        <w:t xml:space="preserve">仪表箱二次走线孔采用横向长圆孔，尺寸为40×65mm，中心位置距离前框架50mm，距仪表箱顶部270mm，如图</w:t>
      </w:r>
      <w:r>
        <w:rPr>
          <w:rFonts w:hint="eastAsia"/>
          <w:szCs w:val="21"/>
        </w:rPr>
        <w:t xml:space="preserve">40</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2714600" cy="3486150"/>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2714600" cy="3486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213.7pt;height:274.5pt;mso-wrap-distance-left:0.0pt;mso-wrap-distance-top:0.0pt;mso-wrap-distance-right:0.0pt;mso-wrap-distance-bottom:0.0pt;" stroked="f">
                <v:path textboxrect="0,0,0,0"/>
                <v:imagedata r:id="rId57"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40</w:t>
      </w:r>
      <w:r>
        <w:rPr>
          <w:rFonts w:eastAsia="黑体"/>
          <w:szCs w:val="21"/>
        </w:rPr>
        <w:t xml:space="preserve">仪表箱二次走线孔示意图</w:t>
      </w:r>
      <w:r>
        <w:rPr>
          <w:rFonts w:eastAsia="黑体"/>
          <w:szCs w:val="21"/>
        </w:rPr>
      </w:r>
      <w:r/>
    </w:p>
    <w:p>
      <w:pPr>
        <w:pStyle w:val="1151"/>
        <w:jc w:val="center"/>
        <w:spacing w:line="312" w:lineRule="exact"/>
        <w:rPr>
          <w:rFonts w:eastAsia="黑体"/>
          <w:szCs w:val="21"/>
        </w:rPr>
      </w:pPr>
      <w:r>
        <w:rPr>
          <w:rFonts w:eastAsia="黑体"/>
          <w:szCs w:val="21"/>
        </w:rPr>
      </w:r>
      <w:r/>
    </w:p>
    <w:p>
      <w:pPr>
        <w:pStyle w:val="1151"/>
        <w:spacing w:line="320" w:lineRule="exact"/>
      </w:pPr>
      <w:r/>
      <w:bookmarkStart w:id="205" w:name="_Toc531852728"/>
      <w:r>
        <w:t xml:space="preserve">5.</w:t>
      </w:r>
      <w:r>
        <w:rPr>
          <w:rFonts w:hint="eastAsia"/>
        </w:rPr>
        <w:t xml:space="preserve">2.6</w:t>
      </w:r>
      <w:r>
        <w:t xml:space="preserve">.21 地脚开孔</w:t>
      </w:r>
      <w:bookmarkEnd w:id="205"/>
      <w:r/>
      <w:r/>
    </w:p>
    <w:p>
      <w:pPr>
        <w:pStyle w:val="1151"/>
        <w:ind w:firstLine="420"/>
        <w:jc w:val="left"/>
        <w:spacing w:line="312" w:lineRule="exact"/>
        <w:rPr>
          <w:szCs w:val="21"/>
        </w:rPr>
      </w:pPr>
      <w:r>
        <w:rPr>
          <w:szCs w:val="21"/>
        </w:rPr>
        <w:t xml:space="preserve">单元柜地脚位置从底框架看，且不包含柜门的尺寸为：</w:t>
      </w:r>
      <w:r>
        <w:rPr>
          <w:szCs w:val="21"/>
        </w:rPr>
      </w:r>
      <w:r/>
    </w:p>
    <w:p>
      <w:pPr>
        <w:pStyle w:val="1151"/>
        <w:ind w:firstLine="420"/>
        <w:jc w:val="left"/>
        <w:spacing w:line="312" w:lineRule="exact"/>
        <w:rPr>
          <w:szCs w:val="21"/>
        </w:rPr>
      </w:pPr>
      <w:r>
        <w:rPr>
          <w:szCs w:val="21"/>
        </w:rPr>
        <w:t xml:space="preserve">柜宽方向孔间距400mm，居中布置。</w:t>
      </w:r>
      <w:r>
        <w:rPr>
          <w:szCs w:val="21"/>
        </w:rPr>
      </w:r>
      <w:r/>
    </w:p>
    <w:p>
      <w:pPr>
        <w:pStyle w:val="1151"/>
        <w:ind w:firstLine="420"/>
        <w:jc w:val="left"/>
        <w:spacing w:line="312" w:lineRule="exact"/>
        <w:rPr>
          <w:szCs w:val="21"/>
        </w:rPr>
      </w:pPr>
      <w:r>
        <w:rPr>
          <w:szCs w:val="21"/>
        </w:rPr>
        <w:t xml:space="preserve">柜深方向孔间距250mm、300mm，前端地脚固定孔中心距框架前端面52mm。</w:t>
      </w:r>
      <w:r>
        <w:rPr>
          <w:szCs w:val="21"/>
        </w:rPr>
      </w:r>
      <w:r/>
    </w:p>
    <w:p>
      <w:pPr>
        <w:pStyle w:val="1151"/>
        <w:ind w:firstLine="420"/>
        <w:jc w:val="left"/>
        <w:spacing w:line="312" w:lineRule="exact"/>
        <w:rPr>
          <w:szCs w:val="21"/>
        </w:rPr>
      </w:pPr>
      <w:r>
        <w:rPr>
          <w:szCs w:val="21"/>
        </w:rPr>
        <w:t xml:space="preserve">单元柜地脚开孔尺寸为6-Ф18mm，如图</w:t>
      </w:r>
      <w:r>
        <w:rPr>
          <w:rFonts w:hint="eastAsia"/>
          <w:szCs w:val="21"/>
        </w:rPr>
        <w:t xml:space="preserve">41</w:t>
      </w:r>
      <w:r>
        <w:rPr>
          <w:szCs w:val="21"/>
        </w:rPr>
        <w:t xml:space="preserve">所示。</w:t>
      </w:r>
      <w:r>
        <w:rPr>
          <w:szCs w:val="21"/>
        </w:rPr>
      </w:r>
      <w:r/>
    </w:p>
    <w:p>
      <w:pPr>
        <w:pStyle w:val="1151"/>
        <w:jc w:val="center"/>
        <w:rPr>
          <w:rFonts w:eastAsia="黑体"/>
          <w:szCs w:val="21"/>
        </w:rPr>
      </w:pPr>
      <w:r>
        <w:rPr>
          <w:szCs w:val="21"/>
        </w:rPr>
        <mc:AlternateContent>
          <mc:Choice Requires="wpg">
            <w:drawing>
              <wp:inline xmlns:wp="http://schemas.openxmlformats.org/drawingml/2006/wordprocessingDrawing" distT="0" distB="0" distL="0" distR="0">
                <wp:extent cx="3448050" cy="2219325"/>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rcRect l="0" t="3024" r="0" b="3980"/>
                        <a:stretch/>
                      </pic:blipFill>
                      <pic:spPr bwMode="auto">
                        <a:xfrm>
                          <a:off x="0" y="0"/>
                          <a:ext cx="3448050" cy="2219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271.5pt;height:174.8pt;mso-wrap-distance-left:0.0pt;mso-wrap-distance-top:0.0pt;mso-wrap-distance-right:0.0pt;mso-wrap-distance-bottom:0.0pt;" stroked="f">
                <v:path textboxrect="0,0,0,0"/>
                <v:imagedata r:id="rId58" o:title=""/>
              </v:shape>
            </w:pict>
          </mc:Fallback>
        </mc:AlternateContent>
      </w:r>
      <w:r>
        <w:rPr>
          <w:rFonts w:eastAsia="黑体"/>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41</w:t>
      </w:r>
      <w:r>
        <w:rPr>
          <w:rFonts w:eastAsia="黑体"/>
          <w:szCs w:val="21"/>
        </w:rPr>
        <w:t xml:space="preserve">地脚开孔示意图</w:t>
      </w:r>
      <w:r>
        <w:rPr>
          <w:rFonts w:eastAsia="黑体"/>
          <w:szCs w:val="21"/>
        </w:rPr>
      </w:r>
      <w:r/>
    </w:p>
    <w:p>
      <w:pPr>
        <w:pStyle w:val="1151"/>
        <w:jc w:val="center"/>
        <w:spacing w:line="312" w:lineRule="exact"/>
        <w:rPr>
          <w:rFonts w:eastAsia="黑体"/>
          <w:szCs w:val="21"/>
        </w:rPr>
      </w:pPr>
      <w:r>
        <w:rPr>
          <w:rFonts w:eastAsia="黑体"/>
          <w:szCs w:val="21"/>
        </w:rPr>
      </w:r>
      <w:r/>
    </w:p>
    <w:p>
      <w:pPr>
        <w:pStyle w:val="1151"/>
        <w:spacing w:line="320" w:lineRule="exact"/>
      </w:pPr>
      <w:r/>
      <w:bookmarkStart w:id="206" w:name="_Toc531852729"/>
      <w:r>
        <w:t xml:space="preserve">5.</w:t>
      </w:r>
      <w:r>
        <w:rPr>
          <w:rFonts w:hint="eastAsia"/>
        </w:rPr>
        <w:t xml:space="preserve">2.6</w:t>
      </w:r>
      <w:r>
        <w:t xml:space="preserve">.22 压力释放通道方向</w:t>
      </w:r>
      <w:bookmarkEnd w:id="206"/>
      <w:r/>
      <w:r/>
    </w:p>
    <w:p>
      <w:pPr>
        <w:pStyle w:val="1151"/>
        <w:ind w:firstLine="480"/>
        <w:spacing w:line="312" w:lineRule="exact"/>
        <w:rPr>
          <w:szCs w:val="21"/>
        </w:rPr>
      </w:pPr>
      <w:r>
        <w:rPr>
          <w:szCs w:val="21"/>
        </w:rPr>
        <w:t xml:space="preserve">压力释放通道方向朝向电缆沟。</w:t>
      </w:r>
      <w:r>
        <w:rPr>
          <w:szCs w:val="21"/>
        </w:rPr>
      </w:r>
      <w:r/>
    </w:p>
    <w:p>
      <w:pPr>
        <w:pStyle w:val="1151"/>
        <w:spacing w:line="320" w:lineRule="exact"/>
      </w:pPr>
      <w:r/>
      <w:bookmarkStart w:id="207" w:name="_Toc531852730"/>
      <w:r>
        <w:t xml:space="preserve">5.</w:t>
      </w:r>
      <w:r>
        <w:rPr>
          <w:rFonts w:hint="eastAsia"/>
        </w:rPr>
        <w:t xml:space="preserve">2.6</w:t>
      </w:r>
      <w:r>
        <w:t xml:space="preserve">.23 基础槽钢</w:t>
      </w:r>
      <w:bookmarkEnd w:id="207"/>
      <w:r/>
      <w:r/>
    </w:p>
    <w:p>
      <w:pPr>
        <w:pStyle w:val="1151"/>
        <w:ind w:firstLine="480"/>
        <w:spacing w:line="312" w:lineRule="exact"/>
        <w:rPr>
          <w:szCs w:val="21"/>
        </w:rPr>
      </w:pPr>
      <w:r>
        <w:rPr>
          <w:szCs w:val="21"/>
        </w:rPr>
        <w:t xml:space="preserve">基础槽钢为10#热镀锌槽钢，扣放，基础按柜深770mm设计，深度方向间距770mm（槽钢外檐）。槽钢固定孔为M12螺纹孔。柜体框架与前槽钢对齐。</w:t>
      </w:r>
      <w:r>
        <w:rPr>
          <w:szCs w:val="21"/>
        </w:rPr>
      </w:r>
      <w:r/>
    </w:p>
    <w:p>
      <w:pPr>
        <w:pStyle w:val="1151"/>
        <w:spacing w:line="320" w:lineRule="exact"/>
      </w:pPr>
      <w:r/>
      <w:bookmarkStart w:id="208" w:name="_Toc531852731"/>
      <w:r>
        <w:t xml:space="preserve">5.</w:t>
      </w:r>
      <w:r>
        <w:rPr>
          <w:rFonts w:hint="eastAsia"/>
        </w:rPr>
        <w:t xml:space="preserve">2.6</w:t>
      </w:r>
      <w:r>
        <w:t xml:space="preserve">.24 定制尺寸</w:t>
      </w:r>
      <w:bookmarkEnd w:id="208"/>
      <w:r/>
      <w:r/>
    </w:p>
    <w:p>
      <w:pPr>
        <w:pStyle w:val="1151"/>
        <w:ind w:firstLine="420"/>
        <w:spacing w:line="312" w:lineRule="exact"/>
        <w:rPr>
          <w:szCs w:val="21"/>
        </w:rPr>
      </w:pPr>
      <w:r>
        <w:rPr>
          <w:rFonts w:hint="eastAsia"/>
          <w:szCs w:val="21"/>
        </w:rPr>
        <w:t xml:space="preserve">对</w:t>
      </w:r>
      <w:r>
        <w:rPr>
          <w:szCs w:val="21"/>
        </w:rPr>
        <w:t xml:space="preserve">于单元柜环网柜，应满足不同厂家产品间的通用互换，为此，补充设计如下定制尺寸。</w:t>
      </w:r>
      <w:r>
        <w:rPr>
          <w:szCs w:val="21"/>
        </w:rPr>
      </w:r>
      <w:r/>
    </w:p>
    <w:p>
      <w:pPr>
        <w:pStyle w:val="1151"/>
        <w:spacing w:line="320" w:lineRule="exact"/>
      </w:pPr>
      <w:r/>
      <w:bookmarkStart w:id="209" w:name="_Toc531852732"/>
      <w:r>
        <w:t xml:space="preserve">5.</w:t>
      </w:r>
      <w:r>
        <w:rPr>
          <w:rFonts w:hint="eastAsia"/>
        </w:rPr>
        <w:t xml:space="preserve">2.6</w:t>
      </w:r>
      <w:r>
        <w:t xml:space="preserve">.24.1 侧扩方式</w:t>
      </w:r>
      <w:bookmarkEnd w:id="209"/>
      <w:r/>
      <w:r/>
    </w:p>
    <w:p>
      <w:pPr>
        <w:pStyle w:val="1151"/>
        <w:ind w:firstLine="420"/>
        <w:spacing w:line="312" w:lineRule="exact"/>
        <w:rPr>
          <w:szCs w:val="21"/>
        </w:rPr>
      </w:pPr>
      <w:r>
        <w:rPr>
          <w:szCs w:val="21"/>
        </w:rPr>
        <w:t xml:space="preserve">（1）主母线侧扩位置、规格及连接器</w:t>
      </w:r>
      <w:r>
        <w:rPr>
          <w:szCs w:val="21"/>
        </w:rPr>
      </w:r>
      <w:r/>
    </w:p>
    <w:p>
      <w:pPr>
        <w:pStyle w:val="1151"/>
        <w:ind w:firstLine="420"/>
        <w:spacing w:line="312" w:lineRule="exact"/>
        <w:rPr>
          <w:szCs w:val="21"/>
        </w:rPr>
      </w:pPr>
      <w:r>
        <w:rPr>
          <w:szCs w:val="21"/>
        </w:rPr>
        <w:t xml:space="preserve">①侧扩母线中心距地高度为1353mm，母线中心距为200mm，B相中心距前底框架</w:t>
      </w:r>
      <w:r>
        <w:rPr>
          <w:szCs w:val="21"/>
        </w:rPr>
      </w:r>
      <w:r/>
    </w:p>
    <w:p>
      <w:pPr>
        <w:pStyle w:val="1151"/>
        <w:ind w:firstLine="630"/>
        <w:spacing w:line="312" w:lineRule="exact"/>
        <w:rPr>
          <w:szCs w:val="21"/>
        </w:rPr>
      </w:pPr>
      <w:r>
        <w:rPr>
          <w:szCs w:val="21"/>
        </w:rPr>
        <w:t xml:space="preserve">320mm。</w:t>
      </w:r>
      <w:r>
        <w:rPr>
          <w:szCs w:val="21"/>
        </w:rPr>
      </w:r>
      <w:r/>
    </w:p>
    <w:p>
      <w:pPr>
        <w:pStyle w:val="1151"/>
        <w:ind w:firstLine="420"/>
        <w:spacing w:line="312" w:lineRule="exact"/>
        <w:rPr>
          <w:szCs w:val="21"/>
        </w:rPr>
      </w:pPr>
      <w:r>
        <w:rPr>
          <w:szCs w:val="21"/>
        </w:rPr>
        <w:t xml:space="preserve">②母线侧扩方式采用的母线插座及连接器尺寸与SF</w:t>
      </w:r>
      <w:r>
        <w:rPr>
          <w:szCs w:val="21"/>
          <w:vertAlign w:val="subscript"/>
        </w:rPr>
        <w:t xml:space="preserve">6</w:t>
      </w:r>
      <w:r>
        <w:rPr>
          <w:szCs w:val="21"/>
        </w:rPr>
        <w:t xml:space="preserve">气体绝缘环网柜的要求相同。</w:t>
      </w:r>
      <w:r>
        <w:rPr>
          <w:szCs w:val="21"/>
        </w:rPr>
      </w:r>
      <w:r/>
    </w:p>
    <w:p>
      <w:pPr>
        <w:pStyle w:val="1151"/>
        <w:ind w:firstLine="420"/>
        <w:spacing w:line="312" w:lineRule="exact"/>
        <w:rPr>
          <w:szCs w:val="21"/>
        </w:rPr>
      </w:pPr>
      <w:r>
        <w:rPr>
          <w:szCs w:val="21"/>
        </w:rPr>
        <w:t xml:space="preserve">（2）并柜方式</w:t>
      </w:r>
      <w:r>
        <w:rPr>
          <w:szCs w:val="21"/>
        </w:rPr>
      </w:r>
      <w:r/>
    </w:p>
    <w:p>
      <w:pPr>
        <w:pStyle w:val="1151"/>
        <w:ind w:firstLine="420"/>
        <w:spacing w:line="312" w:lineRule="exact"/>
        <w:rPr>
          <w:szCs w:val="21"/>
        </w:rPr>
      </w:pPr>
      <w:r>
        <w:rPr>
          <w:szCs w:val="21"/>
        </w:rPr>
        <w:t xml:space="preserve">①箱体上部并柜导向孔在箱体顶部并柜孔的前后两侧，距离50mm，高度与柜顶并柜孔</w:t>
      </w:r>
      <w:r>
        <w:rPr>
          <w:szCs w:val="21"/>
        </w:rPr>
      </w:r>
      <w:r/>
    </w:p>
    <w:p>
      <w:pPr>
        <w:pStyle w:val="1151"/>
        <w:ind w:firstLine="630"/>
        <w:spacing w:line="312" w:lineRule="exact"/>
        <w:rPr>
          <w:szCs w:val="21"/>
        </w:rPr>
      </w:pPr>
      <w:r>
        <w:rPr>
          <w:szCs w:val="21"/>
        </w:rPr>
        <w:t xml:space="preserve">一致，尺寸2-Φ12.5mm。</w:t>
      </w:r>
      <w:r>
        <w:rPr>
          <w:szCs w:val="21"/>
        </w:rPr>
      </w:r>
      <w:r/>
    </w:p>
    <w:p>
      <w:pPr>
        <w:pStyle w:val="1151"/>
        <w:ind w:firstLine="420"/>
        <w:spacing w:line="312" w:lineRule="exact"/>
        <w:rPr>
          <w:szCs w:val="21"/>
        </w:rPr>
      </w:pPr>
      <w:r>
        <w:rPr>
          <w:szCs w:val="21"/>
        </w:rPr>
        <w:t xml:space="preserve">②箱体并柜孔距柜下框架尺寸为46mm，深度尺寸由后至前为47mm、298mm、298mm</w:t>
      </w:r>
      <w:r>
        <w:rPr>
          <w:szCs w:val="21"/>
        </w:rPr>
      </w:r>
      <w:r/>
    </w:p>
    <w:p>
      <w:pPr>
        <w:pStyle w:val="1151"/>
        <w:ind w:firstLine="630"/>
        <w:spacing w:line="312" w:lineRule="exact"/>
        <w:rPr>
          <w:szCs w:val="21"/>
        </w:rPr>
      </w:pPr>
      <w:r>
        <w:rPr>
          <w:szCs w:val="21"/>
        </w:rPr>
        <w:t xml:space="preserve">各1个，尺寸3-Φ12mm。</w:t>
      </w:r>
      <w:r>
        <w:rPr>
          <w:szCs w:val="21"/>
        </w:rPr>
      </w:r>
      <w:r/>
    </w:p>
    <w:p>
      <w:pPr>
        <w:pStyle w:val="1244"/>
        <w:spacing w:line="312" w:lineRule="exact"/>
        <w:rPr>
          <w:szCs w:val="21"/>
        </w:rPr>
      </w:pPr>
      <w:r>
        <w:rPr>
          <w:szCs w:val="21"/>
        </w:rPr>
        <w:t xml:space="preserve">③箱体并柜孔距柜后框架尺寸为321mm，距柜下框架尺寸是590mm，尺寸Φ12mm。</w:t>
      </w:r>
      <w:r>
        <w:rPr>
          <w:szCs w:val="21"/>
        </w:rPr>
      </w:r>
      <w:r/>
    </w:p>
    <w:p>
      <w:pPr>
        <w:pStyle w:val="1244"/>
        <w:spacing w:line="312" w:lineRule="exact"/>
        <w:rPr>
          <w:szCs w:val="21"/>
        </w:rPr>
      </w:pPr>
      <w:r>
        <w:rPr>
          <w:szCs w:val="21"/>
        </w:rPr>
        <w:t xml:space="preserve">④箱体并柜孔距柜下框架尺寸为1649mm，深度尺寸由后至前为258mm、175mm各1</w:t>
      </w:r>
      <w:r>
        <w:rPr>
          <w:szCs w:val="21"/>
        </w:rPr>
      </w:r>
      <w:r/>
    </w:p>
    <w:p>
      <w:pPr>
        <w:pStyle w:val="1244"/>
        <w:ind w:left="525" w:firstLine="105"/>
        <w:spacing w:line="312" w:lineRule="exact"/>
        <w:rPr>
          <w:szCs w:val="21"/>
        </w:rPr>
      </w:pPr>
      <w:r>
        <w:rPr>
          <w:szCs w:val="21"/>
        </w:rPr>
        <w:t xml:space="preserve">个，尺寸2-Φ8.5mm。箱体并柜螺栓M10×50mm。</w:t>
      </w:r>
      <w:r>
        <w:rPr>
          <w:szCs w:val="21"/>
        </w:rPr>
      </w:r>
      <w:r/>
    </w:p>
    <w:p>
      <w:pPr>
        <w:pStyle w:val="1151"/>
        <w:ind w:firstLine="420"/>
        <w:spacing w:line="312" w:lineRule="exact"/>
        <w:rPr>
          <w:szCs w:val="21"/>
        </w:rPr>
      </w:pPr>
      <w:r>
        <w:rPr>
          <w:szCs w:val="21"/>
        </w:rPr>
        <w:t xml:space="preserve">如图</w:t>
      </w:r>
      <w:r>
        <w:rPr>
          <w:rFonts w:hint="eastAsia"/>
          <w:szCs w:val="21"/>
        </w:rPr>
        <w:t xml:space="preserve">42</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3267164" cy="4638866"/>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3267164" cy="46388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257.3pt;height:365.3pt;mso-wrap-distance-left:0.0pt;mso-wrap-distance-top:0.0pt;mso-wrap-distance-right:0.0pt;mso-wrap-distance-bottom:0.0pt;" stroked="f">
                <v:path textboxrect="0,0,0,0"/>
                <v:imagedata r:id="rId59"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42</w:t>
      </w:r>
      <w:r>
        <w:rPr>
          <w:rFonts w:eastAsia="黑体"/>
          <w:szCs w:val="21"/>
        </w:rPr>
        <w:t xml:space="preserve">侧扩并柜尺寸图</w:t>
      </w:r>
      <w:r>
        <w:rPr>
          <w:rFonts w:eastAsia="黑体"/>
          <w:szCs w:val="21"/>
        </w:rPr>
      </w:r>
      <w:r/>
    </w:p>
    <w:p>
      <w:pPr>
        <w:pStyle w:val="1151"/>
        <w:jc w:val="center"/>
        <w:spacing w:line="312" w:lineRule="exact"/>
        <w:rPr>
          <w:rFonts w:eastAsia="黑体"/>
          <w:szCs w:val="21"/>
        </w:rPr>
      </w:pPr>
      <w:r>
        <w:rPr>
          <w:rFonts w:eastAsia="黑体"/>
          <w:szCs w:val="21"/>
        </w:rPr>
      </w:r>
      <w:r/>
    </w:p>
    <w:p>
      <w:pPr>
        <w:pStyle w:val="1151"/>
        <w:spacing w:line="320" w:lineRule="exact"/>
      </w:pPr>
      <w:r/>
      <w:bookmarkStart w:id="210" w:name="_Toc531852733"/>
      <w:r>
        <w:t xml:space="preserve">5.</w:t>
      </w:r>
      <w:r>
        <w:rPr>
          <w:rFonts w:hint="eastAsia"/>
        </w:rPr>
        <w:t xml:space="preserve">2.6</w:t>
      </w:r>
      <w:r>
        <w:t xml:space="preserve">.24.2 顶扩方式</w:t>
      </w:r>
      <w:bookmarkEnd w:id="210"/>
      <w:r/>
      <w:r/>
    </w:p>
    <w:p>
      <w:pPr>
        <w:pStyle w:val="1151"/>
        <w:ind w:firstLine="420"/>
        <w:spacing w:line="312" w:lineRule="exact"/>
        <w:rPr>
          <w:szCs w:val="21"/>
        </w:rPr>
      </w:pPr>
      <w:r>
        <w:rPr>
          <w:szCs w:val="21"/>
        </w:rPr>
        <w:t xml:space="preserve">（1）主母线顶扩位置、规格及连接器</w:t>
      </w:r>
      <w:r>
        <w:rPr>
          <w:szCs w:val="21"/>
        </w:rPr>
      </w:r>
      <w:r/>
    </w:p>
    <w:p>
      <w:pPr>
        <w:pStyle w:val="1151"/>
        <w:ind w:firstLine="420"/>
        <w:spacing w:line="312" w:lineRule="exact"/>
        <w:rPr>
          <w:szCs w:val="21"/>
        </w:rPr>
      </w:pPr>
      <w:r>
        <w:rPr>
          <w:szCs w:val="21"/>
        </w:rPr>
        <w:t xml:space="preserve">①顶扩母线套管端面距地高度1775mm；母线中心距200mm；B相中心距前底框架</w:t>
      </w:r>
      <w:r>
        <w:rPr>
          <w:szCs w:val="21"/>
        </w:rPr>
      </w:r>
      <w:r/>
    </w:p>
    <w:p>
      <w:pPr>
        <w:pStyle w:val="1151"/>
        <w:ind w:firstLine="630"/>
        <w:spacing w:line="312" w:lineRule="exact"/>
        <w:rPr>
          <w:szCs w:val="21"/>
        </w:rPr>
      </w:pPr>
      <w:r>
        <w:rPr>
          <w:szCs w:val="21"/>
        </w:rPr>
        <w:t xml:space="preserve">320mm；顶扩母线套管中心距柜体右侧110mm（柜前看）。</w:t>
      </w:r>
      <w:r>
        <w:rPr>
          <w:szCs w:val="21"/>
        </w:rPr>
      </w:r>
      <w:r/>
    </w:p>
    <w:p>
      <w:pPr>
        <w:pStyle w:val="1151"/>
        <w:ind w:firstLine="420"/>
        <w:spacing w:line="312" w:lineRule="exact"/>
        <w:rPr>
          <w:szCs w:val="21"/>
        </w:rPr>
      </w:pPr>
      <w:r>
        <w:rPr>
          <w:szCs w:val="21"/>
        </w:rPr>
        <w:t xml:space="preserve">②顶出套管采用C型套管。与SF</w:t>
      </w:r>
      <w:r>
        <w:rPr>
          <w:szCs w:val="21"/>
          <w:vertAlign w:val="subscript"/>
        </w:rPr>
        <w:t xml:space="preserve">6</w:t>
      </w:r>
      <w:r>
        <w:rPr>
          <w:szCs w:val="21"/>
        </w:rPr>
        <w:t xml:space="preserve">气体绝缘环网柜的要求相同。</w:t>
      </w:r>
      <w:r>
        <w:rPr>
          <w:szCs w:val="21"/>
        </w:rPr>
      </w:r>
      <w:r/>
    </w:p>
    <w:p>
      <w:pPr>
        <w:pStyle w:val="1151"/>
        <w:ind w:firstLine="420"/>
        <w:spacing w:line="312" w:lineRule="exact"/>
        <w:rPr>
          <w:szCs w:val="21"/>
        </w:rPr>
      </w:pPr>
      <w:r>
        <w:rPr>
          <w:szCs w:val="21"/>
        </w:rPr>
        <w:t xml:space="preserve">（2）并柜方式</w:t>
      </w:r>
      <w:r>
        <w:rPr>
          <w:szCs w:val="21"/>
        </w:rPr>
      </w:r>
      <w:r/>
    </w:p>
    <w:p>
      <w:pPr>
        <w:pStyle w:val="1151"/>
        <w:ind w:firstLine="420"/>
        <w:spacing w:line="312" w:lineRule="exact"/>
        <w:rPr>
          <w:szCs w:val="21"/>
        </w:rPr>
      </w:pPr>
      <w:r>
        <w:rPr>
          <w:szCs w:val="21"/>
        </w:rPr>
        <w:t xml:space="preserve">①箱体上部并柜导向孔在箱体顶部并柜孔的前后两侧，距离50mm，高度与柜顶并柜孔</w:t>
      </w:r>
      <w:r>
        <w:rPr>
          <w:szCs w:val="21"/>
        </w:rPr>
      </w:r>
      <w:r/>
    </w:p>
    <w:p>
      <w:pPr>
        <w:pStyle w:val="1151"/>
        <w:ind w:firstLine="630"/>
        <w:spacing w:line="312" w:lineRule="exact"/>
        <w:rPr>
          <w:szCs w:val="21"/>
        </w:rPr>
      </w:pPr>
      <w:r>
        <w:rPr>
          <w:szCs w:val="21"/>
        </w:rPr>
        <w:t xml:space="preserve">一致，尺寸2-Φ12.5mm。</w:t>
      </w:r>
      <w:r>
        <w:rPr>
          <w:szCs w:val="21"/>
        </w:rPr>
      </w:r>
      <w:r/>
    </w:p>
    <w:p>
      <w:pPr>
        <w:pStyle w:val="1151"/>
        <w:ind w:firstLine="420"/>
        <w:spacing w:line="312" w:lineRule="exact"/>
        <w:rPr>
          <w:szCs w:val="21"/>
        </w:rPr>
      </w:pPr>
      <w:r>
        <w:rPr>
          <w:szCs w:val="21"/>
        </w:rPr>
        <w:t xml:space="preserve">②箱体并柜孔距柜下框架尺寸为46mm，深度尺寸由后至前为47mm、298mm、298mm</w:t>
      </w:r>
      <w:r>
        <w:rPr>
          <w:szCs w:val="21"/>
        </w:rPr>
      </w:r>
      <w:r/>
    </w:p>
    <w:p>
      <w:pPr>
        <w:pStyle w:val="1151"/>
        <w:ind w:firstLine="630"/>
        <w:spacing w:line="312" w:lineRule="exact"/>
        <w:rPr>
          <w:szCs w:val="21"/>
        </w:rPr>
      </w:pPr>
      <w:r>
        <w:rPr>
          <w:szCs w:val="21"/>
        </w:rPr>
        <w:t xml:space="preserve">各1个，尺寸3-Φ12mm。</w:t>
      </w:r>
      <w:r>
        <w:rPr>
          <w:szCs w:val="21"/>
        </w:rPr>
      </w:r>
      <w:r/>
    </w:p>
    <w:p>
      <w:pPr>
        <w:pStyle w:val="1244"/>
        <w:spacing w:line="312" w:lineRule="exact"/>
        <w:rPr>
          <w:szCs w:val="21"/>
        </w:rPr>
      </w:pPr>
      <w:r>
        <w:rPr>
          <w:szCs w:val="21"/>
        </w:rPr>
        <w:t xml:space="preserve">③箱体并柜孔距柜后框架尺寸为321mm，距柜下框架尺寸是590mm，尺寸Φ12mm。</w:t>
      </w:r>
      <w:r>
        <w:rPr>
          <w:szCs w:val="21"/>
        </w:rPr>
      </w:r>
      <w:r/>
    </w:p>
    <w:p>
      <w:pPr>
        <w:pStyle w:val="1151"/>
        <w:ind w:firstLine="420"/>
        <w:spacing w:line="312" w:lineRule="exact"/>
        <w:rPr>
          <w:szCs w:val="21"/>
        </w:rPr>
      </w:pPr>
      <w:r>
        <w:rPr>
          <w:szCs w:val="21"/>
        </w:rPr>
        <w:t xml:space="preserve">④箱体并柜孔距柜下框架尺寸为1649mm，深度尺寸由后至前为258mm、175mm各1</w:t>
      </w:r>
      <w:r>
        <w:rPr>
          <w:szCs w:val="21"/>
        </w:rPr>
      </w:r>
      <w:r/>
    </w:p>
    <w:p>
      <w:pPr>
        <w:pStyle w:val="1151"/>
        <w:ind w:firstLine="630"/>
        <w:spacing w:line="312" w:lineRule="exact"/>
        <w:rPr>
          <w:szCs w:val="21"/>
        </w:rPr>
      </w:pPr>
      <w:r>
        <w:rPr>
          <w:szCs w:val="21"/>
        </w:rPr>
        <w:t xml:space="preserve">个，尺寸2-Φ8.5mm。箱体并柜螺栓M10×50mm。</w:t>
      </w:r>
      <w:r>
        <w:rPr>
          <w:szCs w:val="21"/>
        </w:rPr>
      </w:r>
      <w:r/>
    </w:p>
    <w:p>
      <w:pPr>
        <w:pStyle w:val="1151"/>
        <w:ind w:firstLine="420"/>
        <w:spacing w:line="312" w:lineRule="exact"/>
        <w:rPr>
          <w:szCs w:val="21"/>
        </w:rPr>
      </w:pPr>
      <w:r>
        <w:rPr>
          <w:szCs w:val="21"/>
        </w:rPr>
        <w:t xml:space="preserve">如图</w:t>
      </w:r>
      <w:r>
        <w:rPr>
          <w:rFonts w:hint="eastAsia"/>
          <w:szCs w:val="21"/>
        </w:rPr>
        <w:t xml:space="preserve">43</w:t>
      </w:r>
      <w:r>
        <w:rPr>
          <w:szCs w:val="21"/>
        </w:rPr>
        <w:t xml:space="preserve">所示。</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2743264" cy="5800827"/>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2743264" cy="58008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216.0pt;height:456.8pt;mso-wrap-distance-left:0.0pt;mso-wrap-distance-top:0.0pt;mso-wrap-distance-right:0.0pt;mso-wrap-distance-bottom:0.0pt;" stroked="f">
                <v:path textboxrect="0,0,0,0"/>
                <v:imagedata r:id="rId60"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43</w:t>
      </w:r>
      <w:r>
        <w:rPr>
          <w:rFonts w:eastAsia="黑体"/>
          <w:szCs w:val="21"/>
        </w:rPr>
        <w:t xml:space="preserve">顶扩并柜尺寸图</w:t>
      </w:r>
      <w:r>
        <w:rPr>
          <w:rFonts w:eastAsia="黑体"/>
          <w:szCs w:val="21"/>
        </w:rPr>
      </w:r>
      <w:r/>
    </w:p>
    <w:p>
      <w:pPr>
        <w:pStyle w:val="1240"/>
        <w:rPr>
          <w:rFonts w:ascii="Times New Roman"/>
          <w:color w:val="000000"/>
        </w:rPr>
      </w:pPr>
      <w:r>
        <w:rPr>
          <w:rFonts w:ascii="Times New Roman"/>
          <w:color w:val="000000"/>
        </w:rPr>
      </w:r>
      <w:r/>
    </w:p>
    <w:p>
      <w:pPr>
        <w:pStyle w:val="1240"/>
        <w:rPr>
          <w:color w:val="000000"/>
        </w:rPr>
        <w:outlineLvl w:val="2"/>
      </w:pPr>
      <w:r>
        <w:rPr>
          <w:color w:val="000000"/>
        </w:rPr>
        <w:t xml:space="preserve">5.</w:t>
      </w:r>
      <w:r>
        <w:rPr>
          <w:rFonts w:hint="eastAsia"/>
          <w:color w:val="000000"/>
        </w:rPr>
        <w:t xml:space="preserve">2.7功能隔室技术要求</w:t>
      </w:r>
      <w:r>
        <w:rPr>
          <w:color w:val="000000"/>
        </w:rPr>
      </w:r>
      <w:r/>
    </w:p>
    <w:p>
      <w:pPr>
        <w:pStyle w:val="1242"/>
        <w:spacing w:before="0" w:after="0" w:line="312" w:lineRule="exact"/>
        <w:rPr>
          <w:rFonts w:ascii="Times New Roman" w:eastAsia="宋体"/>
          <w:sz w:val="21"/>
        </w:rPr>
        <w:outlineLvl w:val="9"/>
      </w:pPr>
      <w:r>
        <w:rPr>
          <w:rFonts w:ascii="Times New Roman" w:eastAsia="宋体"/>
          <w:sz w:val="21"/>
          <w:szCs w:val="21"/>
        </w:rPr>
        <w:t xml:space="preserve">5.</w:t>
      </w:r>
      <w:r>
        <w:rPr>
          <w:rFonts w:hint="eastAsia" w:ascii="Times New Roman" w:eastAsia="宋体"/>
          <w:sz w:val="21"/>
          <w:szCs w:val="21"/>
        </w:rPr>
        <w:t xml:space="preserve">2.7</w:t>
      </w:r>
      <w:r>
        <w:rPr>
          <w:rFonts w:ascii="Times New Roman" w:eastAsia="宋体"/>
          <w:sz w:val="21"/>
          <w:szCs w:val="21"/>
        </w:rPr>
        <w:t xml:space="preserve">.1 环网柜应分为断路器室、电缆室和控制仪表室等金属封闭的独立隔室，其中断路器室、电缆室均应有独立的泄压通道</w:t>
      </w:r>
      <w:r>
        <w:rPr>
          <w:rFonts w:ascii="Times New Roman" w:eastAsia="宋体"/>
          <w:sz w:val="21"/>
        </w:rPr>
        <w:t xml:space="preserve">。</w:t>
      </w:r>
      <w:r>
        <w:rPr>
          <w:rFonts w:ascii="Times New Roman" w:eastAsia="宋体"/>
          <w:sz w:val="21"/>
        </w:rPr>
      </w:r>
      <w:r/>
    </w:p>
    <w:p>
      <w:pPr>
        <w:pStyle w:val="1242"/>
        <w:spacing w:before="0" w:after="0" w:line="312" w:lineRule="exact"/>
        <w:rPr>
          <w:rFonts w:ascii="Times New Roman" w:eastAsia="宋体"/>
          <w:sz w:val="21"/>
          <w:szCs w:val="21"/>
        </w:rPr>
        <w:outlineLvl w:val="9"/>
      </w:pPr>
      <w:r>
        <w:rPr>
          <w:rFonts w:ascii="Times New Roman" w:eastAsia="宋体"/>
          <w:sz w:val="21"/>
          <w:szCs w:val="21"/>
        </w:rPr>
        <w:t xml:space="preserve">5.</w:t>
      </w:r>
      <w:r>
        <w:rPr>
          <w:rFonts w:hint="eastAsia" w:ascii="Times New Roman" w:eastAsia="宋体"/>
          <w:sz w:val="21"/>
          <w:szCs w:val="21"/>
        </w:rPr>
        <w:t xml:space="preserve">2.7</w:t>
      </w:r>
      <w:r>
        <w:rPr>
          <w:rFonts w:ascii="Times New Roman" w:eastAsia="宋体"/>
          <w:sz w:val="21"/>
          <w:szCs w:val="21"/>
        </w:rPr>
        <w:t xml:space="preserve">.2 各隔</w:t>
      </w:r>
      <w:r>
        <w:rPr>
          <w:rFonts w:hint="eastAsia" w:ascii="Times New Roman" w:eastAsia="宋体"/>
          <w:sz w:val="21"/>
          <w:szCs w:val="21"/>
        </w:rPr>
        <w:t xml:space="preserve">室之间相互连接所需的开孔部分应采用套管或其他等效方法加以封闭。</w:t>
      </w:r>
      <w:r>
        <w:rPr>
          <w:rFonts w:ascii="Times New Roman" w:eastAsia="宋体"/>
          <w:sz w:val="21"/>
          <w:szCs w:val="21"/>
        </w:rPr>
      </w:r>
      <w:r/>
    </w:p>
    <w:p>
      <w:pPr>
        <w:pStyle w:val="1242"/>
        <w:spacing w:before="0" w:after="0" w:line="312" w:lineRule="exact"/>
        <w:rPr>
          <w:rFonts w:ascii="Times New Roman" w:eastAsia="宋体"/>
          <w:sz w:val="21"/>
        </w:rPr>
        <w:outlineLvl w:val="9"/>
      </w:pPr>
      <w:r>
        <w:rPr>
          <w:rFonts w:ascii="Times New Roman" w:eastAsia="宋体"/>
          <w:sz w:val="21"/>
          <w:szCs w:val="21"/>
        </w:rPr>
        <w:t xml:space="preserve">5.</w:t>
      </w:r>
      <w:r>
        <w:rPr>
          <w:rFonts w:hint="eastAsia" w:ascii="Times New Roman" w:eastAsia="宋体"/>
          <w:sz w:val="21"/>
          <w:szCs w:val="21"/>
        </w:rPr>
        <w:t xml:space="preserve">2.7</w:t>
      </w:r>
      <w:r>
        <w:rPr>
          <w:rFonts w:ascii="Times New Roman" w:eastAsia="宋体"/>
          <w:sz w:val="21"/>
          <w:szCs w:val="21"/>
        </w:rPr>
        <w:t xml:space="preserve">.3 </w:t>
      </w:r>
      <w:r>
        <w:rPr>
          <w:rFonts w:ascii="Times New Roman" w:eastAsia="宋体"/>
          <w:sz w:val="21"/>
        </w:rPr>
        <w:t xml:space="preserve">各隔室结构设计上应满足正常使用条件和限制隔室内部电弧影响的要求，并能防止因本身缺陷、异常使用条件或误操作导致的电弧伤及工作人员，能限制电弧的燃烧范围，环网柜应有防止人为造成内部故障的措施。</w:t>
      </w:r>
      <w:r>
        <w:rPr>
          <w:rFonts w:ascii="Times New Roman" w:eastAsia="宋体"/>
          <w:sz w:val="21"/>
        </w:rPr>
      </w:r>
      <w:r/>
    </w:p>
    <w:p>
      <w:pPr>
        <w:pStyle w:val="1242"/>
        <w:spacing w:before="0" w:after="0" w:line="312" w:lineRule="exact"/>
        <w:rPr>
          <w:rFonts w:ascii="Times New Roman" w:eastAsia="宋体"/>
          <w:sz w:val="21"/>
        </w:rPr>
        <w:outlineLvl w:val="9"/>
      </w:pPr>
      <w:r>
        <w:rPr>
          <w:rFonts w:ascii="Times New Roman" w:eastAsia="宋体"/>
          <w:sz w:val="21"/>
          <w:szCs w:val="21"/>
        </w:rPr>
        <w:t xml:space="preserve">5.</w:t>
      </w:r>
      <w:r>
        <w:rPr>
          <w:rFonts w:hint="eastAsia" w:ascii="Times New Roman" w:eastAsia="宋体"/>
          <w:sz w:val="21"/>
          <w:szCs w:val="21"/>
        </w:rPr>
        <w:t xml:space="preserve">2.7</w:t>
      </w:r>
      <w:r>
        <w:rPr>
          <w:rFonts w:ascii="Times New Roman" w:eastAsia="宋体"/>
          <w:sz w:val="21"/>
          <w:szCs w:val="21"/>
        </w:rPr>
        <w:t xml:space="preserve">.4 </w:t>
      </w:r>
      <w:r>
        <w:rPr>
          <w:rFonts w:ascii="Times New Roman" w:eastAsia="宋体"/>
          <w:sz w:val="21"/>
        </w:rPr>
        <w:t xml:space="preserve">环网柜相序按面对环网柜从左至右排列为A、B、C，从上到下排列为A、B、C，从后到前排列为A、B、C。</w:t>
      </w:r>
      <w:r>
        <w:rPr>
          <w:rFonts w:ascii="Times New Roman" w:eastAsia="宋体"/>
          <w:sz w:val="21"/>
        </w:rPr>
      </w:r>
      <w:r/>
    </w:p>
    <w:p>
      <w:pPr>
        <w:pStyle w:val="1242"/>
        <w:spacing w:before="0" w:after="0" w:line="312" w:lineRule="exact"/>
        <w:rPr>
          <w:rFonts w:ascii="Times New Roman" w:eastAsia="宋体"/>
          <w:sz w:val="21"/>
          <w:szCs w:val="21"/>
        </w:rPr>
        <w:outlineLvl w:val="9"/>
      </w:pPr>
      <w:r>
        <w:rPr>
          <w:rFonts w:ascii="Times New Roman" w:eastAsia="宋体"/>
          <w:sz w:val="21"/>
          <w:szCs w:val="21"/>
        </w:rPr>
        <w:t xml:space="preserve">5.</w:t>
      </w:r>
      <w:r>
        <w:rPr>
          <w:rFonts w:hint="eastAsia" w:ascii="Times New Roman" w:eastAsia="宋体"/>
          <w:sz w:val="21"/>
          <w:szCs w:val="21"/>
        </w:rPr>
        <w:t xml:space="preserve">2.7</w:t>
      </w:r>
      <w:r>
        <w:rPr>
          <w:rFonts w:ascii="Times New Roman" w:eastAsia="宋体"/>
          <w:sz w:val="21"/>
          <w:szCs w:val="21"/>
        </w:rPr>
        <w:t xml:space="preserve">.5 </w:t>
      </w:r>
      <w:r>
        <w:rPr>
          <w:rFonts w:hint="eastAsia" w:ascii="Times New Roman" w:eastAsia="宋体"/>
          <w:sz w:val="21"/>
          <w:szCs w:val="21"/>
        </w:rPr>
        <w:t xml:space="preserve">环网柜应具有防污秽功能，可根据需要设防凝露装置。</w:t>
      </w:r>
      <w:r>
        <w:rPr>
          <w:rFonts w:ascii="Times New Roman" w:eastAsia="宋体"/>
          <w:sz w:val="21"/>
          <w:szCs w:val="21"/>
        </w:rPr>
      </w:r>
      <w:r/>
    </w:p>
    <w:p>
      <w:pPr>
        <w:pStyle w:val="1201"/>
        <w:ind w:firstLine="0"/>
        <w:tabs>
          <w:tab w:val="center" w:pos="4201" w:leader="none"/>
          <w:tab w:val="right" w:pos="9298" w:leader="dot"/>
        </w:tabs>
        <w:rPr>
          <w:rFonts w:ascii="Times New Roman"/>
        </w:rPr>
      </w:pPr>
      <w:r>
        <w:rPr>
          <w:rFonts w:ascii="Times New Roman"/>
          <w:szCs w:val="21"/>
        </w:rPr>
        <w:t xml:space="preserve">5.</w:t>
      </w:r>
      <w:r>
        <w:rPr>
          <w:rFonts w:hint="eastAsia" w:ascii="Times New Roman"/>
          <w:szCs w:val="21"/>
        </w:rPr>
        <w:t xml:space="preserve">2.7</w:t>
      </w:r>
      <w:r>
        <w:rPr>
          <w:rFonts w:ascii="Times New Roman"/>
          <w:szCs w:val="21"/>
        </w:rPr>
        <w:t xml:space="preserve">.6 环网</w:t>
      </w:r>
      <w:r>
        <w:rPr>
          <w:rFonts w:ascii="Times New Roman"/>
        </w:rPr>
        <w:t xml:space="preserve">柜电缆室的空间和安装位置应便于安装、试验和维修。</w:t>
      </w:r>
      <w:r>
        <w:rPr>
          <w:rFonts w:ascii="Times New Roman"/>
        </w:rPr>
      </w:r>
      <w:r/>
    </w:p>
    <w:p>
      <w:pPr>
        <w:pStyle w:val="1242"/>
        <w:spacing w:before="0" w:after="0" w:line="312" w:lineRule="exact"/>
        <w:rPr>
          <w:rFonts w:ascii="Times New Roman" w:eastAsia="宋体"/>
          <w:sz w:val="21"/>
        </w:rPr>
        <w:outlineLvl w:val="9"/>
      </w:pPr>
      <w:r>
        <w:rPr>
          <w:rFonts w:ascii="Times New Roman" w:eastAsia="宋体"/>
          <w:sz w:val="21"/>
          <w:szCs w:val="21"/>
        </w:rPr>
        <w:t xml:space="preserve">5.</w:t>
      </w:r>
      <w:r>
        <w:rPr>
          <w:rFonts w:hint="eastAsia" w:ascii="Times New Roman" w:eastAsia="宋体"/>
          <w:sz w:val="21"/>
          <w:szCs w:val="21"/>
        </w:rPr>
        <w:t xml:space="preserve">2.7</w:t>
      </w:r>
      <w:r>
        <w:rPr>
          <w:rFonts w:ascii="Times New Roman" w:eastAsia="宋体"/>
          <w:sz w:val="21"/>
          <w:szCs w:val="21"/>
        </w:rPr>
        <w:t xml:space="preserve">.7 </w:t>
      </w:r>
      <w:r>
        <w:rPr>
          <w:rFonts w:ascii="Times New Roman" w:eastAsia="宋体"/>
          <w:sz w:val="21"/>
        </w:rPr>
        <w:t xml:space="preserve">环网柜电缆室、控制仪表室和自动化单元室宜设置照明设备。</w:t>
      </w:r>
      <w:r>
        <w:rPr>
          <w:rFonts w:ascii="Times New Roman" w:eastAsia="宋体"/>
          <w:sz w:val="21"/>
        </w:rPr>
      </w:r>
      <w:r/>
    </w:p>
    <w:p>
      <w:pPr>
        <w:pStyle w:val="1242"/>
        <w:spacing w:before="0" w:after="0" w:line="312" w:lineRule="exact"/>
        <w:rPr>
          <w:rFonts w:ascii="Times New Roman" w:eastAsia="宋体"/>
          <w:sz w:val="21"/>
        </w:rPr>
        <w:outlineLvl w:val="9"/>
      </w:pPr>
      <w:r>
        <w:rPr>
          <w:rFonts w:ascii="Times New Roman" w:eastAsia="宋体"/>
          <w:sz w:val="21"/>
          <w:szCs w:val="21"/>
        </w:rPr>
        <w:t xml:space="preserve">5.</w:t>
      </w:r>
      <w:r>
        <w:rPr>
          <w:rFonts w:hint="eastAsia" w:ascii="Times New Roman" w:eastAsia="宋体"/>
          <w:sz w:val="21"/>
          <w:szCs w:val="21"/>
        </w:rPr>
        <w:t xml:space="preserve">2.7</w:t>
      </w:r>
      <w:r>
        <w:rPr>
          <w:rFonts w:ascii="Times New Roman" w:eastAsia="宋体"/>
          <w:sz w:val="21"/>
          <w:szCs w:val="21"/>
        </w:rPr>
        <w:t xml:space="preserve">.8</w:t>
      </w:r>
      <w:r>
        <w:rPr>
          <w:rFonts w:ascii="Times New Roman" w:eastAsia="宋体"/>
          <w:sz w:val="21"/>
        </w:rPr>
        <w:t xml:space="preserve">柜内进出线处应设置电缆固定支架和抱箍。</w:t>
      </w:r>
      <w:r>
        <w:rPr>
          <w:rFonts w:ascii="Times New Roman" w:eastAsia="宋体"/>
          <w:sz w:val="21"/>
        </w:rPr>
      </w:r>
      <w:r/>
    </w:p>
    <w:p>
      <w:pPr>
        <w:pStyle w:val="1201"/>
        <w:ind w:firstLine="0"/>
        <w:tabs>
          <w:tab w:val="center" w:pos="4201" w:leader="none"/>
          <w:tab w:val="right" w:pos="9298" w:leader="dot"/>
        </w:tabs>
        <w:rPr>
          <w:rFonts w:ascii="Times New Roman"/>
        </w:rPr>
      </w:pPr>
      <w:r>
        <w:rPr>
          <w:rFonts w:ascii="Times New Roman"/>
          <w:szCs w:val="21"/>
        </w:rPr>
        <w:t xml:space="preserve">5.</w:t>
      </w:r>
      <w:r>
        <w:rPr>
          <w:rFonts w:hint="eastAsia" w:ascii="Times New Roman"/>
          <w:szCs w:val="21"/>
        </w:rPr>
        <w:t xml:space="preserve">2.7</w:t>
      </w:r>
      <w:r>
        <w:rPr>
          <w:rFonts w:ascii="Times New Roman"/>
        </w:rPr>
        <w:t xml:space="preserve">.9 单独嵌入在固体绝缘材料中的主要元件，只要满足DL/T 404中5.103.1规定的条件即可被认为隔室。</w:t>
      </w:r>
      <w:r>
        <w:rPr>
          <w:rFonts w:ascii="Times New Roman"/>
        </w:rPr>
      </w:r>
      <w:r/>
    </w:p>
    <w:p>
      <w:pPr>
        <w:pStyle w:val="1240"/>
        <w:rPr>
          <w:color w:val="000000"/>
        </w:rPr>
        <w:outlineLvl w:val="2"/>
      </w:pPr>
      <w:r>
        <w:rPr>
          <w:color w:val="000000"/>
        </w:rPr>
        <w:t xml:space="preserve">5.</w:t>
      </w:r>
      <w:r>
        <w:rPr>
          <w:rFonts w:hint="eastAsia"/>
          <w:color w:val="000000"/>
        </w:rPr>
        <w:t xml:space="preserve">2.8开关设备技术要求</w:t>
      </w:r>
      <w:r>
        <w:rPr>
          <w:color w:val="000000"/>
        </w:rPr>
      </w:r>
      <w:r/>
    </w:p>
    <w:p>
      <w:pPr>
        <w:pStyle w:val="1201"/>
        <w:ind w:firstLine="0"/>
        <w:spacing w:line="312" w:lineRule="exact"/>
        <w:tabs>
          <w:tab w:val="center" w:pos="4201" w:leader="none"/>
          <w:tab w:val="right" w:pos="9298" w:leader="dot"/>
        </w:tabs>
        <w:rPr>
          <w:rFonts w:ascii="Times New Roman"/>
        </w:rPr>
      </w:pPr>
      <w:r>
        <w:rPr>
          <w:rFonts w:ascii="Times New Roman"/>
        </w:rPr>
        <w:t xml:space="preserve">5.</w:t>
      </w:r>
      <w:r>
        <w:rPr>
          <w:rFonts w:hint="eastAsia" w:ascii="Times New Roman"/>
        </w:rPr>
        <w:t xml:space="preserve">2.8</w:t>
      </w:r>
      <w:r>
        <w:rPr>
          <w:rFonts w:ascii="Times New Roman"/>
          <w:szCs w:val="21"/>
        </w:rPr>
        <w:t xml:space="preserve">.1 </w:t>
      </w:r>
      <w:r>
        <w:rPr>
          <w:rFonts w:ascii="Times New Roman"/>
        </w:rPr>
        <w:t xml:space="preserve">环网柜柜内开关设备可选用断路器、负荷开关－熔断器组合电器及隔离开关等，各设备的功能和性能应满足GB1984、GB1985、GB3804、GB16926及GB/T11022标准的规定。开关应配置直动式分合闸机械指示，开关状态位置应有符号及中文标识。</w:t>
      </w:r>
      <w:r>
        <w:rPr>
          <w:rFonts w:ascii="Times New Roman"/>
        </w:rPr>
      </w:r>
      <w:r/>
    </w:p>
    <w:p>
      <w:pPr>
        <w:pStyle w:val="1240"/>
        <w:rPr>
          <w:rFonts w:ascii="Times New Roman" w:eastAsia="宋体"/>
          <w:color w:val="000000"/>
        </w:rPr>
      </w:pPr>
      <w:r>
        <w:rPr>
          <w:rFonts w:ascii="Times New Roman"/>
          <w:color w:val="000000"/>
        </w:rPr>
        <w:t xml:space="preserve">5.</w:t>
      </w:r>
      <w:r>
        <w:rPr>
          <w:rFonts w:hint="eastAsia" w:ascii="Times New Roman"/>
        </w:rPr>
        <w:t xml:space="preserve">2.8</w:t>
      </w:r>
      <w:r>
        <w:rPr>
          <w:rFonts w:ascii="Times New Roman" w:eastAsia="宋体"/>
          <w:color w:val="000000"/>
        </w:rPr>
        <w:t xml:space="preserve">.2断路器</w:t>
      </w:r>
      <w:r>
        <w:rPr>
          <w:rFonts w:ascii="Times New Roman" w:eastAsia="宋体"/>
          <w:color w:val="000000"/>
        </w:rPr>
      </w:r>
      <w:r/>
    </w:p>
    <w:p>
      <w:pPr>
        <w:pStyle w:val="1151"/>
        <w:ind w:firstLine="420"/>
        <w:spacing w:line="312" w:lineRule="exact"/>
        <w:rPr>
          <w:szCs w:val="21"/>
        </w:rPr>
      </w:pPr>
      <w:r>
        <w:rPr>
          <w:szCs w:val="21"/>
        </w:rPr>
        <w:t xml:space="preserve">技术参数见专用部分技术参数特性表。</w:t>
      </w:r>
      <w:r>
        <w:rPr>
          <w:szCs w:val="21"/>
        </w:rPr>
      </w:r>
      <w:r/>
    </w:p>
    <w:p>
      <w:pPr>
        <w:pStyle w:val="1240"/>
        <w:rPr>
          <w:rFonts w:ascii="Times New Roman" w:eastAsia="宋体"/>
          <w:color w:val="000000"/>
        </w:rPr>
      </w:pPr>
      <w:r>
        <w:rPr>
          <w:rFonts w:ascii="Times New Roman"/>
          <w:color w:val="000000"/>
        </w:rPr>
        <w:t xml:space="preserve">5.</w:t>
      </w:r>
      <w:r>
        <w:rPr>
          <w:rFonts w:hint="eastAsia" w:ascii="Times New Roman"/>
        </w:rPr>
        <w:t xml:space="preserve">2.8</w:t>
      </w:r>
      <w:r>
        <w:rPr>
          <w:rFonts w:ascii="Times New Roman" w:eastAsia="宋体"/>
          <w:color w:val="000000"/>
        </w:rPr>
        <w:t xml:space="preserve">.3 对真空断路器的要求：</w:t>
      </w:r>
      <w:r>
        <w:rPr>
          <w:rFonts w:ascii="Times New Roman" w:eastAsia="宋体"/>
          <w:color w:val="000000"/>
        </w:rPr>
      </w:r>
      <w:r/>
    </w:p>
    <w:p>
      <w:pPr>
        <w:pStyle w:val="1240"/>
        <w:ind w:firstLine="420"/>
        <w:spacing w:line="306" w:lineRule="exact"/>
        <w:rPr>
          <w:rFonts w:ascii="Times New Roman" w:eastAsia="宋体"/>
          <w:color w:val="000000"/>
        </w:rPr>
      </w:pPr>
      <w:r>
        <w:rPr>
          <w:rFonts w:ascii="Times New Roman"/>
          <w:color w:val="000000"/>
        </w:rPr>
        <w:t xml:space="preserve">a）</w:t>
      </w:r>
      <w:r>
        <w:rPr>
          <w:rFonts w:ascii="Times New Roman"/>
          <w:color w:val="000000"/>
        </w:rPr>
        <w:tab/>
      </w:r>
      <w:r>
        <w:rPr>
          <w:rFonts w:ascii="Times New Roman" w:eastAsia="宋体"/>
          <w:color w:val="000000"/>
        </w:rPr>
        <w:t xml:space="preserve">真空断路器应采用操动机构与本体一体化的结构；</w:t>
      </w:r>
      <w:r>
        <w:rPr>
          <w:rFonts w:ascii="Times New Roman" w:eastAsia="宋体"/>
          <w:color w:val="000000"/>
        </w:rPr>
      </w:r>
      <w:r/>
    </w:p>
    <w:p>
      <w:pPr>
        <w:pStyle w:val="1151"/>
        <w:ind w:left="840" w:hanging="420"/>
        <w:spacing w:line="312" w:lineRule="exact"/>
        <w:rPr>
          <w:szCs w:val="21"/>
        </w:rPr>
      </w:pPr>
      <w:r>
        <w:rPr>
          <w:szCs w:val="21"/>
        </w:rPr>
        <w:t xml:space="preserve">b）</w:t>
      </w:r>
      <w:r>
        <w:rPr>
          <w:szCs w:val="21"/>
        </w:rPr>
        <w:tab/>
      </w:r>
      <w:r>
        <w:rPr>
          <w:szCs w:val="21"/>
        </w:rPr>
        <w:t xml:space="preserve">真空灭弧室应与型式试验一致的生产厂家、型号、规格；</w:t>
      </w:r>
      <w:r>
        <w:rPr>
          <w:szCs w:val="21"/>
        </w:rPr>
      </w:r>
      <w:r/>
    </w:p>
    <w:p>
      <w:pPr>
        <w:pStyle w:val="1151"/>
        <w:ind w:left="840" w:hanging="420"/>
        <w:spacing w:line="312" w:lineRule="exact"/>
        <w:rPr>
          <w:szCs w:val="21"/>
        </w:rPr>
      </w:pPr>
      <w:r>
        <w:rPr>
          <w:szCs w:val="21"/>
        </w:rPr>
        <w:t xml:space="preserve">c）</w:t>
      </w:r>
      <w:r>
        <w:rPr>
          <w:szCs w:val="21"/>
        </w:rPr>
        <w:tab/>
      </w:r>
      <w:r>
        <w:rPr>
          <w:szCs w:val="21"/>
        </w:rPr>
        <w:t xml:space="preserve">真空灭弧室允许储存期不小于20年，出厂时灭弧室的内部气体压力应低于1.33×10</w:t>
      </w:r>
      <w:r>
        <w:rPr>
          <w:szCs w:val="21"/>
          <w:vertAlign w:val="superscript"/>
        </w:rPr>
        <w:t xml:space="preserve">-3</w:t>
      </w:r>
      <w:r>
        <w:rPr>
          <w:szCs w:val="21"/>
        </w:rPr>
        <w:t xml:space="preserve">Pa；在允许储存期内，其真空度应满足运行要求；</w:t>
      </w:r>
      <w:r>
        <w:rPr>
          <w:szCs w:val="21"/>
        </w:rPr>
      </w:r>
      <w:r/>
    </w:p>
    <w:p>
      <w:pPr>
        <w:pStyle w:val="1151"/>
        <w:ind w:left="840" w:hanging="420"/>
        <w:spacing w:line="312" w:lineRule="exact"/>
        <w:rPr>
          <w:szCs w:val="21"/>
        </w:rPr>
      </w:pPr>
      <w:r>
        <w:rPr>
          <w:szCs w:val="21"/>
        </w:rPr>
        <w:t xml:space="preserve">d）</w:t>
      </w:r>
      <w:r>
        <w:rPr>
          <w:szCs w:val="21"/>
        </w:rPr>
        <w:tab/>
      </w:r>
      <w:r>
        <w:rPr>
          <w:szCs w:val="21"/>
        </w:rPr>
        <w:t xml:space="preserve">真空灭弧室在出厂时应做“老炼”试验，并附有报告；</w:t>
      </w:r>
      <w:r>
        <w:rPr>
          <w:szCs w:val="21"/>
        </w:rPr>
      </w:r>
      <w:r/>
    </w:p>
    <w:p>
      <w:pPr>
        <w:pStyle w:val="1151"/>
        <w:ind w:left="840" w:hanging="420"/>
        <w:spacing w:line="306" w:lineRule="exact"/>
        <w:rPr>
          <w:szCs w:val="21"/>
        </w:rPr>
      </w:pPr>
      <w:r>
        <w:rPr>
          <w:szCs w:val="21"/>
        </w:rPr>
        <w:t xml:space="preserve">e）</w:t>
      </w:r>
      <w:r>
        <w:rPr>
          <w:szCs w:val="21"/>
        </w:rPr>
        <w:tab/>
      </w:r>
      <w:r>
        <w:rPr>
          <w:szCs w:val="21"/>
        </w:rPr>
        <w:t xml:space="preserve">应用于投切电容器组的真空断路器必须选用C2级断路器；</w:t>
      </w:r>
      <w:r>
        <w:rPr>
          <w:szCs w:val="21"/>
        </w:rPr>
      </w:r>
      <w:r/>
    </w:p>
    <w:p>
      <w:pPr>
        <w:pStyle w:val="1151"/>
        <w:ind w:left="840" w:hanging="420"/>
        <w:spacing w:line="312" w:lineRule="exact"/>
        <w:rPr>
          <w:szCs w:val="21"/>
        </w:rPr>
      </w:pPr>
      <w:r>
        <w:rPr>
          <w:szCs w:val="21"/>
        </w:rPr>
        <w:t xml:space="preserve">f）</w:t>
      </w:r>
      <w:r>
        <w:rPr>
          <w:szCs w:val="21"/>
        </w:rPr>
        <w:tab/>
      </w:r>
      <w:r>
        <w:rPr>
          <w:szCs w:val="21"/>
        </w:rPr>
        <w:t xml:space="preserve">真空断路器接地金属外壳上应有防锈的、导电性能良好的、直径为12mm的接地螺钉。接地点附近应标有接地符号。</w:t>
      </w:r>
      <w:r>
        <w:rPr>
          <w:szCs w:val="21"/>
        </w:rPr>
      </w:r>
      <w:r/>
    </w:p>
    <w:p>
      <w:pPr>
        <w:pStyle w:val="1240"/>
        <w:rPr>
          <w:rFonts w:ascii="Times New Roman" w:eastAsia="宋体"/>
          <w:color w:val="000000"/>
        </w:rPr>
      </w:pPr>
      <w:r>
        <w:rPr>
          <w:rFonts w:ascii="Times New Roman"/>
          <w:color w:val="000000"/>
        </w:rPr>
        <w:t xml:space="preserve">5.</w:t>
      </w:r>
      <w:r>
        <w:rPr>
          <w:rFonts w:hint="eastAsia" w:ascii="Times New Roman"/>
        </w:rPr>
        <w:t xml:space="preserve">2.8</w:t>
      </w:r>
      <w:r>
        <w:rPr>
          <w:rFonts w:ascii="Times New Roman" w:eastAsia="宋体"/>
          <w:color w:val="000000"/>
        </w:rPr>
        <w:t xml:space="preserve">.4 对</w:t>
      </w:r>
      <w:r>
        <w:rPr>
          <w:rFonts w:ascii="Times New Roman" w:eastAsia="宋体"/>
          <w:color w:val="000000"/>
        </w:rPr>
        <w:t xml:space="preserve">SF</w:t>
      </w:r>
      <w:r>
        <w:rPr>
          <w:rFonts w:ascii="Times New Roman" w:eastAsia="宋体"/>
          <w:color w:val="000000"/>
          <w:vertAlign w:val="subscript"/>
        </w:rPr>
        <w:t xml:space="preserve">6</w:t>
      </w:r>
      <w:r>
        <w:rPr>
          <w:rFonts w:ascii="Times New Roman" w:eastAsia="宋体"/>
          <w:color w:val="000000"/>
        </w:rPr>
        <w:t xml:space="preserve">断路器的要求：</w:t>
      </w:r>
      <w:r>
        <w:rPr>
          <w:rFonts w:ascii="Times New Roman" w:eastAsia="宋体"/>
          <w:color w:val="000000"/>
        </w:rPr>
      </w:r>
      <w:r/>
    </w:p>
    <w:p>
      <w:pPr>
        <w:pStyle w:val="1151"/>
        <w:ind w:left="840" w:hanging="420"/>
        <w:spacing w:line="312" w:lineRule="exact"/>
        <w:rPr>
          <w:szCs w:val="21"/>
        </w:rPr>
      </w:pPr>
      <w:r>
        <w:rPr>
          <w:szCs w:val="21"/>
        </w:rPr>
        <w:t xml:space="preserve">a）</w:t>
      </w:r>
      <w:r>
        <w:rPr>
          <w:szCs w:val="21"/>
        </w:rPr>
        <w:tab/>
      </w:r>
      <w:r>
        <w:rPr>
          <w:szCs w:val="21"/>
        </w:rPr>
        <w:t xml:space="preserve">SF</w:t>
      </w:r>
      <w:r>
        <w:rPr>
          <w:szCs w:val="21"/>
          <w:vertAlign w:val="subscript"/>
        </w:rPr>
        <w:t xml:space="preserve">6</w:t>
      </w:r>
      <w:r>
        <w:rPr>
          <w:szCs w:val="21"/>
        </w:rPr>
        <w:t xml:space="preserve">气体应符合GB/T 12022的规定，应向招标人提交新气试验的合格证书，所用气体应经招标人复检合格后方可使用；。</w:t>
      </w:r>
      <w:r>
        <w:rPr>
          <w:szCs w:val="21"/>
        </w:rPr>
      </w:r>
      <w:r/>
    </w:p>
    <w:p>
      <w:pPr>
        <w:pStyle w:val="1151"/>
        <w:ind w:left="840" w:hanging="420"/>
        <w:spacing w:line="312" w:lineRule="exact"/>
        <w:rPr>
          <w:szCs w:val="21"/>
        </w:rPr>
      </w:pPr>
      <w:r>
        <w:rPr>
          <w:szCs w:val="21"/>
        </w:rPr>
        <w:t xml:space="preserve">b）</w:t>
      </w:r>
      <w:r>
        <w:rPr>
          <w:szCs w:val="21"/>
        </w:rPr>
        <w:tab/>
      </w:r>
      <w:r>
        <w:rPr>
          <w:szCs w:val="21"/>
        </w:rPr>
        <w:t xml:space="preserve">气体抽样阀：为便于气体的试验抽样及补充，断路器应装设合适的阀门；</w:t>
      </w:r>
      <w:r>
        <w:rPr>
          <w:szCs w:val="21"/>
        </w:rPr>
      </w:r>
      <w:r/>
    </w:p>
    <w:p>
      <w:pPr>
        <w:pStyle w:val="1151"/>
        <w:ind w:left="840" w:hanging="420"/>
        <w:spacing w:line="312" w:lineRule="exact"/>
        <w:rPr>
          <w:szCs w:val="21"/>
        </w:rPr>
      </w:pPr>
      <w:r>
        <w:rPr>
          <w:szCs w:val="21"/>
        </w:rPr>
        <w:t xml:space="preserve">c）</w:t>
      </w:r>
      <w:r>
        <w:rPr>
          <w:szCs w:val="21"/>
        </w:rPr>
        <w:tab/>
      </w:r>
      <w:r>
        <w:rPr>
          <w:szCs w:val="21"/>
        </w:rPr>
        <w:t xml:space="preserve">SF</w:t>
      </w:r>
      <w:r>
        <w:rPr>
          <w:szCs w:val="21"/>
          <w:vertAlign w:val="subscript"/>
        </w:rPr>
        <w:t xml:space="preserve">6</w:t>
      </w:r>
      <w:r>
        <w:rPr>
          <w:szCs w:val="21"/>
        </w:rPr>
        <w:t xml:space="preserve">气体系统的要求：断路器的SF</w:t>
      </w:r>
      <w:r>
        <w:rPr>
          <w:szCs w:val="21"/>
          <w:vertAlign w:val="subscript"/>
        </w:rPr>
        <w:t xml:space="preserve">6</w:t>
      </w:r>
      <w:r>
        <w:rPr>
          <w:szCs w:val="21"/>
        </w:rPr>
        <w:t xml:space="preserve">气体系统应便于安装和维修，并有用来连接气体处理装置和其他设备的合适连接点；</w:t>
      </w:r>
      <w:r>
        <w:rPr>
          <w:szCs w:val="21"/>
        </w:rPr>
      </w:r>
      <w:r/>
    </w:p>
    <w:p>
      <w:pPr>
        <w:pStyle w:val="1151"/>
        <w:ind w:left="840" w:hanging="420"/>
        <w:spacing w:line="312" w:lineRule="exact"/>
        <w:rPr>
          <w:szCs w:val="21"/>
        </w:rPr>
      </w:pPr>
      <w:r>
        <w:rPr>
          <w:szCs w:val="21"/>
        </w:rPr>
        <w:t xml:space="preserve">d）</w:t>
      </w:r>
      <w:r>
        <w:rPr>
          <w:szCs w:val="21"/>
        </w:rPr>
        <w:tab/>
      </w:r>
      <w:r>
        <w:rPr>
          <w:szCs w:val="21"/>
        </w:rPr>
        <w:t xml:space="preserve">SF</w:t>
      </w:r>
      <w:r>
        <w:rPr>
          <w:szCs w:val="21"/>
          <w:vertAlign w:val="subscript"/>
        </w:rPr>
        <w:t xml:space="preserve">6</w:t>
      </w:r>
      <w:r>
        <w:rPr>
          <w:szCs w:val="21"/>
        </w:rPr>
        <w:t xml:space="preserve">气体监测设备：断路器应装设SF</w:t>
      </w:r>
      <w:r>
        <w:rPr>
          <w:szCs w:val="21"/>
          <w:vertAlign w:val="subscript"/>
        </w:rPr>
        <w:t xml:space="preserve">6</w:t>
      </w:r>
      <w:r>
        <w:rPr>
          <w:szCs w:val="21"/>
        </w:rPr>
        <w:t xml:space="preserve">气体监测设备（包括密度继电器，压力表）；</w:t>
      </w:r>
      <w:r>
        <w:rPr>
          <w:szCs w:val="21"/>
        </w:rPr>
      </w:r>
      <w:r/>
    </w:p>
    <w:p>
      <w:pPr>
        <w:pStyle w:val="1151"/>
        <w:ind w:left="840" w:hanging="420"/>
        <w:spacing w:line="312" w:lineRule="exact"/>
        <w:rPr>
          <w:szCs w:val="21"/>
        </w:rPr>
      </w:pPr>
      <w:r>
        <w:rPr>
          <w:szCs w:val="21"/>
        </w:rPr>
        <w:t xml:space="preserve">e）</w:t>
      </w:r>
      <w:r>
        <w:rPr>
          <w:szCs w:val="21"/>
        </w:rPr>
        <w:tab/>
      </w:r>
      <w:r>
        <w:rPr>
          <w:szCs w:val="21"/>
        </w:rPr>
        <w:t xml:space="preserve">SF</w:t>
      </w:r>
      <w:r>
        <w:rPr>
          <w:szCs w:val="21"/>
          <w:vertAlign w:val="subscript"/>
        </w:rPr>
        <w:t xml:space="preserve">6</w:t>
      </w:r>
      <w:r>
        <w:rPr>
          <w:szCs w:val="21"/>
        </w:rPr>
        <w:t xml:space="preserve">气体内的水分含量：断路器中SF</w:t>
      </w:r>
      <w:r>
        <w:rPr>
          <w:szCs w:val="21"/>
          <w:vertAlign w:val="subscript"/>
        </w:rPr>
        <w:t xml:space="preserve">6</w:t>
      </w:r>
      <w:r>
        <w:rPr>
          <w:szCs w:val="21"/>
        </w:rPr>
        <w:t xml:space="preserve">气体在额定压力下在20℃时的最大水分含量应小于150</w:t>
      </w:r>
      <w:r>
        <w:t xml:space="preserve">μ</w:t>
      </w:r>
      <w:r>
        <w:rPr>
          <w:szCs w:val="21"/>
        </w:rPr>
        <w:t xml:space="preserve">L/L，在其他温度时应予修正；</w:t>
      </w:r>
      <w:r>
        <w:rPr>
          <w:szCs w:val="21"/>
        </w:rPr>
      </w:r>
      <w:r/>
    </w:p>
    <w:p>
      <w:pPr>
        <w:pStyle w:val="1151"/>
        <w:ind w:left="840" w:hanging="420"/>
        <w:spacing w:line="312" w:lineRule="exact"/>
        <w:rPr>
          <w:szCs w:val="21"/>
        </w:rPr>
      </w:pPr>
      <w:r>
        <w:rPr>
          <w:szCs w:val="21"/>
        </w:rPr>
        <w:t xml:space="preserve">f）</w:t>
      </w:r>
      <w:r>
        <w:rPr>
          <w:szCs w:val="21"/>
        </w:rPr>
        <w:tab/>
      </w:r>
      <w:r>
        <w:rPr>
          <w:szCs w:val="21"/>
        </w:rPr>
        <w:t xml:space="preserve">SF</w:t>
      </w:r>
      <w:r>
        <w:rPr>
          <w:szCs w:val="21"/>
          <w:vertAlign w:val="subscript"/>
        </w:rPr>
        <w:t xml:space="preserve">6</w:t>
      </w:r>
      <w:r>
        <w:rPr>
          <w:szCs w:val="21"/>
        </w:rPr>
        <w:t xml:space="preserve">断路器的吸附剂：投标人在投标阶段提交一份解释文件，包括吸附剂的位置、种类和质量；</w:t>
      </w:r>
      <w:r>
        <w:rPr>
          <w:szCs w:val="21"/>
        </w:rPr>
      </w:r>
      <w:r/>
    </w:p>
    <w:p>
      <w:pPr>
        <w:pStyle w:val="1240"/>
        <w:rPr>
          <w:rFonts w:ascii="Times New Roman" w:eastAsia="宋体"/>
          <w:color w:val="000000"/>
        </w:rPr>
      </w:pPr>
      <w:r>
        <w:rPr>
          <w:rFonts w:ascii="Times New Roman"/>
          <w:color w:val="000000"/>
        </w:rPr>
        <w:t xml:space="preserve">5.</w:t>
      </w:r>
      <w:r>
        <w:rPr>
          <w:rFonts w:hint="eastAsia" w:ascii="Times New Roman"/>
        </w:rPr>
        <w:t xml:space="preserve">2.8</w:t>
      </w:r>
      <w:r>
        <w:rPr>
          <w:rFonts w:ascii="Times New Roman" w:eastAsia="宋体"/>
          <w:color w:val="000000"/>
        </w:rPr>
        <w:t xml:space="preserve">.</w:t>
      </w:r>
      <w:r>
        <w:rPr>
          <w:rFonts w:hint="eastAsia" w:ascii="Times New Roman" w:eastAsia="宋体"/>
          <w:color w:val="000000"/>
        </w:rPr>
        <w:t xml:space="preserve">5</w:t>
      </w:r>
      <w:r>
        <w:rPr>
          <w:rFonts w:ascii="Times New Roman" w:eastAsia="宋体"/>
          <w:color w:val="000000"/>
        </w:rPr>
        <w:t xml:space="preserve">隔离开关</w:t>
      </w:r>
      <w:r>
        <w:rPr>
          <w:rFonts w:ascii="Times New Roman" w:eastAsia="宋体"/>
          <w:color w:val="000000"/>
        </w:rPr>
      </w:r>
      <w:r/>
    </w:p>
    <w:p>
      <w:pPr>
        <w:pStyle w:val="1151"/>
        <w:ind w:firstLine="420"/>
        <w:spacing w:line="312" w:lineRule="exact"/>
        <w:rPr>
          <w:bCs/>
          <w:szCs w:val="21"/>
        </w:rPr>
      </w:pPr>
      <w:r>
        <w:rPr>
          <w:bCs/>
          <w:szCs w:val="21"/>
        </w:rPr>
        <w:t xml:space="preserve">技术参数见专用部分技术参数特性表。</w:t>
      </w:r>
      <w:r>
        <w:rPr>
          <w:bCs/>
          <w:szCs w:val="21"/>
        </w:rPr>
      </w:r>
      <w:r/>
    </w:p>
    <w:p>
      <w:pPr>
        <w:pStyle w:val="1240"/>
        <w:rPr>
          <w:rFonts w:ascii="Times New Roman" w:eastAsia="宋体"/>
          <w:color w:val="000000"/>
        </w:rPr>
      </w:pPr>
      <w:r>
        <w:rPr>
          <w:rFonts w:ascii="Times New Roman"/>
          <w:color w:val="000000"/>
        </w:rPr>
        <w:t xml:space="preserve">5.</w:t>
      </w:r>
      <w:r>
        <w:rPr>
          <w:rFonts w:hint="eastAsia" w:ascii="Times New Roman"/>
        </w:rPr>
        <w:t xml:space="preserve">2.8</w:t>
      </w:r>
      <w:r>
        <w:rPr>
          <w:rFonts w:ascii="Times New Roman" w:eastAsia="宋体"/>
          <w:color w:val="000000"/>
        </w:rPr>
        <w:t xml:space="preserve">.</w:t>
      </w:r>
      <w:r>
        <w:rPr>
          <w:rFonts w:hint="eastAsia" w:ascii="Times New Roman" w:eastAsia="宋体"/>
          <w:color w:val="000000"/>
        </w:rPr>
        <w:t xml:space="preserve">6</w:t>
      </w:r>
      <w:r>
        <w:rPr>
          <w:rFonts w:ascii="Times New Roman" w:eastAsia="宋体"/>
          <w:color w:val="000000"/>
        </w:rPr>
        <w:t xml:space="preserve">接地开关</w:t>
      </w:r>
      <w:r>
        <w:rPr>
          <w:rFonts w:ascii="Times New Roman" w:eastAsia="宋体"/>
          <w:color w:val="000000"/>
        </w:rPr>
      </w:r>
      <w:r/>
    </w:p>
    <w:p>
      <w:pPr>
        <w:pStyle w:val="1151"/>
        <w:ind w:left="840" w:hanging="420"/>
        <w:spacing w:line="312" w:lineRule="exact"/>
        <w:rPr>
          <w:szCs w:val="21"/>
        </w:rPr>
      </w:pPr>
      <w:r>
        <w:rPr>
          <w:szCs w:val="21"/>
        </w:rPr>
        <w:t xml:space="preserve">a）技术参数见专用部分技术参数特性表；</w:t>
      </w:r>
      <w:r>
        <w:rPr>
          <w:szCs w:val="21"/>
        </w:rPr>
      </w:r>
      <w:r/>
    </w:p>
    <w:p>
      <w:pPr>
        <w:pStyle w:val="1242"/>
        <w:ind w:firstLine="400"/>
        <w:spacing w:before="0" w:after="0" w:line="312" w:lineRule="exact"/>
        <w:rPr>
          <w:rFonts w:ascii="Times New Roman" w:eastAsia="宋体"/>
          <w:sz w:val="21"/>
          <w:szCs w:val="21"/>
        </w:rPr>
        <w:outlineLvl w:val="9"/>
      </w:pPr>
      <w:r>
        <w:rPr>
          <w:rFonts w:ascii="Times New Roman"/>
          <w:szCs w:val="21"/>
        </w:rPr>
        <w:t xml:space="preserve">b）</w:t>
      </w:r>
      <w:r>
        <w:rPr>
          <w:rFonts w:ascii="Times New Roman" w:eastAsia="宋体"/>
          <w:sz w:val="21"/>
          <w:szCs w:val="21"/>
        </w:rPr>
        <w:t xml:space="preserve">操动机构：可手动和电动（如有）操作，每组接地开关应装设观察窗或可靠的分/合闸位置指示器。</w:t>
      </w:r>
      <w:r>
        <w:rPr>
          <w:rFonts w:ascii="Times New Roman" w:eastAsia="宋体"/>
          <w:sz w:val="21"/>
          <w:szCs w:val="21"/>
        </w:rPr>
      </w:r>
      <w:r/>
    </w:p>
    <w:p>
      <w:pPr>
        <w:pStyle w:val="1240"/>
        <w:outlineLvl w:val="2"/>
      </w:pPr>
      <w:r>
        <w:rPr>
          <w:color w:val="000000"/>
        </w:rPr>
        <w:t xml:space="preserve">5.</w:t>
      </w:r>
      <w:r>
        <w:rPr>
          <w:rFonts w:hint="eastAsia"/>
          <w:color w:val="000000"/>
        </w:rPr>
        <w:t xml:space="preserve">2.9其它设备技术要求</w:t>
      </w:r>
      <w:r/>
    </w:p>
    <w:p>
      <w:pPr>
        <w:pStyle w:val="1240"/>
        <w:rPr>
          <w:rFonts w:ascii="Times New Roman" w:eastAsia="宋体"/>
          <w:color w:val="000000"/>
        </w:rPr>
      </w:pPr>
      <w:r>
        <w:rPr>
          <w:rFonts w:ascii="Times New Roman"/>
          <w:color w:val="000000"/>
        </w:rPr>
        <w:t xml:space="preserve">5.</w:t>
      </w:r>
      <w:r>
        <w:rPr>
          <w:rFonts w:hint="eastAsia" w:ascii="Times New Roman"/>
          <w:color w:val="000000"/>
        </w:rPr>
        <w:t xml:space="preserve">2.9</w:t>
      </w:r>
      <w:r>
        <w:rPr>
          <w:rFonts w:ascii="Times New Roman" w:eastAsia="宋体"/>
          <w:color w:val="000000"/>
        </w:rPr>
        <w:t xml:space="preserve">.1 干式变压器</w:t>
      </w:r>
      <w:r>
        <w:rPr>
          <w:rFonts w:ascii="Times New Roman" w:eastAsia="宋体"/>
          <w:color w:val="000000"/>
        </w:rPr>
      </w:r>
      <w:r/>
    </w:p>
    <w:p>
      <w:pPr>
        <w:pStyle w:val="1151"/>
        <w:ind w:firstLine="420"/>
        <w:spacing w:line="312" w:lineRule="exact"/>
        <w:rPr>
          <w:szCs w:val="21"/>
        </w:rPr>
      </w:pPr>
      <w:r>
        <w:rPr>
          <w:bCs/>
          <w:szCs w:val="21"/>
        </w:rPr>
        <w:t xml:space="preserve">技术参数见专用部分</w:t>
      </w:r>
      <w:r>
        <w:rPr>
          <w:szCs w:val="21"/>
        </w:rPr>
        <w:t xml:space="preserve">技术参数特性表</w:t>
      </w:r>
      <w:r>
        <w:rPr>
          <w:bCs/>
          <w:szCs w:val="21"/>
        </w:rPr>
        <w:t xml:space="preserve">。</w:t>
      </w:r>
      <w:r>
        <w:rPr>
          <w:szCs w:val="21"/>
        </w:rPr>
      </w:r>
      <w:r/>
    </w:p>
    <w:p>
      <w:pPr>
        <w:pStyle w:val="1240"/>
        <w:rPr>
          <w:rFonts w:ascii="Times New Roman" w:eastAsia="宋体"/>
          <w:color w:val="000000"/>
        </w:rPr>
      </w:pPr>
      <w:r>
        <w:rPr>
          <w:rFonts w:ascii="Times New Roman"/>
          <w:color w:val="000000"/>
        </w:rPr>
        <w:t xml:space="preserve">5.</w:t>
      </w:r>
      <w:r>
        <w:rPr>
          <w:rFonts w:hint="eastAsia" w:ascii="Times New Roman"/>
          <w:color w:val="000000"/>
        </w:rPr>
        <w:t xml:space="preserve">2.9</w:t>
      </w:r>
      <w:r>
        <w:rPr>
          <w:rFonts w:ascii="Times New Roman" w:eastAsia="宋体"/>
          <w:color w:val="000000"/>
        </w:rPr>
        <w:t xml:space="preserve">.2 避雷器</w:t>
      </w:r>
      <w:r>
        <w:rPr>
          <w:rFonts w:ascii="Times New Roman" w:eastAsia="宋体"/>
          <w:color w:val="000000"/>
        </w:rPr>
      </w:r>
      <w:r/>
    </w:p>
    <w:p>
      <w:pPr>
        <w:pStyle w:val="1151"/>
        <w:ind w:firstLine="420"/>
        <w:spacing w:line="312" w:lineRule="exact"/>
        <w:rPr>
          <w:bCs/>
          <w:szCs w:val="21"/>
        </w:rPr>
      </w:pPr>
      <w:r>
        <w:rPr>
          <w:bCs/>
          <w:szCs w:val="21"/>
        </w:rPr>
        <w:t xml:space="preserve">技术参数见专用部分技术参数</w:t>
      </w:r>
      <w:r>
        <w:rPr>
          <w:szCs w:val="21"/>
        </w:rPr>
        <w:t xml:space="preserve">特性</w:t>
      </w:r>
      <w:r>
        <w:rPr>
          <w:bCs/>
          <w:szCs w:val="21"/>
        </w:rPr>
        <w:t xml:space="preserve">表。</w:t>
      </w:r>
      <w:r>
        <w:rPr>
          <w:bCs/>
          <w:szCs w:val="21"/>
        </w:rPr>
      </w:r>
      <w:r/>
    </w:p>
    <w:p>
      <w:pPr>
        <w:pStyle w:val="1240"/>
        <w:rPr>
          <w:rFonts w:ascii="Times New Roman" w:eastAsia="宋体"/>
          <w:color w:val="000000"/>
        </w:rPr>
      </w:pPr>
      <w:r>
        <w:rPr>
          <w:rFonts w:ascii="Times New Roman"/>
          <w:color w:val="000000"/>
        </w:rPr>
        <w:t xml:space="preserve">5.</w:t>
      </w:r>
      <w:r>
        <w:rPr>
          <w:rFonts w:hint="eastAsia" w:ascii="Times New Roman"/>
          <w:color w:val="000000"/>
        </w:rPr>
        <w:t xml:space="preserve">2.9</w:t>
      </w:r>
      <w:r>
        <w:rPr>
          <w:rFonts w:ascii="Times New Roman" w:eastAsia="宋体"/>
          <w:color w:val="000000"/>
        </w:rPr>
        <w:t xml:space="preserve">.3 母线</w:t>
      </w:r>
      <w:r>
        <w:rPr>
          <w:rFonts w:ascii="Times New Roman" w:eastAsia="宋体"/>
          <w:color w:val="000000"/>
        </w:rPr>
      </w:r>
      <w:r/>
    </w:p>
    <w:p>
      <w:pPr>
        <w:pStyle w:val="1151"/>
        <w:ind w:firstLine="420"/>
        <w:spacing w:line="312" w:lineRule="exact"/>
        <w:rPr>
          <w:bCs/>
          <w:szCs w:val="21"/>
        </w:rPr>
      </w:pPr>
      <w:r>
        <w:rPr>
          <w:szCs w:val="21"/>
        </w:rPr>
        <w:t xml:space="preserve">a）</w:t>
      </w:r>
      <w:r>
        <w:rPr>
          <w:szCs w:val="21"/>
        </w:rPr>
        <w:tab/>
      </w:r>
      <w:r>
        <w:rPr>
          <w:bCs/>
          <w:szCs w:val="21"/>
        </w:rPr>
        <w:t xml:space="preserve">技术参数见专用部分</w:t>
      </w:r>
      <w:r>
        <w:rPr>
          <w:szCs w:val="21"/>
        </w:rPr>
        <w:t xml:space="preserve">技术参数特性表</w:t>
      </w:r>
      <w:r>
        <w:rPr>
          <w:bCs/>
          <w:szCs w:val="21"/>
        </w:rPr>
        <w:t xml:space="preserve">；</w:t>
      </w:r>
      <w:r>
        <w:rPr>
          <w:bCs/>
          <w:szCs w:val="21"/>
        </w:rPr>
      </w:r>
      <w:r/>
    </w:p>
    <w:p>
      <w:pPr>
        <w:pStyle w:val="1151"/>
        <w:ind w:left="840" w:hanging="420"/>
        <w:spacing w:line="312" w:lineRule="exact"/>
        <w:rPr>
          <w:bCs/>
          <w:szCs w:val="21"/>
        </w:rPr>
      </w:pPr>
      <w:r>
        <w:rPr>
          <w:szCs w:val="21"/>
        </w:rPr>
        <w:t xml:space="preserve">b）</w:t>
      </w:r>
      <w:r>
        <w:rPr>
          <w:szCs w:val="21"/>
        </w:rPr>
        <w:tab/>
      </w:r>
      <w:r>
        <w:rPr>
          <w:szCs w:val="21"/>
        </w:rPr>
        <w:t xml:space="preserve">材质为T2铜，电导率≥56S/m</w:t>
      </w:r>
      <w:r>
        <w:rPr>
          <w:bCs/>
          <w:szCs w:val="21"/>
        </w:rPr>
        <w:t xml:space="preserve">；</w:t>
      </w:r>
      <w:r>
        <w:rPr>
          <w:bCs/>
          <w:szCs w:val="21"/>
        </w:rPr>
      </w:r>
      <w:r/>
    </w:p>
    <w:p>
      <w:pPr>
        <w:pStyle w:val="1151"/>
        <w:ind w:left="840" w:hanging="420"/>
        <w:spacing w:line="312" w:lineRule="exact"/>
        <w:rPr>
          <w:szCs w:val="21"/>
        </w:rPr>
      </w:pPr>
      <w:r>
        <w:rPr>
          <w:szCs w:val="21"/>
        </w:rPr>
        <w:t xml:space="preserve">c）</w:t>
      </w:r>
      <w:r>
        <w:rPr>
          <w:szCs w:val="21"/>
        </w:rPr>
        <w:tab/>
      </w:r>
      <w:r>
        <w:rPr>
          <w:bCs/>
          <w:szCs w:val="21"/>
        </w:rPr>
        <w:t xml:space="preserve">投标时，</w:t>
      </w:r>
      <w:r>
        <w:rPr>
          <w:szCs w:val="21"/>
        </w:rPr>
        <w:t xml:space="preserve">气体绝缘环网柜</w:t>
      </w:r>
      <w:r>
        <w:rPr>
          <w:bCs/>
          <w:szCs w:val="21"/>
        </w:rPr>
        <w:t xml:space="preserve">应提供各种触头的结构图。</w:t>
      </w:r>
      <w:r>
        <w:rPr>
          <w:szCs w:val="21"/>
        </w:rPr>
      </w:r>
      <w:r/>
    </w:p>
    <w:p>
      <w:pPr>
        <w:pStyle w:val="1240"/>
        <w:rPr>
          <w:rFonts w:ascii="Times New Roman"/>
          <w:color w:val="000000"/>
        </w:rPr>
        <w:outlineLvl w:val="2"/>
      </w:pPr>
      <w:r>
        <w:rPr>
          <w:color w:val="000000"/>
        </w:rPr>
        <w:t xml:space="preserve">5.</w:t>
      </w:r>
      <w:r>
        <w:rPr>
          <w:rFonts w:hint="eastAsia"/>
          <w:color w:val="000000"/>
        </w:rPr>
        <w:t xml:space="preserve">2.10操动机构技术要求</w:t>
      </w:r>
      <w:r>
        <w:rPr>
          <w:rFonts w:ascii="Times New Roman"/>
          <w:color w:val="000000"/>
        </w:rPr>
      </w:r>
      <w:r/>
    </w:p>
    <w:p>
      <w:pPr>
        <w:pStyle w:val="1240"/>
        <w:rPr>
          <w:rFonts w:ascii="Times New Roman"/>
          <w:color w:val="000000"/>
          <w:szCs w:val="20"/>
        </w:rPr>
      </w:pPr>
      <w:r>
        <w:rPr>
          <w:rFonts w:ascii="Times New Roman"/>
          <w:color w:val="000000"/>
        </w:rPr>
        <w:t xml:space="preserve">5.</w:t>
      </w:r>
      <w:r>
        <w:rPr>
          <w:rFonts w:hint="eastAsia" w:ascii="Times New Roman"/>
          <w:color w:val="000000"/>
        </w:rPr>
        <w:t xml:space="preserve">2.10</w:t>
      </w:r>
      <w:r>
        <w:rPr>
          <w:rFonts w:ascii="Times New Roman" w:eastAsia="宋体"/>
          <w:color w:val="000000"/>
        </w:rPr>
        <w:t xml:space="preserve">.1 操动机构采用弹簧操动机构，应保证断路器能三相分、合闸以及三相跳闸和自动重合闸。</w:t>
      </w:r>
      <w:r>
        <w:rPr>
          <w:rFonts w:ascii="Times New Roman"/>
          <w:color w:val="000000"/>
          <w:szCs w:val="20"/>
        </w:rPr>
      </w:r>
      <w:r/>
    </w:p>
    <w:p>
      <w:pPr>
        <w:pStyle w:val="1240"/>
        <w:rPr>
          <w:rFonts w:ascii="Times New Roman"/>
          <w:color w:val="000000"/>
          <w:szCs w:val="20"/>
        </w:rPr>
      </w:pPr>
      <w:r>
        <w:rPr>
          <w:rFonts w:ascii="Times New Roman"/>
          <w:color w:val="000000"/>
        </w:rPr>
        <w:t xml:space="preserve">5.</w:t>
      </w:r>
      <w:r>
        <w:rPr>
          <w:rFonts w:hint="eastAsia" w:ascii="Times New Roman"/>
          <w:color w:val="000000"/>
        </w:rPr>
        <w:t xml:space="preserve">2.10</w:t>
      </w:r>
      <w:r>
        <w:rPr>
          <w:rFonts w:ascii="Times New Roman" w:eastAsia="宋体"/>
          <w:color w:val="000000"/>
        </w:rPr>
        <w:t xml:space="preserve">.2 操动机构自身应具备防止跳跃的性能。应配备断路器的分合闸指示，操动机构的计数器，储能状态指示应明显清晰，便于观察，且均用中文表示。</w:t>
      </w:r>
      <w:r>
        <w:rPr>
          <w:rFonts w:ascii="Times New Roman"/>
          <w:color w:val="000000"/>
          <w:szCs w:val="20"/>
        </w:rPr>
      </w:r>
      <w:r/>
    </w:p>
    <w:p>
      <w:pPr>
        <w:pStyle w:val="1240"/>
        <w:rPr>
          <w:rFonts w:ascii="Times New Roman"/>
          <w:color w:val="000000"/>
          <w:szCs w:val="20"/>
        </w:rPr>
      </w:pPr>
      <w:r>
        <w:rPr>
          <w:rFonts w:ascii="Times New Roman"/>
          <w:color w:val="000000"/>
        </w:rPr>
        <w:t xml:space="preserve">5.</w:t>
      </w:r>
      <w:r>
        <w:rPr>
          <w:rFonts w:hint="eastAsia" w:ascii="Times New Roman"/>
          <w:color w:val="000000"/>
        </w:rPr>
        <w:t xml:space="preserve">2.10</w:t>
      </w:r>
      <w:r>
        <w:rPr>
          <w:rFonts w:ascii="Times New Roman" w:eastAsia="宋体"/>
          <w:color w:val="000000"/>
        </w:rPr>
        <w:t xml:space="preserve">.3 弹簧操动机构应能电动机储能并可手动储能，并配置紧急脱扣装置。</w:t>
      </w:r>
      <w:r>
        <w:rPr>
          <w:rFonts w:ascii="Times New Roman"/>
          <w:color w:val="000000"/>
          <w:szCs w:val="20"/>
        </w:rPr>
      </w:r>
      <w:r/>
    </w:p>
    <w:p>
      <w:pPr>
        <w:pStyle w:val="1240"/>
        <w:rPr>
          <w:rFonts w:ascii="Times New Roman"/>
          <w:color w:val="000000"/>
          <w:szCs w:val="20"/>
        </w:rPr>
      </w:pPr>
      <w:r>
        <w:rPr>
          <w:rFonts w:ascii="Times New Roman"/>
          <w:color w:val="000000"/>
        </w:rPr>
        <w:t xml:space="preserve">5.</w:t>
      </w:r>
      <w:r>
        <w:rPr>
          <w:rFonts w:hint="eastAsia" w:ascii="Times New Roman"/>
          <w:color w:val="000000"/>
        </w:rPr>
        <w:t xml:space="preserve">2.10</w:t>
      </w:r>
      <w:r>
        <w:rPr>
          <w:rFonts w:ascii="Times New Roman" w:eastAsia="宋体"/>
          <w:color w:val="000000"/>
        </w:rPr>
        <w:t xml:space="preserve">.4 </w:t>
      </w:r>
      <w:r>
        <w:rPr>
          <w:rFonts w:hint="eastAsia" w:ascii="Times New Roman" w:eastAsia="宋体"/>
          <w:color w:val="000000"/>
        </w:rPr>
        <w:t xml:space="preserve">操动机构的额定电源电压（</w:t>
      </w:r>
      <w:r>
        <w:rPr>
          <w:rFonts w:ascii="Times New Roman" w:eastAsia="宋体"/>
          <w:color w:val="000000"/>
        </w:rPr>
        <w:t xml:space="preserve">U</w:t>
      </w:r>
      <w:r>
        <w:rPr>
          <w:rFonts w:ascii="Times New Roman" w:eastAsia="宋体"/>
          <w:color w:val="000000"/>
          <w:vertAlign w:val="subscript"/>
        </w:rPr>
        <w:t xml:space="preserve">a</w:t>
      </w:r>
      <w:r>
        <w:rPr>
          <w:rFonts w:hint="eastAsia" w:ascii="Times New Roman" w:eastAsia="宋体"/>
          <w:color w:val="000000"/>
        </w:rPr>
        <w:t xml:space="preserve">）为直流</w:t>
      </w:r>
      <w:r>
        <w:rPr>
          <w:rFonts w:ascii="Times New Roman" w:eastAsia="宋体"/>
          <w:color w:val="000000"/>
        </w:rPr>
        <w:t xml:space="preserve">48V</w:t>
      </w:r>
      <w:r>
        <w:rPr>
          <w:rFonts w:hint="eastAsia" w:ascii="Times New Roman" w:eastAsia="宋体"/>
          <w:color w:val="000000"/>
        </w:rPr>
        <w:t xml:space="preserve">，并联脱扣器应能满足：</w:t>
      </w:r>
      <w:r>
        <w:rPr>
          <w:rFonts w:ascii="Times New Roman" w:eastAsia="宋体"/>
          <w:color w:val="000000"/>
        </w:rPr>
        <w:t xml:space="preserve">85%U</w:t>
      </w:r>
      <w:r>
        <w:rPr>
          <w:rFonts w:ascii="Times New Roman" w:eastAsia="宋体"/>
          <w:color w:val="000000"/>
          <w:vertAlign w:val="subscript"/>
        </w:rPr>
        <w:t xml:space="preserve">a</w:t>
      </w:r>
      <w:r>
        <w:rPr>
          <w:rFonts w:hint="eastAsia" w:ascii="Times New Roman" w:eastAsia="宋体"/>
          <w:color w:val="000000"/>
        </w:rPr>
        <w:t xml:space="preserve">～</w:t>
      </w:r>
      <w:r>
        <w:rPr>
          <w:rFonts w:ascii="Times New Roman" w:eastAsia="宋体"/>
          <w:color w:val="000000"/>
        </w:rPr>
        <w:t xml:space="preserve">110%U</w:t>
      </w:r>
      <w:r>
        <w:rPr>
          <w:rFonts w:ascii="Times New Roman" w:eastAsia="宋体"/>
          <w:color w:val="000000"/>
          <w:vertAlign w:val="subscript"/>
        </w:rPr>
        <w:t xml:space="preserve">a</w:t>
      </w:r>
      <w:r>
        <w:rPr>
          <w:rFonts w:hint="eastAsia" w:ascii="Times New Roman" w:eastAsia="宋体"/>
          <w:color w:val="000000"/>
        </w:rPr>
        <w:t xml:space="preserve">时可靠合闸，</w:t>
      </w:r>
      <w:r>
        <w:rPr>
          <w:rFonts w:ascii="Times New Roman" w:eastAsia="宋体"/>
          <w:color w:val="000000"/>
        </w:rPr>
        <w:t xml:space="preserve">65%U</w:t>
      </w:r>
      <w:r>
        <w:rPr>
          <w:rFonts w:ascii="Times New Roman" w:eastAsia="宋体"/>
          <w:color w:val="000000"/>
          <w:vertAlign w:val="subscript"/>
        </w:rPr>
        <w:t xml:space="preserve">a</w:t>
      </w:r>
      <w:r>
        <w:rPr>
          <w:rFonts w:hint="eastAsia" w:ascii="Times New Roman" w:eastAsia="宋体"/>
          <w:color w:val="000000"/>
        </w:rPr>
        <w:t xml:space="preserve">～</w:t>
      </w:r>
      <w:r>
        <w:rPr>
          <w:rFonts w:ascii="Times New Roman" w:eastAsia="宋体"/>
          <w:color w:val="000000"/>
        </w:rPr>
        <w:t xml:space="preserve">110%U</w:t>
      </w:r>
      <w:r>
        <w:rPr>
          <w:rFonts w:ascii="Times New Roman" w:eastAsia="宋体"/>
          <w:color w:val="000000"/>
          <w:vertAlign w:val="subscript"/>
        </w:rPr>
        <w:t xml:space="preserve">a</w:t>
      </w:r>
      <w:r>
        <w:rPr>
          <w:rFonts w:hint="eastAsia" w:ascii="Times New Roman" w:eastAsia="宋体"/>
          <w:color w:val="000000"/>
        </w:rPr>
        <w:t xml:space="preserve">可靠分闸，</w:t>
      </w:r>
      <w:r>
        <w:rPr>
          <w:rFonts w:ascii="Times New Roman" w:eastAsia="宋体"/>
          <w:color w:val="000000"/>
        </w:rPr>
        <w:t xml:space="preserve">30%U</w:t>
      </w:r>
      <w:r>
        <w:rPr>
          <w:rFonts w:ascii="Times New Roman" w:eastAsia="宋体"/>
          <w:color w:val="000000"/>
          <w:vertAlign w:val="subscript"/>
        </w:rPr>
        <w:t xml:space="preserve">a</w:t>
      </w:r>
      <w:r>
        <w:rPr>
          <w:rFonts w:hint="eastAsia" w:ascii="Times New Roman" w:eastAsia="宋体"/>
          <w:color w:val="000000"/>
        </w:rPr>
        <w:t xml:space="preserve">及以下时不动作。</w:t>
      </w:r>
      <w:r>
        <w:rPr>
          <w:rFonts w:ascii="Times New Roman"/>
          <w:color w:val="000000"/>
          <w:szCs w:val="20"/>
        </w:rPr>
      </w:r>
      <w:r/>
    </w:p>
    <w:p>
      <w:pPr>
        <w:pStyle w:val="1240"/>
        <w:rPr>
          <w:rFonts w:ascii="Times New Roman"/>
          <w:color w:val="000000"/>
          <w:szCs w:val="20"/>
        </w:rPr>
      </w:pPr>
      <w:r>
        <w:rPr>
          <w:rFonts w:ascii="Times New Roman"/>
          <w:color w:val="000000"/>
        </w:rPr>
        <w:t xml:space="preserve">5.</w:t>
      </w:r>
      <w:r>
        <w:rPr>
          <w:rFonts w:hint="eastAsia" w:ascii="Times New Roman"/>
          <w:color w:val="000000"/>
        </w:rPr>
        <w:t xml:space="preserve">2.10</w:t>
      </w:r>
      <w:r>
        <w:rPr>
          <w:rFonts w:ascii="Times New Roman" w:eastAsia="宋体"/>
          <w:color w:val="000000"/>
        </w:rPr>
        <w:t xml:space="preserve">.5 弹簧储能系统：由储能弹簧进行分、合闸操作的弹簧操动机构应能满足“分-0.3s-合分-180s-合分”的操作顺序。弹簧操动机构应能可靠防止发生空合操作。</w:t>
      </w:r>
      <w:r>
        <w:rPr>
          <w:rFonts w:ascii="Times New Roman"/>
          <w:color w:val="000000"/>
          <w:szCs w:val="20"/>
        </w:rPr>
      </w:r>
      <w:r/>
    </w:p>
    <w:p>
      <w:pPr>
        <w:pStyle w:val="1240"/>
        <w:rPr>
          <w:rFonts w:ascii="Times New Roman"/>
          <w:color w:val="000000"/>
          <w:szCs w:val="20"/>
        </w:rPr>
      </w:pPr>
      <w:r>
        <w:rPr>
          <w:rFonts w:ascii="Times New Roman"/>
          <w:color w:val="000000"/>
        </w:rPr>
        <w:t xml:space="preserve">5.</w:t>
      </w:r>
      <w:r>
        <w:rPr>
          <w:rFonts w:hint="eastAsia" w:ascii="Times New Roman"/>
          <w:color w:val="000000"/>
        </w:rPr>
        <w:t xml:space="preserve">2.10</w:t>
      </w:r>
      <w:r>
        <w:rPr>
          <w:rFonts w:ascii="Times New Roman" w:eastAsia="宋体"/>
          <w:color w:val="000000"/>
        </w:rPr>
        <w:t xml:space="preserve">.6 断路器处于断开或闭合位置，都应能对合闸弹簧储能。</w:t>
      </w:r>
      <w:r>
        <w:rPr>
          <w:rFonts w:ascii="Times New Roman"/>
          <w:color w:val="000000"/>
          <w:szCs w:val="20"/>
        </w:rPr>
      </w:r>
      <w:r/>
    </w:p>
    <w:p>
      <w:pPr>
        <w:pStyle w:val="1240"/>
        <w:rPr>
          <w:rFonts w:ascii="Times New Roman"/>
          <w:color w:val="000000"/>
          <w:szCs w:val="20"/>
        </w:rPr>
      </w:pPr>
      <w:r>
        <w:rPr>
          <w:rFonts w:ascii="Times New Roman"/>
          <w:color w:val="000000"/>
        </w:rPr>
        <w:t xml:space="preserve">5.</w:t>
      </w:r>
      <w:r>
        <w:rPr>
          <w:rFonts w:hint="eastAsia" w:ascii="Times New Roman"/>
          <w:color w:val="000000"/>
        </w:rPr>
        <w:t xml:space="preserve">2.10</w:t>
      </w:r>
      <w:r>
        <w:rPr>
          <w:rFonts w:ascii="Times New Roman" w:eastAsia="宋体"/>
          <w:color w:val="000000"/>
        </w:rPr>
        <w:t xml:space="preserve">.7 在正常情况下，合闸弹簧应在20s内完成储能。</w:t>
      </w:r>
      <w:r>
        <w:rPr>
          <w:rFonts w:ascii="Times New Roman"/>
          <w:color w:val="000000"/>
          <w:szCs w:val="20"/>
        </w:rPr>
      </w:r>
      <w:r/>
    </w:p>
    <w:p>
      <w:pPr>
        <w:pStyle w:val="1240"/>
        <w:rPr>
          <w:rFonts w:ascii="Times New Roman"/>
          <w:color w:val="000000"/>
          <w:szCs w:val="20"/>
        </w:rPr>
      </w:pPr>
      <w:r>
        <w:rPr>
          <w:rFonts w:ascii="Times New Roman"/>
          <w:color w:val="000000"/>
        </w:rPr>
        <w:t xml:space="preserve">5.</w:t>
      </w:r>
      <w:r>
        <w:rPr>
          <w:rFonts w:hint="eastAsia" w:ascii="Times New Roman"/>
          <w:color w:val="000000"/>
        </w:rPr>
        <w:t xml:space="preserve">2.10</w:t>
      </w:r>
      <w:r>
        <w:rPr>
          <w:rFonts w:ascii="Times New Roman" w:eastAsia="宋体"/>
          <w:color w:val="000000"/>
        </w:rPr>
        <w:t xml:space="preserve">.8 在弹簧储能过程中不能合闸，并且弹簧在储能完成前不能释放。</w:t>
      </w:r>
      <w:r>
        <w:rPr>
          <w:rFonts w:ascii="Times New Roman"/>
          <w:color w:val="000000"/>
          <w:szCs w:val="20"/>
        </w:rPr>
      </w:r>
      <w:r/>
    </w:p>
    <w:p>
      <w:pPr>
        <w:pStyle w:val="1240"/>
        <w:rPr>
          <w:rFonts w:ascii="Times New Roman"/>
          <w:color w:val="000000"/>
          <w:szCs w:val="20"/>
        </w:rPr>
      </w:pPr>
      <w:r>
        <w:rPr>
          <w:rFonts w:ascii="Times New Roman"/>
          <w:color w:val="000000"/>
        </w:rPr>
        <w:t xml:space="preserve">5.</w:t>
      </w:r>
      <w:r>
        <w:rPr>
          <w:rFonts w:hint="eastAsia" w:ascii="Times New Roman"/>
          <w:color w:val="000000"/>
        </w:rPr>
        <w:t xml:space="preserve">2.10</w:t>
      </w:r>
      <w:r>
        <w:rPr>
          <w:rFonts w:ascii="Times New Roman" w:eastAsia="宋体"/>
          <w:color w:val="000000"/>
        </w:rPr>
        <w:t xml:space="preserve">.9 合闸操作的机械联锁应保证机构处于合闸时，不能再进行合闸动作。</w:t>
      </w:r>
      <w:r>
        <w:rPr>
          <w:rFonts w:ascii="Times New Roman"/>
          <w:color w:val="000000"/>
          <w:szCs w:val="20"/>
        </w:rPr>
      </w:r>
      <w:r/>
    </w:p>
    <w:p>
      <w:pPr>
        <w:pStyle w:val="1240"/>
        <w:rPr>
          <w:rFonts w:ascii="Times New Roman"/>
          <w:color w:val="000000"/>
          <w:szCs w:val="20"/>
        </w:rPr>
      </w:pPr>
      <w:r>
        <w:rPr>
          <w:rFonts w:ascii="Times New Roman"/>
          <w:color w:val="000000"/>
        </w:rPr>
        <w:t xml:space="preserve">5.</w:t>
      </w:r>
      <w:r>
        <w:rPr>
          <w:rFonts w:hint="eastAsia" w:ascii="Times New Roman"/>
          <w:color w:val="000000"/>
        </w:rPr>
        <w:t xml:space="preserve">2.10</w:t>
      </w:r>
      <w:r>
        <w:rPr>
          <w:rFonts w:ascii="Times New Roman" w:eastAsia="宋体"/>
          <w:color w:val="000000"/>
        </w:rPr>
        <w:t xml:space="preserve">.10 机械动作应灵活，储能及手动或电气分、合闸等各项操作过程中不应出现卡死，阻滞等异常现象，并设有防止“误操作”装置。</w:t>
      </w:r>
      <w:r>
        <w:rPr>
          <w:rFonts w:ascii="Times New Roman"/>
          <w:color w:val="000000"/>
          <w:szCs w:val="20"/>
        </w:rPr>
      </w:r>
      <w:r/>
    </w:p>
    <w:p>
      <w:pPr>
        <w:pStyle w:val="1240"/>
        <w:rPr>
          <w:rFonts w:ascii="Times New Roman"/>
          <w:color w:val="000000"/>
          <w:szCs w:val="20"/>
        </w:rPr>
      </w:pPr>
      <w:r>
        <w:rPr>
          <w:rFonts w:ascii="Times New Roman"/>
          <w:color w:val="000000"/>
        </w:rPr>
        <w:t xml:space="preserve">5.</w:t>
      </w:r>
      <w:r>
        <w:rPr>
          <w:rFonts w:hint="eastAsia" w:ascii="Times New Roman"/>
          <w:color w:val="000000"/>
        </w:rPr>
        <w:t xml:space="preserve">2.10</w:t>
      </w:r>
      <w:r>
        <w:rPr>
          <w:rFonts w:ascii="Times New Roman" w:eastAsia="宋体"/>
          <w:color w:val="000000"/>
        </w:rPr>
        <w:t xml:space="preserve">.11 应有机械装置指示合闸弹簧的储能状态，并能实现远方监控。</w:t>
      </w:r>
      <w:r>
        <w:rPr>
          <w:rFonts w:ascii="Times New Roman"/>
          <w:color w:val="000000"/>
          <w:szCs w:val="20"/>
        </w:rPr>
      </w:r>
      <w:r/>
    </w:p>
    <w:p>
      <w:pPr>
        <w:pStyle w:val="1240"/>
        <w:rPr>
          <w:rFonts w:ascii="Times New Roman"/>
          <w:color w:val="000000"/>
          <w:szCs w:val="20"/>
        </w:rPr>
      </w:pPr>
      <w:r>
        <w:rPr>
          <w:rFonts w:ascii="Times New Roman"/>
          <w:color w:val="000000"/>
        </w:rPr>
        <w:t xml:space="preserve">5.</w:t>
      </w:r>
      <w:r>
        <w:rPr>
          <w:rFonts w:hint="eastAsia" w:ascii="Times New Roman"/>
          <w:color w:val="000000"/>
        </w:rPr>
        <w:t xml:space="preserve">2.10</w:t>
      </w:r>
      <w:r>
        <w:rPr>
          <w:rFonts w:ascii="Times New Roman" w:eastAsia="宋体"/>
          <w:color w:val="000000"/>
        </w:rPr>
        <w:t xml:space="preserve">.12 投标人应提供用于断路器分闸和合闸所有必需的中间继电器、闭锁继电器。</w:t>
      </w:r>
      <w:r>
        <w:rPr>
          <w:rFonts w:ascii="Times New Roman"/>
          <w:color w:val="000000"/>
          <w:szCs w:val="20"/>
        </w:rPr>
      </w:r>
      <w:r/>
    </w:p>
    <w:p>
      <w:pPr>
        <w:pStyle w:val="1240"/>
        <w:rPr>
          <w:rFonts w:ascii="Times New Roman"/>
          <w:color w:val="000000"/>
          <w:szCs w:val="20"/>
        </w:rPr>
      </w:pPr>
      <w:r>
        <w:rPr>
          <w:rFonts w:ascii="Times New Roman"/>
          <w:color w:val="000000"/>
        </w:rPr>
        <w:t xml:space="preserve">5.</w:t>
      </w:r>
      <w:r>
        <w:rPr>
          <w:rFonts w:hint="eastAsia" w:ascii="Times New Roman"/>
          <w:color w:val="000000"/>
        </w:rPr>
        <w:t xml:space="preserve">2.10</w:t>
      </w:r>
      <w:r>
        <w:rPr>
          <w:rFonts w:ascii="Times New Roman" w:eastAsia="宋体"/>
          <w:color w:val="000000"/>
        </w:rPr>
        <w:t xml:space="preserve">.13 应安装能显示断路器操作次数的计数器。该计数器与操作回路应无电气联系，且不影响断路器的合/分闸操作。计数器采用不可复归型合闸记数。</w:t>
      </w:r>
      <w:r>
        <w:rPr>
          <w:rFonts w:ascii="Times New Roman"/>
          <w:color w:val="000000"/>
          <w:szCs w:val="20"/>
        </w:rPr>
      </w:r>
      <w:r/>
    </w:p>
    <w:p>
      <w:pPr>
        <w:pStyle w:val="1240"/>
        <w:rPr>
          <w:rFonts w:ascii="Times New Roman"/>
          <w:color w:val="000000"/>
          <w:szCs w:val="20"/>
        </w:rPr>
      </w:pPr>
      <w:r>
        <w:rPr>
          <w:rFonts w:ascii="Times New Roman"/>
          <w:color w:val="000000"/>
        </w:rPr>
        <w:t xml:space="preserve">5.</w:t>
      </w:r>
      <w:r>
        <w:rPr>
          <w:rFonts w:hint="eastAsia" w:ascii="Times New Roman"/>
          <w:color w:val="000000"/>
        </w:rPr>
        <w:t xml:space="preserve">2.10</w:t>
      </w:r>
      <w:r>
        <w:rPr>
          <w:rFonts w:ascii="Times New Roman" w:eastAsia="宋体"/>
          <w:color w:val="000000"/>
        </w:rPr>
        <w:t xml:space="preserve">.14 断路器机构分、合闸控制回路不应串接整流模块、熔断器或电阻器。</w:t>
      </w:r>
      <w:r>
        <w:rPr>
          <w:rFonts w:ascii="Times New Roman"/>
          <w:color w:val="000000"/>
          <w:szCs w:val="20"/>
        </w:rPr>
      </w:r>
      <w:r/>
    </w:p>
    <w:p>
      <w:pPr>
        <w:pStyle w:val="1240"/>
        <w:rPr>
          <w:rFonts w:ascii="Times New Roman"/>
          <w:color w:val="000000"/>
        </w:rPr>
      </w:pPr>
      <w:r>
        <w:rPr>
          <w:rFonts w:ascii="Times New Roman"/>
          <w:color w:val="000000"/>
        </w:rPr>
        <w:t xml:space="preserve">5.</w:t>
      </w:r>
      <w:r>
        <w:rPr>
          <w:rFonts w:hint="eastAsia" w:ascii="Times New Roman"/>
          <w:color w:val="000000"/>
        </w:rPr>
        <w:t xml:space="preserve">2.10</w:t>
      </w:r>
      <w:r>
        <w:rPr>
          <w:rFonts w:ascii="Times New Roman" w:eastAsia="宋体"/>
          <w:color w:val="000000"/>
        </w:rPr>
        <w:t xml:space="preserve">.15 断路器出厂试验前应进行不少于200次的机械操作试验（其中每100次操作试验的最后20次应为重合闸操作试验）。</w:t>
      </w:r>
      <w:r>
        <w:rPr>
          <w:rFonts w:ascii="Times New Roman"/>
          <w:color w:val="000000"/>
        </w:rPr>
      </w:r>
      <w:r/>
    </w:p>
    <w:p>
      <w:pPr>
        <w:pStyle w:val="1240"/>
        <w:rPr>
          <w:color w:val="000000"/>
        </w:rPr>
        <w:outlineLvl w:val="2"/>
      </w:pPr>
      <w:r>
        <w:rPr>
          <w:color w:val="000000"/>
        </w:rPr>
        <w:t xml:space="preserve">5.</w:t>
      </w:r>
      <w:r>
        <w:rPr>
          <w:rFonts w:hint="eastAsia"/>
          <w:color w:val="000000"/>
        </w:rPr>
        <w:t xml:space="preserve">2.11主母线技术要求</w:t>
      </w:r>
      <w:r>
        <w:rPr>
          <w:color w:val="000000"/>
        </w:rPr>
      </w:r>
      <w:r/>
    </w:p>
    <w:p>
      <w:pPr>
        <w:pStyle w:val="1242"/>
        <w:spacing w:before="0" w:after="0" w:line="312" w:lineRule="exact"/>
        <w:rPr>
          <w:rFonts w:ascii="Times New Roman" w:eastAsia="宋体"/>
          <w:sz w:val="21"/>
          <w:szCs w:val="21"/>
        </w:rPr>
        <w:outlineLvl w:val="9"/>
      </w:pPr>
      <w:r>
        <w:rPr>
          <w:rFonts w:ascii="Times New Roman"/>
          <w:sz w:val="21"/>
          <w:szCs w:val="21"/>
        </w:rPr>
        <w:t xml:space="preserve">5.</w:t>
      </w:r>
      <w:r>
        <w:rPr>
          <w:rFonts w:hint="eastAsia" w:ascii="Times New Roman"/>
          <w:sz w:val="21"/>
          <w:szCs w:val="21"/>
        </w:rPr>
        <w:t xml:space="preserve">2.11</w:t>
      </w:r>
      <w:r>
        <w:rPr>
          <w:rFonts w:ascii="Times New Roman" w:eastAsia="宋体"/>
          <w:sz w:val="21"/>
          <w:szCs w:val="21"/>
        </w:rPr>
        <w:t xml:space="preserve">.1 </w:t>
      </w:r>
      <w:r>
        <w:rPr>
          <w:rFonts w:ascii="Times New Roman" w:eastAsia="宋体"/>
          <w:sz w:val="21"/>
          <w:szCs w:val="21"/>
        </w:rPr>
        <w:t xml:space="preserve">环网柜的主母线应采用绝缘母线或母线连接器，柜与柜间用金属隔板隔开，但不得产生涡流，两端母线应用绝缘封堵密封。</w:t>
      </w:r>
      <w:r>
        <w:rPr>
          <w:rFonts w:ascii="Times New Roman" w:eastAsia="宋体"/>
          <w:sz w:val="21"/>
          <w:szCs w:val="21"/>
        </w:rPr>
      </w:r>
      <w:r/>
    </w:p>
    <w:p>
      <w:pPr>
        <w:pStyle w:val="1242"/>
        <w:spacing w:before="0" w:after="0" w:line="312" w:lineRule="exact"/>
        <w:rPr>
          <w:rFonts w:ascii="Times New Roman" w:eastAsia="宋体"/>
          <w:sz w:val="21"/>
        </w:rPr>
        <w:outlineLvl w:val="9"/>
      </w:pPr>
      <w:r>
        <w:rPr>
          <w:rFonts w:ascii="Times New Roman"/>
          <w:sz w:val="21"/>
          <w:szCs w:val="21"/>
        </w:rPr>
        <w:t xml:space="preserve">5.</w:t>
      </w:r>
      <w:r>
        <w:rPr>
          <w:rFonts w:hint="eastAsia" w:ascii="Times New Roman"/>
          <w:sz w:val="21"/>
          <w:szCs w:val="21"/>
        </w:rPr>
        <w:t xml:space="preserve">2.11</w:t>
      </w:r>
      <w:r>
        <w:rPr>
          <w:rFonts w:ascii="Times New Roman" w:eastAsia="宋体"/>
          <w:sz w:val="21"/>
          <w:szCs w:val="21"/>
        </w:rPr>
        <w:t xml:space="preserve">.2 </w:t>
      </w:r>
      <w:r>
        <w:rPr>
          <w:rFonts w:ascii="Times New Roman" w:eastAsia="宋体"/>
          <w:sz w:val="21"/>
          <w:szCs w:val="21"/>
        </w:rPr>
        <w:t xml:space="preserve">主</w:t>
      </w:r>
      <w:r>
        <w:rPr>
          <w:rFonts w:ascii="Times New Roman" w:eastAsia="宋体"/>
          <w:sz w:val="21"/>
        </w:rPr>
        <w:t xml:space="preserve">母线接合处应有防止电场集中和局部放电的措施。</w:t>
      </w:r>
      <w:r>
        <w:rPr>
          <w:rFonts w:ascii="Times New Roman" w:eastAsia="宋体"/>
          <w:sz w:val="21"/>
        </w:rPr>
      </w:r>
      <w:r/>
    </w:p>
    <w:p>
      <w:pPr>
        <w:pStyle w:val="1240"/>
        <w:rPr>
          <w:color w:val="000000"/>
        </w:rPr>
        <w:outlineLvl w:val="2"/>
      </w:pPr>
      <w:r>
        <w:rPr>
          <w:color w:val="000000"/>
        </w:rPr>
        <w:t xml:space="preserve">5.</w:t>
      </w:r>
      <w:r>
        <w:rPr>
          <w:rFonts w:hint="eastAsia"/>
          <w:color w:val="000000"/>
        </w:rPr>
        <w:t xml:space="preserve">2.12接地技术要求</w:t>
      </w:r>
      <w:r>
        <w:rPr>
          <w:color w:val="000000"/>
        </w:rPr>
      </w:r>
      <w:r/>
    </w:p>
    <w:p>
      <w:pPr>
        <w:pStyle w:val="1242"/>
        <w:spacing w:before="0" w:after="0" w:line="312" w:lineRule="exact"/>
        <w:rPr>
          <w:rFonts w:ascii="Times New Roman" w:eastAsia="宋体"/>
          <w:sz w:val="21"/>
          <w:szCs w:val="21"/>
        </w:rPr>
        <w:outlineLvl w:val="9"/>
      </w:pPr>
      <w:r>
        <w:rPr>
          <w:rFonts w:ascii="Times New Roman"/>
          <w:sz w:val="21"/>
          <w:szCs w:val="21"/>
        </w:rPr>
        <w:t xml:space="preserve">5.</w:t>
      </w:r>
      <w:r>
        <w:rPr>
          <w:rFonts w:hint="eastAsia" w:ascii="Times New Roman"/>
          <w:sz w:val="21"/>
          <w:szCs w:val="21"/>
        </w:rPr>
        <w:t xml:space="preserve">2.12</w:t>
      </w:r>
      <w:r>
        <w:rPr>
          <w:rFonts w:ascii="Times New Roman" w:eastAsia="宋体"/>
          <w:sz w:val="21"/>
          <w:szCs w:val="21"/>
        </w:rPr>
        <w:t xml:space="preserve">.1 对于中性点直接接地系统，接地回路应能承受的短时耐受电流最大值不小于主回路额定短时耐受电流；对于中性点不直接接地系统，接地回路应能承受的短时耐受电流最大值不小于主回路额定短时耐受电流的87%</w:t>
      </w:r>
      <w:r>
        <w:rPr>
          <w:rFonts w:ascii="Times New Roman" w:eastAsia="宋体"/>
          <w:sz w:val="21"/>
          <w:szCs w:val="21"/>
        </w:rPr>
        <w:t xml:space="preserve">。</w:t>
      </w:r>
      <w:r>
        <w:rPr>
          <w:rFonts w:ascii="Times New Roman" w:eastAsia="宋体"/>
          <w:sz w:val="21"/>
          <w:szCs w:val="21"/>
        </w:rPr>
      </w:r>
      <w:r/>
    </w:p>
    <w:p>
      <w:pPr>
        <w:pStyle w:val="1242"/>
        <w:spacing w:before="0" w:after="0" w:line="312" w:lineRule="exact"/>
        <w:rPr>
          <w:rFonts w:ascii="Times New Roman" w:eastAsia="宋体"/>
          <w:sz w:val="21"/>
        </w:rPr>
        <w:outlineLvl w:val="9"/>
      </w:pPr>
      <w:r>
        <w:rPr>
          <w:rFonts w:ascii="Times New Roman"/>
          <w:sz w:val="21"/>
          <w:szCs w:val="21"/>
        </w:rPr>
        <w:t xml:space="preserve">5.</w:t>
      </w:r>
      <w:r>
        <w:rPr>
          <w:rFonts w:hint="eastAsia" w:ascii="Times New Roman"/>
          <w:sz w:val="21"/>
          <w:szCs w:val="21"/>
        </w:rPr>
        <w:t xml:space="preserve">2.12</w:t>
      </w:r>
      <w:r>
        <w:rPr>
          <w:rFonts w:ascii="Times New Roman" w:eastAsia="宋体"/>
          <w:sz w:val="21"/>
          <w:szCs w:val="21"/>
        </w:rPr>
        <w:t xml:space="preserve">.2 </w:t>
      </w:r>
      <w:r>
        <w:rPr>
          <w:rFonts w:ascii="Times New Roman" w:eastAsia="宋体"/>
          <w:sz w:val="21"/>
          <w:szCs w:val="21"/>
        </w:rPr>
        <w:t xml:space="preserve">主回路的接</w:t>
      </w:r>
      <w:r>
        <w:rPr>
          <w:rFonts w:ascii="Times New Roman" w:eastAsia="宋体"/>
          <w:sz w:val="21"/>
        </w:rPr>
        <w:t xml:space="preserve">地按DL/T 404相关规定，并作如下补充：</w:t>
      </w:r>
      <w:r>
        <w:rPr>
          <w:rFonts w:ascii="Times New Roman" w:eastAsia="宋体"/>
          <w:sz w:val="21"/>
        </w:rPr>
      </w:r>
      <w:r/>
    </w:p>
    <w:p>
      <w:pPr>
        <w:pStyle w:val="1151"/>
        <w:ind w:left="420"/>
        <w:spacing w:line="312" w:lineRule="exact"/>
        <w:rPr>
          <w:szCs w:val="21"/>
        </w:rPr>
      </w:pPr>
      <w:r>
        <w:rPr>
          <w:szCs w:val="21"/>
        </w:rPr>
        <w:t xml:space="preserve">a）主回路中凡规定或需要人可触及的所有部件都应可靠接地并符合DL/T 621中的规</w:t>
      </w:r>
      <w:r>
        <w:rPr>
          <w:szCs w:val="21"/>
        </w:rPr>
      </w:r>
      <w:r/>
    </w:p>
    <w:p>
      <w:pPr>
        <w:pStyle w:val="1151"/>
        <w:ind w:firstLine="840"/>
        <w:spacing w:line="312" w:lineRule="exact"/>
        <w:rPr>
          <w:szCs w:val="21"/>
        </w:rPr>
      </w:pPr>
      <w:r>
        <w:rPr>
          <w:szCs w:val="21"/>
        </w:rPr>
        <w:t xml:space="preserve">定；接地母线应分别设有不少于二处与接地系统相连的端子，并应有明显的接地标</w:t>
      </w:r>
      <w:r>
        <w:rPr>
          <w:szCs w:val="21"/>
        </w:rPr>
      </w:r>
      <w:r/>
    </w:p>
    <w:p>
      <w:pPr>
        <w:pStyle w:val="1151"/>
        <w:ind w:firstLine="840"/>
        <w:spacing w:line="312" w:lineRule="exact"/>
        <w:rPr>
          <w:szCs w:val="21"/>
        </w:rPr>
      </w:pPr>
      <w:r>
        <w:rPr>
          <w:szCs w:val="21"/>
        </w:rPr>
        <w:t xml:space="preserve">志；</w:t>
      </w:r>
      <w:r>
        <w:rPr>
          <w:szCs w:val="21"/>
        </w:rPr>
      </w:r>
      <w:r/>
    </w:p>
    <w:p>
      <w:pPr>
        <w:pStyle w:val="1151"/>
        <w:ind w:left="840" w:hanging="420"/>
        <w:spacing w:line="312" w:lineRule="exact"/>
        <w:rPr>
          <w:szCs w:val="21"/>
        </w:rPr>
      </w:pPr>
      <w:r>
        <w:rPr>
          <w:szCs w:val="21"/>
        </w:rPr>
        <w:t xml:space="preserve">b）主回路中均应设置可靠的适用于规定故障条件的接地端子，该端子应有一紧固螺钉或螺栓用来连接接地导体，紧固螺钉或螺栓的直径应不小于12mm，接地连接点应标以清晰可见的接地符号；</w:t>
      </w:r>
      <w:r>
        <w:rPr>
          <w:szCs w:val="21"/>
        </w:rPr>
      </w:r>
      <w:r/>
    </w:p>
    <w:p>
      <w:pPr>
        <w:pStyle w:val="1151"/>
        <w:ind w:left="840" w:hanging="420"/>
        <w:spacing w:line="312" w:lineRule="exact"/>
        <w:rPr>
          <w:szCs w:val="21"/>
        </w:rPr>
      </w:pPr>
      <w:r>
        <w:rPr>
          <w:szCs w:val="21"/>
        </w:rPr>
        <w:t xml:space="preserve">c）接地连接点应标以GB/T 5465.2中规定的保护接地符号</w:t>
      </w:r>
      <w:r>
        <w:rPr>
          <w:rFonts w:hint="eastAsia"/>
          <w:szCs w:val="21"/>
        </w:rPr>
        <w:t xml:space="preserve">，</w:t>
      </w:r>
      <w:r>
        <w:rPr>
          <w:szCs w:val="21"/>
        </w:rPr>
        <w:t xml:space="preserve">与接地系统连接的金属外壳部分可以视为接地导体；</w:t>
      </w:r>
      <w:r>
        <w:rPr>
          <w:szCs w:val="21"/>
        </w:rPr>
      </w:r>
      <w:r/>
    </w:p>
    <w:p>
      <w:pPr>
        <w:pStyle w:val="1151"/>
        <w:ind w:left="840" w:hanging="420"/>
        <w:spacing w:line="312" w:lineRule="exact"/>
        <w:rPr>
          <w:szCs w:val="21"/>
        </w:rPr>
      </w:pPr>
      <w:r>
        <w:rPr>
          <w:szCs w:val="21"/>
        </w:rPr>
        <w:t xml:space="preserve">d）人可触及的电缆预制式电缆终端表面应涂覆半导电或导电屏蔽层，电缆终端半导电或导电屏蔽层连接后应与接地母线可靠连接；</w:t>
      </w:r>
      <w:r>
        <w:rPr>
          <w:szCs w:val="21"/>
        </w:rPr>
      </w:r>
      <w:r/>
    </w:p>
    <w:p>
      <w:pPr>
        <w:pStyle w:val="1151"/>
        <w:ind w:left="840" w:hanging="420"/>
        <w:spacing w:line="312" w:lineRule="exact"/>
        <w:rPr>
          <w:szCs w:val="21"/>
        </w:rPr>
      </w:pPr>
      <w:r>
        <w:rPr>
          <w:szCs w:val="21"/>
        </w:rPr>
        <w:t xml:space="preserve">e）接地导体应采用铜质导体，在规定的接地故障条件下，额定短路持续时间不应小于2s。接地导体截面不小于240mm</w:t>
      </w:r>
      <w:r>
        <w:rPr>
          <w:szCs w:val="21"/>
          <w:vertAlign w:val="superscript"/>
        </w:rPr>
        <w:t xml:space="preserve">2</w:t>
      </w:r>
      <w:r>
        <w:rPr>
          <w:szCs w:val="21"/>
        </w:rPr>
        <w:t xml:space="preserve">。接地导体的末端应用铜质端子与设备的接地系统相连接，端子的电气接触面积应与接地导体的截面相适应，但最小电气接触面积应不小于160mm</w:t>
      </w:r>
      <w:r>
        <w:rPr>
          <w:szCs w:val="21"/>
          <w:vertAlign w:val="superscript"/>
        </w:rPr>
        <w:t xml:space="preserve">2</w:t>
      </w:r>
      <w:r>
        <w:rPr>
          <w:szCs w:val="21"/>
        </w:rPr>
        <w:t xml:space="preserve">；</w:t>
      </w:r>
      <w:r>
        <w:rPr>
          <w:szCs w:val="21"/>
        </w:rPr>
      </w:r>
      <w:r/>
    </w:p>
    <w:p>
      <w:pPr>
        <w:pStyle w:val="1151"/>
        <w:ind w:left="840" w:hanging="420"/>
        <w:spacing w:line="312" w:lineRule="exact"/>
        <w:rPr>
          <w:szCs w:val="21"/>
        </w:rPr>
      </w:pPr>
      <w:r>
        <w:rPr>
          <w:szCs w:val="21"/>
        </w:rPr>
        <w:t xml:space="preserve">f）外壳应设置接地极（扁铁）引入孔。</w:t>
      </w:r>
      <w:r>
        <w:rPr>
          <w:szCs w:val="21"/>
        </w:rPr>
      </w:r>
      <w:r/>
    </w:p>
    <w:p>
      <w:pPr>
        <w:pStyle w:val="1151"/>
        <w:spacing w:line="312" w:lineRule="exact"/>
        <w:rPr>
          <w:szCs w:val="21"/>
        </w:rPr>
      </w:pPr>
      <w:r>
        <w:t xml:space="preserve">5.</w:t>
      </w:r>
      <w:r>
        <w:rPr>
          <w:rFonts w:hint="eastAsia"/>
          <w:szCs w:val="21"/>
        </w:rPr>
        <w:t xml:space="preserve">2.12</w:t>
      </w:r>
      <w:r>
        <w:rPr>
          <w:szCs w:val="21"/>
        </w:rPr>
        <w:t xml:space="preserve">.3 外壳的接地按DL/T 404相关规定，并作如下补充：</w:t>
      </w:r>
      <w:r>
        <w:rPr>
          <w:szCs w:val="21"/>
        </w:rPr>
      </w:r>
      <w:r/>
    </w:p>
    <w:p>
      <w:pPr>
        <w:pStyle w:val="1151"/>
        <w:ind w:left="840" w:hanging="420"/>
        <w:spacing w:line="312" w:lineRule="exact"/>
        <w:rPr>
          <w:szCs w:val="21"/>
        </w:rPr>
      </w:pPr>
      <w:r>
        <w:rPr>
          <w:szCs w:val="21"/>
        </w:rPr>
        <w:t xml:space="preserve">a）各个功能单元的外壳均应连接到接地导体上，除主回路和辅助回路之外的所有要接地的金属部件应直接或通过金属构件与接地导体相连接；</w:t>
      </w:r>
      <w:r>
        <w:rPr>
          <w:szCs w:val="21"/>
        </w:rPr>
      </w:r>
      <w:r/>
    </w:p>
    <w:p>
      <w:pPr>
        <w:pStyle w:val="1151"/>
        <w:ind w:left="840" w:hanging="420"/>
        <w:spacing w:line="312" w:lineRule="exact"/>
        <w:rPr>
          <w:szCs w:val="21"/>
        </w:rPr>
      </w:pPr>
      <w:r>
        <w:rPr>
          <w:szCs w:val="21"/>
        </w:rPr>
        <w:t xml:space="preserve">b）金属部件和外壳到接地端子之间通过30A直流电流时压降不大于3V。功能单元内部的相互连接应保证电气连续性；</w:t>
      </w:r>
      <w:r>
        <w:rPr>
          <w:szCs w:val="21"/>
        </w:rPr>
      </w:r>
      <w:r/>
    </w:p>
    <w:p>
      <w:pPr>
        <w:pStyle w:val="1151"/>
        <w:ind w:left="840" w:hanging="420"/>
        <w:spacing w:line="312" w:lineRule="exact"/>
        <w:rPr>
          <w:szCs w:val="21"/>
        </w:rPr>
      </w:pPr>
      <w:r>
        <w:rPr>
          <w:szCs w:val="21"/>
        </w:rPr>
        <w:t xml:space="preserve">c）环网柜的铰链应采用加强型，门和框架的接地端子间应用截面积不小于2.5mm</w:t>
      </w:r>
      <w:r>
        <w:rPr>
          <w:szCs w:val="21"/>
          <w:vertAlign w:val="superscript"/>
        </w:rPr>
        <w:t xml:space="preserve">2</w:t>
      </w:r>
      <w:r>
        <w:rPr>
          <w:szCs w:val="21"/>
        </w:rPr>
        <w:t xml:space="preserve">的软铜线连接；</w:t>
      </w:r>
      <w:r>
        <w:rPr>
          <w:szCs w:val="21"/>
        </w:rPr>
      </w:r>
      <w:r/>
    </w:p>
    <w:p>
      <w:pPr>
        <w:pStyle w:val="1151"/>
        <w:ind w:left="840" w:hanging="420"/>
        <w:spacing w:line="312" w:lineRule="exact"/>
        <w:rPr>
          <w:szCs w:val="21"/>
        </w:rPr>
      </w:pPr>
      <w:r>
        <w:rPr>
          <w:szCs w:val="21"/>
        </w:rPr>
        <w:t xml:space="preserve">d）二次控制仪表室应设有专用独立的接地导体；</w:t>
      </w:r>
      <w:r>
        <w:rPr>
          <w:szCs w:val="21"/>
        </w:rPr>
      </w:r>
      <w:r/>
    </w:p>
    <w:p>
      <w:pPr>
        <w:pStyle w:val="1151"/>
        <w:ind w:left="840" w:hanging="420"/>
        <w:spacing w:line="312" w:lineRule="exact"/>
        <w:rPr>
          <w:szCs w:val="21"/>
        </w:rPr>
      </w:pPr>
      <w:r>
        <w:rPr>
          <w:szCs w:val="21"/>
        </w:rPr>
        <w:t xml:space="preserve">e）当通过的电流引起热和机械应力时，应保障接地系统的连续性；</w:t>
      </w:r>
      <w:r>
        <w:rPr>
          <w:szCs w:val="21"/>
        </w:rPr>
      </w:r>
      <w:r/>
    </w:p>
    <w:p>
      <w:pPr>
        <w:pStyle w:val="1151"/>
        <w:ind w:left="840" w:hanging="420"/>
        <w:spacing w:line="312" w:lineRule="exact"/>
        <w:rPr>
          <w:szCs w:val="21"/>
        </w:rPr>
      </w:pPr>
      <w:r>
        <w:rPr>
          <w:szCs w:val="21"/>
        </w:rPr>
        <w:t xml:space="preserve">f）可移开部件应接地的金属部件，在试验位置、隔离位置及任何中间位置均应保持接地；</w:t>
      </w:r>
      <w:r>
        <w:rPr>
          <w:szCs w:val="21"/>
        </w:rPr>
      </w:r>
      <w:r/>
    </w:p>
    <w:p>
      <w:pPr>
        <w:pStyle w:val="1201"/>
        <w:spacing w:line="312" w:lineRule="exact"/>
        <w:tabs>
          <w:tab w:val="center" w:pos="4201" w:leader="none"/>
          <w:tab w:val="right" w:pos="9298" w:leader="dot"/>
        </w:tabs>
        <w:rPr>
          <w:rFonts w:ascii="Times New Roman"/>
          <w:szCs w:val="21"/>
        </w:rPr>
      </w:pPr>
      <w:r>
        <w:rPr>
          <w:rFonts w:ascii="Times New Roman"/>
          <w:szCs w:val="21"/>
        </w:rPr>
        <w:t xml:space="preserve">g）可移开部件应接地的金属部件，在插入和抽出过程中，在静触头和主回路的可移开</w:t>
      </w:r>
      <w:r>
        <w:rPr>
          <w:rFonts w:ascii="Times New Roman"/>
          <w:szCs w:val="21"/>
        </w:rPr>
      </w:r>
      <w:r/>
    </w:p>
    <w:p>
      <w:pPr>
        <w:pStyle w:val="1201"/>
        <w:ind w:firstLine="800"/>
        <w:spacing w:line="312" w:lineRule="exact"/>
        <w:tabs>
          <w:tab w:val="center" w:pos="4201" w:leader="none"/>
          <w:tab w:val="right" w:pos="9298" w:leader="dot"/>
        </w:tabs>
        <w:rPr>
          <w:rFonts w:ascii="Times New Roman"/>
          <w:szCs w:val="21"/>
        </w:rPr>
      </w:pPr>
      <w:r>
        <w:rPr>
          <w:rFonts w:ascii="Times New Roman"/>
          <w:szCs w:val="21"/>
        </w:rPr>
        <w:t xml:space="preserve">部件接触之前和分离过程中应接地，以保证能通过可能的最大短路电流。</w:t>
      </w:r>
      <w:r>
        <w:rPr>
          <w:rFonts w:ascii="Times New Roman"/>
          <w:szCs w:val="21"/>
        </w:rPr>
      </w:r>
      <w:r/>
    </w:p>
    <w:p>
      <w:pPr>
        <w:pStyle w:val="1240"/>
        <w:rPr>
          <w:rFonts w:ascii="Times New Roman"/>
          <w:color w:val="000000"/>
        </w:rPr>
      </w:pPr>
      <w:r>
        <w:rPr>
          <w:rFonts w:ascii="Times New Roman" w:eastAsia="宋体"/>
          <w:color w:val="000000"/>
          <w:szCs w:val="24"/>
        </w:rPr>
        <w:t xml:space="preserve">5.</w:t>
      </w:r>
      <w:r>
        <w:rPr>
          <w:rFonts w:hint="eastAsia" w:ascii="Times New Roman"/>
        </w:rPr>
        <w:t xml:space="preserve">2.12</w:t>
      </w:r>
      <w:r>
        <w:rPr>
          <w:rFonts w:ascii="Times New Roman" w:eastAsia="宋体"/>
          <w:color w:val="000000"/>
          <w:szCs w:val="24"/>
        </w:rPr>
        <w:t xml:space="preserve">.4 </w:t>
      </w:r>
      <w:r>
        <w:rPr>
          <w:rFonts w:ascii="Times New Roman" w:eastAsia="宋体"/>
          <w:color w:val="000000"/>
        </w:rPr>
        <w:t xml:space="preserve">接地要求：</w:t>
      </w:r>
      <w:r>
        <w:rPr>
          <w:rFonts w:ascii="Times New Roman"/>
          <w:color w:val="000000"/>
        </w:rPr>
      </w:r>
      <w:r/>
    </w:p>
    <w:p>
      <w:pPr>
        <w:pStyle w:val="1151"/>
        <w:ind w:left="840" w:hanging="420"/>
        <w:spacing w:line="312" w:lineRule="exact"/>
        <w:rPr>
          <w:szCs w:val="21"/>
        </w:rPr>
      </w:pPr>
      <w:r>
        <w:rPr>
          <w:szCs w:val="21"/>
        </w:rPr>
        <w:t xml:space="preserve">a）</w:t>
      </w:r>
      <w:r>
        <w:rPr>
          <w:szCs w:val="21"/>
        </w:rPr>
        <w:tab/>
      </w:r>
      <w:r>
        <w:rPr>
          <w:szCs w:val="21"/>
        </w:rPr>
        <w:t xml:space="preserve">接地母线应为扁铜排，最小截面为240mm</w:t>
      </w:r>
      <w:r>
        <w:rPr>
          <w:szCs w:val="21"/>
          <w:vertAlign w:val="superscript"/>
        </w:rPr>
        <w:t xml:space="preserve">2</w:t>
      </w:r>
      <w:r>
        <w:rPr>
          <w:szCs w:val="21"/>
        </w:rPr>
        <w:t xml:space="preserve">，所有需要接地的设备和回路需接于此排。至少需备有两个适用于120mm</w:t>
      </w:r>
      <w:r>
        <w:rPr>
          <w:szCs w:val="21"/>
          <w:vertAlign w:val="superscript"/>
        </w:rPr>
        <w:t xml:space="preserve">2</w:t>
      </w:r>
      <w:r>
        <w:rPr>
          <w:szCs w:val="21"/>
        </w:rPr>
        <w:t xml:space="preserve">铜电缆的端末连接器以便将此接地母线接至开关站接地系统。</w:t>
      </w:r>
      <w:r>
        <w:rPr>
          <w:szCs w:val="21"/>
        </w:rPr>
      </w:r>
      <w:r/>
    </w:p>
    <w:p>
      <w:pPr>
        <w:pStyle w:val="1151"/>
        <w:ind w:left="840" w:hanging="420"/>
        <w:spacing w:line="312" w:lineRule="exact"/>
        <w:rPr>
          <w:szCs w:val="21"/>
        </w:rPr>
      </w:pPr>
      <w:r>
        <w:rPr>
          <w:szCs w:val="21"/>
        </w:rPr>
        <w:t xml:space="preserve">b）</w:t>
      </w:r>
      <w:r>
        <w:rPr>
          <w:szCs w:val="21"/>
        </w:rPr>
        <w:tab/>
      </w:r>
      <w:r>
        <w:rPr>
          <w:szCs w:val="21"/>
        </w:rPr>
        <w:t xml:space="preserve">每个环网柜的外壳应通过专门的接地点可靠接地，接地回路应满足短路电流的动、热稳定要求。凡不属主回路或辅助回路的预定要接地的所有金属部分都应接地。外壳、框架等的相互电气连接宜用紧固连接，以保证电气上连通，接地点应标以接地符号。</w:t>
      </w:r>
      <w:r>
        <w:rPr>
          <w:szCs w:val="21"/>
        </w:rPr>
      </w:r>
      <w:r/>
    </w:p>
    <w:p>
      <w:pPr>
        <w:pStyle w:val="1151"/>
        <w:ind w:left="840" w:hanging="420"/>
        <w:spacing w:line="312" w:lineRule="exact"/>
        <w:rPr>
          <w:szCs w:val="21"/>
        </w:rPr>
      </w:pPr>
      <w:r>
        <w:rPr>
          <w:szCs w:val="21"/>
        </w:rPr>
        <w:t xml:space="preserve">c）</w:t>
      </w:r>
      <w:r>
        <w:rPr>
          <w:szCs w:val="21"/>
        </w:rPr>
        <w:tab/>
      </w:r>
      <w:r>
        <w:rPr>
          <w:szCs w:val="21"/>
        </w:rPr>
        <w:t xml:space="preserve">接地点的接触面和接地连线的截面积应能安全地通过故障接地电流。</w:t>
      </w:r>
      <w:r>
        <w:rPr>
          <w:szCs w:val="21"/>
        </w:rPr>
      </w:r>
      <w:r/>
    </w:p>
    <w:p>
      <w:pPr>
        <w:pStyle w:val="1151"/>
        <w:ind w:left="840" w:hanging="420"/>
        <w:spacing w:line="312" w:lineRule="exact"/>
        <w:rPr>
          <w:szCs w:val="21"/>
        </w:rPr>
      </w:pPr>
      <w:r>
        <w:rPr>
          <w:szCs w:val="21"/>
        </w:rPr>
        <w:t xml:space="preserve">d）</w:t>
      </w:r>
      <w:r>
        <w:rPr>
          <w:szCs w:val="21"/>
        </w:rPr>
        <w:tab/>
      </w:r>
      <w:r>
        <w:rPr>
          <w:szCs w:val="21"/>
        </w:rPr>
        <w:t xml:space="preserve">紧固接地螺栓的直径不得小于12mm。接地点应标有接地符号。</w:t>
      </w:r>
      <w:r>
        <w:rPr>
          <w:szCs w:val="21"/>
        </w:rPr>
      </w:r>
      <w:r/>
    </w:p>
    <w:p>
      <w:pPr>
        <w:pStyle w:val="1151"/>
        <w:ind w:left="840" w:hanging="420"/>
        <w:spacing w:line="312" w:lineRule="exact"/>
        <w:rPr>
          <w:szCs w:val="21"/>
        </w:rPr>
      </w:pPr>
      <w:r>
        <w:rPr>
          <w:szCs w:val="21"/>
        </w:rPr>
        <w:t xml:space="preserve">e）</w:t>
      </w:r>
      <w:r>
        <w:rPr>
          <w:szCs w:val="21"/>
        </w:rPr>
        <w:tab/>
      </w:r>
      <w:r>
        <w:rPr>
          <w:szCs w:val="21"/>
        </w:rPr>
        <w:t xml:space="preserve">主回路应有可靠接地设施，以保证维修工作的安全。</w:t>
      </w:r>
      <w:r>
        <w:rPr>
          <w:szCs w:val="21"/>
        </w:rPr>
      </w:r>
      <w:r/>
    </w:p>
    <w:p>
      <w:pPr>
        <w:pStyle w:val="1240"/>
        <w:rPr>
          <w:color w:val="000000"/>
        </w:rPr>
        <w:outlineLvl w:val="2"/>
      </w:pPr>
      <w:r>
        <w:rPr>
          <w:color w:val="000000"/>
        </w:rPr>
        <w:t xml:space="preserve">5.</w:t>
      </w:r>
      <w:r>
        <w:rPr>
          <w:rFonts w:hint="eastAsia"/>
          <w:color w:val="000000"/>
        </w:rPr>
        <w:t xml:space="preserve">2.13二次设备技术要求</w:t>
      </w:r>
      <w:r>
        <w:rPr>
          <w:color w:val="000000"/>
        </w:rPr>
      </w:r>
      <w:r/>
    </w:p>
    <w:p>
      <w:pPr>
        <w:pStyle w:val="1240"/>
        <w:rPr>
          <w:rFonts w:ascii="Times New Roman"/>
          <w:color w:val="000000"/>
        </w:rPr>
      </w:pPr>
      <w:r>
        <w:rPr>
          <w:rFonts w:ascii="Times New Roman"/>
          <w:color w:val="000000"/>
        </w:rPr>
        <w:t xml:space="preserve">5.</w:t>
      </w:r>
      <w:r>
        <w:rPr>
          <w:rFonts w:hint="eastAsia" w:ascii="Times New Roman"/>
          <w:color w:val="000000"/>
        </w:rPr>
        <w:t xml:space="preserve">2.13</w:t>
      </w:r>
      <w:r>
        <w:rPr>
          <w:rFonts w:ascii="Times New Roman"/>
          <w:color w:val="000000"/>
          <w:spacing w:val="20"/>
        </w:rPr>
        <w:t xml:space="preserve">.</w:t>
      </w:r>
      <w:r>
        <w:rPr>
          <w:rFonts w:ascii="Times New Roman"/>
          <w:color w:val="000000"/>
        </w:rPr>
        <w:t xml:space="preserve">1　</w:t>
      </w:r>
      <w:r>
        <w:rPr>
          <w:rFonts w:ascii="Times New Roman" w:eastAsia="宋体"/>
          <w:color w:val="000000"/>
        </w:rPr>
        <w:t xml:space="preserve">总的要求</w:t>
      </w:r>
      <w:r>
        <w:rPr>
          <w:rFonts w:ascii="Times New Roman"/>
          <w:color w:val="000000"/>
        </w:rPr>
      </w:r>
      <w:r/>
    </w:p>
    <w:p>
      <w:pPr>
        <w:pStyle w:val="1151"/>
        <w:ind w:left="840" w:hanging="420"/>
        <w:spacing w:line="312" w:lineRule="exact"/>
        <w:rPr>
          <w:szCs w:val="21"/>
        </w:rPr>
      </w:pPr>
      <w:r>
        <w:rPr>
          <w:szCs w:val="21"/>
        </w:rPr>
        <w:t xml:space="preserve">a）</w:t>
      </w:r>
      <w:r>
        <w:rPr>
          <w:szCs w:val="21"/>
        </w:rPr>
        <w:tab/>
      </w:r>
      <w:r>
        <w:rPr>
          <w:szCs w:val="21"/>
        </w:rPr>
        <w:t xml:space="preserve">环网柜应具备规范要求的“五防”闭锁功能。</w:t>
      </w:r>
      <w:r>
        <w:rPr>
          <w:szCs w:val="21"/>
        </w:rPr>
      </w:r>
      <w:r/>
    </w:p>
    <w:p>
      <w:pPr>
        <w:pStyle w:val="1151"/>
        <w:ind w:left="840" w:hanging="420"/>
        <w:spacing w:line="312" w:lineRule="exact"/>
        <w:rPr>
          <w:szCs w:val="21"/>
        </w:rPr>
      </w:pPr>
      <w:r>
        <w:rPr>
          <w:szCs w:val="21"/>
        </w:rPr>
        <w:t xml:space="preserve">b）</w:t>
      </w:r>
      <w:r>
        <w:rPr>
          <w:szCs w:val="21"/>
        </w:rPr>
        <w:tab/>
      </w:r>
      <w:r>
        <w:rPr>
          <w:szCs w:val="21"/>
        </w:rPr>
        <w:t xml:space="preserve">环网柜仪表室、电缆室应有照明装置，柜内应具备驱潮及加热设施。</w:t>
      </w:r>
      <w:r>
        <w:rPr>
          <w:szCs w:val="21"/>
        </w:rPr>
      </w:r>
      <w:r/>
    </w:p>
    <w:p>
      <w:pPr>
        <w:pStyle w:val="1151"/>
        <w:ind w:left="840" w:hanging="420"/>
        <w:spacing w:line="312" w:lineRule="exact"/>
        <w:rPr>
          <w:szCs w:val="21"/>
        </w:rPr>
      </w:pPr>
      <w:r>
        <w:rPr>
          <w:szCs w:val="21"/>
        </w:rPr>
        <w:t xml:space="preserve">c）</w:t>
      </w:r>
      <w:r>
        <w:rPr>
          <w:szCs w:val="21"/>
        </w:rPr>
        <w:tab/>
      </w:r>
      <w:r>
        <w:rPr>
          <w:szCs w:val="21"/>
        </w:rPr>
        <w:t xml:space="preserve">仪表室应设有专用接地铜排，截面不小于100mm</w:t>
      </w:r>
      <w:r>
        <w:rPr>
          <w:szCs w:val="21"/>
          <w:vertAlign w:val="superscript"/>
        </w:rPr>
        <w:t xml:space="preserve">2</w:t>
      </w:r>
      <w:r>
        <w:rPr>
          <w:szCs w:val="21"/>
        </w:rPr>
        <w:t xml:space="preserve">，铜排两端应装设足够的螺栓以备接至变电站的等电位接地网上。</w:t>
      </w:r>
      <w:r>
        <w:rPr>
          <w:szCs w:val="21"/>
        </w:rPr>
      </w:r>
      <w:r/>
    </w:p>
    <w:p>
      <w:pPr>
        <w:pStyle w:val="1240"/>
        <w:rPr>
          <w:rFonts w:ascii="Times New Roman"/>
          <w:color w:val="000000"/>
        </w:rPr>
      </w:pPr>
      <w:r>
        <w:rPr>
          <w:rFonts w:ascii="Times New Roman"/>
          <w:color w:val="000000"/>
        </w:rPr>
        <w:t xml:space="preserve">5.</w:t>
      </w:r>
      <w:r>
        <w:rPr>
          <w:rFonts w:hint="eastAsia" w:ascii="Times New Roman"/>
          <w:color w:val="000000"/>
        </w:rPr>
        <w:t xml:space="preserve">2.13</w:t>
      </w:r>
      <w:r>
        <w:rPr>
          <w:rFonts w:ascii="Times New Roman"/>
          <w:color w:val="000000"/>
          <w:spacing w:val="20"/>
        </w:rPr>
        <w:t xml:space="preserve">.</w:t>
      </w:r>
      <w:r>
        <w:rPr>
          <w:rFonts w:ascii="Times New Roman"/>
          <w:color w:val="000000"/>
        </w:rPr>
        <w:t xml:space="preserve">2　</w:t>
      </w:r>
      <w:r>
        <w:rPr>
          <w:rFonts w:ascii="Times New Roman" w:eastAsia="宋体"/>
          <w:color w:val="000000"/>
        </w:rPr>
        <w:t xml:space="preserve">回路要求</w:t>
      </w:r>
      <w:r>
        <w:rPr>
          <w:rFonts w:ascii="Times New Roman"/>
          <w:color w:val="000000"/>
        </w:rPr>
      </w:r>
      <w:r/>
    </w:p>
    <w:p>
      <w:pPr>
        <w:pStyle w:val="1151"/>
        <w:ind w:left="840" w:hanging="420"/>
        <w:spacing w:line="312" w:lineRule="exact"/>
        <w:rPr>
          <w:szCs w:val="21"/>
        </w:rPr>
      </w:pPr>
      <w:r>
        <w:rPr>
          <w:szCs w:val="21"/>
        </w:rPr>
        <w:t xml:space="preserve">a）</w:t>
      </w:r>
      <w:r>
        <w:rPr>
          <w:szCs w:val="21"/>
        </w:rPr>
        <w:tab/>
      </w:r>
      <w:r>
        <w:rPr>
          <w:szCs w:val="21"/>
        </w:rPr>
        <w:t xml:space="preserve">环网柜应装设断路器远方和就地操作切换把手。</w:t>
      </w:r>
      <w:r>
        <w:rPr>
          <w:szCs w:val="21"/>
        </w:rPr>
      </w:r>
      <w:r/>
    </w:p>
    <w:p>
      <w:pPr>
        <w:pStyle w:val="1151"/>
        <w:ind w:left="840" w:hanging="420"/>
        <w:spacing w:line="312" w:lineRule="exact"/>
        <w:rPr>
          <w:szCs w:val="21"/>
        </w:rPr>
      </w:pPr>
      <w:r>
        <w:rPr>
          <w:szCs w:val="21"/>
        </w:rPr>
        <w:t xml:space="preserve">b）</w:t>
      </w:r>
      <w:r>
        <w:rPr>
          <w:szCs w:val="21"/>
        </w:rPr>
        <w:tab/>
      </w:r>
      <w:r>
        <w:rPr>
          <w:szCs w:val="21"/>
        </w:rPr>
        <w:t xml:space="preserve">应具备监视断路器分合闸状态外回路。</w:t>
      </w:r>
      <w:r>
        <w:rPr>
          <w:szCs w:val="21"/>
        </w:rPr>
      </w:r>
      <w:r/>
    </w:p>
    <w:p>
      <w:pPr>
        <w:pStyle w:val="1151"/>
        <w:ind w:left="840" w:hanging="420"/>
        <w:spacing w:line="312" w:lineRule="exact"/>
        <w:rPr>
          <w:szCs w:val="21"/>
        </w:rPr>
      </w:pPr>
      <w:r>
        <w:rPr>
          <w:szCs w:val="21"/>
        </w:rPr>
        <w:t xml:space="preserve">c）</w:t>
      </w:r>
      <w:r>
        <w:rPr>
          <w:szCs w:val="21"/>
        </w:rPr>
        <w:tab/>
      </w:r>
      <w:r>
        <w:rPr>
          <w:szCs w:val="21"/>
        </w:rPr>
        <w:t xml:space="preserve">环网柜中对控制或辅助功能正常要求的辅助触点之外，每台环网柜应提供6动合、6动断辅助触点供用户使用，</w:t>
      </w:r>
      <w:bookmarkStart w:id="211" w:name="_Hlk55909844"/>
      <w:r>
        <w:rPr>
          <w:rFonts w:hint="eastAsia"/>
          <w:szCs w:val="21"/>
        </w:rPr>
        <w:t xml:space="preserve">其中4动合、3</w:t>
      </w:r>
      <w:r>
        <w:rPr>
          <w:szCs w:val="21"/>
        </w:rPr>
        <w:t xml:space="preserve">动断辅助触点</w:t>
      </w:r>
      <w:r>
        <w:rPr>
          <w:rFonts w:hint="eastAsia"/>
          <w:szCs w:val="21"/>
        </w:rPr>
        <w:t xml:space="preserve">接入二次模块中</w:t>
      </w:r>
      <w:r>
        <w:rPr>
          <w:szCs w:val="21"/>
        </w:rPr>
        <w:t xml:space="preserve">。</w:t>
      </w:r>
      <w:bookmarkEnd w:id="211"/>
      <w:r>
        <w:rPr>
          <w:szCs w:val="21"/>
        </w:rPr>
      </w:r>
      <w:r/>
    </w:p>
    <w:p>
      <w:pPr>
        <w:pStyle w:val="1240"/>
        <w:rPr>
          <w:rFonts w:ascii="Times New Roman"/>
          <w:color w:val="000000"/>
        </w:rPr>
      </w:pPr>
      <w:r>
        <w:rPr>
          <w:rFonts w:ascii="Times New Roman"/>
          <w:color w:val="000000"/>
        </w:rPr>
        <w:t xml:space="preserve">5.</w:t>
      </w:r>
      <w:r>
        <w:rPr>
          <w:rFonts w:hint="eastAsia" w:ascii="Times New Roman"/>
          <w:color w:val="000000"/>
        </w:rPr>
        <w:t xml:space="preserve">2.13</w:t>
      </w:r>
      <w:r>
        <w:rPr>
          <w:rFonts w:ascii="Times New Roman"/>
          <w:color w:val="000000"/>
          <w:spacing w:val="20"/>
        </w:rPr>
        <w:t xml:space="preserve">.</w:t>
      </w:r>
      <w:r>
        <w:rPr>
          <w:rFonts w:ascii="Times New Roman"/>
          <w:color w:val="000000"/>
        </w:rPr>
        <w:t xml:space="preserve">3　</w:t>
      </w:r>
      <w:r>
        <w:rPr>
          <w:rFonts w:ascii="Times New Roman" w:eastAsia="宋体"/>
          <w:color w:val="000000"/>
        </w:rPr>
        <w:t xml:space="preserve">电源配置</w:t>
      </w:r>
      <w:r>
        <w:rPr>
          <w:rFonts w:ascii="Times New Roman"/>
          <w:color w:val="000000"/>
        </w:rPr>
      </w:r>
      <w:r/>
    </w:p>
    <w:p>
      <w:pPr>
        <w:pStyle w:val="1151"/>
        <w:ind w:firstLine="420"/>
        <w:spacing w:line="312" w:lineRule="exact"/>
        <w:rPr>
          <w:szCs w:val="21"/>
        </w:rPr>
      </w:pPr>
      <w:r>
        <w:rPr>
          <w:szCs w:val="21"/>
        </w:rPr>
        <w:t xml:space="preserve">环网柜内按照交流、直流及保护、控制、联锁等不同要求设置电源小空开。</w:t>
      </w:r>
      <w:r>
        <w:rPr>
          <w:szCs w:val="21"/>
        </w:rPr>
      </w:r>
      <w:r/>
    </w:p>
    <w:p>
      <w:pPr>
        <w:pStyle w:val="1240"/>
        <w:rPr>
          <w:rFonts w:ascii="Times New Roman" w:eastAsia="宋体"/>
          <w:color w:val="000000"/>
        </w:rPr>
      </w:pPr>
      <w:r/>
      <w:bookmarkStart w:id="212" w:name="_Hlk55909880"/>
      <w:r>
        <w:rPr>
          <w:rFonts w:ascii="Times New Roman"/>
          <w:color w:val="000000"/>
        </w:rPr>
        <w:t xml:space="preserve">5.</w:t>
      </w:r>
      <w:r>
        <w:rPr>
          <w:rFonts w:hint="eastAsia" w:ascii="Times New Roman"/>
          <w:color w:val="000000"/>
        </w:rPr>
        <w:t xml:space="preserve">2.13</w:t>
      </w:r>
      <w:r>
        <w:rPr>
          <w:rFonts w:ascii="Times New Roman" w:eastAsia="宋体"/>
          <w:color w:val="000000"/>
        </w:rPr>
        <w:t xml:space="preserve">.4　</w:t>
      </w:r>
      <w:r>
        <w:rPr>
          <w:rFonts w:hint="eastAsia" w:ascii="Times New Roman" w:eastAsia="宋体"/>
          <w:color w:val="000000"/>
        </w:rPr>
        <w:t xml:space="preserve">矩形连接器</w:t>
      </w:r>
      <w:r>
        <w:rPr>
          <w:rFonts w:ascii="Times New Roman" w:eastAsia="宋体"/>
          <w:color w:val="000000"/>
        </w:rPr>
        <w:t xml:space="preserve">要求</w:t>
      </w:r>
      <w:r>
        <w:rPr>
          <w:rFonts w:ascii="Times New Roman" w:eastAsia="宋体"/>
          <w:color w:val="000000"/>
        </w:rPr>
      </w:r>
      <w:r/>
    </w:p>
    <w:p>
      <w:pPr>
        <w:pStyle w:val="1151"/>
        <w:ind w:firstLine="408"/>
        <w:spacing w:line="312" w:lineRule="exact"/>
        <w:rPr>
          <w:spacing w:val="-3"/>
          <w:szCs w:val="21"/>
        </w:rPr>
      </w:pPr>
      <w:r>
        <w:rPr>
          <w:spacing w:val="-3"/>
          <w:szCs w:val="21"/>
        </w:rPr>
        <w:t xml:space="preserve">环网柜</w:t>
      </w:r>
      <w:r>
        <w:rPr>
          <w:rFonts w:hint="eastAsia"/>
          <w:spacing w:val="-3"/>
          <w:szCs w:val="21"/>
        </w:rPr>
        <w:t xml:space="preserve">一次引出</w:t>
      </w:r>
      <w:r>
        <w:rPr>
          <w:spacing w:val="-3"/>
          <w:szCs w:val="21"/>
        </w:rPr>
        <w:t xml:space="preserve">的</w:t>
      </w:r>
      <w:r>
        <w:rPr>
          <w:rFonts w:hint="eastAsia"/>
          <w:spacing w:val="-3"/>
          <w:szCs w:val="21"/>
        </w:rPr>
        <w:t xml:space="preserve">矩形连接器包含</w:t>
      </w:r>
      <w:r>
        <w:rPr>
          <w:spacing w:val="-3"/>
          <w:szCs w:val="21"/>
        </w:rPr>
        <w:t xml:space="preserve">：电流互感器回路、电压互感器回路、交流电源回路、直流电源回路、断路器的控制、操作回路。</w:t>
      </w:r>
      <w:r>
        <w:rPr>
          <w:spacing w:val="-3"/>
          <w:szCs w:val="21"/>
        </w:rPr>
      </w:r>
      <w:r/>
    </w:p>
    <w:p>
      <w:pPr>
        <w:pStyle w:val="1240"/>
        <w:rPr>
          <w:rFonts w:ascii="Times New Roman" w:eastAsia="宋体"/>
        </w:rPr>
      </w:pPr>
      <w:r/>
      <w:bookmarkEnd w:id="212"/>
      <w:r>
        <w:rPr>
          <w:rFonts w:ascii="Times New Roman" w:eastAsia="宋体"/>
          <w:color w:val="000000"/>
        </w:rPr>
        <w:t xml:space="preserve">5.</w:t>
      </w:r>
      <w:r>
        <w:rPr>
          <w:rFonts w:hint="eastAsia" w:ascii="Times New Roman"/>
          <w:color w:val="000000"/>
        </w:rPr>
        <w:t xml:space="preserve">2.13</w:t>
      </w:r>
      <w:r>
        <w:rPr>
          <w:rFonts w:ascii="Times New Roman" w:eastAsia="宋体"/>
          <w:color w:val="000000"/>
        </w:rPr>
        <w:t xml:space="preserve">.5</w:t>
      </w:r>
      <w:r>
        <w:rPr>
          <w:rFonts w:hint="eastAsia" w:ascii="Times New Roman" w:eastAsia="宋体"/>
          <w:color w:val="000000"/>
        </w:rPr>
        <w:t xml:space="preserve">电气接线</w:t>
      </w:r>
      <w:r>
        <w:rPr>
          <w:rFonts w:ascii="Times New Roman" w:eastAsia="宋体"/>
        </w:rPr>
      </w:r>
      <w:r/>
    </w:p>
    <w:p>
      <w:pPr>
        <w:pStyle w:val="1151"/>
        <w:ind w:left="840" w:hanging="420"/>
        <w:spacing w:line="312" w:lineRule="exact"/>
        <w:rPr>
          <w:szCs w:val="21"/>
        </w:rPr>
      </w:pPr>
      <w:r>
        <w:rPr>
          <w:szCs w:val="21"/>
        </w:rPr>
        <w:t xml:space="preserve">a）环网柜内控制、电源、通信、接地等所有的二次线均用阻燃型软管或金属软管或线</w:t>
      </w:r>
      <w:r>
        <w:rPr>
          <w:szCs w:val="21"/>
        </w:rPr>
      </w:r>
      <w:r/>
    </w:p>
    <w:p>
      <w:pPr>
        <w:pStyle w:val="1151"/>
        <w:ind w:firstLine="840"/>
        <w:spacing w:line="312" w:lineRule="exact"/>
        <w:rPr>
          <w:szCs w:val="21"/>
        </w:rPr>
      </w:pPr>
      <w:r>
        <w:rPr>
          <w:szCs w:val="21"/>
        </w:rPr>
        <w:t xml:space="preserve">槽进行全密封，应采用塑料扎带固定，不允许采用粘贴方式固定；</w:t>
      </w:r>
      <w:r>
        <w:rPr>
          <w:szCs w:val="21"/>
        </w:rPr>
      </w:r>
      <w:r/>
    </w:p>
    <w:p>
      <w:pPr>
        <w:pStyle w:val="1151"/>
        <w:ind w:left="840" w:hanging="420"/>
        <w:spacing w:line="312" w:lineRule="exact"/>
        <w:rPr>
          <w:szCs w:val="21"/>
        </w:rPr>
      </w:pPr>
      <w:r>
        <w:rPr>
          <w:szCs w:val="21"/>
        </w:rPr>
        <w:t xml:space="preserve">b）环网柜上的各电器元件应能单独拆装更换而不影响其它电器及导线束的固定。每件设备的装配和接线均应考虑在不中断相邻设备正常运行的条件下无阻碍地接触各机构器件并能完成拆卸、更换工作；</w:t>
      </w:r>
      <w:r>
        <w:rPr>
          <w:szCs w:val="21"/>
        </w:rPr>
      </w:r>
      <w:r/>
    </w:p>
    <w:p>
      <w:pPr>
        <w:pStyle w:val="1151"/>
        <w:ind w:left="840" w:hanging="420"/>
        <w:spacing w:line="312" w:lineRule="exact"/>
        <w:rPr>
          <w:szCs w:val="21"/>
          <w:highlight w:val="yellow"/>
        </w:rPr>
      </w:pPr>
      <w:r>
        <w:rPr>
          <w:szCs w:val="21"/>
        </w:rPr>
        <w:t xml:space="preserve">c）</w:t>
      </w:r>
      <w:bookmarkStart w:id="213" w:name="_Hlk55909931"/>
      <w:r>
        <w:rPr>
          <w:szCs w:val="21"/>
        </w:rPr>
        <w:t xml:space="preserve">环网柜内二次回路接线</w:t>
      </w:r>
      <w:r>
        <w:rPr>
          <w:rFonts w:hint="eastAsia"/>
          <w:szCs w:val="21"/>
        </w:rPr>
        <w:t xml:space="preserve">采用矩形连接器形式，</w:t>
      </w:r>
      <w:bookmarkEnd w:id="213"/>
      <w:r>
        <w:rPr>
          <w:szCs w:val="21"/>
        </w:rPr>
        <w:t xml:space="preserve">应具备防尘与阻燃功能；</w:t>
      </w:r>
      <w:r>
        <w:rPr>
          <w:szCs w:val="21"/>
          <w:highlight w:val="yellow"/>
        </w:rPr>
      </w:r>
      <w:r/>
    </w:p>
    <w:p>
      <w:pPr>
        <w:pStyle w:val="1151"/>
        <w:ind w:left="840" w:hanging="420"/>
        <w:spacing w:line="312" w:lineRule="exact"/>
        <w:rPr>
          <w:szCs w:val="21"/>
        </w:rPr>
      </w:pPr>
      <w:r>
        <w:rPr>
          <w:rFonts w:hint="eastAsia"/>
          <w:szCs w:val="21"/>
        </w:rPr>
        <w:t xml:space="preserve">d</w:t>
      </w:r>
      <w:r>
        <w:rPr>
          <w:szCs w:val="21"/>
        </w:rPr>
        <w:t xml:space="preserve">）环网柜、二次回路及端子的编号均使用拉丁字母、阿拉伯数字，此编号均与所提供的文件、图纸相一致，接地端子应标示明确。电缆两端有标示牌、标明电缆编号及对端连接单元名称。二次接线芯线号头编号应用标签机打印，标识应齐全、统一，字迹清晰、不易脱落；</w:t>
      </w:r>
      <w:r>
        <w:rPr>
          <w:szCs w:val="21"/>
        </w:rPr>
      </w:r>
      <w:r/>
    </w:p>
    <w:p>
      <w:pPr>
        <w:pStyle w:val="1151"/>
        <w:spacing w:line="312" w:lineRule="exact"/>
        <w:rPr>
          <w:szCs w:val="21"/>
        </w:rPr>
      </w:pPr>
      <w:r/>
      <w:bookmarkStart w:id="214" w:name="_Toc531852736"/>
      <w:r>
        <w:rPr>
          <w:rFonts w:eastAsia="黑体"/>
          <w:szCs w:val="21"/>
        </w:rPr>
        <w:t xml:space="preserve">5.</w:t>
      </w:r>
      <w:r>
        <w:rPr>
          <w:rFonts w:hint="eastAsia"/>
        </w:rPr>
        <w:t xml:space="preserve">2.13</w:t>
      </w:r>
      <w:r>
        <w:rPr>
          <w:szCs w:val="21"/>
        </w:rPr>
        <w:t xml:space="preserve">.6 仪表门</w:t>
      </w:r>
      <w:bookmarkEnd w:id="214"/>
      <w:r>
        <w:rPr>
          <w:szCs w:val="21"/>
        </w:rPr>
      </w:r>
      <w:r/>
    </w:p>
    <w:p>
      <w:pPr>
        <w:pStyle w:val="1151"/>
        <w:ind w:firstLine="420"/>
        <w:spacing w:line="312" w:lineRule="exact"/>
        <w:rPr>
          <w:szCs w:val="21"/>
          <w:lang w:val="zh-CN"/>
        </w:rPr>
      </w:pPr>
      <w:r>
        <w:rPr>
          <w:szCs w:val="21"/>
        </w:rPr>
        <w:t xml:space="preserve">仪表门统一为向左开门（铰链在左侧），</w:t>
      </w:r>
      <w:r>
        <w:rPr>
          <w:szCs w:val="21"/>
          <w:lang w:val="zh-CN"/>
        </w:rPr>
        <w:t xml:space="preserve">仪表门的门锁应采用易操作型，需保证门板与柜体结合处的密封性，并且采用不配钥匙类型。</w:t>
      </w:r>
      <w:r>
        <w:rPr>
          <w:szCs w:val="21"/>
          <w:lang w:val="zh-CN"/>
        </w:rPr>
      </w:r>
      <w:r/>
    </w:p>
    <w:p>
      <w:pPr>
        <w:pStyle w:val="1151"/>
        <w:ind w:firstLine="420"/>
        <w:spacing w:line="312" w:lineRule="exact"/>
        <w:rPr>
          <w:szCs w:val="21"/>
        </w:rPr>
      </w:pPr>
      <w:r>
        <w:rPr>
          <w:szCs w:val="21"/>
        </w:rPr>
        <w:t xml:space="preserve">规定了仪表门板上元件的放置区域原则。从下至上，第一层为操作类元件；第二、三层为指示类。带电显示器统一安装于机构室面板，位置不作要求。如图</w:t>
      </w:r>
      <w:r>
        <w:rPr>
          <w:rFonts w:hint="eastAsia"/>
          <w:szCs w:val="21"/>
        </w:rPr>
        <w:t xml:space="preserve">44</w:t>
      </w:r>
      <w:r>
        <w:rPr>
          <w:szCs w:val="21"/>
        </w:rPr>
        <w:t xml:space="preserve">所示。</w:t>
      </w:r>
      <w:r>
        <w:rPr>
          <w:szCs w:val="21"/>
        </w:rPr>
      </w:r>
      <w:r/>
    </w:p>
    <w:p>
      <w:pPr>
        <w:pStyle w:val="1151"/>
        <w:jc w:val="center"/>
      </w:pPr>
      <w:r/>
      <w:r/>
    </w:p>
    <w:p>
      <w:pPr>
        <w:pStyle w:val="1151"/>
        <w:jc w:val="center"/>
      </w:pPr>
      <w:r>
        <w:rPr>
          <w:rFonts w:hint="eastAsia"/>
        </w:rPr>
        <mc:AlternateContent>
          <mc:Choice Requires="wpg">
            <w:drawing>
              <wp:inline xmlns:wp="http://schemas.openxmlformats.org/drawingml/2006/wordprocessingDrawing" distT="0" distB="0" distL="0" distR="0">
                <wp:extent cx="3926688" cy="3777488"/>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3926688" cy="37774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309.2pt;height:297.4pt;mso-wrap-distance-left:0.0pt;mso-wrap-distance-top:0.0pt;mso-wrap-distance-right:0.0pt;mso-wrap-distance-bottom:0.0pt;" stroked="f">
                <v:path textboxrect="0,0,0,0"/>
                <v:imagedata r:id="rId61" o:title=""/>
              </v:shape>
            </w:pict>
          </mc:Fallback>
        </mc:AlternateContent>
      </w:r>
      <w:r/>
    </w:p>
    <w:p>
      <w:pPr>
        <w:pStyle w:val="1151"/>
        <w:ind w:left="619" w:hanging="760"/>
        <w:jc w:val="center"/>
        <w:spacing w:line="312" w:lineRule="exact"/>
        <w:rPr>
          <w:rFonts w:eastAsia="黑体"/>
          <w:szCs w:val="21"/>
        </w:rPr>
      </w:pPr>
      <w:r>
        <w:rPr>
          <w:rFonts w:eastAsia="黑体"/>
          <w:szCs w:val="21"/>
        </w:rPr>
        <w:t xml:space="preserve">图</w:t>
      </w:r>
      <w:r>
        <w:rPr>
          <w:rFonts w:hint="eastAsia" w:eastAsia="黑体"/>
          <w:szCs w:val="21"/>
        </w:rPr>
        <w:t xml:space="preserve">44</w:t>
      </w:r>
      <w:r>
        <w:rPr>
          <w:rFonts w:eastAsia="黑体"/>
          <w:szCs w:val="21"/>
        </w:rPr>
        <w:t xml:space="preserve">仪表门布置示意图</w:t>
      </w:r>
      <w:r>
        <w:rPr>
          <w:rFonts w:eastAsia="黑体"/>
          <w:szCs w:val="21"/>
        </w:rPr>
      </w:r>
      <w:r/>
    </w:p>
    <w:p>
      <w:pPr>
        <w:pStyle w:val="1151"/>
        <w:jc w:val="center"/>
        <w:rPr>
          <w:szCs w:val="21"/>
        </w:rPr>
      </w:pPr>
      <w:r>
        <w:rPr>
          <w:szCs w:val="21"/>
        </w:rPr>
      </w:r>
      <w:r/>
    </w:p>
    <w:p>
      <w:pPr>
        <w:pStyle w:val="1151"/>
        <w:spacing w:line="312" w:lineRule="exact"/>
        <w:rPr>
          <w:szCs w:val="21"/>
        </w:rPr>
      </w:pPr>
      <w:r/>
      <w:bookmarkStart w:id="215" w:name="_Toc531852737"/>
      <w:r>
        <w:rPr>
          <w:rFonts w:eastAsia="黑体"/>
          <w:szCs w:val="21"/>
        </w:rPr>
        <w:t xml:space="preserve">5.</w:t>
      </w:r>
      <w:r>
        <w:rPr>
          <w:rFonts w:hint="eastAsia"/>
        </w:rPr>
        <w:t xml:space="preserve">2.13</w:t>
      </w:r>
      <w:r>
        <w:rPr>
          <w:szCs w:val="21"/>
        </w:rPr>
        <w:t xml:space="preserve">.7 柜内二次端子</w:t>
      </w:r>
      <w:bookmarkEnd w:id="215"/>
      <w:r>
        <w:rPr>
          <w:szCs w:val="21"/>
        </w:rPr>
      </w:r>
      <w:r/>
    </w:p>
    <w:p>
      <w:pPr>
        <w:pStyle w:val="1151"/>
        <w:ind w:firstLine="420"/>
        <w:spacing w:line="312" w:lineRule="exact"/>
        <w:rPr>
          <w:szCs w:val="21"/>
        </w:rPr>
      </w:pPr>
      <w:r>
        <w:rPr>
          <w:szCs w:val="21"/>
        </w:rPr>
        <w:t xml:space="preserve">将环网柜按照结构方案不同分为3种，分别给出了负荷开关</w:t>
      </w:r>
      <w:r>
        <w:rPr>
          <w:rFonts w:hint="eastAsia"/>
          <w:szCs w:val="21"/>
        </w:rPr>
        <w:t xml:space="preserve">-</w:t>
      </w:r>
      <w:r>
        <w:rPr>
          <w:szCs w:val="21"/>
        </w:rPr>
        <w:t xml:space="preserve">熔断器组合电器柜、断路器柜、PT柜的电流回路、电压回路、信号回路、控制回路、电源回路等二次原理图，以及</w:t>
      </w:r>
      <w:bookmarkStart w:id="216" w:name="_Hlk55910061"/>
      <w:r>
        <w:rPr>
          <w:rFonts w:hint="eastAsia"/>
          <w:szCs w:val="21"/>
        </w:rPr>
        <w:t xml:space="preserve">二次接线图</w:t>
      </w:r>
      <w:r>
        <w:rPr>
          <w:szCs w:val="21"/>
        </w:rPr>
        <w:t xml:space="preserve">。</w:t>
      </w:r>
      <w:bookmarkEnd w:id="216"/>
      <w:r>
        <w:rPr>
          <w:szCs w:val="21"/>
        </w:rPr>
      </w:r>
      <w:r/>
    </w:p>
    <w:p>
      <w:pPr>
        <w:pStyle w:val="1151"/>
        <w:ind w:firstLine="420"/>
        <w:spacing w:line="312" w:lineRule="exact"/>
        <w:rPr>
          <w:szCs w:val="21"/>
        </w:rPr>
      </w:pPr>
      <w:r/>
      <w:bookmarkStart w:id="217" w:name="_Hlk55910083"/>
      <w:r>
        <w:rPr>
          <w:rFonts w:hint="eastAsia"/>
          <w:szCs w:val="21"/>
        </w:rPr>
        <w:t xml:space="preserve">采用本技术规范定义的矩形连接器及预制电缆</w:t>
      </w:r>
      <w:bookmarkStart w:id="218" w:name="_Toc15897"/>
      <w:r>
        <w:rPr>
          <w:szCs w:val="21"/>
        </w:rPr>
        <w:t xml:space="preserve">。</w:t>
      </w:r>
      <w:bookmarkEnd w:id="218"/>
      <w:r>
        <w:rPr>
          <w:szCs w:val="21"/>
        </w:rPr>
      </w:r>
      <w:r/>
    </w:p>
    <w:p>
      <w:pPr>
        <w:pStyle w:val="1151"/>
        <w:ind w:firstLine="420"/>
        <w:spacing w:line="312" w:lineRule="exact"/>
        <w:rPr>
          <w:szCs w:val="21"/>
        </w:rPr>
      </w:pPr>
      <w:r/>
      <w:bookmarkEnd w:id="217"/>
      <w:r>
        <w:rPr>
          <w:szCs w:val="21"/>
        </w:rPr>
        <w:t xml:space="preserve">对于共箱型，SF</w:t>
      </w:r>
      <w:r>
        <w:rPr>
          <w:szCs w:val="21"/>
          <w:vertAlign w:val="subscript"/>
        </w:rPr>
        <w:t xml:space="preserve">6</w:t>
      </w:r>
      <w:r>
        <w:rPr>
          <w:szCs w:val="21"/>
        </w:rPr>
        <w:t xml:space="preserve">气体压力表按气室数量配置，SF</w:t>
      </w:r>
      <w:r>
        <w:rPr>
          <w:szCs w:val="21"/>
          <w:vertAlign w:val="subscript"/>
        </w:rPr>
        <w:t xml:space="preserve">6</w:t>
      </w:r>
      <w:r>
        <w:rPr>
          <w:szCs w:val="21"/>
        </w:rPr>
        <w:t xml:space="preserve">气体压力报警辅助节点上传DTU，并同时闭锁共箱型中采用SF</w:t>
      </w:r>
      <w:r>
        <w:rPr>
          <w:szCs w:val="21"/>
          <w:vertAlign w:val="subscript"/>
        </w:rPr>
        <w:t xml:space="preserve">6</w:t>
      </w:r>
      <w:r>
        <w:rPr>
          <w:szCs w:val="21"/>
        </w:rPr>
        <w:t xml:space="preserve">气体灭弧的开关。</w:t>
      </w:r>
      <w:r>
        <w:rPr>
          <w:szCs w:val="21"/>
        </w:rPr>
      </w:r>
      <w:r/>
    </w:p>
    <w:p>
      <w:pPr>
        <w:pStyle w:val="1240"/>
        <w:rPr>
          <w:color w:val="000000"/>
        </w:rPr>
        <w:outlineLvl w:val="2"/>
      </w:pPr>
      <w:r>
        <w:rPr>
          <w:color w:val="000000"/>
        </w:rPr>
        <w:t xml:space="preserve">5.</w:t>
      </w:r>
      <w:r>
        <w:rPr>
          <w:rFonts w:hint="eastAsia"/>
          <w:color w:val="000000"/>
        </w:rPr>
        <w:t xml:space="preserve">2.14环网柜的五防及联锁装置应满足</w:t>
      </w:r>
      <w:r>
        <w:rPr>
          <w:color w:val="000000"/>
        </w:rPr>
        <w:t xml:space="preserve">DL 538</w:t>
      </w:r>
      <w:r>
        <w:rPr>
          <w:rFonts w:hint="eastAsia"/>
          <w:color w:val="000000"/>
        </w:rPr>
        <w:t xml:space="preserve">、</w:t>
      </w:r>
      <w:r>
        <w:rPr>
          <w:color w:val="000000"/>
        </w:rPr>
        <w:t xml:space="preserve">DL/T 593</w:t>
      </w:r>
      <w:r>
        <w:rPr>
          <w:rFonts w:hint="eastAsia"/>
          <w:color w:val="000000"/>
        </w:rPr>
        <w:t xml:space="preserve">及</w:t>
      </w:r>
      <w:r>
        <w:rPr>
          <w:color w:val="000000"/>
        </w:rPr>
        <w:t xml:space="preserve">SD 318</w:t>
      </w:r>
      <w:r>
        <w:rPr>
          <w:rFonts w:hint="eastAsia"/>
          <w:color w:val="000000"/>
        </w:rPr>
        <w:t xml:space="preserve">的相关规定，同时满足以下要求</w:t>
      </w:r>
      <w:r>
        <w:rPr>
          <w:color w:val="000000"/>
        </w:rPr>
      </w:r>
      <w:r/>
    </w:p>
    <w:p>
      <w:pPr>
        <w:pStyle w:val="1151"/>
        <w:spacing w:line="312" w:lineRule="exact"/>
        <w:rPr>
          <w:szCs w:val="21"/>
        </w:rPr>
      </w:pPr>
      <w:r>
        <w:rPr>
          <w:szCs w:val="21"/>
        </w:rPr>
        <w:t xml:space="preserve">5.</w:t>
      </w:r>
      <w:r>
        <w:rPr>
          <w:rFonts w:hint="eastAsia"/>
          <w:szCs w:val="21"/>
        </w:rPr>
        <w:t xml:space="preserve">2.14</w:t>
      </w:r>
      <w:r>
        <w:rPr>
          <w:szCs w:val="21"/>
        </w:rPr>
        <w:t xml:space="preserve">.1 </w:t>
      </w:r>
      <w:r>
        <w:rPr>
          <w:rFonts w:hint="eastAsia"/>
          <w:szCs w:val="21"/>
        </w:rPr>
        <w:t xml:space="preserve">环网柜应具有可靠的</w:t>
      </w:r>
      <w:r>
        <w:rPr>
          <w:szCs w:val="21"/>
        </w:rPr>
        <w:t xml:space="preserve">“</w:t>
      </w:r>
      <w:r>
        <w:rPr>
          <w:rFonts w:hint="eastAsia"/>
          <w:szCs w:val="21"/>
        </w:rPr>
        <w:t xml:space="preserve">五防</w:t>
      </w:r>
      <w:r>
        <w:rPr>
          <w:szCs w:val="21"/>
        </w:rPr>
        <w:t xml:space="preserve">”</w:t>
      </w:r>
      <w:r>
        <w:rPr>
          <w:rFonts w:hint="eastAsia"/>
          <w:szCs w:val="21"/>
        </w:rPr>
        <w:t xml:space="preserve">功能：防止误分、误合断路器；防止带负荷分、合隔离开关；防止带电分、合接地开关；防止带接地开关送电；防止误入带电间隔。</w:t>
      </w:r>
      <w:r>
        <w:rPr>
          <w:szCs w:val="21"/>
        </w:rPr>
      </w:r>
      <w:r/>
    </w:p>
    <w:p>
      <w:pPr>
        <w:pStyle w:val="1151"/>
        <w:spacing w:line="312" w:lineRule="exact"/>
        <w:rPr>
          <w:szCs w:val="21"/>
        </w:rPr>
      </w:pPr>
      <w:r>
        <w:rPr>
          <w:szCs w:val="21"/>
        </w:rPr>
        <w:t xml:space="preserve">5.</w:t>
      </w:r>
      <w:r>
        <w:rPr>
          <w:rFonts w:hint="eastAsia"/>
          <w:szCs w:val="21"/>
        </w:rPr>
        <w:t xml:space="preserve">2.14</w:t>
      </w:r>
      <w:r>
        <w:rPr>
          <w:szCs w:val="21"/>
        </w:rPr>
        <w:t xml:space="preserve">.2 </w:t>
      </w:r>
      <w:r>
        <w:rPr>
          <w:rFonts w:hint="eastAsia"/>
          <w:szCs w:val="21"/>
        </w:rPr>
        <w:t xml:space="preserve">负荷开关</w:t>
      </w:r>
      <w:r>
        <w:rPr>
          <w:szCs w:val="21"/>
        </w:rPr>
        <w:t xml:space="preserve">-</w:t>
      </w:r>
      <w:r>
        <w:rPr>
          <w:rFonts w:hint="eastAsia"/>
          <w:szCs w:val="21"/>
        </w:rPr>
        <w:t xml:space="preserve">熔断器组合电器的环网柜中，熔断器撞击器与负荷开关脱扣器之间的联动装置应在三相和单相两种条件下，在给定的撞击器型号（中型或重型）的最大和最小能量下及相应撞击器的动作方式（弹簧式或爆炸式的）下，应使负荷开关良好地操作。</w:t>
      </w:r>
      <w:r>
        <w:rPr>
          <w:szCs w:val="21"/>
        </w:rPr>
      </w:r>
      <w:r/>
    </w:p>
    <w:p>
      <w:pPr>
        <w:pStyle w:val="1151"/>
        <w:spacing w:line="312" w:lineRule="exact"/>
        <w:rPr>
          <w:szCs w:val="21"/>
        </w:rPr>
      </w:pPr>
      <w:r>
        <w:rPr>
          <w:szCs w:val="21"/>
        </w:rPr>
        <w:t xml:space="preserve">5.</w:t>
      </w:r>
      <w:r>
        <w:rPr>
          <w:rFonts w:hint="eastAsia"/>
          <w:szCs w:val="21"/>
        </w:rPr>
        <w:t xml:space="preserve">2.14</w:t>
      </w:r>
      <w:r>
        <w:rPr>
          <w:szCs w:val="21"/>
        </w:rPr>
        <w:t xml:space="preserve">.3 </w:t>
      </w:r>
      <w:r>
        <w:rPr>
          <w:rFonts w:hint="eastAsia"/>
          <w:szCs w:val="21"/>
        </w:rPr>
        <w:t xml:space="preserve">负荷开关</w:t>
      </w:r>
      <w:r>
        <w:rPr>
          <w:szCs w:val="21"/>
        </w:rPr>
        <w:t xml:space="preserve">-</w:t>
      </w:r>
      <w:r>
        <w:rPr>
          <w:rFonts w:hint="eastAsia"/>
          <w:szCs w:val="21"/>
        </w:rPr>
        <w:t xml:space="preserve">熔断器组合电器的环网柜，其熔断器的安装位置设计应使其在因故障熔断、在负荷开关分断后便于更换熔断件。</w:t>
      </w:r>
      <w:r>
        <w:rPr>
          <w:szCs w:val="21"/>
        </w:rPr>
      </w:r>
      <w:r/>
    </w:p>
    <w:p>
      <w:pPr>
        <w:pStyle w:val="1151"/>
        <w:spacing w:line="312" w:lineRule="exact"/>
        <w:rPr>
          <w:szCs w:val="21"/>
        </w:rPr>
      </w:pPr>
      <w:r>
        <w:rPr>
          <w:szCs w:val="21"/>
        </w:rPr>
        <w:t xml:space="preserve">5.</w:t>
      </w:r>
      <w:r>
        <w:rPr>
          <w:rFonts w:hint="eastAsia"/>
          <w:szCs w:val="21"/>
        </w:rPr>
        <w:t xml:space="preserve">2.14</w:t>
      </w:r>
      <w:r>
        <w:rPr>
          <w:szCs w:val="21"/>
        </w:rPr>
        <w:t xml:space="preserve">.4 </w:t>
      </w:r>
      <w:r>
        <w:rPr>
          <w:rFonts w:hint="eastAsia"/>
          <w:szCs w:val="21"/>
        </w:rPr>
        <w:t xml:space="preserve">在负荷开关</w:t>
      </w:r>
      <w:r>
        <w:rPr>
          <w:szCs w:val="21"/>
        </w:rPr>
        <w:t xml:space="preserve">-</w:t>
      </w:r>
      <w:r>
        <w:rPr>
          <w:rFonts w:hint="eastAsia"/>
          <w:szCs w:val="21"/>
        </w:rPr>
        <w:t xml:space="preserve">熔断器组合电器回路中，负荷开关可加装分励脱扣装置（用于变压器过温跳闸）。</w:t>
      </w:r>
      <w:r>
        <w:rPr>
          <w:szCs w:val="21"/>
        </w:rPr>
      </w:r>
      <w:r/>
    </w:p>
    <w:p>
      <w:pPr>
        <w:pStyle w:val="1151"/>
        <w:spacing w:line="312" w:lineRule="exact"/>
        <w:rPr>
          <w:szCs w:val="21"/>
        </w:rPr>
      </w:pPr>
      <w:r>
        <w:rPr>
          <w:szCs w:val="21"/>
        </w:rPr>
        <w:t xml:space="preserve">5.</w:t>
      </w:r>
      <w:r>
        <w:rPr>
          <w:rFonts w:hint="eastAsia"/>
          <w:szCs w:val="21"/>
        </w:rPr>
        <w:t xml:space="preserve">2.14</w:t>
      </w:r>
      <w:r>
        <w:rPr>
          <w:szCs w:val="21"/>
        </w:rPr>
        <w:t xml:space="preserve">.5 </w:t>
      </w:r>
      <w:r>
        <w:rPr>
          <w:rFonts w:hint="eastAsia"/>
          <w:szCs w:val="21"/>
        </w:rPr>
        <w:t xml:space="preserve">环网柜开关部分采用断路器时，柜体仍应参照负荷开关</w:t>
      </w:r>
      <w:r>
        <w:rPr>
          <w:szCs w:val="21"/>
        </w:rPr>
        <w:t xml:space="preserve">-</w:t>
      </w:r>
      <w:r>
        <w:rPr>
          <w:rFonts w:hint="eastAsia"/>
          <w:szCs w:val="21"/>
        </w:rPr>
        <w:t xml:space="preserve">熔断器组合电器要求，配置相应的机构及联锁装置，并应具有防跳装置，对电磁操作机构应具有脱扣自我保护功能。</w:t>
      </w:r>
      <w:r>
        <w:rPr>
          <w:szCs w:val="21"/>
        </w:rPr>
      </w:r>
      <w:r/>
    </w:p>
    <w:p>
      <w:pPr>
        <w:pStyle w:val="1151"/>
        <w:spacing w:line="312" w:lineRule="exact"/>
        <w:rPr>
          <w:szCs w:val="21"/>
        </w:rPr>
      </w:pPr>
      <w:r>
        <w:rPr>
          <w:szCs w:val="21"/>
        </w:rPr>
        <w:t xml:space="preserve">5.</w:t>
      </w:r>
      <w:r>
        <w:rPr>
          <w:rFonts w:hint="eastAsia"/>
          <w:szCs w:val="21"/>
        </w:rPr>
        <w:t xml:space="preserve">2.14</w:t>
      </w:r>
      <w:r>
        <w:rPr>
          <w:szCs w:val="21"/>
        </w:rPr>
        <w:t xml:space="preserve">.6 </w:t>
      </w:r>
      <w:r>
        <w:rPr>
          <w:rFonts w:hint="eastAsia"/>
          <w:szCs w:val="21"/>
        </w:rPr>
        <w:t xml:space="preserve">电缆室门与接地开关采取机械闭锁方式，并有紧急解锁装置。</w:t>
      </w:r>
      <w:r>
        <w:rPr>
          <w:szCs w:val="21"/>
        </w:rPr>
      </w:r>
      <w:r/>
    </w:p>
    <w:p>
      <w:pPr>
        <w:pStyle w:val="1151"/>
        <w:spacing w:line="312" w:lineRule="exact"/>
        <w:rPr>
          <w:szCs w:val="21"/>
        </w:rPr>
      </w:pPr>
      <w:r>
        <w:rPr>
          <w:szCs w:val="21"/>
        </w:rPr>
        <w:t xml:space="preserve">5.</w:t>
      </w:r>
      <w:r>
        <w:rPr>
          <w:rFonts w:hint="eastAsia"/>
          <w:szCs w:val="21"/>
        </w:rPr>
        <w:t xml:space="preserve">2.14</w:t>
      </w:r>
      <w:r>
        <w:rPr>
          <w:szCs w:val="21"/>
        </w:rPr>
        <w:t xml:space="preserve">.7 </w:t>
      </w:r>
      <w:r>
        <w:rPr>
          <w:rFonts w:hint="eastAsia"/>
          <w:szCs w:val="21"/>
        </w:rPr>
        <w:t xml:space="preserve">进出线柜应装有能反映出线侧有无电压，并具有自检功能的带电显示装置。当出线侧带电时，应闭锁操作接地开关。</w:t>
      </w:r>
      <w:r>
        <w:rPr>
          <w:szCs w:val="21"/>
        </w:rPr>
      </w:r>
      <w:r/>
    </w:p>
    <w:p>
      <w:pPr>
        <w:pStyle w:val="1151"/>
        <w:spacing w:line="312" w:lineRule="exact"/>
        <w:rPr>
          <w:szCs w:val="21"/>
        </w:rPr>
      </w:pPr>
      <w:r>
        <w:rPr>
          <w:szCs w:val="21"/>
        </w:rPr>
        <w:t xml:space="preserve">5.15</w:t>
      </w:r>
      <w:r>
        <w:rPr>
          <w:szCs w:val="21"/>
        </w:rPr>
        <w:t xml:space="preserve">.8 </w:t>
      </w:r>
      <w:r>
        <w:rPr>
          <w:rFonts w:hint="eastAsia"/>
          <w:szCs w:val="21"/>
        </w:rPr>
        <w:t xml:space="preserve">环网柜电气闭锁应单独设置电源回路，且与其他回路独立。</w:t>
      </w:r>
      <w:r>
        <w:rPr>
          <w:szCs w:val="21"/>
        </w:rPr>
      </w:r>
      <w:r/>
    </w:p>
    <w:p>
      <w:pPr>
        <w:pStyle w:val="1240"/>
        <w:rPr>
          <w:color w:val="000000"/>
        </w:rPr>
        <w:outlineLvl w:val="2"/>
      </w:pPr>
      <w:r>
        <w:rPr>
          <w:color w:val="000000"/>
        </w:rPr>
        <w:t xml:space="preserve">5.</w:t>
      </w:r>
      <w:r>
        <w:rPr>
          <w:rFonts w:hint="eastAsia"/>
          <w:color w:val="000000"/>
        </w:rPr>
        <w:t xml:space="preserve">2.15电压互感器、电流互感器、避雷器</w:t>
      </w:r>
      <w:r>
        <w:rPr>
          <w:color w:val="000000"/>
        </w:rPr>
      </w:r>
      <w:r/>
    </w:p>
    <w:p>
      <w:pPr>
        <w:pStyle w:val="1151"/>
        <w:ind w:firstLine="420"/>
        <w:rPr>
          <w:rFonts w:ascii="EU-F1"/>
          <w:color w:val="000000"/>
        </w:rPr>
      </w:pPr>
      <w:r>
        <w:rPr>
          <w:rFonts w:hint="eastAsia" w:ascii="EU-F1"/>
          <w:color w:val="000000"/>
        </w:rPr>
        <w:t xml:space="preserve">电压互感器、电流互感器、避雷器</w:t>
      </w:r>
      <w:r>
        <w:rPr>
          <w:rFonts w:ascii="EU-F1"/>
          <w:color w:val="000000"/>
        </w:rPr>
        <w:t xml:space="preserve">应满足GB 1207、GB 1208及GB 11032的相关规定要求</w:t>
      </w:r>
      <w:r>
        <w:rPr>
          <w:rFonts w:hint="eastAsia" w:ascii="EU-F1"/>
          <w:color w:val="000000"/>
        </w:rPr>
        <w:t xml:space="preserve">。</w:t>
      </w:r>
      <w:r>
        <w:rPr>
          <w:rFonts w:ascii="EU-F1"/>
          <w:color w:val="000000"/>
        </w:rPr>
      </w:r>
      <w:r/>
    </w:p>
    <w:p>
      <w:pPr>
        <w:pStyle w:val="1242"/>
        <w:spacing w:before="0" w:after="0" w:line="312" w:lineRule="exact"/>
        <w:rPr>
          <w:rFonts w:ascii="Times New Roman" w:eastAsia="宋体"/>
          <w:sz w:val="21"/>
          <w:szCs w:val="21"/>
        </w:rPr>
        <w:outlineLvl w:val="9"/>
      </w:pPr>
      <w:r>
        <w:rPr>
          <w:rFonts w:ascii="Times New Roman"/>
          <w:sz w:val="21"/>
          <w:szCs w:val="21"/>
        </w:rPr>
        <w:t xml:space="preserve">5.</w:t>
      </w:r>
      <w:r>
        <w:rPr>
          <w:rFonts w:hint="eastAsia" w:ascii="Times New Roman"/>
          <w:sz w:val="21"/>
          <w:szCs w:val="21"/>
        </w:rPr>
        <w:t xml:space="preserve">2.15</w:t>
      </w:r>
      <w:r>
        <w:rPr>
          <w:rFonts w:ascii="Times New Roman" w:eastAsia="宋体"/>
          <w:sz w:val="21"/>
          <w:szCs w:val="21"/>
        </w:rPr>
        <w:t xml:space="preserve">.1 </w:t>
      </w:r>
      <w:r>
        <w:rPr>
          <w:rFonts w:ascii="Times New Roman" w:eastAsia="宋体"/>
          <w:sz w:val="21"/>
          <w:szCs w:val="21"/>
        </w:rPr>
        <w:t xml:space="preserve">环网柜PT接线按需配置，一次侧可采用屏蔽型可触摸电缆终端连接。PT设高压侧熔断器。</w:t>
      </w:r>
      <w:r>
        <w:rPr>
          <w:rFonts w:ascii="Times New Roman" w:eastAsia="宋体"/>
          <w:sz w:val="21"/>
          <w:szCs w:val="21"/>
        </w:rPr>
      </w:r>
      <w:r/>
    </w:p>
    <w:p>
      <w:pPr>
        <w:pStyle w:val="1242"/>
        <w:spacing w:before="0" w:after="0" w:line="312" w:lineRule="exact"/>
        <w:rPr>
          <w:rFonts w:ascii="Times New Roman" w:eastAsia="宋体"/>
          <w:sz w:val="21"/>
          <w:szCs w:val="21"/>
        </w:rPr>
        <w:outlineLvl w:val="9"/>
      </w:pPr>
      <w:r>
        <w:rPr>
          <w:rFonts w:ascii="Times New Roman"/>
          <w:sz w:val="21"/>
          <w:szCs w:val="21"/>
        </w:rPr>
        <w:t xml:space="preserve">5.</w:t>
      </w:r>
      <w:r>
        <w:rPr>
          <w:rFonts w:hint="eastAsia" w:ascii="Times New Roman"/>
          <w:sz w:val="21"/>
          <w:szCs w:val="21"/>
        </w:rPr>
        <w:t xml:space="preserve">2.15</w:t>
      </w:r>
      <w:r>
        <w:rPr>
          <w:rFonts w:ascii="Times New Roman" w:eastAsia="宋体"/>
          <w:sz w:val="21"/>
          <w:szCs w:val="21"/>
        </w:rPr>
        <w:t xml:space="preserve">.2 </w:t>
      </w:r>
      <w:r>
        <w:rPr>
          <w:rFonts w:ascii="Times New Roman" w:eastAsia="宋体"/>
          <w:sz w:val="21"/>
          <w:szCs w:val="21"/>
        </w:rPr>
        <w:t xml:space="preserve">环网柜配备的避雷器宜选用复合绝缘金属氧化物避雷器。</w:t>
      </w:r>
      <w:r>
        <w:rPr>
          <w:rFonts w:ascii="Times New Roman" w:eastAsia="宋体"/>
          <w:sz w:val="21"/>
          <w:szCs w:val="21"/>
        </w:rPr>
      </w:r>
      <w:r/>
    </w:p>
    <w:p>
      <w:pPr>
        <w:pStyle w:val="1240"/>
        <w:rPr>
          <w:color w:val="000000"/>
        </w:rPr>
        <w:outlineLvl w:val="2"/>
      </w:pPr>
      <w:r>
        <w:rPr>
          <w:color w:val="000000"/>
        </w:rPr>
        <w:t xml:space="preserve">5.</w:t>
      </w:r>
      <w:r>
        <w:rPr>
          <w:rFonts w:hint="eastAsia"/>
          <w:color w:val="000000"/>
        </w:rPr>
        <w:t xml:space="preserve">2.16铭牌技术要求符合</w:t>
      </w:r>
      <w:r>
        <w:rPr>
          <w:color w:val="000000"/>
        </w:rPr>
        <w:t xml:space="preserve">DL/T 404</w:t>
      </w:r>
      <w:r>
        <w:rPr>
          <w:rFonts w:hint="eastAsia"/>
          <w:color w:val="000000"/>
        </w:rPr>
        <w:t xml:space="preserve">相关规定，并作以下补充</w:t>
      </w:r>
      <w:r>
        <w:rPr>
          <w:color w:val="000000"/>
        </w:rPr>
      </w:r>
      <w:r/>
    </w:p>
    <w:p>
      <w:pPr>
        <w:pStyle w:val="1242"/>
        <w:spacing w:before="0" w:after="0" w:line="312" w:lineRule="exact"/>
        <w:rPr>
          <w:rFonts w:ascii="Times New Roman" w:eastAsia="宋体"/>
          <w:sz w:val="21"/>
          <w:szCs w:val="21"/>
        </w:rPr>
        <w:outlineLvl w:val="9"/>
      </w:pPr>
      <w:r>
        <w:rPr>
          <w:rFonts w:ascii="Times New Roman"/>
          <w:sz w:val="21"/>
          <w:szCs w:val="21"/>
        </w:rPr>
        <w:t xml:space="preserve">5.</w:t>
      </w:r>
      <w:r>
        <w:rPr>
          <w:rFonts w:hint="eastAsia" w:ascii="Times New Roman"/>
          <w:sz w:val="21"/>
          <w:szCs w:val="21"/>
        </w:rPr>
        <w:t xml:space="preserve">2.16</w:t>
      </w:r>
      <w:r>
        <w:rPr>
          <w:rFonts w:ascii="Times New Roman" w:eastAsia="宋体"/>
          <w:sz w:val="21"/>
          <w:szCs w:val="21"/>
        </w:rPr>
        <w:t xml:space="preserve">.1 铭牌材质应为S304不锈钢、铜材或丙烯酸树脂等不受气候影响和防腐蚀的材料制成，应采用中文印制</w:t>
      </w:r>
      <w:r>
        <w:rPr>
          <w:rFonts w:ascii="Times New Roman" w:eastAsia="宋体"/>
          <w:sz w:val="21"/>
          <w:szCs w:val="21"/>
        </w:rPr>
        <w:t xml:space="preserve">。中文字体选用长仿宋体，字号大小为4，英文字体选用Arial，字号大小为3.5，外形尺寸120mm×80mm，安装孔为4-φ3.2，尺寸为114mm×74mm。</w:t>
      </w:r>
      <w:r>
        <w:rPr>
          <w:rFonts w:ascii="Times New Roman" w:eastAsia="宋体"/>
          <w:sz w:val="21"/>
          <w:szCs w:val="21"/>
        </w:rPr>
      </w:r>
      <w:r/>
    </w:p>
    <w:p>
      <w:pPr>
        <w:pStyle w:val="1242"/>
        <w:spacing w:before="0" w:after="0" w:line="312" w:lineRule="exact"/>
        <w:rPr>
          <w:rFonts w:ascii="Times New Roman" w:eastAsia="宋体"/>
          <w:sz w:val="21"/>
          <w:szCs w:val="21"/>
        </w:rPr>
        <w:outlineLvl w:val="9"/>
      </w:pPr>
      <w:r>
        <w:rPr>
          <w:rFonts w:ascii="Times New Roman"/>
          <w:sz w:val="21"/>
          <w:szCs w:val="21"/>
        </w:rPr>
        <w:t xml:space="preserve">5.</w:t>
      </w:r>
      <w:r>
        <w:rPr>
          <w:rFonts w:hint="eastAsia" w:ascii="Times New Roman"/>
          <w:sz w:val="21"/>
          <w:szCs w:val="21"/>
        </w:rPr>
        <w:t xml:space="preserve">2.16</w:t>
      </w:r>
      <w:r>
        <w:rPr>
          <w:rFonts w:ascii="Times New Roman" w:eastAsia="宋体"/>
          <w:sz w:val="21"/>
          <w:szCs w:val="21"/>
        </w:rPr>
        <w:t xml:space="preserve">.2 </w:t>
      </w:r>
      <w:r>
        <w:rPr>
          <w:rFonts w:hint="eastAsia" w:ascii="Times New Roman" w:eastAsia="宋体"/>
          <w:sz w:val="21"/>
          <w:szCs w:val="21"/>
        </w:rPr>
        <w:t xml:space="preserve">铭牌可安装在电缆室门上部，上边沿距电缆室门上边沿</w:t>
      </w:r>
      <w:r>
        <w:rPr>
          <w:rFonts w:ascii="Times New Roman" w:eastAsia="宋体"/>
          <w:sz w:val="21"/>
          <w:szCs w:val="21"/>
        </w:rPr>
        <w:t xml:space="preserve">50mm</w:t>
      </w:r>
      <w:r>
        <w:rPr>
          <w:rFonts w:hint="eastAsia" w:ascii="Times New Roman" w:eastAsia="宋体"/>
          <w:sz w:val="21"/>
          <w:szCs w:val="21"/>
        </w:rPr>
        <w:t xml:space="preserve">处，左右方向居中；也可安装于开关室门板</w:t>
      </w:r>
      <w:r>
        <w:rPr>
          <w:rFonts w:ascii="Times New Roman" w:eastAsia="宋体"/>
          <w:sz w:val="21"/>
          <w:szCs w:val="21"/>
        </w:rPr>
        <w:t xml:space="preserve">。</w:t>
      </w:r>
      <w:r>
        <w:rPr>
          <w:rFonts w:ascii="Times New Roman" w:eastAsia="宋体"/>
          <w:sz w:val="21"/>
          <w:szCs w:val="21"/>
        </w:rPr>
      </w:r>
      <w:r/>
    </w:p>
    <w:p>
      <w:pPr>
        <w:pStyle w:val="1242"/>
        <w:spacing w:before="0" w:after="0" w:line="312" w:lineRule="exact"/>
        <w:rPr>
          <w:rFonts w:ascii="Times New Roman" w:eastAsia="宋体"/>
          <w:sz w:val="21"/>
          <w:szCs w:val="21"/>
        </w:rPr>
        <w:outlineLvl w:val="9"/>
      </w:pPr>
      <w:r>
        <w:rPr>
          <w:rFonts w:ascii="Times New Roman"/>
          <w:sz w:val="21"/>
          <w:szCs w:val="21"/>
        </w:rPr>
        <w:t xml:space="preserve">5.</w:t>
      </w:r>
      <w:r>
        <w:rPr>
          <w:rFonts w:hint="eastAsia" w:ascii="Times New Roman"/>
          <w:sz w:val="21"/>
          <w:szCs w:val="21"/>
        </w:rPr>
        <w:t xml:space="preserve">2.16</w:t>
      </w:r>
      <w:r>
        <w:rPr>
          <w:rFonts w:ascii="Times New Roman" w:eastAsia="宋体"/>
          <w:sz w:val="21"/>
          <w:szCs w:val="21"/>
        </w:rPr>
        <w:t xml:space="preserve">.3 设备零件及其附件上的指示牌、警告牌以及其他标记也应采用中文印制，其规格即要求按Q/GDW 742</w:t>
      </w:r>
      <w:r>
        <w:rPr>
          <w:rFonts w:ascii="Times New Roman" w:eastAsia="宋体"/>
          <w:sz w:val="21"/>
          <w:szCs w:val="21"/>
        </w:rPr>
        <w:t xml:space="preserve">。</w:t>
      </w:r>
      <w:r>
        <w:rPr>
          <w:rFonts w:ascii="Times New Roman" w:eastAsia="宋体"/>
          <w:sz w:val="21"/>
          <w:szCs w:val="21"/>
        </w:rPr>
      </w:r>
      <w:r/>
    </w:p>
    <w:p>
      <w:pPr>
        <w:pStyle w:val="1242"/>
        <w:spacing w:before="0" w:after="0" w:line="312" w:lineRule="exact"/>
        <w:rPr>
          <w:rFonts w:ascii="Times New Roman" w:eastAsia="宋体"/>
          <w:sz w:val="21"/>
          <w:szCs w:val="21"/>
        </w:rPr>
        <w:outlineLvl w:val="9"/>
      </w:pPr>
      <w:r>
        <w:rPr>
          <w:rFonts w:ascii="Times New Roman"/>
          <w:sz w:val="21"/>
          <w:szCs w:val="21"/>
        </w:rPr>
        <w:t xml:space="preserve">5.</w:t>
      </w:r>
      <w:r>
        <w:rPr>
          <w:rFonts w:hint="eastAsia" w:ascii="Times New Roman"/>
          <w:sz w:val="21"/>
          <w:szCs w:val="21"/>
        </w:rPr>
        <w:t xml:space="preserve">2.16</w:t>
      </w:r>
      <w:r>
        <w:rPr>
          <w:rFonts w:ascii="Times New Roman" w:eastAsia="宋体"/>
          <w:sz w:val="21"/>
          <w:szCs w:val="21"/>
        </w:rPr>
        <w:t xml:space="preserve">.4 铭牌应标有相关产品标准中规定的必要信息，至少应包含如图</w:t>
      </w:r>
      <w:r>
        <w:rPr>
          <w:rFonts w:hint="eastAsia" w:ascii="Times New Roman" w:eastAsia="宋体"/>
          <w:sz w:val="21"/>
          <w:szCs w:val="21"/>
        </w:rPr>
        <w:t xml:space="preserve">45</w:t>
      </w:r>
      <w:r>
        <w:rPr>
          <w:rFonts w:ascii="Times New Roman" w:eastAsia="宋体"/>
          <w:sz w:val="21"/>
          <w:szCs w:val="21"/>
        </w:rPr>
        <w:t xml:space="preserve">所示内容。</w:t>
      </w:r>
      <w:r>
        <w:rPr>
          <w:rFonts w:ascii="Times New Roman" w:eastAsia="宋体"/>
          <w:sz w:val="21"/>
          <w:szCs w:val="21"/>
        </w:rPr>
      </w:r>
      <w:r/>
    </w:p>
    <w:p>
      <w:pPr>
        <w:pStyle w:val="1201"/>
        <w:ind w:firstLine="0"/>
        <w:jc w:val="center"/>
        <w:tabs>
          <w:tab w:val="center" w:pos="4201" w:leader="none"/>
          <w:tab w:val="right" w:pos="9298" w:leader="dot"/>
        </w:tabs>
        <w:rPr>
          <w:rFonts w:ascii="Times New Roman"/>
        </w:rPr>
      </w:pPr>
      <w:r>
        <w:rPr>
          <w:rFonts w:ascii="Times New Roman"/>
        </w:rPr>
        <mc:AlternateContent>
          <mc:Choice Requires="wpg">
            <w:drawing>
              <wp:inline xmlns:wp="http://schemas.openxmlformats.org/drawingml/2006/wordprocessingDrawing" distT="0" distB="0" distL="0" distR="0">
                <wp:extent cx="3505162" cy="2295284"/>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3505162" cy="22952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276.0pt;height:180.7pt;mso-wrap-distance-left:0.0pt;mso-wrap-distance-top:0.0pt;mso-wrap-distance-right:0.0pt;mso-wrap-distance-bottom:0.0pt;" stroked="f">
                <v:path textboxrect="0,0,0,0"/>
                <v:imagedata r:id="rId62" o:title=""/>
              </v:shape>
            </w:pict>
          </mc:Fallback>
        </mc:AlternateContent>
      </w:r>
      <w:r>
        <w:rPr>
          <w:rFonts w:ascii="Times New Roman"/>
        </w:rPr>
      </w:r>
      <w:r/>
    </w:p>
    <w:p>
      <w:pPr>
        <w:pStyle w:val="1201"/>
        <w:ind w:firstLine="0"/>
        <w:jc w:val="center"/>
        <w:tabs>
          <w:tab w:val="center" w:pos="4201" w:leader="none"/>
          <w:tab w:val="right" w:pos="9298" w:leader="dot"/>
        </w:tabs>
        <w:rPr>
          <w:rFonts w:ascii="Times New Roman"/>
          <w:szCs w:val="21"/>
        </w:rPr>
      </w:pPr>
      <w:r>
        <w:rPr>
          <w:rFonts w:ascii="Times New Roman" w:eastAsia="黑体"/>
          <w:szCs w:val="21"/>
        </w:rPr>
        <w:t xml:space="preserve">图4</w:t>
      </w:r>
      <w:r>
        <w:rPr>
          <w:rFonts w:hint="eastAsia" w:ascii="Times New Roman" w:eastAsia="黑体"/>
          <w:szCs w:val="21"/>
        </w:rPr>
        <w:t xml:space="preserve">5 </w:t>
      </w:r>
      <w:r>
        <w:rPr>
          <w:rFonts w:ascii="Times New Roman" w:eastAsia="黑体"/>
          <w:szCs w:val="21"/>
        </w:rPr>
        <w:t xml:space="preserve">铭牌示意图</w:t>
      </w:r>
      <w:r>
        <w:rPr>
          <w:rFonts w:ascii="Times New Roman"/>
          <w:szCs w:val="21"/>
        </w:rPr>
      </w:r>
      <w:r/>
    </w:p>
    <w:p>
      <w:pPr>
        <w:pStyle w:val="1151"/>
        <w:spacing w:line="312" w:lineRule="exact"/>
        <w:rPr>
          <w:szCs w:val="21"/>
        </w:rPr>
      </w:pPr>
      <w:r>
        <w:t xml:space="preserve">5.</w:t>
      </w:r>
      <w:r>
        <w:rPr>
          <w:rFonts w:hint="eastAsia"/>
          <w:szCs w:val="21"/>
        </w:rPr>
        <w:t xml:space="preserve">2.16</w:t>
      </w:r>
      <w:r>
        <w:rPr>
          <w:szCs w:val="21"/>
        </w:rPr>
        <w:t xml:space="preserve">.5 环网柜中各元件应装有铭牌，铭牌要求参照相应标准。</w:t>
      </w:r>
      <w:r>
        <w:rPr>
          <w:szCs w:val="21"/>
        </w:rPr>
      </w:r>
      <w:r/>
    </w:p>
    <w:p>
      <w:pPr>
        <w:pStyle w:val="1240"/>
        <w:rPr>
          <w:color w:val="000000"/>
        </w:rPr>
        <w:outlineLvl w:val="2"/>
      </w:pPr>
      <w:r>
        <w:rPr>
          <w:color w:val="000000"/>
        </w:rPr>
        <w:t xml:space="preserve">5.</w:t>
      </w:r>
      <w:r>
        <w:rPr>
          <w:rFonts w:hint="eastAsia"/>
          <w:color w:val="000000"/>
        </w:rPr>
        <w:t xml:space="preserve">2.17投标人应提供与设备规格一致的全部电缆附件（含专用工具）及配套电缆安装支架，电缆附件应按</w:t>
      </w:r>
      <w:r>
        <w:rPr>
          <w:color w:val="000000"/>
        </w:rPr>
        <w:t xml:space="preserve">JB/T 8144.1</w:t>
      </w:r>
      <w:r>
        <w:rPr>
          <w:rFonts w:hint="eastAsia"/>
          <w:color w:val="000000"/>
        </w:rPr>
        <w:t xml:space="preserve">及</w:t>
      </w:r>
      <w:r>
        <w:rPr>
          <w:color w:val="000000"/>
        </w:rPr>
        <w:t xml:space="preserve">GB/T 12706.4</w:t>
      </w:r>
      <w:r>
        <w:rPr>
          <w:rFonts w:hint="eastAsia"/>
          <w:color w:val="000000"/>
        </w:rPr>
        <w:t xml:space="preserve">的规定，并满足以下条件</w:t>
      </w:r>
      <w:r>
        <w:rPr>
          <w:color w:val="000000"/>
        </w:rPr>
      </w:r>
      <w:r/>
    </w:p>
    <w:p>
      <w:pPr>
        <w:pStyle w:val="1242"/>
        <w:spacing w:before="0" w:after="0" w:line="312" w:lineRule="exact"/>
        <w:rPr>
          <w:rFonts w:ascii="Times New Roman" w:eastAsia="宋体"/>
          <w:color w:val="000000"/>
          <w:sz w:val="21"/>
        </w:rPr>
        <w:outlineLvl w:val="9"/>
      </w:pPr>
      <w:r>
        <w:rPr>
          <w:rFonts w:ascii="Times New Roman" w:eastAsia="宋体"/>
          <w:sz w:val="21"/>
          <w:szCs w:val="21"/>
        </w:rPr>
        <w:t xml:space="preserve">5.</w:t>
      </w:r>
      <w:r>
        <w:rPr>
          <w:rFonts w:hint="eastAsia" w:ascii="Times New Roman" w:eastAsia="宋体"/>
          <w:sz w:val="21"/>
          <w:szCs w:val="21"/>
        </w:rPr>
        <w:t xml:space="preserve">2.17</w:t>
      </w:r>
      <w:r>
        <w:rPr>
          <w:rFonts w:ascii="Times New Roman" w:eastAsia="宋体"/>
          <w:sz w:val="21"/>
          <w:szCs w:val="21"/>
        </w:rPr>
        <w:t xml:space="preserve">.1</w:t>
      </w:r>
      <w:bookmarkStart w:id="219" w:name="_Hlk55910549"/>
      <w:r>
        <w:rPr>
          <w:rFonts w:ascii="Times New Roman" w:eastAsia="宋体"/>
          <w:color w:val="000000"/>
          <w:sz w:val="21"/>
          <w:szCs w:val="21"/>
        </w:rPr>
        <w:t xml:space="preserve">空气绝缘环网柜的进出线电缆纵向一字型布置，其余环网柜的</w:t>
      </w:r>
      <w:r>
        <w:rPr>
          <w:rFonts w:ascii="Times New Roman" w:eastAsia="宋体"/>
          <w:color w:val="000000"/>
          <w:sz w:val="21"/>
        </w:rPr>
        <w:t xml:space="preserve">进出线电缆三相水平排列。除空气绝缘环网柜外，采用10kV全屏蔽、全绝缘可触摸电缆终端，电缆应可靠固定，避免电缆终端受重力等外力的影响。</w:t>
      </w:r>
      <w:bookmarkEnd w:id="219"/>
      <w:r>
        <w:rPr>
          <w:rFonts w:ascii="Times New Roman" w:eastAsia="宋体"/>
          <w:color w:val="000000"/>
          <w:sz w:val="21"/>
        </w:rPr>
      </w:r>
      <w:r/>
    </w:p>
    <w:p>
      <w:pPr>
        <w:pStyle w:val="1242"/>
        <w:spacing w:before="0" w:after="0" w:line="312" w:lineRule="exact"/>
        <w:rPr>
          <w:rFonts w:ascii="Times New Roman" w:eastAsia="宋体"/>
          <w:sz w:val="21"/>
        </w:rPr>
        <w:outlineLvl w:val="9"/>
      </w:pPr>
      <w:r/>
      <w:bookmarkStart w:id="220" w:name="_Hlk55910572"/>
      <w:r>
        <w:rPr>
          <w:rFonts w:ascii="Times New Roman" w:eastAsia="宋体"/>
          <w:color w:val="000000"/>
          <w:sz w:val="21"/>
          <w:szCs w:val="21"/>
        </w:rPr>
        <w:t xml:space="preserve">5.</w:t>
      </w:r>
      <w:r>
        <w:rPr>
          <w:rFonts w:hint="eastAsia" w:ascii="Times New Roman" w:eastAsia="宋体"/>
          <w:color w:val="000000"/>
          <w:sz w:val="21"/>
          <w:szCs w:val="21"/>
        </w:rPr>
        <w:t xml:space="preserve">2.17</w:t>
      </w:r>
      <w:r>
        <w:rPr>
          <w:rFonts w:ascii="Times New Roman" w:eastAsia="宋体"/>
          <w:color w:val="000000"/>
          <w:sz w:val="21"/>
          <w:szCs w:val="21"/>
        </w:rPr>
        <w:t xml:space="preserve">.2</w:t>
      </w:r>
      <w:r>
        <w:rPr>
          <w:rFonts w:ascii="Times New Roman" w:eastAsia="宋体"/>
          <w:color w:val="000000"/>
          <w:sz w:val="21"/>
        </w:rPr>
        <w:t xml:space="preserve">除空气绝缘环网柜外，</w:t>
      </w:r>
      <w:r>
        <w:rPr>
          <w:rFonts w:ascii="Times New Roman" w:eastAsia="宋体"/>
          <w:sz w:val="21"/>
        </w:rPr>
        <w:t xml:space="preserve">电缆终端应采用硅橡胶、三元乙丙橡胶或其它性能更优的绝缘材料，电缆终端应采用内外层屏蔽、可触摸、预制式、可插拔、全绝缘及全密封结构。电缆附件应满足标称电压8.7/15kV(U</w:t>
      </w:r>
      <w:r>
        <w:rPr>
          <w:rFonts w:ascii="Times New Roman" w:eastAsia="宋体"/>
          <w:sz w:val="21"/>
          <w:vertAlign w:val="subscript"/>
        </w:rPr>
        <w:t xml:space="preserve">m</w:t>
      </w:r>
      <w:r>
        <w:rPr>
          <w:rFonts w:ascii="Times New Roman" w:eastAsia="宋体"/>
          <w:sz w:val="21"/>
        </w:rPr>
        <w:t xml:space="preserve">=17.5kV)电缆的配合使用要求，每一只电缆终端外壳应可靠接地。暂时未接入电缆的电缆终端应装设绝缘封帽，绝缘封帽应可靠接地。</w:t>
      </w:r>
      <w:r>
        <w:rPr>
          <w:rFonts w:ascii="Times New Roman" w:eastAsia="宋体"/>
          <w:sz w:val="21"/>
        </w:rPr>
      </w:r>
      <w:r/>
    </w:p>
    <w:p>
      <w:pPr>
        <w:pStyle w:val="1240"/>
        <w:rPr>
          <w:color w:val="000000"/>
        </w:rPr>
        <w:outlineLvl w:val="2"/>
      </w:pPr>
      <w:r/>
      <w:bookmarkEnd w:id="220"/>
      <w:r>
        <w:rPr>
          <w:color w:val="000000"/>
        </w:rPr>
        <w:t xml:space="preserve">5.</w:t>
      </w:r>
      <w:r>
        <w:rPr>
          <w:rFonts w:hint="eastAsia"/>
          <w:color w:val="000000"/>
        </w:rPr>
        <w:t xml:space="preserve">2.18观察窗技术要求</w:t>
      </w:r>
      <w:r>
        <w:rPr>
          <w:color w:val="000000"/>
        </w:rPr>
      </w:r>
      <w:r/>
    </w:p>
    <w:p>
      <w:pPr>
        <w:pStyle w:val="1242"/>
        <w:spacing w:before="0" w:after="0" w:line="312" w:lineRule="exact"/>
        <w:rPr>
          <w:rFonts w:ascii="Times New Roman" w:eastAsia="宋体"/>
          <w:sz w:val="21"/>
        </w:rPr>
        <w:outlineLvl w:val="9"/>
      </w:pPr>
      <w:r>
        <w:rPr>
          <w:rFonts w:ascii="Times New Roman" w:eastAsia="宋体"/>
          <w:sz w:val="21"/>
          <w:szCs w:val="21"/>
        </w:rPr>
        <w:t xml:space="preserve">5.</w:t>
      </w:r>
      <w:r>
        <w:rPr>
          <w:rFonts w:hint="eastAsia" w:ascii="Times New Roman" w:eastAsia="宋体"/>
          <w:sz w:val="21"/>
          <w:szCs w:val="21"/>
        </w:rPr>
        <w:t xml:space="preserve">2.18</w:t>
      </w:r>
      <w:r>
        <w:rPr>
          <w:rFonts w:ascii="Times New Roman" w:eastAsia="宋体"/>
          <w:sz w:val="21"/>
          <w:szCs w:val="21"/>
        </w:rPr>
        <w:t xml:space="preserve">.1 </w:t>
      </w:r>
      <w:r>
        <w:rPr>
          <w:rFonts w:ascii="Times New Roman" w:eastAsia="宋体"/>
          <w:sz w:val="21"/>
        </w:rPr>
        <w:t xml:space="preserve">观察窗的防护等级应至少达到外壳技术要求。</w:t>
      </w:r>
      <w:r>
        <w:rPr>
          <w:rFonts w:ascii="Times New Roman" w:eastAsia="宋体"/>
          <w:sz w:val="21"/>
        </w:rPr>
      </w:r>
      <w:r/>
    </w:p>
    <w:p>
      <w:pPr>
        <w:pStyle w:val="1242"/>
        <w:spacing w:before="0" w:after="0" w:line="312" w:lineRule="exact"/>
        <w:rPr>
          <w:rFonts w:ascii="Times New Roman" w:eastAsia="宋体"/>
          <w:sz w:val="21"/>
        </w:rPr>
        <w:outlineLvl w:val="9"/>
      </w:pPr>
      <w:r>
        <w:rPr>
          <w:rFonts w:ascii="Times New Roman" w:eastAsia="宋体"/>
          <w:sz w:val="21"/>
          <w:szCs w:val="21"/>
        </w:rPr>
        <w:t xml:space="preserve">5.</w:t>
      </w:r>
      <w:r>
        <w:rPr>
          <w:rFonts w:hint="eastAsia" w:ascii="Times New Roman" w:eastAsia="宋体"/>
          <w:sz w:val="21"/>
          <w:szCs w:val="21"/>
        </w:rPr>
        <w:t xml:space="preserve">2.18</w:t>
      </w:r>
      <w:r>
        <w:rPr>
          <w:rFonts w:ascii="Times New Roman" w:eastAsia="宋体"/>
          <w:sz w:val="21"/>
          <w:szCs w:val="21"/>
        </w:rPr>
        <w:t xml:space="preserve">.2 </w:t>
      </w:r>
      <w:r>
        <w:rPr>
          <w:rFonts w:ascii="Times New Roman" w:eastAsia="宋体"/>
          <w:sz w:val="21"/>
        </w:rPr>
        <w:t xml:space="preserve">观察窗应使用机械强度与外壳相当的透明板，同时应有足够的电气间隙和静电屏蔽措施，防止形成危险的静电电荷，并通过开关柜内部燃弧试验。</w:t>
      </w:r>
      <w:r>
        <w:rPr>
          <w:rFonts w:ascii="Times New Roman" w:eastAsia="宋体"/>
          <w:sz w:val="21"/>
        </w:rPr>
      </w:r>
      <w:r/>
    </w:p>
    <w:p>
      <w:pPr>
        <w:pStyle w:val="1242"/>
        <w:spacing w:before="0" w:after="0" w:line="312" w:lineRule="exact"/>
        <w:rPr>
          <w:rFonts w:ascii="Times New Roman" w:eastAsia="宋体"/>
          <w:sz w:val="21"/>
        </w:rPr>
        <w:outlineLvl w:val="9"/>
      </w:pPr>
      <w:r>
        <w:rPr>
          <w:rFonts w:ascii="Times New Roman" w:eastAsia="宋体"/>
          <w:sz w:val="21"/>
          <w:szCs w:val="21"/>
        </w:rPr>
        <w:t xml:space="preserve">5.</w:t>
      </w:r>
      <w:r>
        <w:rPr>
          <w:rFonts w:hint="eastAsia" w:ascii="Times New Roman" w:eastAsia="宋体"/>
          <w:sz w:val="21"/>
          <w:szCs w:val="21"/>
        </w:rPr>
        <w:t xml:space="preserve">2.18</w:t>
      </w:r>
      <w:r>
        <w:rPr>
          <w:rFonts w:ascii="Times New Roman" w:eastAsia="宋体"/>
          <w:sz w:val="21"/>
          <w:szCs w:val="21"/>
        </w:rPr>
        <w:t xml:space="preserve">.3 </w:t>
      </w:r>
      <w:r>
        <w:rPr>
          <w:rFonts w:ascii="Times New Roman" w:eastAsia="宋体"/>
          <w:sz w:val="21"/>
        </w:rPr>
        <w:t xml:space="preserve">主回路的带电部分与观察窗的可触及表面的绝缘应能耐受DL/T 593规定的对地试验电压。</w:t>
      </w:r>
      <w:r>
        <w:rPr>
          <w:rFonts w:ascii="Times New Roman" w:eastAsia="宋体"/>
          <w:sz w:val="21"/>
        </w:rPr>
      </w:r>
      <w:r/>
    </w:p>
    <w:p>
      <w:pPr>
        <w:pStyle w:val="1242"/>
        <w:spacing w:before="0" w:after="0" w:line="312" w:lineRule="exact"/>
        <w:rPr>
          <w:rFonts w:ascii="Times New Roman" w:eastAsia="宋体"/>
          <w:sz w:val="21"/>
        </w:rPr>
        <w:outlineLvl w:val="9"/>
      </w:pPr>
      <w:r>
        <w:rPr>
          <w:rFonts w:ascii="Times New Roman" w:eastAsia="宋体"/>
          <w:sz w:val="21"/>
          <w:szCs w:val="21"/>
        </w:rPr>
        <w:t xml:space="preserve">5.</w:t>
      </w:r>
      <w:r>
        <w:rPr>
          <w:rFonts w:hint="eastAsia" w:ascii="Times New Roman" w:eastAsia="宋体"/>
          <w:sz w:val="21"/>
          <w:szCs w:val="21"/>
        </w:rPr>
        <w:t xml:space="preserve">2.18</w:t>
      </w:r>
      <w:r>
        <w:rPr>
          <w:rFonts w:ascii="Times New Roman" w:eastAsia="宋体"/>
          <w:sz w:val="21"/>
          <w:szCs w:val="21"/>
        </w:rPr>
        <w:t xml:space="preserve">.4 </w:t>
      </w:r>
      <w:r>
        <w:rPr>
          <w:rFonts w:ascii="Times New Roman" w:eastAsia="宋体"/>
          <w:sz w:val="21"/>
        </w:rPr>
        <w:t xml:space="preserve">观察窗的玻璃应采用双层钢化夹胶玻璃，厚度不小于10mm，并在玻璃增加屏蔽网。</w:t>
      </w:r>
      <w:r>
        <w:rPr>
          <w:rFonts w:ascii="Times New Roman" w:eastAsia="宋体"/>
          <w:sz w:val="21"/>
        </w:rPr>
      </w:r>
      <w:r/>
    </w:p>
    <w:p>
      <w:pPr>
        <w:pStyle w:val="1240"/>
        <w:rPr>
          <w:color w:val="000000"/>
        </w:rPr>
        <w:outlineLvl w:val="2"/>
      </w:pPr>
      <w:r>
        <w:rPr>
          <w:color w:val="000000"/>
        </w:rPr>
        <w:t xml:space="preserve">5.</w:t>
      </w:r>
      <w:r>
        <w:rPr>
          <w:rFonts w:hint="eastAsia"/>
          <w:color w:val="000000"/>
        </w:rPr>
        <w:t xml:space="preserve">2.19限制并避免环网柜内部电弧故障的要求</w:t>
      </w:r>
      <w:r>
        <w:rPr>
          <w:color w:val="000000"/>
        </w:rPr>
      </w:r>
      <w:r/>
    </w:p>
    <w:p>
      <w:pPr>
        <w:pStyle w:val="1151"/>
        <w:spacing w:line="312" w:lineRule="exact"/>
        <w:rPr>
          <w:szCs w:val="21"/>
        </w:rPr>
      </w:pPr>
      <w:r>
        <w:rPr>
          <w:szCs w:val="21"/>
        </w:rPr>
        <w:t xml:space="preserve">5.</w:t>
      </w:r>
      <w:r>
        <w:rPr>
          <w:rFonts w:hint="eastAsia"/>
          <w:szCs w:val="21"/>
        </w:rPr>
        <w:t xml:space="preserve">2.19</w:t>
      </w:r>
      <w:r>
        <w:rPr>
          <w:szCs w:val="21"/>
        </w:rPr>
        <w:t xml:space="preserve">.1 </w:t>
      </w:r>
      <w:r>
        <w:rPr>
          <w:szCs w:val="21"/>
        </w:rPr>
        <w:t xml:space="preserve">环网柜的</w:t>
      </w:r>
      <w:r>
        <w:rPr>
          <w:szCs w:val="21"/>
        </w:rPr>
        <w:t xml:space="preserve">断路器室</w:t>
      </w:r>
      <w:r>
        <w:rPr>
          <w:szCs w:val="21"/>
        </w:rPr>
        <w:t xml:space="preserve">、电缆室应通过内部燃弧试验，试验电流为额定短时耐受电流，持续时间不应小于0.5s并在投标时出具相关试验报告。</w:t>
      </w:r>
      <w:r>
        <w:rPr>
          <w:szCs w:val="21"/>
        </w:rPr>
      </w:r>
      <w:r/>
    </w:p>
    <w:p>
      <w:pPr>
        <w:pStyle w:val="1151"/>
        <w:spacing w:line="312" w:lineRule="exact"/>
        <w:rPr>
          <w:szCs w:val="21"/>
        </w:rPr>
      </w:pPr>
      <w:r>
        <w:t xml:space="preserve">5.</w:t>
      </w:r>
      <w:r>
        <w:rPr>
          <w:rFonts w:hint="eastAsia"/>
          <w:szCs w:val="21"/>
        </w:rPr>
        <w:t xml:space="preserve">2.19</w:t>
      </w:r>
      <w:r>
        <w:rPr>
          <w:szCs w:val="21"/>
        </w:rPr>
        <w:t xml:space="preserve">.2 </w:t>
      </w:r>
      <w:r>
        <w:rPr>
          <w:szCs w:val="21"/>
        </w:rPr>
        <w:t xml:space="preserve">环网柜的各隔室之间，应满足正常使用条件和限制隔室内部电弧影响的要求；并能防止因本身缺陷、异常或误操作导致的内电弧伤及工作人员，能限制电弧的燃烧范围。</w:t>
      </w:r>
      <w:r>
        <w:rPr>
          <w:szCs w:val="21"/>
        </w:rPr>
      </w:r>
      <w:r/>
    </w:p>
    <w:p>
      <w:pPr>
        <w:pStyle w:val="1151"/>
        <w:spacing w:line="312" w:lineRule="exact"/>
        <w:rPr>
          <w:szCs w:val="21"/>
        </w:rPr>
      </w:pPr>
      <w:r>
        <w:rPr>
          <w:szCs w:val="21"/>
        </w:rPr>
        <w:t xml:space="preserve">5.</w:t>
      </w:r>
      <w:r>
        <w:rPr>
          <w:rFonts w:hint="eastAsia"/>
          <w:szCs w:val="21"/>
        </w:rPr>
        <w:t xml:space="preserve">2.19</w:t>
      </w:r>
      <w:r>
        <w:rPr>
          <w:szCs w:val="21"/>
        </w:rPr>
        <w:t xml:space="preserve">.3 </w:t>
      </w:r>
      <w:r>
        <w:rPr>
          <w:szCs w:val="21"/>
        </w:rPr>
        <w:t xml:space="preserve">应采取防止人为造成内部故障的措施，还应考虑到由于柜内组件动作造成的故障引起隔室内过压及压力释放装置喷出气体，可能对人员和其他正常运行设备的影响。</w:t>
      </w:r>
      <w:r>
        <w:rPr>
          <w:szCs w:val="21"/>
        </w:rPr>
      </w:r>
      <w:r/>
    </w:p>
    <w:p>
      <w:pPr>
        <w:pStyle w:val="1242"/>
        <w:spacing w:before="0" w:after="0" w:line="312" w:lineRule="exact"/>
        <w:rPr>
          <w:rFonts w:ascii="Times New Roman"/>
        </w:rPr>
        <w:outlineLvl w:val="9"/>
      </w:pPr>
      <w:r>
        <w:rPr>
          <w:rFonts w:ascii="Times New Roman" w:eastAsia="宋体"/>
          <w:sz w:val="21"/>
          <w:szCs w:val="21"/>
        </w:rPr>
        <w:t xml:space="preserve">5.2.19.4 除仪表室外，在断路器室和电缆室的均设有排气通道和泄压装置，当产生内部故障电弧时，泄压通道将被自动打开，释放内部压力，以确保人员和环网柜的安全</w:t>
      </w:r>
      <w:r>
        <w:rPr>
          <w:rFonts w:ascii="Times New Roman" w:eastAsia="宋体"/>
          <w:sz w:val="21"/>
          <w:szCs w:val="24"/>
        </w:rPr>
        <w:t xml:space="preserve">。</w:t>
      </w:r>
      <w:r>
        <w:rPr>
          <w:rFonts w:ascii="Times New Roman"/>
        </w:rPr>
      </w:r>
      <w:r/>
    </w:p>
    <w:p>
      <w:pPr>
        <w:pStyle w:val="1240"/>
        <w:rPr>
          <w:color w:val="000000"/>
        </w:rPr>
        <w:outlineLvl w:val="2"/>
      </w:pPr>
      <w:r>
        <w:rPr>
          <w:color w:val="000000"/>
        </w:rPr>
        <w:t xml:space="preserve">5.</w:t>
      </w:r>
      <w:r>
        <w:rPr>
          <w:rFonts w:hint="eastAsia"/>
          <w:color w:val="000000"/>
        </w:rPr>
        <w:t xml:space="preserve">2.20环网箱的标准化要求</w:t>
      </w:r>
      <w:r>
        <w:rPr>
          <w:color w:val="000000"/>
        </w:rPr>
      </w:r>
      <w:r/>
    </w:p>
    <w:p>
      <w:pPr>
        <w:pStyle w:val="1240"/>
        <w:rPr>
          <w:rFonts w:ascii="Times New Roman" w:eastAsia="宋体"/>
          <w:color w:val="000000"/>
        </w:rPr>
      </w:pPr>
      <w:r>
        <w:rPr>
          <w:rFonts w:ascii="Times New Roman"/>
          <w:color w:val="000000"/>
        </w:rPr>
        <w:t xml:space="preserve">5.</w:t>
      </w:r>
      <w:r>
        <w:rPr>
          <w:rFonts w:hint="eastAsia" w:ascii="Times New Roman"/>
          <w:color w:val="000000"/>
        </w:rPr>
        <w:t xml:space="preserve">2.20</w:t>
      </w:r>
      <w:r>
        <w:rPr>
          <w:rFonts w:ascii="Times New Roman" w:eastAsia="宋体"/>
          <w:color w:val="000000"/>
        </w:rPr>
        <w:t xml:space="preserve">.1 环网箱箱体材质性能不低于S304不锈钢或GRC材料（玻璃纤维增强水泥）等材料。外壳应有足够的机械强度，在起吊、运输和安装时不应变形或损伤。外箱体防护等级应不低于IP43。环网箱材质如为金属，则标称厚度≥2mm，尺寸允许偏差满足《GB/T 708冷轧钢板和钢带的尺寸、外形、重量及允许偏差》的B级精度要求。</w:t>
      </w:r>
      <w:r>
        <w:rPr>
          <w:rFonts w:ascii="Times New Roman" w:eastAsia="宋体"/>
          <w:color w:val="000000"/>
        </w:rPr>
      </w:r>
      <w:r/>
    </w:p>
    <w:p>
      <w:pPr>
        <w:pStyle w:val="1240"/>
        <w:rPr>
          <w:rFonts w:ascii="Times New Roman" w:eastAsia="宋体"/>
          <w:color w:val="000000"/>
        </w:rPr>
      </w:pPr>
      <w:r>
        <w:rPr>
          <w:rFonts w:ascii="Times New Roman"/>
          <w:color w:val="000000"/>
        </w:rPr>
        <w:t xml:space="preserve">5.</w:t>
      </w:r>
      <w:r>
        <w:rPr>
          <w:rFonts w:hint="eastAsia" w:ascii="Times New Roman"/>
          <w:color w:val="000000"/>
        </w:rPr>
        <w:t xml:space="preserve">2.20</w:t>
      </w:r>
      <w:r>
        <w:rPr>
          <w:rFonts w:ascii="Times New Roman" w:eastAsia="宋体"/>
          <w:color w:val="000000"/>
        </w:rPr>
        <w:t xml:space="preserve">.2 </w:t>
      </w:r>
      <w:r>
        <w:rPr>
          <w:rFonts w:ascii="Times New Roman" w:eastAsia="宋体"/>
          <w:color w:val="000000"/>
        </w:rPr>
        <w:t xml:space="preserve">金属材质外箱体应采取防腐涂覆工艺处理，涂层均匀、厚度一致，涂层应有牢固的附着力，保证20年不可出现明显可见锈斑，箱体外壳具有防贴小广告功能。</w:t>
      </w:r>
      <w:r>
        <w:rPr>
          <w:rFonts w:ascii="Times New Roman" w:eastAsia="宋体"/>
          <w:color w:val="000000"/>
        </w:rPr>
      </w:r>
      <w:r/>
    </w:p>
    <w:p>
      <w:pPr>
        <w:pStyle w:val="1240"/>
        <w:rPr>
          <w:rFonts w:ascii="Times New Roman" w:eastAsia="宋体"/>
          <w:color w:val="000000"/>
        </w:rPr>
      </w:pPr>
      <w:r>
        <w:rPr>
          <w:rFonts w:ascii="Times New Roman"/>
          <w:color w:val="000000"/>
        </w:rPr>
        <w:t xml:space="preserve">5.</w:t>
      </w:r>
      <w:r>
        <w:rPr>
          <w:rFonts w:hint="eastAsia" w:ascii="Times New Roman"/>
          <w:color w:val="000000"/>
        </w:rPr>
        <w:t xml:space="preserve">2.20</w:t>
      </w:r>
      <w:r>
        <w:rPr>
          <w:rFonts w:ascii="Times New Roman"/>
          <w:color w:val="000000"/>
        </w:rPr>
        <w:t xml:space="preserve">.3 </w:t>
      </w:r>
      <w:r>
        <w:rPr>
          <w:rFonts w:ascii="Times New Roman" w:eastAsia="宋体"/>
          <w:color w:val="000000"/>
        </w:rPr>
        <w:t xml:space="preserve">环网箱颜色为国网绿，CMYK值为C100M5Y50K40，PANTONG 3292C。如有特殊要求，应保持与周围人文、地理环境相协调。箱壳表面应有明显的反光警示标志，保证15年不褪色。</w:t>
      </w:r>
      <w:r>
        <w:rPr>
          <w:rFonts w:ascii="Times New Roman" w:eastAsia="宋体"/>
          <w:color w:val="000000"/>
        </w:rPr>
      </w:r>
      <w:r/>
    </w:p>
    <w:p>
      <w:pPr>
        <w:pStyle w:val="1240"/>
        <w:rPr>
          <w:rFonts w:ascii="Times New Roman" w:eastAsia="宋体"/>
          <w:color w:val="000000"/>
        </w:rPr>
      </w:pPr>
      <w:r>
        <w:rPr>
          <w:rFonts w:ascii="Times New Roman"/>
          <w:color w:val="000000"/>
        </w:rPr>
        <w:t xml:space="preserve">5.</w:t>
      </w:r>
      <w:r>
        <w:rPr>
          <w:rFonts w:hint="eastAsia" w:ascii="Times New Roman"/>
          <w:color w:val="000000"/>
        </w:rPr>
        <w:t xml:space="preserve">2.20</w:t>
      </w:r>
      <w:r>
        <w:rPr>
          <w:rFonts w:ascii="Times New Roman" w:eastAsia="宋体"/>
          <w:color w:val="000000"/>
        </w:rPr>
        <w:t xml:space="preserve">.4 外箱体应设置明显的标志，如设备名称、有电危险等。标志和标识的制作应符合GDW</w:t>
      </w:r>
      <w:r>
        <w:rPr>
          <w:rFonts w:ascii="Times New Roman" w:eastAsia="宋体"/>
          <w:color w:val="000000"/>
        </w:rPr>
        <w:t xml:space="preserve"> 742的规定。</w:t>
      </w:r>
      <w:r>
        <w:rPr>
          <w:rFonts w:ascii="Times New Roman" w:eastAsia="宋体"/>
          <w:color w:val="000000"/>
        </w:rPr>
      </w:r>
      <w:r/>
    </w:p>
    <w:p>
      <w:pPr>
        <w:pStyle w:val="1240"/>
        <w:rPr>
          <w:rFonts w:ascii="Times New Roman" w:eastAsia="宋体"/>
          <w:color w:val="000000"/>
        </w:rPr>
      </w:pPr>
      <w:r>
        <w:rPr>
          <w:rFonts w:ascii="Times New Roman"/>
          <w:color w:val="000000"/>
        </w:rPr>
        <w:t xml:space="preserve">5.</w:t>
      </w:r>
      <w:r>
        <w:rPr>
          <w:rFonts w:hint="eastAsia" w:ascii="Times New Roman"/>
          <w:color w:val="000000"/>
        </w:rPr>
        <w:t xml:space="preserve">2.20</w:t>
      </w:r>
      <w:r>
        <w:rPr>
          <w:rFonts w:ascii="Times New Roman"/>
          <w:color w:val="000000"/>
        </w:rPr>
        <w:t xml:space="preserve">.5 </w:t>
      </w:r>
      <w:r>
        <w:rPr>
          <w:rFonts w:ascii="Times New Roman" w:eastAsia="宋体"/>
          <w:color w:val="000000"/>
        </w:rPr>
        <w:t xml:space="preserve">外箱体顶盖的倾斜度应不小于5°，并应装设防雨檐。门开启角度不小于90°，并设定位装置；装设暗锁，并设外挂锁孔。门锁具有防盗、防锈及防堵功能。</w:t>
      </w:r>
      <w:r>
        <w:rPr>
          <w:rFonts w:ascii="Times New Roman" w:eastAsia="宋体"/>
          <w:color w:val="000000"/>
        </w:rPr>
      </w:r>
      <w:r/>
    </w:p>
    <w:p>
      <w:pPr>
        <w:pStyle w:val="1240"/>
        <w:rPr>
          <w:rFonts w:ascii="Times New Roman" w:eastAsia="宋体"/>
          <w:color w:val="000000"/>
        </w:rPr>
      </w:pPr>
      <w:r>
        <w:rPr>
          <w:rFonts w:ascii="Times New Roman"/>
          <w:color w:val="000000"/>
        </w:rPr>
        <w:t xml:space="preserve">5.</w:t>
      </w:r>
      <w:r>
        <w:rPr>
          <w:rFonts w:hint="eastAsia" w:ascii="Times New Roman"/>
          <w:color w:val="000000"/>
        </w:rPr>
        <w:t xml:space="preserve">2.20</w:t>
      </w:r>
      <w:r>
        <w:rPr>
          <w:rFonts w:ascii="Times New Roman"/>
          <w:color w:val="000000"/>
        </w:rPr>
        <w:t xml:space="preserve">.6 </w:t>
      </w:r>
      <w:r>
        <w:rPr>
          <w:rFonts w:ascii="Times New Roman" w:eastAsia="宋体"/>
          <w:color w:val="000000"/>
        </w:rPr>
        <w:t xml:space="preserve">外箱体应设有足够的自然通风口和隔热措施，保证在4.1条规定的条件下运行时，所有电器设备的温升不超过其允许值，并且不得因此降低环网柜的外箱体防护等级。</w:t>
      </w:r>
      <w:r>
        <w:rPr>
          <w:rFonts w:ascii="Times New Roman" w:eastAsia="宋体"/>
          <w:color w:val="000000"/>
        </w:rPr>
      </w:r>
      <w:r/>
    </w:p>
    <w:p>
      <w:pPr>
        <w:pStyle w:val="1240"/>
        <w:rPr>
          <w:rFonts w:ascii="Times New Roman" w:eastAsia="宋体"/>
          <w:color w:val="000000"/>
        </w:rPr>
      </w:pPr>
      <w:r>
        <w:rPr>
          <w:rFonts w:ascii="Times New Roman"/>
          <w:color w:val="000000"/>
        </w:rPr>
        <w:t xml:space="preserve">5.</w:t>
      </w:r>
      <w:r>
        <w:rPr>
          <w:rFonts w:hint="eastAsia" w:ascii="Times New Roman"/>
          <w:color w:val="000000"/>
        </w:rPr>
        <w:t xml:space="preserve">2.20</w:t>
      </w:r>
      <w:r>
        <w:rPr>
          <w:rFonts w:ascii="Times New Roman"/>
          <w:color w:val="000000"/>
        </w:rPr>
        <w:t xml:space="preserve">.7 </w:t>
      </w:r>
      <w:r>
        <w:rPr>
          <w:rFonts w:ascii="Times New Roman" w:eastAsia="宋体"/>
          <w:color w:val="000000"/>
        </w:rPr>
        <w:t xml:space="preserve">外箱体底部应配备4根可伸缩式起吊销，起吊销应能承载整台设备的重量。</w:t>
      </w:r>
      <w:r>
        <w:rPr>
          <w:rFonts w:ascii="Times New Roman" w:eastAsia="宋体"/>
          <w:color w:val="000000"/>
        </w:rPr>
      </w:r>
      <w:r/>
    </w:p>
    <w:p>
      <w:pPr>
        <w:pStyle w:val="1240"/>
        <w:rPr>
          <w:rFonts w:ascii="Times New Roman" w:eastAsia="宋体"/>
        </w:rPr>
      </w:pPr>
      <w:r>
        <w:rPr>
          <w:rFonts w:ascii="Times New Roman" w:eastAsia="宋体"/>
          <w:color w:val="000000"/>
        </w:rPr>
        <w:t xml:space="preserve">5.</w:t>
      </w:r>
      <w:r>
        <w:rPr>
          <w:rFonts w:hint="eastAsia" w:ascii="Times New Roman"/>
          <w:color w:val="000000"/>
        </w:rPr>
        <w:t xml:space="preserve">2.20</w:t>
      </w:r>
      <w:r>
        <w:rPr>
          <w:rFonts w:ascii="Times New Roman" w:eastAsia="宋体"/>
          <w:color w:val="000000"/>
        </w:rPr>
        <w:t xml:space="preserve">.8 </w:t>
      </w:r>
      <w:r>
        <w:rPr>
          <w:rFonts w:hint="eastAsia" w:ascii="Times New Roman" w:eastAsia="宋体"/>
          <w:color w:val="000000"/>
        </w:rPr>
        <w:t xml:space="preserve">预留自动化接口的户外环网箱应同时预留独立的配电自动化单元安装空间，一般按</w:t>
      </w:r>
      <w:r>
        <w:rPr>
          <w:rFonts w:ascii="Times New Roman" w:eastAsia="宋体"/>
          <w:color w:val="000000"/>
        </w:rPr>
        <w:t xml:space="preserve">DTU</w:t>
      </w:r>
      <w:r>
        <w:rPr>
          <w:rFonts w:hint="eastAsia" w:ascii="Times New Roman" w:eastAsia="宋体"/>
          <w:color w:val="000000"/>
        </w:rPr>
        <w:t xml:space="preserve">遮蔽立式放置，预留宽度空间不低于</w:t>
      </w:r>
      <w:r>
        <w:rPr>
          <w:rFonts w:ascii="Times New Roman" w:eastAsia="宋体"/>
          <w:color w:val="000000"/>
        </w:rPr>
        <w:t xml:space="preserve">600mm</w:t>
      </w:r>
      <w:r>
        <w:rPr>
          <w:rFonts w:hint="eastAsia" w:ascii="Times New Roman" w:eastAsia="宋体"/>
          <w:color w:val="000000"/>
        </w:rPr>
        <w:t xml:space="preserve">。当项目单位提供上述设备时，投标方应负责将其与直流电源系统组合安装于箱内，并完成二次接线。</w:t>
      </w:r>
      <w:r>
        <w:rPr>
          <w:rFonts w:ascii="Times New Roman" w:eastAsia="宋体"/>
        </w:rPr>
      </w:r>
      <w:r/>
    </w:p>
    <w:p>
      <w:pPr>
        <w:pStyle w:val="1151"/>
      </w:pPr>
      <w:r>
        <w:t xml:space="preserve">5.</w:t>
      </w:r>
      <w:r>
        <w:rPr>
          <w:rFonts w:ascii="EU-F1"/>
          <w:color w:val="000000"/>
        </w:rPr>
        <w:t xml:space="preserve">2.20</w:t>
      </w:r>
      <w:r>
        <w:t xml:space="preserve">.9 </w:t>
      </w:r>
      <w:r>
        <w:rPr>
          <w:rFonts w:hint="eastAsia"/>
        </w:rPr>
        <w:t xml:space="preserve">环网箱仅包含</w:t>
      </w:r>
      <w:r>
        <w:t xml:space="preserve">4</w:t>
      </w:r>
      <w:r>
        <w:rPr>
          <w:rFonts w:hint="eastAsia"/>
        </w:rPr>
        <w:t xml:space="preserve">路和</w:t>
      </w:r>
      <w:r>
        <w:t xml:space="preserve">6</w:t>
      </w:r>
      <w:r>
        <w:rPr>
          <w:rFonts w:hint="eastAsia"/>
        </w:rPr>
        <w:t xml:space="preserve">路断路器方案，其中进线断路器的综保装置可根据实际应用需求选配，且环网箱内应包含</w:t>
      </w:r>
      <w:r>
        <w:t xml:space="preserve">DTU</w:t>
      </w:r>
      <w:r>
        <w:rPr>
          <w:rFonts w:hint="eastAsia"/>
        </w:rPr>
        <w:t xml:space="preserve">柜、</w:t>
      </w:r>
      <w:r>
        <w:t xml:space="preserve">PT</w:t>
      </w:r>
      <w:r>
        <w:rPr>
          <w:rFonts w:hint="eastAsia"/>
        </w:rPr>
        <w:t xml:space="preserve">柜。可通过共箱型或单元柜环网柜组合成以下方案：</w:t>
      </w:r>
      <w:r/>
    </w:p>
    <w:p>
      <w:pPr>
        <w:pStyle w:val="1151"/>
      </w:pPr>
      <w:r>
        <w:rPr>
          <w:rFonts w:hint="eastAsia"/>
        </w:rPr>
        <w:t xml:space="preserve">（</w:t>
      </w:r>
      <w:r>
        <w:t xml:space="preserve">1</w:t>
      </w:r>
      <w:r>
        <w:rPr>
          <w:rFonts w:hint="eastAsia"/>
        </w:rPr>
        <w:t xml:space="preserve">）</w:t>
      </w:r>
      <w:r>
        <w:t xml:space="preserve">4</w:t>
      </w:r>
      <w:r>
        <w:rPr>
          <w:rFonts w:hint="eastAsia"/>
        </w:rPr>
        <w:t xml:space="preserve">单元断路器共箱型（</w:t>
      </w:r>
      <w:r>
        <w:t xml:space="preserve">VVVV</w:t>
      </w:r>
      <w:r>
        <w:rPr>
          <w:rFonts w:hint="eastAsia"/>
        </w:rPr>
        <w:t xml:space="preserve">）或</w:t>
      </w:r>
      <w:r>
        <w:t xml:space="preserve">4</w:t>
      </w:r>
      <w:r>
        <w:rPr>
          <w:rFonts w:hint="eastAsia"/>
        </w:rPr>
        <w:t xml:space="preserve">面断路器单元柜组成安装于环网箱内的</w:t>
      </w:r>
      <w:r>
        <w:t xml:space="preserve">4</w:t>
      </w:r>
      <w:r>
        <w:rPr>
          <w:rFonts w:hint="eastAsia"/>
        </w:rPr>
        <w:t xml:space="preserve">路方案（</w:t>
      </w:r>
      <w:r>
        <w:t xml:space="preserve">VVVV</w:t>
      </w:r>
      <w:r>
        <w:rPr>
          <w:rFonts w:hint="eastAsia"/>
        </w:rPr>
        <w:t xml:space="preserve">）；</w:t>
      </w:r>
      <w:r/>
    </w:p>
    <w:p>
      <w:pPr>
        <w:pStyle w:val="1151"/>
      </w:pPr>
      <w:r>
        <w:rPr>
          <w:rFonts w:hint="eastAsia"/>
        </w:rPr>
        <w:t xml:space="preserve">（</w:t>
      </w:r>
      <w:r>
        <w:t xml:space="preserve">2</w:t>
      </w:r>
      <w:r>
        <w:rPr>
          <w:rFonts w:hint="eastAsia"/>
        </w:rPr>
        <w:t xml:space="preserve">）</w:t>
      </w:r>
      <w:r>
        <w:t xml:space="preserve">2</w:t>
      </w:r>
      <w:r>
        <w:rPr>
          <w:rFonts w:hint="eastAsia"/>
        </w:rPr>
        <w:t xml:space="preserve">面</w:t>
      </w:r>
      <w:r>
        <w:t xml:space="preserve">3</w:t>
      </w:r>
      <w:r>
        <w:rPr>
          <w:rFonts w:hint="eastAsia"/>
        </w:rPr>
        <w:t xml:space="preserve">单元断路器共箱型（</w:t>
      </w:r>
      <w:r>
        <w:t xml:space="preserve">VVV</w:t>
      </w:r>
      <w:r>
        <w:rPr>
          <w:rFonts w:hint="eastAsia"/>
        </w:rPr>
        <w:t xml:space="preserve">）或</w:t>
      </w:r>
      <w:r>
        <w:t xml:space="preserve">6</w:t>
      </w:r>
      <w:r>
        <w:rPr>
          <w:rFonts w:hint="eastAsia"/>
        </w:rPr>
        <w:t xml:space="preserve">面断路器单元柜组成安装于环网箱内的</w:t>
      </w:r>
      <w:r>
        <w:t xml:space="preserve">6</w:t>
      </w:r>
      <w:r/>
    </w:p>
    <w:p>
      <w:pPr>
        <w:pStyle w:val="1151"/>
      </w:pPr>
      <w:r>
        <w:rPr>
          <w:rFonts w:hint="eastAsia"/>
        </w:rPr>
        <w:t xml:space="preserve">路断路器方案（</w:t>
      </w:r>
      <w:r>
        <w:t xml:space="preserve">VVVVVV</w:t>
      </w:r>
      <w:r>
        <w:rPr>
          <w:rFonts w:hint="eastAsia"/>
        </w:rPr>
        <w:t xml:space="preserve">）。</w:t>
      </w:r>
      <w:r/>
    </w:p>
    <w:p>
      <w:pPr>
        <w:pStyle w:val="1151"/>
      </w:pPr>
      <w:r/>
      <w:bookmarkStart w:id="221" w:name="_Toc531852623"/>
      <w:r>
        <w:t xml:space="preserve">5.</w:t>
      </w:r>
      <w:r>
        <w:rPr>
          <w:rFonts w:ascii="EU-F1"/>
          <w:color w:val="000000"/>
        </w:rPr>
        <w:t xml:space="preserve">2.20</w:t>
      </w:r>
      <w:r>
        <w:t xml:space="preserve">.10 </w:t>
      </w:r>
      <w:r>
        <w:rPr>
          <w:rFonts w:hint="eastAsia"/>
        </w:rPr>
        <w:t xml:space="preserve">环网箱外形</w:t>
      </w:r>
      <w:bookmarkEnd w:id="221"/>
      <w:r/>
      <w:r/>
    </w:p>
    <w:p>
      <w:pPr>
        <w:pStyle w:val="1151"/>
        <w:ind w:firstLine="420"/>
        <w:spacing w:line="312" w:lineRule="exact"/>
        <w:rPr>
          <w:szCs w:val="21"/>
        </w:rPr>
      </w:pPr>
      <w:r>
        <w:rPr>
          <w:szCs w:val="21"/>
        </w:rPr>
        <w:t xml:space="preserve">给出金属材质的环网箱外形尺寸，非金属参考执行。包括</w:t>
      </w:r>
      <w:r>
        <w:rPr>
          <w:rFonts w:hint="eastAsia"/>
          <w:szCs w:val="21"/>
        </w:rPr>
        <w:t xml:space="preserve">两</w:t>
      </w:r>
      <w:r>
        <w:rPr>
          <w:szCs w:val="21"/>
        </w:rPr>
        <w:t xml:space="preserve">种尺寸，如图</w:t>
      </w:r>
      <w:r>
        <w:rPr>
          <w:rFonts w:hint="eastAsia"/>
          <w:szCs w:val="21"/>
        </w:rPr>
        <w:t xml:space="preserve">46</w:t>
      </w:r>
      <w:r>
        <w:rPr>
          <w:szCs w:val="21"/>
        </w:rPr>
        <w:t xml:space="preserve">所示。</w:t>
      </w:r>
      <w:r>
        <w:rPr>
          <w:szCs w:val="21"/>
        </w:rPr>
      </w:r>
      <w:r/>
    </w:p>
    <w:p>
      <w:pPr>
        <w:pStyle w:val="1151"/>
        <w:ind w:firstLine="420"/>
        <w:spacing w:line="312" w:lineRule="exact"/>
        <w:rPr>
          <w:szCs w:val="21"/>
        </w:rPr>
      </w:pPr>
      <w:r>
        <w:rPr>
          <w:szCs w:val="21"/>
        </w:rPr>
        <w:t xml:space="preserve">（1）4路：箱宽为3200mm。</w:t>
      </w:r>
      <w:r>
        <w:rPr>
          <w:szCs w:val="21"/>
        </w:rPr>
      </w:r>
      <w:r/>
    </w:p>
    <w:p>
      <w:pPr>
        <w:pStyle w:val="1151"/>
        <w:ind w:firstLine="420"/>
        <w:spacing w:line="312" w:lineRule="exact"/>
        <w:rPr>
          <w:szCs w:val="21"/>
        </w:rPr>
      </w:pPr>
      <w:r>
        <w:rPr>
          <w:szCs w:val="21"/>
        </w:rPr>
        <w:t xml:space="preserve">（</w:t>
      </w:r>
      <w:r>
        <w:rPr>
          <w:rFonts w:hint="eastAsia"/>
          <w:szCs w:val="21"/>
        </w:rPr>
        <w:t xml:space="preserve">2</w:t>
      </w:r>
      <w:r>
        <w:rPr>
          <w:szCs w:val="21"/>
        </w:rPr>
        <w:t xml:space="preserve">）6路：箱宽为4000mm。</w:t>
      </w:r>
      <w:r>
        <w:rPr>
          <w:szCs w:val="21"/>
        </w:rPr>
      </w:r>
      <w:r/>
    </w:p>
    <w:p>
      <w:pPr>
        <w:pStyle w:val="1151"/>
        <w:ind w:firstLine="420"/>
        <w:spacing w:line="312" w:lineRule="exact"/>
        <w:rPr>
          <w:szCs w:val="21"/>
        </w:rPr>
      </w:pPr>
      <w:r>
        <w:rPr>
          <w:szCs w:val="21"/>
        </w:rPr>
        <w:t xml:space="preserve">环网箱深度为1150mm。</w:t>
      </w:r>
      <w:r>
        <w:rPr>
          <w:szCs w:val="21"/>
        </w:rPr>
      </w:r>
      <w:r/>
    </w:p>
    <w:p>
      <w:pPr>
        <w:pStyle w:val="1151"/>
        <w:ind w:left="420"/>
        <w:jc w:val="left"/>
        <w:spacing w:line="312" w:lineRule="exact"/>
        <w:rPr>
          <w:szCs w:val="21"/>
        </w:rPr>
      </w:pPr>
      <w:r>
        <w:rPr>
          <w:szCs w:val="21"/>
        </w:rPr>
        <w:t xml:space="preserve">金属材质环网箱高度≤2300mm，非金属材质环网箱高度≤2500mm。</w:t>
      </w:r>
      <w:r>
        <w:rPr>
          <w:szCs w:val="21"/>
        </w:rPr>
      </w:r>
      <w:r/>
    </w:p>
    <w:p>
      <w:pPr>
        <w:pStyle w:val="1151"/>
        <w:ind w:firstLine="420"/>
        <w:spacing w:line="312" w:lineRule="exact"/>
        <w:rPr>
          <w:szCs w:val="21"/>
        </w:rPr>
      </w:pPr>
      <w:r>
        <w:rPr>
          <w:szCs w:val="21"/>
        </w:rPr>
        <w:t xml:space="preserve">顶盖长度、宽度方向分别超出箱体外形不大于100mm，箱顶为“人”字形结构，箱顶斜度不小于5°，金属材质环网箱顶盖外沿高度≤100mm，非金属材质环网箱顶盖外沿高度≤150mm。</w:t>
      </w:r>
      <w:r>
        <w:rPr>
          <w:szCs w:val="21"/>
        </w:rPr>
      </w:r>
      <w:r/>
    </w:p>
    <w:p>
      <w:pPr>
        <w:pStyle w:val="1151"/>
      </w:pPr>
      <w:r/>
      <w:bookmarkStart w:id="222" w:name="_Toc531852624"/>
      <w:r>
        <w:t xml:space="preserve">5.</w:t>
      </w:r>
      <w:r>
        <w:rPr>
          <w:rFonts w:ascii="EU-F1"/>
          <w:color w:val="000000"/>
        </w:rPr>
        <w:t xml:space="preserve">2.20</w:t>
      </w:r>
      <w:r>
        <w:t xml:space="preserve">.11</w:t>
      </w:r>
      <w:r>
        <w:rPr>
          <w:rFonts w:hint="eastAsia"/>
        </w:rPr>
        <w:t xml:space="preserve">开门所需空间</w:t>
      </w:r>
      <w:bookmarkEnd w:id="222"/>
      <w:r/>
      <w:r/>
    </w:p>
    <w:p>
      <w:pPr>
        <w:pStyle w:val="1151"/>
        <w:ind w:firstLine="420"/>
        <w:rPr>
          <w:szCs w:val="21"/>
        </w:rPr>
      </w:pPr>
      <w:r>
        <w:rPr>
          <w:szCs w:val="21"/>
        </w:rPr>
        <w:t xml:space="preserve">开门角度不小于90°。</w:t>
      </w:r>
      <w:r>
        <w:rPr>
          <w:szCs w:val="21"/>
        </w:rPr>
      </w:r>
      <w:r/>
    </w:p>
    <w:p>
      <w:pPr>
        <w:pStyle w:val="1151"/>
        <w:jc w:val="center"/>
        <w:rPr>
          <w:szCs w:val="21"/>
        </w:rPr>
      </w:pPr>
      <w:r>
        <mc:AlternateContent>
          <mc:Choice Requires="wpg">
            <w:drawing>
              <wp:inline xmlns:wp="http://schemas.openxmlformats.org/drawingml/2006/wordprocessingDrawing" distT="0" distB="0" distL="0" distR="0">
                <wp:extent cx="5267236" cy="2524036"/>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5267236" cy="25240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14.7pt;height:198.7pt;mso-wrap-distance-left:0.0pt;mso-wrap-distance-top:0.0pt;mso-wrap-distance-right:0.0pt;mso-wrap-distance-bottom:0.0pt;" stroked="f">
                <v:path textboxrect="0,0,0,0"/>
                <v:imagedata r:id="rId63" o:title=""/>
              </v:shape>
            </w:pict>
          </mc:Fallback>
        </mc:AlternateContent>
      </w:r>
      <w:r>
        <w:rPr>
          <w:szCs w:val="21"/>
        </w:rPr>
      </w:r>
      <w:r/>
    </w:p>
    <w:p>
      <w:pPr>
        <w:pStyle w:val="1151"/>
        <w:jc w:val="center"/>
        <w:spacing w:line="312" w:lineRule="exact"/>
        <w:rPr>
          <w:rFonts w:eastAsia="黑体"/>
          <w:szCs w:val="21"/>
        </w:rPr>
      </w:pPr>
      <w:r>
        <w:rPr>
          <w:rFonts w:eastAsia="黑体"/>
          <w:szCs w:val="21"/>
        </w:rPr>
        <w:t xml:space="preserve">图</w:t>
      </w:r>
      <w:r>
        <w:rPr>
          <w:rFonts w:hint="eastAsia" w:eastAsia="黑体"/>
          <w:szCs w:val="21"/>
        </w:rPr>
        <w:t xml:space="preserve">46</w:t>
      </w:r>
      <w:r>
        <w:rPr>
          <w:rFonts w:eastAsia="黑体"/>
          <w:szCs w:val="21"/>
        </w:rPr>
        <w:t xml:space="preserve">环网箱外形尺寸图</w:t>
      </w:r>
      <w:r>
        <w:rPr>
          <w:rFonts w:eastAsia="黑体"/>
          <w:szCs w:val="21"/>
        </w:rPr>
      </w:r>
      <w:r/>
    </w:p>
    <w:p>
      <w:pPr>
        <w:pStyle w:val="1151"/>
      </w:pPr>
      <w:r/>
      <w:bookmarkStart w:id="223" w:name="_Toc531852625"/>
      <w:r>
        <w:t xml:space="preserve">5.</w:t>
      </w:r>
      <w:r>
        <w:rPr>
          <w:rFonts w:ascii="EU-F1"/>
          <w:color w:val="000000"/>
        </w:rPr>
        <w:t xml:space="preserve">2.20</w:t>
      </w:r>
      <w:r>
        <w:t xml:space="preserve">.12 </w:t>
      </w:r>
      <w:r>
        <w:rPr>
          <w:rFonts w:hint="eastAsia"/>
        </w:rPr>
        <w:t xml:space="preserve">地基接口</w:t>
      </w:r>
      <w:bookmarkEnd w:id="223"/>
      <w:r/>
      <w:r/>
    </w:p>
    <w:p>
      <w:pPr>
        <w:pStyle w:val="1151"/>
        <w:ind w:firstLine="420"/>
        <w:spacing w:line="312" w:lineRule="exact"/>
        <w:rPr>
          <w:rFonts w:eastAsia="黑体"/>
          <w:szCs w:val="21"/>
        </w:rPr>
      </w:pPr>
      <w:r>
        <w:rPr>
          <w:szCs w:val="21"/>
        </w:rPr>
        <w:t xml:space="preserve">地基外形、电缆沟开口尺寸、接地点、预埋螺栓规格及位置、环网柜在环网箱底板的相对位置如图</w:t>
      </w:r>
      <w:r>
        <w:rPr>
          <w:rFonts w:hint="eastAsia"/>
          <w:szCs w:val="21"/>
        </w:rPr>
        <w:t xml:space="preserve">47</w:t>
      </w:r>
      <w:r>
        <w:rPr>
          <w:szCs w:val="21"/>
        </w:rPr>
        <w:t xml:space="preserve">所示。</w:t>
      </w:r>
      <w:r>
        <w:rPr>
          <w:rFonts w:eastAsia="黑体"/>
          <w:szCs w:val="21"/>
        </w:rPr>
      </w:r>
      <w:r/>
    </w:p>
    <w:p>
      <w:pPr>
        <w:pStyle w:val="1151"/>
        <w:jc w:val="center"/>
        <w:rPr>
          <w:szCs w:val="21"/>
        </w:rPr>
      </w:pPr>
      <w:r>
        <mc:AlternateContent>
          <mc:Choice Requires="wpg">
            <w:drawing>
              <wp:inline xmlns:wp="http://schemas.openxmlformats.org/drawingml/2006/wordprocessingDrawing" distT="0" distB="0" distL="0" distR="0">
                <wp:extent cx="5181600" cy="4743450"/>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rcRect l="27312" t="0" r="27456" b="0"/>
                        <a:stretch/>
                      </pic:blipFill>
                      <pic:spPr bwMode="auto">
                        <a:xfrm>
                          <a:off x="0" y="0"/>
                          <a:ext cx="5181600" cy="474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08.0pt;height:373.5pt;mso-wrap-distance-left:0.0pt;mso-wrap-distance-top:0.0pt;mso-wrap-distance-right:0.0pt;mso-wrap-distance-bottom:0.0pt;" stroked="f">
                <v:path textboxrect="0,0,0,0"/>
                <v:imagedata r:id="rId64" o:title=""/>
              </v:shape>
            </w:pict>
          </mc:Fallback>
        </mc:AlternateContent>
      </w:r>
      <w:r>
        <w:rPr>
          <w:szCs w:val="21"/>
        </w:rPr>
      </w:r>
      <w:r/>
    </w:p>
    <w:p>
      <w:pPr>
        <w:pStyle w:val="1151"/>
        <w:jc w:val="center"/>
        <w:rPr>
          <w:szCs w:val="21"/>
        </w:rPr>
      </w:pPr>
      <w:r>
        <w:rPr>
          <w:rFonts w:eastAsia="黑体"/>
          <w:szCs w:val="21"/>
        </w:rPr>
        <w:t xml:space="preserve">图</w:t>
      </w:r>
      <w:r>
        <w:rPr>
          <w:rFonts w:hint="eastAsia" w:eastAsia="黑体"/>
          <w:szCs w:val="21"/>
        </w:rPr>
        <w:t xml:space="preserve">47</w:t>
      </w:r>
      <w:r>
        <w:rPr>
          <w:rFonts w:eastAsia="黑体"/>
          <w:szCs w:val="21"/>
        </w:rPr>
        <w:t xml:space="preserve">户外环网箱（</w:t>
      </w:r>
      <w:r>
        <w:t xml:space="preserve">VVVV</w:t>
      </w:r>
      <w:r>
        <w:rPr>
          <w:rFonts w:eastAsia="黑体"/>
          <w:szCs w:val="21"/>
        </w:rPr>
        <w:t xml:space="preserve">）地基接口尺寸图</w:t>
      </w:r>
      <w:r>
        <w:rPr>
          <w:szCs w:val="21"/>
        </w:rPr>
      </w:r>
      <w:r/>
    </w:p>
    <w:p>
      <w:pPr>
        <w:pStyle w:val="1240"/>
        <w:rPr>
          <w:rFonts w:ascii="Times New Roman"/>
          <w:color w:val="000000"/>
        </w:rPr>
      </w:pPr>
      <w:r>
        <w:rPr>
          <w:rFonts w:ascii="Times New Roman"/>
          <w:color w:val="000000"/>
        </w:rPr>
      </w:r>
      <w:r/>
    </w:p>
    <w:p>
      <w:pPr>
        <w:pStyle w:val="1240"/>
        <w:rPr>
          <w:rFonts w:ascii="宋体" w:hAnsi="宋体" w:eastAsia="宋体" w:cs="宋体"/>
        </w:rPr>
        <w:outlineLvl w:val="2"/>
      </w:pPr>
      <w:r/>
      <w:bookmarkStart w:id="224" w:name="_Toc9258"/>
      <w:r/>
      <w:bookmarkStart w:id="225" w:name="_Toc19842"/>
      <w:r/>
      <w:bookmarkStart w:id="226" w:name="_Toc25915"/>
      <w:r/>
      <w:bookmarkStart w:id="227" w:name="_Hlk55912163"/>
      <w:r>
        <w:rPr>
          <w:rFonts w:ascii="Times New Roman" w:eastAsia="宋体"/>
          <w:bCs/>
          <w:color w:val="000000"/>
        </w:rPr>
        <w:t xml:space="preserve">5.2.21</w:t>
      </w:r>
      <w:r>
        <w:rPr>
          <w:rFonts w:ascii="宋体" w:hAnsi="宋体" w:eastAsia="宋体" w:cs="宋体"/>
          <w:color w:val="000000"/>
        </w:rPr>
        <w:t xml:space="preserve">终端供电方案</w:t>
      </w:r>
      <w:bookmarkEnd w:id="224"/>
      <w:r/>
      <w:bookmarkEnd w:id="225"/>
      <w:r/>
      <w:bookmarkEnd w:id="226"/>
      <w:r>
        <w:rPr>
          <w:rFonts w:ascii="宋体" w:hAnsi="宋体" w:eastAsia="宋体" w:cs="宋体"/>
        </w:rPr>
      </w:r>
      <w:r/>
    </w:p>
    <w:p>
      <w:pPr>
        <w:pStyle w:val="1151"/>
        <w:ind w:firstLine="420"/>
        <w:jc w:val="left"/>
        <w:widowControl/>
        <w:rPr>
          <w:szCs w:val="21"/>
        </w:rPr>
      </w:pPr>
      <w:r>
        <w:rPr>
          <w:rFonts w:hint="eastAsia"/>
          <w:szCs w:val="21"/>
        </w:rPr>
        <w:t xml:space="preserve">开关站、环网单元站所终端可采用三相五柱式PT供电或外部交流电源供电，可选的外部交流电源有就近市电或配电室、箱式变电站低压侧交流供电。采用外部供电时应取单相供电，供电电源要求：a)交流电源电压标称值为220V；b)交流电源标称电压容差为-20%～+20%；c)交流电源标称频率为50Hz，频率容差为±5%；d)交流电源波形为正弦波，谐波含量小于10%。</w:t>
      </w:r>
      <w:r>
        <w:rPr>
          <w:szCs w:val="21"/>
        </w:rPr>
      </w:r>
      <w:r/>
    </w:p>
    <w:p>
      <w:pPr>
        <w:pStyle w:val="1151"/>
        <w:ind w:firstLine="420"/>
        <w:jc w:val="left"/>
        <w:widowControl/>
      </w:pPr>
      <w:r>
        <w:rPr>
          <w:rFonts w:hint="eastAsia"/>
          <w:szCs w:val="21"/>
        </w:rPr>
        <w:t xml:space="preserve">三相三线供电方案如</w:t>
      </w:r>
      <w:r>
        <w:rPr>
          <w:rFonts w:eastAsia="黑体"/>
          <w:szCs w:val="21"/>
        </w:rPr>
        <w:t xml:space="preserve">图</w:t>
      </w:r>
      <w:r>
        <w:rPr>
          <w:rFonts w:hint="eastAsia" w:eastAsia="黑体"/>
          <w:szCs w:val="21"/>
        </w:rPr>
        <w:t xml:space="preserve">48</w:t>
      </w:r>
      <w:r>
        <w:rPr>
          <w:rFonts w:hint="eastAsia"/>
          <w:szCs w:val="21"/>
        </w:rPr>
        <w:t xml:space="preserve">所示：</w:t>
      </w:r>
      <w:r/>
    </w:p>
    <w:p>
      <w:pPr>
        <w:pStyle w:val="1151"/>
        <w:jc w:val="center"/>
        <w:widowControl/>
      </w:pPr>
      <w:r>
        <mc:AlternateContent>
          <mc:Choice Requires="wpg">
            <w:drawing>
              <wp:inline xmlns:wp="http://schemas.openxmlformats.org/drawingml/2006/wordprocessingDrawing" distT="0" distB="0" distL="0" distR="0">
                <wp:extent cx="5303241" cy="2651785"/>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5303241" cy="2651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17.6pt;height:208.8pt;mso-wrap-distance-left:0.0pt;mso-wrap-distance-top:0.0pt;mso-wrap-distance-right:0.0pt;mso-wrap-distance-bottom:0.0pt;" stroked="f">
                <v:path textboxrect="0,0,0,0"/>
                <v:imagedata r:id="rId65" o:title=""/>
              </v:shape>
            </w:pict>
          </mc:Fallback>
        </mc:AlternateContent>
      </w:r>
      <w:r/>
    </w:p>
    <w:p>
      <w:pPr>
        <w:pStyle w:val="1151"/>
        <w:jc w:val="center"/>
        <w:widowControl/>
        <w:rPr>
          <w:szCs w:val="21"/>
        </w:rPr>
      </w:pPr>
      <w:r>
        <w:rPr>
          <w:rFonts w:eastAsia="黑体"/>
          <w:szCs w:val="21"/>
        </w:rPr>
        <w:t xml:space="preserve">图</w:t>
      </w:r>
      <w:r>
        <w:rPr>
          <w:rFonts w:hint="eastAsia" w:eastAsia="黑体"/>
          <w:szCs w:val="21"/>
        </w:rPr>
        <w:t xml:space="preserve">48</w:t>
      </w:r>
      <w:r>
        <w:rPr>
          <w:rFonts w:hint="eastAsia"/>
          <w:szCs w:val="21"/>
        </w:rPr>
        <w:t xml:space="preserve">三相五柱式PT供电方案原理图</w:t>
      </w:r>
      <w:r>
        <w:rPr>
          <w:szCs w:val="21"/>
        </w:rPr>
      </w:r>
      <w:r/>
    </w:p>
    <w:p>
      <w:pPr>
        <w:pStyle w:val="1240"/>
        <w:rPr>
          <w:rFonts w:ascii="宋体" w:hAnsi="宋体" w:eastAsia="宋体" w:cs="宋体"/>
        </w:rPr>
        <w:outlineLvl w:val="2"/>
      </w:pPr>
      <w:r/>
      <w:bookmarkStart w:id="228" w:name="_Toc14696"/>
      <w:r/>
      <w:bookmarkStart w:id="229" w:name="_Toc10799"/>
      <w:r/>
      <w:bookmarkStart w:id="230" w:name="_Toc22925"/>
      <w:r>
        <w:rPr>
          <w:rFonts w:ascii="Times New Roman"/>
          <w:color w:val="000000"/>
        </w:rPr>
        <w:t xml:space="preserve">5.</w:t>
      </w:r>
      <w:r>
        <w:rPr>
          <w:rFonts w:hint="eastAsia" w:ascii="Times New Roman"/>
          <w:color w:val="000000"/>
        </w:rPr>
        <w:t xml:space="preserve">2.22</w:t>
      </w:r>
      <w:r>
        <w:rPr>
          <w:rFonts w:ascii="宋体" w:hAnsi="宋体" w:eastAsia="宋体" w:cs="宋体"/>
          <w:color w:val="000000"/>
        </w:rPr>
        <w:t xml:space="preserve">配套</w:t>
      </w:r>
      <w:r>
        <w:rPr>
          <w:rFonts w:hint="eastAsia" w:ascii="宋体" w:hAnsi="宋体" w:eastAsia="宋体" w:cs="宋体"/>
          <w:color w:val="000000"/>
        </w:rPr>
        <w:t xml:space="preserve">电磁式</w:t>
      </w:r>
      <w:r>
        <w:rPr>
          <w:rFonts w:ascii="宋体" w:hAnsi="宋体" w:eastAsia="宋体" w:cs="宋体"/>
          <w:color w:val="000000"/>
        </w:rPr>
        <w:t xml:space="preserve">互感器/</w:t>
      </w:r>
      <w:r>
        <w:rPr>
          <w:rFonts w:hint="eastAsia" w:ascii="宋体" w:hAnsi="宋体" w:eastAsia="宋体" w:cs="宋体"/>
          <w:color w:val="000000"/>
        </w:rPr>
        <w:t xml:space="preserve">低功率互</w:t>
      </w:r>
      <w:r>
        <w:rPr>
          <w:rFonts w:ascii="宋体" w:hAnsi="宋体" w:eastAsia="宋体" w:cs="宋体"/>
          <w:color w:val="000000"/>
        </w:rPr>
        <w:t xml:space="preserve">感器</w:t>
      </w:r>
      <w:bookmarkEnd w:id="228"/>
      <w:r/>
      <w:bookmarkEnd w:id="229"/>
      <w:r/>
      <w:bookmarkEnd w:id="230"/>
      <w:r>
        <w:rPr>
          <w:rFonts w:ascii="宋体" w:hAnsi="宋体" w:eastAsia="宋体" w:cs="宋体"/>
        </w:rPr>
      </w:r>
      <w:r/>
    </w:p>
    <w:p>
      <w:pPr>
        <w:pStyle w:val="1151"/>
        <w:spacing w:line="312" w:lineRule="exact"/>
        <w:rPr>
          <w:rFonts w:ascii="宋体" w:hAnsi="宋体" w:eastAsia="黑体" w:cs="宋体"/>
          <w:sz w:val="24"/>
          <w:szCs w:val="21"/>
        </w:rPr>
        <w:outlineLvl w:val="3"/>
      </w:pPr>
      <w:r/>
      <w:bookmarkStart w:id="231" w:name="_Toc2527"/>
      <w:r/>
      <w:bookmarkStart w:id="232" w:name="_Toc6975"/>
      <w:r>
        <w:rPr>
          <w:rFonts w:eastAsia="黑体"/>
          <w:szCs w:val="21"/>
        </w:rPr>
        <w:t xml:space="preserve">5.</w:t>
      </w:r>
      <w:r>
        <w:rPr>
          <w:rFonts w:hint="eastAsia" w:eastAsia="黑体"/>
          <w:szCs w:val="21"/>
        </w:rPr>
        <w:t xml:space="preserve">2.22</w:t>
      </w:r>
      <w:r>
        <w:rPr>
          <w:rFonts w:eastAsia="黑体"/>
          <w:szCs w:val="21"/>
        </w:rPr>
        <w:t xml:space="preserve">.1</w:t>
      </w:r>
      <w:r>
        <w:rPr>
          <w:rFonts w:hint="eastAsia" w:ascii="宋体" w:hAnsi="宋体" w:eastAsia="黑体" w:cs="宋体"/>
          <w:szCs w:val="21"/>
        </w:rPr>
        <w:t xml:space="preserve">电磁式电流互感器</w:t>
      </w:r>
      <w:bookmarkEnd w:id="231"/>
      <w:r/>
      <w:bookmarkEnd w:id="232"/>
      <w:r>
        <w:rPr>
          <w:rFonts w:ascii="宋体" w:hAnsi="宋体" w:eastAsia="黑体" w:cs="宋体"/>
          <w:sz w:val="24"/>
          <w:szCs w:val="21"/>
        </w:rPr>
      </w:r>
      <w:r/>
    </w:p>
    <w:p>
      <w:pPr>
        <w:pStyle w:val="1186"/>
        <w:ind w:left="0"/>
        <w:rPr>
          <w:szCs w:val="21"/>
        </w:rPr>
      </w:pPr>
      <w:r>
        <w:rPr>
          <w:rFonts w:hint="eastAsia"/>
          <w:szCs w:val="21"/>
        </w:rPr>
        <w:t xml:space="preserve">1）技术参数</w:t>
      </w:r>
      <w:r>
        <w:rPr>
          <w:szCs w:val="21"/>
        </w:rPr>
      </w:r>
      <w:r/>
    </w:p>
    <w:p>
      <w:pPr>
        <w:pStyle w:val="1186"/>
        <w:ind w:left="0"/>
        <w:rPr>
          <w:szCs w:val="21"/>
        </w:rPr>
      </w:pPr>
      <w:r>
        <w:rPr>
          <w:rFonts w:hint="eastAsia"/>
          <w:szCs w:val="21"/>
        </w:rPr>
        <w:t xml:space="preserve">a.额定工作频率：50Hz；</w:t>
      </w:r>
      <w:r>
        <w:rPr>
          <w:szCs w:val="21"/>
        </w:rPr>
      </w:r>
      <w:r/>
    </w:p>
    <w:p>
      <w:pPr>
        <w:pStyle w:val="1186"/>
        <w:ind w:left="0"/>
        <w:rPr>
          <w:szCs w:val="21"/>
        </w:rPr>
      </w:pPr>
      <w:r>
        <w:rPr>
          <w:rFonts w:hint="eastAsia"/>
          <w:szCs w:val="21"/>
        </w:rPr>
        <w:t xml:space="preserve">b.额定绝缘水平：若CT套装于出线套管处，且套管带屏蔽接地层设计，则CT可参照低压互感器标准，即最高电压为0.72kV，工频耐压水平3kV；否则，应满足</w:t>
      </w:r>
      <w:r>
        <w:rPr>
          <w:szCs w:val="21"/>
        </w:rPr>
        <w:t xml:space="preserve">10kV</w:t>
      </w:r>
      <w:r>
        <w:rPr>
          <w:rFonts w:hint="eastAsia"/>
          <w:szCs w:val="21"/>
        </w:rPr>
        <w:t xml:space="preserve">开关设备绝缘水平。</w:t>
      </w:r>
      <w:r>
        <w:rPr>
          <w:szCs w:val="21"/>
        </w:rPr>
      </w:r>
      <w:r/>
    </w:p>
    <w:p>
      <w:pPr>
        <w:pStyle w:val="1186"/>
        <w:ind w:left="0"/>
        <w:rPr>
          <w:szCs w:val="21"/>
        </w:rPr>
      </w:pPr>
      <w:r>
        <w:rPr>
          <w:rFonts w:hint="eastAsia"/>
          <w:szCs w:val="21"/>
        </w:rPr>
        <w:t xml:space="preserve">具体技术参数如表3、4所示。</w:t>
      </w:r>
      <w:r>
        <w:rPr>
          <w:szCs w:val="21"/>
        </w:rPr>
      </w:r>
      <w:r/>
    </w:p>
    <w:p>
      <w:pPr>
        <w:pStyle w:val="1186"/>
        <w:ind w:left="0"/>
        <w:jc w:val="center"/>
      </w:pPr>
      <w:r>
        <w:rPr>
          <w:szCs w:val="21"/>
        </w:rPr>
        <w:t xml:space="preserve">表</w:t>
      </w:r>
      <w:r>
        <w:rPr>
          <w:rFonts w:hint="eastAsia"/>
          <w:szCs w:val="21"/>
        </w:rPr>
        <w:t xml:space="preserve">3 测量保护电流互感器技术参数</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2552"/>
        <w:gridCol w:w="3416"/>
        <w:gridCol w:w="2551"/>
      </w:tblGrid>
      <w:tr>
        <w:trPr/>
        <w:tc>
          <w:tcPr>
            <w:shd w:val="clear" w:color="auto" w:fill="ffffff"/>
            <w:tcW w:w="1498" w:type="dxa"/>
            <w:vAlign w:val="center"/>
            <w:textDirection w:val="lrTb"/>
            <w:noWrap w:val="false"/>
          </w:tcPr>
          <w:p>
            <w:pPr>
              <w:pStyle w:val="1151"/>
              <w:jc w:val="center"/>
              <w:rPr>
                <w:szCs w:val="21"/>
              </w:rPr>
            </w:pPr>
            <w:r>
              <w:rPr>
                <w:rFonts w:hint="eastAsia"/>
                <w:szCs w:val="21"/>
              </w:rPr>
              <w:t xml:space="preserve">额定变比</w:t>
            </w:r>
            <w:r>
              <w:rPr>
                <w:szCs w:val="21"/>
              </w:rPr>
            </w:r>
            <w:r/>
          </w:p>
        </w:tc>
        <w:tc>
          <w:tcPr>
            <w:shd w:val="clear" w:color="auto" w:fill="ffffff"/>
            <w:tcW w:w="2005" w:type="dxa"/>
            <w:vAlign w:val="center"/>
            <w:textDirection w:val="lrTb"/>
            <w:noWrap w:val="false"/>
          </w:tcPr>
          <w:p>
            <w:pPr>
              <w:pStyle w:val="1151"/>
              <w:jc w:val="center"/>
              <w:rPr>
                <w:szCs w:val="21"/>
              </w:rPr>
            </w:pPr>
            <w:r>
              <w:rPr>
                <w:rFonts w:hint="eastAsia"/>
                <w:szCs w:val="21"/>
              </w:rPr>
              <w:t xml:space="preserve">准确级</w:t>
            </w:r>
            <w:r>
              <w:rPr>
                <w:szCs w:val="21"/>
              </w:rPr>
            </w:r>
            <w:r/>
          </w:p>
        </w:tc>
        <w:tc>
          <w:tcPr>
            <w:shd w:val="clear" w:color="auto" w:fill="ffffff"/>
            <w:tcW w:w="1497" w:type="dxa"/>
            <w:vAlign w:val="center"/>
            <w:textDirection w:val="lrTb"/>
            <w:noWrap w:val="false"/>
          </w:tcPr>
          <w:p>
            <w:pPr>
              <w:pStyle w:val="1151"/>
              <w:jc w:val="center"/>
              <w:rPr>
                <w:szCs w:val="21"/>
              </w:rPr>
            </w:pPr>
            <w:r>
              <w:rPr>
                <w:rFonts w:hint="eastAsia"/>
                <w:szCs w:val="21"/>
              </w:rPr>
              <w:t xml:space="preserve">额定负荷</w:t>
            </w:r>
            <w:r>
              <w:rPr>
                <w:szCs w:val="21"/>
              </w:rPr>
            </w:r>
            <w:r/>
          </w:p>
        </w:tc>
      </w:tr>
      <w:tr>
        <w:trPr/>
        <w:tc>
          <w:tcPr>
            <w:shd w:val="clear" w:color="auto" w:fill="ffffff"/>
            <w:tcW w:w="1498" w:type="dxa"/>
            <w:vAlign w:val="center"/>
            <w:textDirection w:val="lrTb"/>
            <w:noWrap w:val="false"/>
          </w:tcPr>
          <w:p>
            <w:pPr>
              <w:pStyle w:val="1151"/>
              <w:jc w:val="center"/>
              <w:rPr>
                <w:szCs w:val="21"/>
              </w:rPr>
            </w:pPr>
            <w:r>
              <w:rPr>
                <w:rFonts w:hint="eastAsia"/>
                <w:szCs w:val="21"/>
              </w:rPr>
              <w:t xml:space="preserve">600A/1A</w:t>
            </w:r>
            <w:r>
              <w:rPr>
                <w:szCs w:val="21"/>
              </w:rPr>
            </w:r>
            <w:r/>
          </w:p>
        </w:tc>
        <w:tc>
          <w:tcPr>
            <w:shd w:val="clear" w:color="auto" w:fill="ffffff"/>
            <w:tcW w:w="2005" w:type="dxa"/>
            <w:vAlign w:val="center"/>
            <w:textDirection w:val="lrTb"/>
            <w:noWrap w:val="false"/>
          </w:tcPr>
          <w:p>
            <w:pPr>
              <w:pStyle w:val="1151"/>
              <w:jc w:val="center"/>
              <w:rPr>
                <w:szCs w:val="21"/>
              </w:rPr>
            </w:pPr>
            <w:r>
              <w:rPr>
                <w:szCs w:val="21"/>
              </w:rPr>
              <w:t xml:space="preserve">0.5</w:t>
            </w:r>
            <w:r>
              <w:rPr>
                <w:rFonts w:hint="eastAsia"/>
                <w:szCs w:val="21"/>
              </w:rPr>
              <w:t xml:space="preserve">S（5P10）</w:t>
            </w:r>
            <w:r>
              <w:rPr>
                <w:szCs w:val="21"/>
              </w:rPr>
            </w:r>
            <w:r/>
          </w:p>
        </w:tc>
        <w:tc>
          <w:tcPr>
            <w:shd w:val="clear" w:color="auto" w:fill="ffffff"/>
            <w:tcW w:w="1497" w:type="dxa"/>
            <w:vAlign w:val="center"/>
            <w:textDirection w:val="lrTb"/>
            <w:noWrap w:val="false"/>
          </w:tcPr>
          <w:p>
            <w:pPr>
              <w:pStyle w:val="1151"/>
              <w:jc w:val="center"/>
              <w:rPr>
                <w:szCs w:val="21"/>
              </w:rPr>
            </w:pPr>
            <w:r>
              <w:rPr>
                <w:rFonts w:hint="eastAsia"/>
                <w:szCs w:val="21"/>
              </w:rPr>
              <w:t xml:space="preserve">1VA </w:t>
            </w:r>
            <w:r>
              <w:rPr>
                <w:szCs w:val="21"/>
              </w:rPr>
            </w:r>
            <w:r/>
          </w:p>
        </w:tc>
      </w:tr>
      <w:tr>
        <w:trPr/>
        <w:tc>
          <w:tcPr>
            <w:shd w:val="clear" w:color="auto" w:fill="ffffff"/>
            <w:tcW w:w="1498" w:type="dxa"/>
            <w:vAlign w:val="center"/>
            <w:textDirection w:val="lrTb"/>
            <w:noWrap w:val="false"/>
          </w:tcPr>
          <w:p>
            <w:pPr>
              <w:pStyle w:val="1151"/>
              <w:jc w:val="center"/>
              <w:rPr>
                <w:szCs w:val="21"/>
              </w:rPr>
            </w:pPr>
            <w:r>
              <w:rPr>
                <w:rFonts w:hint="eastAsia"/>
                <w:szCs w:val="21"/>
              </w:rPr>
              <w:t xml:space="preserve">600</w:t>
            </w:r>
            <w:r>
              <w:rPr>
                <w:szCs w:val="21"/>
              </w:rPr>
              <w:t xml:space="preserve">A/5A</w:t>
            </w:r>
            <w:r>
              <w:rPr>
                <w:szCs w:val="21"/>
              </w:rPr>
            </w:r>
            <w:r/>
          </w:p>
        </w:tc>
        <w:tc>
          <w:tcPr>
            <w:shd w:val="clear" w:color="auto" w:fill="ffffff"/>
            <w:tcW w:w="2005" w:type="dxa"/>
            <w:vAlign w:val="center"/>
            <w:textDirection w:val="lrTb"/>
            <w:noWrap w:val="false"/>
          </w:tcPr>
          <w:p>
            <w:pPr>
              <w:pStyle w:val="1151"/>
              <w:jc w:val="center"/>
              <w:rPr>
                <w:szCs w:val="21"/>
              </w:rPr>
            </w:pPr>
            <w:r>
              <w:rPr>
                <w:szCs w:val="21"/>
              </w:rPr>
              <w:t xml:space="preserve">0.5</w:t>
            </w:r>
            <w:r>
              <w:rPr>
                <w:rFonts w:hint="eastAsia"/>
                <w:szCs w:val="21"/>
              </w:rPr>
              <w:t xml:space="preserve">S（5P10）</w:t>
            </w:r>
            <w:r>
              <w:rPr>
                <w:szCs w:val="21"/>
              </w:rPr>
            </w:r>
            <w:r/>
          </w:p>
        </w:tc>
        <w:tc>
          <w:tcPr>
            <w:shd w:val="clear" w:color="auto" w:fill="ffffff"/>
            <w:tcW w:w="1497" w:type="dxa"/>
            <w:vAlign w:val="center"/>
            <w:textDirection w:val="lrTb"/>
            <w:noWrap w:val="false"/>
          </w:tcPr>
          <w:p>
            <w:pPr>
              <w:pStyle w:val="1151"/>
              <w:jc w:val="center"/>
              <w:rPr>
                <w:szCs w:val="21"/>
              </w:rPr>
            </w:pPr>
            <w:r>
              <w:rPr>
                <w:szCs w:val="21"/>
              </w:rPr>
              <w:t xml:space="preserve">5VA</w:t>
            </w:r>
            <w:r>
              <w:rPr>
                <w:szCs w:val="21"/>
              </w:rPr>
            </w:r>
            <w:r/>
          </w:p>
        </w:tc>
      </w:tr>
    </w:tbl>
    <w:p>
      <w:pPr>
        <w:pStyle w:val="1186"/>
        <w:jc w:val="center"/>
        <w:rPr>
          <w:szCs w:val="21"/>
        </w:rPr>
      </w:pPr>
      <w:r>
        <w:rPr>
          <w:szCs w:val="21"/>
        </w:rPr>
      </w:r>
      <w:r/>
    </w:p>
    <w:p>
      <w:pPr>
        <w:pStyle w:val="1186"/>
        <w:ind w:left="0"/>
        <w:jc w:val="center"/>
        <w:rPr>
          <w:szCs w:val="21"/>
        </w:rPr>
      </w:pPr>
      <w:r>
        <w:rPr>
          <w:szCs w:val="21"/>
        </w:rPr>
        <w:t xml:space="preserve">表</w:t>
      </w:r>
      <w:r>
        <w:rPr>
          <w:rFonts w:hint="eastAsia"/>
          <w:szCs w:val="21"/>
        </w:rPr>
        <w:t xml:space="preserve">4 零序电流互感器技术参数</w:t>
      </w:r>
      <w:r>
        <w:rPr>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51"/>
        <w:gridCol w:w="3416"/>
        <w:gridCol w:w="2552"/>
      </w:tblGrid>
      <w:tr>
        <w:trPr/>
        <w:tc>
          <w:tcPr>
            <w:tcW w:w="1497" w:type="dxa"/>
            <w:vAlign w:val="center"/>
            <w:textDirection w:val="lrTb"/>
            <w:noWrap w:val="false"/>
          </w:tcPr>
          <w:p>
            <w:pPr>
              <w:pStyle w:val="1151"/>
              <w:jc w:val="center"/>
              <w:rPr>
                <w:szCs w:val="21"/>
              </w:rPr>
            </w:pPr>
            <w:r>
              <w:rPr>
                <w:rFonts w:hint="eastAsia"/>
                <w:szCs w:val="21"/>
              </w:rPr>
              <w:t xml:space="preserve">额定变比</w:t>
            </w:r>
            <w:r>
              <w:rPr>
                <w:szCs w:val="21"/>
              </w:rPr>
            </w:r>
            <w:r/>
          </w:p>
        </w:tc>
        <w:tc>
          <w:tcPr>
            <w:tcW w:w="2004" w:type="dxa"/>
            <w:vAlign w:val="center"/>
            <w:textDirection w:val="lrTb"/>
            <w:noWrap w:val="false"/>
          </w:tcPr>
          <w:p>
            <w:pPr>
              <w:pStyle w:val="1151"/>
              <w:jc w:val="center"/>
              <w:rPr>
                <w:szCs w:val="21"/>
              </w:rPr>
            </w:pPr>
            <w:r>
              <w:rPr>
                <w:rFonts w:hint="eastAsia"/>
                <w:szCs w:val="21"/>
              </w:rPr>
              <w:t xml:space="preserve">准确级</w:t>
            </w:r>
            <w:r>
              <w:rPr>
                <w:szCs w:val="21"/>
              </w:rPr>
            </w:r>
            <w:r/>
          </w:p>
        </w:tc>
        <w:tc>
          <w:tcPr>
            <w:tcW w:w="1497" w:type="dxa"/>
            <w:vAlign w:val="center"/>
            <w:textDirection w:val="lrTb"/>
            <w:noWrap w:val="false"/>
          </w:tcPr>
          <w:p>
            <w:pPr>
              <w:pStyle w:val="1151"/>
              <w:jc w:val="center"/>
              <w:rPr>
                <w:szCs w:val="21"/>
              </w:rPr>
            </w:pPr>
            <w:r>
              <w:rPr>
                <w:rFonts w:hint="eastAsia"/>
                <w:szCs w:val="21"/>
              </w:rPr>
              <w:t xml:space="preserve">额定负荷</w:t>
            </w:r>
            <w:r>
              <w:rPr>
                <w:szCs w:val="21"/>
              </w:rPr>
            </w:r>
            <w:r/>
          </w:p>
        </w:tc>
      </w:tr>
      <w:tr>
        <w:trPr/>
        <w:tc>
          <w:tcPr>
            <w:tcW w:w="1497" w:type="dxa"/>
            <w:vAlign w:val="center"/>
            <w:textDirection w:val="lrTb"/>
            <w:noWrap w:val="false"/>
          </w:tcPr>
          <w:p>
            <w:pPr>
              <w:pStyle w:val="1151"/>
              <w:jc w:val="center"/>
              <w:rPr>
                <w:szCs w:val="21"/>
              </w:rPr>
            </w:pPr>
            <w:r>
              <w:rPr>
                <w:szCs w:val="21"/>
              </w:rPr>
              <w:t xml:space="preserve">50</w:t>
            </w:r>
            <w:r>
              <w:rPr>
                <w:rFonts w:hint="eastAsia"/>
                <w:szCs w:val="21"/>
              </w:rPr>
              <w:t xml:space="preserve">A/1A</w:t>
            </w:r>
            <w:r>
              <w:rPr>
                <w:szCs w:val="21"/>
              </w:rPr>
            </w:r>
            <w:r/>
          </w:p>
        </w:tc>
        <w:tc>
          <w:tcPr>
            <w:tcW w:w="2004" w:type="dxa"/>
            <w:vAlign w:val="center"/>
            <w:textDirection w:val="lrTb"/>
            <w:noWrap w:val="false"/>
          </w:tcPr>
          <w:p>
            <w:pPr>
              <w:pStyle w:val="1151"/>
              <w:jc w:val="center"/>
              <w:rPr>
                <w:szCs w:val="21"/>
              </w:rPr>
            </w:pPr>
            <w:r>
              <w:rPr>
                <w:rFonts w:hint="eastAsia"/>
                <w:szCs w:val="21"/>
              </w:rPr>
              <w:t xml:space="preserve">一次侧输入电流为1A至额定电流时比值差≤3%，一次侧电流输入</w:t>
            </w:r>
            <w:r>
              <w:rPr>
                <w:szCs w:val="21"/>
              </w:rPr>
              <w:t xml:space="preserve">250</w:t>
            </w:r>
            <w:r>
              <w:rPr>
                <w:rFonts w:hint="eastAsia"/>
                <w:szCs w:val="21"/>
              </w:rPr>
              <w:t xml:space="preserve">A时，复合误差≤10%</w:t>
            </w:r>
            <w:r>
              <w:rPr>
                <w:szCs w:val="21"/>
              </w:rPr>
            </w:r>
            <w:r/>
          </w:p>
        </w:tc>
        <w:tc>
          <w:tcPr>
            <w:tcW w:w="1497" w:type="dxa"/>
            <w:vAlign w:val="center"/>
            <w:textDirection w:val="lrTb"/>
            <w:noWrap w:val="false"/>
          </w:tcPr>
          <w:p>
            <w:pPr>
              <w:pStyle w:val="1151"/>
              <w:jc w:val="center"/>
              <w:rPr>
                <w:szCs w:val="21"/>
              </w:rPr>
            </w:pPr>
            <w:r>
              <w:rPr>
                <w:szCs w:val="21"/>
              </w:rPr>
              <w:t xml:space="preserve">1</w:t>
            </w:r>
            <w:r>
              <w:rPr>
                <w:rFonts w:hint="eastAsia"/>
                <w:szCs w:val="21"/>
              </w:rPr>
              <w:t xml:space="preserve">VA</w:t>
            </w:r>
            <w:r>
              <w:rPr>
                <w:szCs w:val="21"/>
              </w:rPr>
            </w:r>
            <w:r/>
          </w:p>
        </w:tc>
      </w:tr>
      <w:tr>
        <w:trPr/>
        <w:tc>
          <w:tcPr>
            <w:tcW w:w="1497" w:type="dxa"/>
            <w:vAlign w:val="center"/>
            <w:textDirection w:val="lrTb"/>
            <w:noWrap w:val="false"/>
          </w:tcPr>
          <w:p>
            <w:pPr>
              <w:pStyle w:val="1151"/>
              <w:jc w:val="center"/>
              <w:rPr>
                <w:szCs w:val="21"/>
              </w:rPr>
            </w:pPr>
            <w:r>
              <w:rPr>
                <w:rFonts w:hint="eastAsia"/>
                <w:szCs w:val="21"/>
              </w:rPr>
              <w:t xml:space="preserve">100</w:t>
            </w:r>
            <w:r>
              <w:rPr>
                <w:szCs w:val="21"/>
              </w:rPr>
              <w:t xml:space="preserve">A/1A</w:t>
            </w:r>
            <w:r>
              <w:rPr>
                <w:szCs w:val="21"/>
              </w:rPr>
            </w:r>
            <w:r/>
          </w:p>
        </w:tc>
        <w:tc>
          <w:tcPr>
            <w:tcW w:w="2004" w:type="dxa"/>
            <w:vAlign w:val="center"/>
            <w:textDirection w:val="lrTb"/>
            <w:noWrap w:val="false"/>
          </w:tcPr>
          <w:p>
            <w:pPr>
              <w:pStyle w:val="1151"/>
              <w:jc w:val="center"/>
              <w:rPr>
                <w:szCs w:val="21"/>
              </w:rPr>
            </w:pPr>
            <w:r>
              <w:rPr>
                <w:rFonts w:hint="eastAsia"/>
                <w:szCs w:val="21"/>
              </w:rPr>
              <w:t xml:space="preserve">一次侧输入电流为1A至额定电流时比值差≤3%，一次</w:t>
            </w:r>
            <w:r>
              <w:rPr>
                <w:szCs w:val="21"/>
              </w:rPr>
              <w:t xml:space="preserve">侧电流输入</w:t>
            </w:r>
            <w:r>
              <w:rPr>
                <w:rFonts w:hint="eastAsia"/>
                <w:szCs w:val="21"/>
              </w:rPr>
              <w:t xml:space="preserve">500</w:t>
            </w:r>
            <w:r>
              <w:rPr>
                <w:szCs w:val="21"/>
              </w:rPr>
              <w:t xml:space="preserve">A</w:t>
            </w:r>
            <w:r>
              <w:rPr>
                <w:rFonts w:hint="eastAsia"/>
                <w:szCs w:val="21"/>
              </w:rPr>
              <w:t xml:space="preserve">时</w:t>
            </w:r>
            <w:r>
              <w:rPr>
                <w:szCs w:val="21"/>
              </w:rPr>
              <w:t xml:space="preserve">，</w:t>
            </w:r>
            <w:r>
              <w:rPr>
                <w:rFonts w:hint="eastAsia"/>
                <w:szCs w:val="21"/>
              </w:rPr>
              <w:t xml:space="preserve">复合</w:t>
            </w:r>
            <w:r>
              <w:rPr>
                <w:szCs w:val="21"/>
              </w:rPr>
              <w:t xml:space="preserve">误差</w:t>
            </w:r>
            <w:r>
              <w:rPr>
                <w:rFonts w:hint="eastAsia"/>
                <w:szCs w:val="21"/>
              </w:rPr>
              <w:t xml:space="preserve">≤10%</w:t>
            </w:r>
            <w:r>
              <w:rPr>
                <w:szCs w:val="21"/>
              </w:rPr>
            </w:r>
            <w:r/>
          </w:p>
        </w:tc>
        <w:tc>
          <w:tcPr>
            <w:tcW w:w="1497" w:type="dxa"/>
            <w:vAlign w:val="center"/>
            <w:textDirection w:val="lrTb"/>
            <w:noWrap w:val="false"/>
          </w:tcPr>
          <w:p>
            <w:pPr>
              <w:pStyle w:val="1151"/>
              <w:jc w:val="center"/>
              <w:rPr>
                <w:szCs w:val="21"/>
              </w:rPr>
            </w:pPr>
            <w:r>
              <w:rPr>
                <w:szCs w:val="21"/>
              </w:rPr>
              <w:t xml:space="preserve">1</w:t>
            </w:r>
            <w:r>
              <w:rPr>
                <w:rFonts w:hint="eastAsia"/>
                <w:szCs w:val="21"/>
              </w:rPr>
              <w:t xml:space="preserve">VA</w:t>
            </w:r>
            <w:r>
              <w:rPr>
                <w:szCs w:val="21"/>
              </w:rPr>
            </w:r>
            <w:r/>
          </w:p>
        </w:tc>
      </w:tr>
    </w:tbl>
    <w:p>
      <w:pPr>
        <w:pStyle w:val="1186"/>
      </w:pPr>
      <w:r/>
      <w:r/>
    </w:p>
    <w:p>
      <w:pPr>
        <w:pStyle w:val="1186"/>
        <w:rPr>
          <w:szCs w:val="21"/>
        </w:rPr>
      </w:pPr>
      <w:r>
        <w:rPr>
          <w:rFonts w:hint="eastAsia"/>
          <w:szCs w:val="21"/>
        </w:rPr>
        <w:t xml:space="preserve">2）接线原理图</w:t>
      </w:r>
      <w:r>
        <w:rPr>
          <w:szCs w:val="21"/>
        </w:rPr>
      </w:r>
      <w:r/>
    </w:p>
    <w:p>
      <w:pPr>
        <w:pStyle w:val="1186"/>
        <w:rPr>
          <w:szCs w:val="21"/>
        </w:rPr>
      </w:pPr>
      <w:r>
        <w:rPr>
          <w:rFonts w:hint="eastAsia"/>
          <w:szCs w:val="21"/>
        </w:rPr>
        <w:t xml:space="preserve">接线原理如图49所示，其中电磁式零序电流互感器不推荐采用合成法。</w:t>
      </w:r>
      <w:r>
        <w:rPr>
          <w:szCs w:val="21"/>
        </w:rPr>
      </w:r>
      <w:r/>
    </w:p>
    <w:p>
      <w:pPr>
        <w:pStyle w:val="1186"/>
      </w:pPr>
      <w:r>
        <mc:AlternateContent>
          <mc:Choice Requires="wpg">
            <w:drawing>
              <wp:inline xmlns:wp="http://schemas.openxmlformats.org/drawingml/2006/wordprocessingDrawing" distT="0" distB="0" distL="0" distR="0">
                <wp:extent cx="4831817" cy="2080235"/>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4831817" cy="2080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380.5pt;height:163.8pt;mso-wrap-distance-left:0.0pt;mso-wrap-distance-top:0.0pt;mso-wrap-distance-right:0.0pt;mso-wrap-distance-bottom:0.0pt;" stroked="f">
                <v:path textboxrect="0,0,0,0"/>
                <v:imagedata r:id="rId66" o:title=""/>
              </v:shape>
            </w:pict>
          </mc:Fallback>
        </mc:AlternateContent>
      </w:r>
      <w:r/>
    </w:p>
    <w:p>
      <w:pPr>
        <w:pStyle w:val="1151"/>
        <w:ind w:firstLine="420"/>
        <w:jc w:val="center"/>
        <w:widowControl/>
        <w:rPr>
          <w:szCs w:val="21"/>
        </w:rPr>
      </w:pPr>
      <w:r>
        <w:rPr>
          <w:rFonts w:hint="eastAsia"/>
          <w:szCs w:val="21"/>
        </w:rPr>
        <w:t xml:space="preserve">图49电磁式电流互感器接线原理图</w:t>
      </w:r>
      <w:r>
        <w:rPr>
          <w:szCs w:val="21"/>
        </w:rPr>
      </w:r>
      <w:r/>
    </w:p>
    <w:p>
      <w:pPr>
        <w:pStyle w:val="1186"/>
        <w:rPr>
          <w:szCs w:val="21"/>
        </w:rPr>
      </w:pPr>
      <w:r>
        <w:rPr>
          <w:rFonts w:hint="eastAsia"/>
          <w:szCs w:val="21"/>
        </w:rPr>
        <w:t xml:space="preserve">3）最大外形</w:t>
      </w:r>
      <w:r>
        <w:rPr>
          <w:szCs w:val="21"/>
        </w:rPr>
      </w:r>
      <w:r/>
    </w:p>
    <w:p>
      <w:pPr>
        <w:pStyle w:val="1186"/>
        <w:rPr>
          <w:szCs w:val="21"/>
        </w:rPr>
      </w:pPr>
      <w:r>
        <w:rPr>
          <w:rFonts w:hint="eastAsia"/>
          <w:szCs w:val="21"/>
        </w:rPr>
        <w:t xml:space="preserve">电磁式电流互感器最大外形尺寸为</w:t>
      </w:r>
      <w:r>
        <w:rPr>
          <w:szCs w:val="21"/>
        </w:rPr>
        <w:t xml:space="preserve">400</w:t>
      </w:r>
      <w:r>
        <w:rPr>
          <w:rFonts w:hint="eastAsia"/>
          <w:szCs w:val="21"/>
        </w:rPr>
        <w:t xml:space="preserve">mm×</w:t>
      </w:r>
      <w:r>
        <w:rPr>
          <w:szCs w:val="21"/>
        </w:rPr>
        <w:t xml:space="preserve">180</w:t>
      </w:r>
      <w:r>
        <w:rPr>
          <w:rFonts w:hint="eastAsia"/>
          <w:szCs w:val="21"/>
        </w:rPr>
        <w:t xml:space="preserve">mm×</w:t>
      </w:r>
      <w:r>
        <w:rPr>
          <w:szCs w:val="21"/>
        </w:rPr>
        <w:t xml:space="preserve">90</w:t>
      </w:r>
      <w:r>
        <w:rPr>
          <w:rFonts w:hint="eastAsia"/>
          <w:szCs w:val="21"/>
        </w:rPr>
        <w:t xml:space="preserve">mm（长×宽×高），如图</w:t>
      </w:r>
      <w:r>
        <w:rPr>
          <w:szCs w:val="21"/>
        </w:rPr>
        <w:t xml:space="preserve">5</w:t>
      </w:r>
      <w:r>
        <w:rPr>
          <w:rFonts w:hint="eastAsia"/>
          <w:szCs w:val="21"/>
        </w:rPr>
        <w:t xml:space="preserve">0所示。</w:t>
      </w:r>
      <w:r>
        <w:rPr>
          <w:szCs w:val="21"/>
        </w:rPr>
      </w:r>
      <w:r/>
    </w:p>
    <w:p>
      <w:pPr>
        <w:pStyle w:val="1186"/>
        <w:ind w:left="0" w:firstLine="0"/>
        <w:jc w:val="center"/>
      </w:pPr>
      <w:r>
        <mc:AlternateContent>
          <mc:Choice Requires="wpg">
            <w:drawing>
              <wp:inline xmlns:wp="http://schemas.openxmlformats.org/drawingml/2006/wordprocessingDrawing" distT="0" distB="0" distL="0" distR="0">
                <wp:extent cx="4554118" cy="1448041"/>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4554118" cy="14480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358.6pt;height:114.0pt;mso-wrap-distance-left:0.0pt;mso-wrap-distance-top:0.0pt;mso-wrap-distance-right:0.0pt;mso-wrap-distance-bottom:0.0pt;" stroked="f">
                <v:path textboxrect="0,0,0,0"/>
                <v:imagedata r:id="rId67" o:title=""/>
              </v:shape>
            </w:pict>
          </mc:Fallback>
        </mc:AlternateContent>
      </w:r>
      <w:r/>
    </w:p>
    <w:p>
      <w:pPr>
        <w:pStyle w:val="1151"/>
        <w:jc w:val="center"/>
        <w:widowControl/>
        <w:rPr>
          <w:szCs w:val="21"/>
        </w:rPr>
      </w:pPr>
      <w:r>
        <w:rPr>
          <w:rFonts w:hint="eastAsia"/>
          <w:szCs w:val="21"/>
        </w:rPr>
        <w:t xml:space="preserve">图</w:t>
      </w:r>
      <w:r>
        <w:rPr>
          <w:szCs w:val="21"/>
        </w:rPr>
        <w:t xml:space="preserve">5</w:t>
      </w:r>
      <w:r>
        <w:rPr>
          <w:rFonts w:hint="eastAsia"/>
          <w:szCs w:val="21"/>
        </w:rPr>
        <w:t xml:space="preserve">0电磁式电流互感器最大外形图</w:t>
      </w:r>
      <w:r>
        <w:rPr>
          <w:szCs w:val="21"/>
        </w:rPr>
      </w:r>
      <w:r/>
    </w:p>
    <w:p>
      <w:pPr>
        <w:pStyle w:val="1151"/>
        <w:widowControl/>
      </w:pPr>
      <w:r/>
      <w:r/>
    </w:p>
    <w:p>
      <w:pPr>
        <w:pStyle w:val="1186"/>
        <w:numPr>
          <w:ilvl w:val="0"/>
          <w:numId w:val="11"/>
        </w:numPr>
        <w:ind w:left="0"/>
        <w:spacing w:after="0" w:line="360" w:lineRule="auto"/>
        <w:rPr>
          <w:szCs w:val="21"/>
        </w:rPr>
      </w:pPr>
      <w:r>
        <w:rPr>
          <w:rFonts w:hint="eastAsia"/>
          <w:szCs w:val="21"/>
        </w:rPr>
        <w:t xml:space="preserve">安装方案</w:t>
      </w:r>
      <w:r>
        <w:rPr>
          <w:szCs w:val="21"/>
        </w:rPr>
      </w:r>
      <w:r/>
    </w:p>
    <w:p>
      <w:pPr>
        <w:pStyle w:val="1186"/>
        <w:rPr>
          <w:szCs w:val="21"/>
        </w:rPr>
      </w:pPr>
      <w:r>
        <w:rPr>
          <w:rFonts w:hint="eastAsia"/>
          <w:szCs w:val="21"/>
        </w:rPr>
        <w:t xml:space="preserve">采用穿芯式结构，为便于产品出厂前完成 CT 安装，减少现场安装，测量保护用CT应套装于出线套管处。</w:t>
      </w:r>
      <w:r>
        <w:rPr>
          <w:szCs w:val="21"/>
        </w:rPr>
      </w:r>
      <w:r/>
    </w:p>
    <w:p>
      <w:pPr>
        <w:pStyle w:val="1151"/>
        <w:spacing w:line="312" w:lineRule="exact"/>
        <w:rPr>
          <w:rFonts w:eastAsia="黑体"/>
          <w:szCs w:val="21"/>
        </w:rPr>
        <w:outlineLvl w:val="3"/>
      </w:pPr>
      <w:r/>
      <w:bookmarkStart w:id="233" w:name="_Toc19234"/>
      <w:r/>
      <w:bookmarkStart w:id="234" w:name="_Toc20854"/>
      <w:r>
        <w:rPr>
          <w:rFonts w:eastAsia="黑体"/>
          <w:szCs w:val="21"/>
        </w:rPr>
        <w:t xml:space="preserve">5.</w:t>
      </w:r>
      <w:r>
        <w:rPr>
          <w:rFonts w:hint="eastAsia" w:eastAsia="黑体"/>
          <w:szCs w:val="21"/>
        </w:rPr>
        <w:t xml:space="preserve">2.22</w:t>
      </w:r>
      <w:r>
        <w:rPr>
          <w:rFonts w:eastAsia="黑体"/>
          <w:szCs w:val="21"/>
        </w:rPr>
        <w:t xml:space="preserve">.2 </w:t>
      </w:r>
      <w:r>
        <w:rPr>
          <w:rFonts w:hint="eastAsia" w:eastAsia="黑体"/>
          <w:szCs w:val="21"/>
        </w:rPr>
        <w:t xml:space="preserve">低功率电流互感器</w:t>
      </w:r>
      <w:bookmarkEnd w:id="233"/>
      <w:r/>
      <w:bookmarkEnd w:id="234"/>
      <w:r>
        <w:rPr>
          <w:rFonts w:eastAsia="黑体"/>
          <w:szCs w:val="21"/>
        </w:rPr>
      </w:r>
      <w:r/>
    </w:p>
    <w:p>
      <w:pPr>
        <w:pStyle w:val="1186"/>
        <w:rPr>
          <w:szCs w:val="21"/>
        </w:rPr>
      </w:pPr>
      <w:r>
        <w:rPr>
          <w:rFonts w:hint="eastAsia"/>
          <w:szCs w:val="21"/>
        </w:rPr>
        <w:t xml:space="preserve">随着二次电流型设备输入端口阻抗的进一步低阻化，采用性能更优的低功率化互感器将是未来电力系统发展的趋势之一。后续如技术成熟，可采用低功耗电流互感器/传感器用于一次电流传变。</w:t>
      </w:r>
      <w:r>
        <w:rPr>
          <w:szCs w:val="21"/>
        </w:rPr>
      </w:r>
      <w:r/>
    </w:p>
    <w:p>
      <w:pPr>
        <w:pStyle w:val="1186"/>
        <w:rPr>
          <w:szCs w:val="21"/>
        </w:rPr>
      </w:pPr>
      <w:r>
        <w:rPr>
          <w:rFonts w:hint="eastAsia"/>
          <w:szCs w:val="21"/>
        </w:rPr>
        <w:t xml:space="preserve">1）技术参数</w:t>
      </w:r>
      <w:r>
        <w:rPr>
          <w:szCs w:val="21"/>
        </w:rPr>
      </w:r>
      <w:r/>
    </w:p>
    <w:p>
      <w:pPr>
        <w:pStyle w:val="1186"/>
        <w:rPr>
          <w:szCs w:val="21"/>
        </w:rPr>
      </w:pPr>
      <w:r>
        <w:rPr>
          <w:rFonts w:hint="eastAsia"/>
          <w:szCs w:val="21"/>
        </w:rPr>
        <w:t xml:space="preserve">a.额定工作频率：50Hz；</w:t>
      </w:r>
      <w:r>
        <w:rPr>
          <w:szCs w:val="21"/>
        </w:rPr>
      </w:r>
      <w:r/>
    </w:p>
    <w:p>
      <w:pPr>
        <w:pStyle w:val="1186"/>
        <w:rPr>
          <w:szCs w:val="21"/>
        </w:rPr>
      </w:pPr>
      <w:r>
        <w:rPr>
          <w:rFonts w:hint="eastAsia"/>
          <w:szCs w:val="21"/>
        </w:rPr>
        <w:t xml:space="preserve">b.额定绝缘水平：若CT套装于出线套管处，且套管带屏蔽接地层设计，则CT可参照低压互感器标准，即最高电压为0.72kV，工频耐压水平3kV；否则，应满足</w:t>
      </w:r>
      <w:r>
        <w:rPr>
          <w:szCs w:val="21"/>
        </w:rPr>
        <w:t xml:space="preserve">10kV</w:t>
      </w:r>
      <w:r>
        <w:rPr>
          <w:rFonts w:hint="eastAsia"/>
          <w:szCs w:val="21"/>
        </w:rPr>
        <w:t xml:space="preserve">开关设备绝缘水平。</w:t>
      </w:r>
      <w:r>
        <w:rPr>
          <w:szCs w:val="21"/>
        </w:rPr>
      </w:r>
      <w:r/>
    </w:p>
    <w:p>
      <w:pPr>
        <w:pStyle w:val="1186"/>
        <w:rPr>
          <w:szCs w:val="21"/>
        </w:rPr>
      </w:pPr>
      <w:r>
        <w:rPr>
          <w:rFonts w:hint="eastAsia"/>
          <w:szCs w:val="21"/>
        </w:rPr>
        <w:t xml:space="preserve">具体技术参数如表5、6所示。</w:t>
      </w:r>
      <w:r>
        <w:rPr>
          <w:szCs w:val="21"/>
        </w:rPr>
      </w:r>
      <w:r/>
    </w:p>
    <w:p>
      <w:pPr>
        <w:pStyle w:val="1186"/>
        <w:jc w:val="center"/>
        <w:rPr>
          <w:szCs w:val="21"/>
        </w:rPr>
      </w:pPr>
      <w:r>
        <w:rPr>
          <w:szCs w:val="21"/>
        </w:rPr>
        <w:t xml:space="preserve">表</w:t>
      </w:r>
      <w:r>
        <w:rPr>
          <w:rFonts w:hint="eastAsia"/>
          <w:szCs w:val="21"/>
        </w:rPr>
        <w:t xml:space="preserve">5 测量保护低功率电流互感器技术参数</w:t>
      </w:r>
      <w:r>
        <w:rPr>
          <w:szCs w:val="21"/>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07"/>
        <w:gridCol w:w="3505"/>
        <w:gridCol w:w="2508"/>
      </w:tblGrid>
      <w:tr>
        <w:trPr/>
        <w:tc>
          <w:tcPr>
            <w:tcW w:w="1471" w:type="dxa"/>
            <w:vAlign w:val="center"/>
            <w:textDirection w:val="lrTb"/>
            <w:noWrap w:val="false"/>
          </w:tcPr>
          <w:p>
            <w:pPr>
              <w:pStyle w:val="1151"/>
              <w:jc w:val="center"/>
              <w:rPr>
                <w:szCs w:val="21"/>
              </w:rPr>
            </w:pPr>
            <w:r>
              <w:rPr>
                <w:szCs w:val="21"/>
              </w:rPr>
              <w:t xml:space="preserve">额定变比</w:t>
            </w:r>
            <w:r>
              <w:rPr>
                <w:szCs w:val="21"/>
              </w:rPr>
            </w:r>
            <w:r/>
          </w:p>
        </w:tc>
        <w:tc>
          <w:tcPr>
            <w:tcW w:w="2056" w:type="dxa"/>
            <w:vAlign w:val="center"/>
            <w:textDirection w:val="lrTb"/>
            <w:noWrap w:val="false"/>
          </w:tcPr>
          <w:p>
            <w:pPr>
              <w:pStyle w:val="1151"/>
              <w:jc w:val="center"/>
              <w:rPr>
                <w:szCs w:val="21"/>
              </w:rPr>
            </w:pPr>
            <w:r>
              <w:rPr>
                <w:szCs w:val="21"/>
              </w:rPr>
              <w:t xml:space="preserve">准确级</w:t>
            </w:r>
            <w:r>
              <w:rPr>
                <w:szCs w:val="21"/>
              </w:rPr>
            </w:r>
            <w:r/>
          </w:p>
        </w:tc>
        <w:tc>
          <w:tcPr>
            <w:tcW w:w="1471" w:type="dxa"/>
            <w:vAlign w:val="center"/>
            <w:textDirection w:val="lrTb"/>
            <w:noWrap w:val="false"/>
          </w:tcPr>
          <w:p>
            <w:pPr>
              <w:pStyle w:val="1186"/>
              <w:ind w:firstLine="0"/>
              <w:jc w:val="center"/>
              <w:rPr>
                <w:szCs w:val="21"/>
              </w:rPr>
            </w:pPr>
            <w:r>
              <w:rPr>
                <w:szCs w:val="21"/>
              </w:rPr>
              <w:t xml:space="preserve">额定负荷</w:t>
            </w:r>
            <w:r>
              <w:rPr>
                <w:szCs w:val="21"/>
              </w:rPr>
            </w:r>
            <w:r/>
          </w:p>
        </w:tc>
      </w:tr>
      <w:tr>
        <w:trPr/>
        <w:tc>
          <w:tcPr>
            <w:tcW w:w="1471" w:type="dxa"/>
            <w:vAlign w:val="center"/>
            <w:textDirection w:val="lrTb"/>
            <w:noWrap w:val="false"/>
          </w:tcPr>
          <w:p>
            <w:pPr>
              <w:pStyle w:val="1151"/>
              <w:jc w:val="center"/>
              <w:rPr>
                <w:szCs w:val="21"/>
              </w:rPr>
            </w:pPr>
            <w:r>
              <w:rPr>
                <w:szCs w:val="21"/>
              </w:rPr>
              <w:t xml:space="preserve">600A/1V</w:t>
            </w:r>
            <w:r>
              <w:rPr>
                <w:szCs w:val="21"/>
              </w:rPr>
            </w:r>
            <w:r/>
          </w:p>
        </w:tc>
        <w:tc>
          <w:tcPr>
            <w:tcW w:w="2056" w:type="dxa"/>
            <w:vAlign w:val="center"/>
            <w:textDirection w:val="lrTb"/>
            <w:noWrap w:val="false"/>
          </w:tcPr>
          <w:p>
            <w:pPr>
              <w:pStyle w:val="1151"/>
              <w:jc w:val="center"/>
              <w:rPr>
                <w:szCs w:val="21"/>
              </w:rPr>
            </w:pPr>
            <w:r>
              <w:rPr>
                <w:szCs w:val="21"/>
              </w:rPr>
              <w:t xml:space="preserve">0.5</w:t>
            </w:r>
            <w:r>
              <w:rPr>
                <w:rFonts w:hint="eastAsia"/>
                <w:szCs w:val="21"/>
              </w:rPr>
              <w:t xml:space="preserve">S</w:t>
            </w:r>
            <w:r>
              <w:rPr>
                <w:szCs w:val="21"/>
              </w:rPr>
              <w:t xml:space="preserve">（5P10）</w:t>
            </w:r>
            <w:r>
              <w:rPr>
                <w:szCs w:val="21"/>
              </w:rPr>
            </w:r>
            <w:r/>
          </w:p>
        </w:tc>
        <w:tc>
          <w:tcPr>
            <w:tcW w:w="1471" w:type="dxa"/>
            <w:vAlign w:val="center"/>
            <w:textDirection w:val="lrTb"/>
            <w:noWrap w:val="false"/>
          </w:tcPr>
          <w:p>
            <w:pPr>
              <w:pStyle w:val="1186"/>
              <w:ind w:firstLine="0"/>
              <w:jc w:val="center"/>
              <w:rPr>
                <w:szCs w:val="21"/>
              </w:rPr>
            </w:pPr>
            <w:r>
              <w:rPr>
                <w:szCs w:val="21"/>
              </w:rPr>
              <w:t xml:space="preserve">≥20kΩ</w:t>
            </w:r>
            <w:r>
              <w:rPr>
                <w:szCs w:val="21"/>
              </w:rPr>
            </w:r>
            <w:r/>
          </w:p>
        </w:tc>
      </w:tr>
    </w:tbl>
    <w:p>
      <w:pPr>
        <w:pStyle w:val="1186"/>
        <w:jc w:val="center"/>
        <w:rPr>
          <w:szCs w:val="21"/>
        </w:rPr>
      </w:pPr>
      <w:r>
        <w:rPr>
          <w:szCs w:val="21"/>
        </w:rPr>
      </w:r>
      <w:r/>
    </w:p>
    <w:p>
      <w:pPr>
        <w:pStyle w:val="1186"/>
        <w:jc w:val="center"/>
        <w:rPr>
          <w:szCs w:val="21"/>
        </w:rPr>
      </w:pPr>
      <w:r>
        <w:rPr>
          <w:szCs w:val="21"/>
        </w:rPr>
        <w:t xml:space="preserve">表</w:t>
      </w:r>
      <w:r>
        <w:rPr>
          <w:rFonts w:hint="eastAsia"/>
          <w:szCs w:val="21"/>
        </w:rPr>
        <w:t xml:space="preserve">6 零序电流互感器（低功率）技术参数</w:t>
      </w:r>
      <w:r>
        <w:rPr>
          <w:szCs w:val="21"/>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07"/>
        <w:gridCol w:w="3505"/>
        <w:gridCol w:w="2508"/>
      </w:tblGrid>
      <w:tr>
        <w:trPr/>
        <w:tc>
          <w:tcPr>
            <w:tcW w:w="1471" w:type="dxa"/>
            <w:vAlign w:val="center"/>
            <w:textDirection w:val="lrTb"/>
            <w:noWrap w:val="false"/>
          </w:tcPr>
          <w:p>
            <w:pPr>
              <w:pStyle w:val="1151"/>
              <w:jc w:val="center"/>
              <w:rPr>
                <w:szCs w:val="21"/>
              </w:rPr>
            </w:pPr>
            <w:r>
              <w:rPr>
                <w:szCs w:val="21"/>
              </w:rPr>
              <w:t xml:space="preserve">额定变比</w:t>
            </w:r>
            <w:r>
              <w:rPr>
                <w:szCs w:val="21"/>
              </w:rPr>
            </w:r>
            <w:r/>
          </w:p>
        </w:tc>
        <w:tc>
          <w:tcPr>
            <w:tcW w:w="2056" w:type="dxa"/>
            <w:vAlign w:val="center"/>
            <w:textDirection w:val="lrTb"/>
            <w:noWrap w:val="false"/>
          </w:tcPr>
          <w:p>
            <w:pPr>
              <w:pStyle w:val="1151"/>
              <w:jc w:val="center"/>
              <w:rPr>
                <w:szCs w:val="21"/>
              </w:rPr>
            </w:pPr>
            <w:r>
              <w:rPr>
                <w:szCs w:val="21"/>
              </w:rPr>
              <w:t xml:space="preserve">准确级</w:t>
            </w:r>
            <w:r>
              <w:rPr>
                <w:szCs w:val="21"/>
              </w:rPr>
            </w:r>
            <w:r/>
          </w:p>
        </w:tc>
        <w:tc>
          <w:tcPr>
            <w:tcW w:w="1471" w:type="dxa"/>
            <w:vAlign w:val="center"/>
            <w:textDirection w:val="lrTb"/>
            <w:noWrap w:val="false"/>
          </w:tcPr>
          <w:p>
            <w:pPr>
              <w:pStyle w:val="1186"/>
              <w:ind w:firstLine="0"/>
              <w:jc w:val="center"/>
              <w:rPr>
                <w:szCs w:val="21"/>
              </w:rPr>
            </w:pPr>
            <w:r>
              <w:rPr>
                <w:szCs w:val="21"/>
              </w:rPr>
              <w:t xml:space="preserve">额定负荷</w:t>
            </w:r>
            <w:r>
              <w:rPr>
                <w:szCs w:val="21"/>
              </w:rPr>
            </w:r>
            <w:r/>
          </w:p>
        </w:tc>
      </w:tr>
      <w:tr>
        <w:trPr/>
        <w:tc>
          <w:tcPr>
            <w:tcW w:w="2507" w:type="dxa"/>
            <w:vAlign w:val="center"/>
            <w:textDirection w:val="lrTb"/>
            <w:noWrap w:val="false"/>
          </w:tcPr>
          <w:p>
            <w:pPr>
              <w:pStyle w:val="1151"/>
              <w:jc w:val="center"/>
              <w:rPr>
                <w:szCs w:val="21"/>
              </w:rPr>
            </w:pPr>
            <w:r>
              <w:rPr>
                <w:szCs w:val="21"/>
              </w:rPr>
              <w:t xml:space="preserve">20A/0.2V</w:t>
            </w:r>
            <w:r>
              <w:rPr>
                <w:szCs w:val="21"/>
              </w:rPr>
            </w:r>
            <w:r/>
          </w:p>
        </w:tc>
        <w:tc>
          <w:tcPr>
            <w:tcW w:w="3505" w:type="dxa"/>
            <w:vAlign w:val="center"/>
            <w:textDirection w:val="lrTb"/>
            <w:noWrap w:val="false"/>
          </w:tcPr>
          <w:p>
            <w:pPr>
              <w:pStyle w:val="1151"/>
              <w:jc w:val="center"/>
              <w:rPr>
                <w:szCs w:val="21"/>
              </w:rPr>
            </w:pPr>
            <w:r>
              <w:rPr>
                <w:szCs w:val="21"/>
              </w:rPr>
              <w:t xml:space="preserve">10P30</w:t>
            </w:r>
            <w:r>
              <w:rPr>
                <w:szCs w:val="21"/>
              </w:rPr>
            </w:r>
            <w:r/>
          </w:p>
          <w:p>
            <w:pPr>
              <w:pStyle w:val="1151"/>
              <w:jc w:val="center"/>
              <w:rPr>
                <w:szCs w:val="21"/>
              </w:rPr>
            </w:pPr>
            <w:r>
              <w:rPr>
                <w:rFonts w:hint="eastAsia"/>
                <w:szCs w:val="21"/>
              </w:rPr>
              <w:t xml:space="preserve">一次侧输入电流为</w:t>
            </w:r>
            <w:r>
              <w:rPr>
                <w:szCs w:val="21"/>
              </w:rPr>
              <w:t xml:space="preserve">1A</w:t>
            </w:r>
            <w:r>
              <w:rPr>
                <w:rFonts w:hint="eastAsia"/>
                <w:szCs w:val="21"/>
              </w:rPr>
              <w:t xml:space="preserve">至额定电流时比值差≤</w:t>
            </w:r>
            <w:r>
              <w:rPr>
                <w:szCs w:val="21"/>
              </w:rPr>
              <w:t xml:space="preserve">3%</w:t>
            </w:r>
            <w:r>
              <w:rPr>
                <w:szCs w:val="21"/>
              </w:rPr>
            </w:r>
            <w:r/>
          </w:p>
        </w:tc>
        <w:tc>
          <w:tcPr>
            <w:tcW w:w="1471" w:type="dxa"/>
            <w:vAlign w:val="center"/>
            <w:textDirection w:val="lrTb"/>
            <w:noWrap w:val="false"/>
          </w:tcPr>
          <w:p>
            <w:pPr>
              <w:pStyle w:val="1186"/>
              <w:ind w:firstLine="0"/>
              <w:jc w:val="center"/>
              <w:rPr>
                <w:szCs w:val="21"/>
              </w:rPr>
            </w:pPr>
            <w:r>
              <w:rPr>
                <w:szCs w:val="21"/>
              </w:rPr>
              <w:t xml:space="preserve">≥20kΩ</w:t>
            </w:r>
            <w:r>
              <w:rPr>
                <w:szCs w:val="21"/>
              </w:rPr>
            </w:r>
            <w:r/>
          </w:p>
        </w:tc>
      </w:tr>
    </w:tbl>
    <w:p>
      <w:pPr>
        <w:pStyle w:val="1186"/>
        <w:jc w:val="center"/>
        <w:rPr>
          <w:szCs w:val="21"/>
        </w:rPr>
      </w:pPr>
      <w:r>
        <w:rPr>
          <w:szCs w:val="21"/>
        </w:rPr>
      </w:r>
      <w:r/>
    </w:p>
    <w:p>
      <w:pPr>
        <w:pStyle w:val="1186"/>
        <w:rPr>
          <w:szCs w:val="21"/>
        </w:rPr>
      </w:pPr>
      <w:r>
        <w:rPr>
          <w:rFonts w:hint="eastAsia"/>
          <w:szCs w:val="21"/>
        </w:rPr>
        <w:t xml:space="preserve">2）最大外形及安装方案</w:t>
      </w:r>
      <w:r>
        <w:rPr>
          <w:szCs w:val="21"/>
        </w:rPr>
      </w:r>
      <w:r/>
    </w:p>
    <w:p>
      <w:pPr>
        <w:pStyle w:val="1186"/>
        <w:rPr>
          <w:szCs w:val="21"/>
        </w:rPr>
      </w:pPr>
      <w:r>
        <w:rPr>
          <w:rFonts w:hint="eastAsia"/>
          <w:szCs w:val="21"/>
        </w:rPr>
        <w:t xml:space="preserve">低功率电流互感器最大外形尺寸应不大于电磁式电流互感器的要求，且安装方案相同。</w:t>
      </w:r>
      <w:r>
        <w:rPr>
          <w:szCs w:val="21"/>
        </w:rPr>
      </w:r>
      <w:r/>
    </w:p>
    <w:p>
      <w:pPr>
        <w:pStyle w:val="1151"/>
        <w:spacing w:line="312" w:lineRule="exact"/>
        <w:rPr>
          <w:rFonts w:eastAsia="黑体"/>
          <w:szCs w:val="21"/>
        </w:rPr>
        <w:outlineLvl w:val="3"/>
      </w:pPr>
      <w:r/>
      <w:bookmarkStart w:id="235" w:name="_Toc1440"/>
      <w:r/>
      <w:bookmarkStart w:id="236" w:name="_Toc30344"/>
      <w:r>
        <w:rPr>
          <w:rFonts w:eastAsia="黑体"/>
          <w:szCs w:val="21"/>
        </w:rPr>
        <w:t xml:space="preserve">5.</w:t>
      </w:r>
      <w:r>
        <w:rPr>
          <w:rFonts w:hint="eastAsia" w:eastAsia="黑体"/>
          <w:szCs w:val="21"/>
        </w:rPr>
        <w:t xml:space="preserve">2.22</w:t>
      </w:r>
      <w:r>
        <w:rPr>
          <w:rFonts w:eastAsia="黑体"/>
          <w:szCs w:val="21"/>
        </w:rPr>
        <w:t xml:space="preserve">.3 </w:t>
      </w:r>
      <w:r>
        <w:rPr>
          <w:rFonts w:hint="eastAsia" w:eastAsia="黑体"/>
          <w:szCs w:val="21"/>
        </w:rPr>
        <w:t xml:space="preserve">电磁式电压互感器</w:t>
      </w:r>
      <w:bookmarkEnd w:id="235"/>
      <w:r/>
      <w:bookmarkEnd w:id="236"/>
      <w:r>
        <w:rPr>
          <w:rFonts w:eastAsia="黑体"/>
          <w:szCs w:val="21"/>
        </w:rPr>
      </w:r>
      <w:r/>
    </w:p>
    <w:p>
      <w:pPr>
        <w:pStyle w:val="1186"/>
        <w:rPr>
          <w:szCs w:val="21"/>
        </w:rPr>
      </w:pPr>
      <w:r>
        <w:rPr>
          <w:rFonts w:hint="eastAsia"/>
          <w:szCs w:val="21"/>
        </w:rPr>
        <w:t xml:space="preserve">1）技术参数</w:t>
      </w:r>
      <w:r>
        <w:rPr>
          <w:szCs w:val="21"/>
        </w:rPr>
      </w:r>
      <w:r/>
    </w:p>
    <w:p>
      <w:pPr>
        <w:pStyle w:val="1186"/>
        <w:ind w:left="0" w:firstLine="0"/>
        <w:jc w:val="center"/>
        <w:rPr>
          <w:szCs w:val="21"/>
        </w:rPr>
      </w:pPr>
      <w:r>
        <w:rPr>
          <w:szCs w:val="21"/>
        </w:rPr>
        <w:t xml:space="preserve">表</w:t>
      </w:r>
      <w:r>
        <w:rPr>
          <w:rFonts w:hint="eastAsia"/>
          <w:szCs w:val="21"/>
        </w:rPr>
        <w:t xml:space="preserve">7 电磁式三相五柱式电压互感器技术参数表</w:t>
      </w:r>
      <w:r>
        <w:rPr>
          <w:szCs w:val="21"/>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6"/>
        <w:gridCol w:w="6204"/>
      </w:tblGrid>
      <w:tr>
        <w:trPr>
          <w:cantSplit/>
          <w:trHeight w:val="20"/>
          <w:tblHeader/>
        </w:trPr>
        <w:tc>
          <w:tcPr>
            <w:tcW w:w="1359"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项目</w:t>
            </w:r>
            <w:r>
              <w:rPr>
                <w:bCs/>
                <w:sz w:val="18"/>
                <w:szCs w:val="18"/>
              </w:rPr>
            </w:r>
            <w:r/>
          </w:p>
        </w:tc>
        <w:tc>
          <w:tcPr>
            <w:tcW w:w="3640"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要求值</w:t>
            </w:r>
            <w:r>
              <w:rPr>
                <w:bCs/>
                <w:sz w:val="18"/>
                <w:szCs w:val="18"/>
              </w:rPr>
            </w:r>
            <w:r/>
          </w:p>
        </w:tc>
      </w:tr>
      <w:tr>
        <w:trPr>
          <w:cantSplit/>
          <w:trHeight w:val="20"/>
          <w:tblHeader/>
        </w:trPr>
        <w:tc>
          <w:tcPr>
            <w:tcW w:w="1359"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变比</w:t>
            </w:r>
            <w:r>
              <w:rPr>
                <w:bCs/>
                <w:sz w:val="18"/>
                <w:szCs w:val="18"/>
              </w:rPr>
            </w:r>
            <w:r/>
          </w:p>
        </w:tc>
        <w:tc>
          <w:tcPr>
            <w:tcW w:w="3640"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相电压：（10kV/√3）/（0.1kV/√3）</w:t>
            </w:r>
            <w:r>
              <w:rPr>
                <w:bCs/>
                <w:sz w:val="18"/>
                <w:szCs w:val="18"/>
              </w:rPr>
              <w:br w:type="textWrapping" w:clear="all"/>
            </w:r>
            <w:r>
              <w:rPr>
                <w:bCs/>
                <w:sz w:val="18"/>
                <w:szCs w:val="18"/>
              </w:rPr>
              <w:t xml:space="preserve">零序电压：（10kV/√3）/（0.1kV/3）</w:t>
            </w:r>
            <w:r>
              <w:rPr>
                <w:bCs/>
                <w:sz w:val="18"/>
                <w:szCs w:val="18"/>
              </w:rPr>
              <w:br w:type="textWrapping" w:clear="all"/>
            </w:r>
            <w:r>
              <w:rPr>
                <w:bCs/>
                <w:sz w:val="18"/>
                <w:szCs w:val="18"/>
              </w:rPr>
              <w:t xml:space="preserve">供电相电压：（10kV/√3）/（0.22kV/√3）</w:t>
            </w:r>
            <w:r>
              <w:rPr>
                <w:bCs/>
                <w:sz w:val="18"/>
                <w:szCs w:val="18"/>
              </w:rPr>
            </w:r>
            <w:r/>
          </w:p>
        </w:tc>
      </w:tr>
      <w:tr>
        <w:trPr>
          <w:cantSplit/>
          <w:trHeight w:val="20"/>
          <w:tblHeader/>
        </w:trPr>
        <w:tc>
          <w:tcPr>
            <w:tcW w:w="1359"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准确级</w:t>
            </w:r>
            <w:r>
              <w:rPr>
                <w:bCs/>
                <w:sz w:val="18"/>
                <w:szCs w:val="18"/>
              </w:rPr>
            </w:r>
            <w:r/>
          </w:p>
        </w:tc>
        <w:tc>
          <w:tcPr>
            <w:tcW w:w="3640"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相电压：0.5级</w:t>
            </w:r>
            <w:r>
              <w:rPr>
                <w:bCs/>
                <w:sz w:val="18"/>
                <w:szCs w:val="18"/>
              </w:rPr>
              <w:br w:type="textWrapping" w:clear="all"/>
            </w:r>
            <w:r>
              <w:rPr>
                <w:bCs/>
                <w:sz w:val="18"/>
                <w:szCs w:val="18"/>
              </w:rPr>
              <w:t xml:space="preserve">零序电压：3P</w:t>
            </w:r>
            <w:r>
              <w:rPr>
                <w:bCs/>
                <w:sz w:val="18"/>
                <w:szCs w:val="18"/>
              </w:rPr>
            </w:r>
            <w:r/>
          </w:p>
          <w:p>
            <w:pPr>
              <w:pStyle w:val="1151"/>
              <w:ind w:firstLine="360"/>
              <w:jc w:val="center"/>
              <w:spacing w:line="312" w:lineRule="exact"/>
              <w:widowControl/>
              <w:rPr>
                <w:bCs/>
                <w:sz w:val="18"/>
                <w:szCs w:val="18"/>
              </w:rPr>
            </w:pPr>
            <w:r>
              <w:rPr>
                <w:bCs/>
                <w:sz w:val="18"/>
                <w:szCs w:val="18"/>
              </w:rPr>
              <w:t xml:space="preserve">供电：3级</w:t>
            </w:r>
            <w:r>
              <w:rPr>
                <w:bCs/>
                <w:sz w:val="18"/>
                <w:szCs w:val="18"/>
              </w:rPr>
            </w:r>
            <w:r/>
          </w:p>
        </w:tc>
      </w:tr>
      <w:tr>
        <w:trPr>
          <w:cantSplit/>
          <w:trHeight w:val="20"/>
          <w:tblHeader/>
        </w:trPr>
        <w:tc>
          <w:tcPr>
            <w:tcW w:w="1359"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型式</w:t>
            </w:r>
            <w:r>
              <w:rPr>
                <w:bCs/>
                <w:sz w:val="18"/>
                <w:szCs w:val="18"/>
              </w:rPr>
            </w:r>
            <w:r/>
          </w:p>
        </w:tc>
        <w:tc>
          <w:tcPr>
            <w:tcW w:w="3640"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三相五柱式</w:t>
            </w:r>
            <w:r>
              <w:rPr>
                <w:bCs/>
                <w:sz w:val="18"/>
                <w:szCs w:val="18"/>
              </w:rPr>
            </w:r>
            <w:r/>
          </w:p>
        </w:tc>
      </w:tr>
      <w:tr>
        <w:trPr>
          <w:cantSplit/>
          <w:trHeight w:val="20"/>
          <w:tblHeader/>
        </w:trPr>
        <w:tc>
          <w:tcPr>
            <w:tcW w:w="1359"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单相输出容量</w:t>
            </w:r>
            <w:r>
              <w:rPr>
                <w:bCs/>
                <w:sz w:val="18"/>
                <w:szCs w:val="18"/>
              </w:rPr>
            </w:r>
            <w:r/>
          </w:p>
        </w:tc>
        <w:tc>
          <w:tcPr>
            <w:tcW w:w="3640" w:type="dxa"/>
            <w:vAlign w:val="center"/>
            <w:textDirection w:val="lrTb"/>
            <w:noWrap w:val="false"/>
          </w:tcPr>
          <w:p>
            <w:pPr>
              <w:pStyle w:val="1151"/>
              <w:ind w:firstLine="360"/>
              <w:jc w:val="center"/>
              <w:spacing w:line="312" w:lineRule="exact"/>
              <w:widowControl/>
              <w:rPr>
                <w:bCs/>
                <w:sz w:val="18"/>
                <w:szCs w:val="18"/>
              </w:rPr>
            </w:pPr>
            <w:r>
              <w:rPr>
                <w:rFonts w:hint="eastAsia"/>
                <w:bCs/>
                <w:sz w:val="18"/>
                <w:szCs w:val="18"/>
              </w:rPr>
              <w:t xml:space="preserve">≥</w:t>
            </w:r>
            <w:r>
              <w:rPr>
                <w:bCs/>
                <w:sz w:val="18"/>
                <w:szCs w:val="18"/>
              </w:rPr>
              <w:t xml:space="preserve">30VA</w:t>
            </w:r>
            <w:r>
              <w:rPr>
                <w:bCs/>
                <w:sz w:val="18"/>
                <w:szCs w:val="18"/>
              </w:rPr>
            </w:r>
            <w:r/>
          </w:p>
        </w:tc>
      </w:tr>
      <w:tr>
        <w:trPr>
          <w:cantSplit/>
          <w:trHeight w:val="20"/>
          <w:tblHeader/>
        </w:trPr>
        <w:tc>
          <w:tcPr>
            <w:tcW w:w="1359"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零序输出容量</w:t>
            </w:r>
            <w:r>
              <w:rPr>
                <w:bCs/>
                <w:sz w:val="18"/>
                <w:szCs w:val="18"/>
              </w:rPr>
            </w:r>
            <w:r/>
          </w:p>
        </w:tc>
        <w:tc>
          <w:tcPr>
            <w:tcW w:w="3640" w:type="dxa"/>
            <w:vAlign w:val="center"/>
            <w:textDirection w:val="lrTb"/>
            <w:noWrap w:val="false"/>
          </w:tcPr>
          <w:p>
            <w:pPr>
              <w:pStyle w:val="1151"/>
              <w:ind w:firstLine="360"/>
              <w:jc w:val="center"/>
              <w:spacing w:line="312" w:lineRule="exact"/>
              <w:widowControl/>
              <w:rPr>
                <w:bCs/>
                <w:sz w:val="18"/>
                <w:szCs w:val="18"/>
              </w:rPr>
            </w:pPr>
            <w:r>
              <w:rPr>
                <w:rFonts w:hint="eastAsia"/>
                <w:bCs/>
                <w:sz w:val="18"/>
                <w:szCs w:val="18"/>
              </w:rPr>
              <w:t xml:space="preserve">≥</w:t>
            </w:r>
            <w:r>
              <w:rPr>
                <w:bCs/>
                <w:sz w:val="18"/>
                <w:szCs w:val="18"/>
              </w:rPr>
              <w:t xml:space="preserve">50VA</w:t>
            </w:r>
            <w:r>
              <w:rPr>
                <w:bCs/>
                <w:sz w:val="18"/>
                <w:szCs w:val="18"/>
              </w:rPr>
            </w:r>
            <w:r/>
          </w:p>
        </w:tc>
      </w:tr>
      <w:tr>
        <w:trPr>
          <w:cantSplit/>
          <w:trHeight w:val="20"/>
          <w:tblHeader/>
        </w:trPr>
        <w:tc>
          <w:tcPr>
            <w:tcW w:w="1359"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供电容量</w:t>
            </w:r>
            <w:r>
              <w:rPr>
                <w:bCs/>
                <w:sz w:val="18"/>
                <w:szCs w:val="18"/>
              </w:rPr>
            </w:r>
            <w:r/>
          </w:p>
        </w:tc>
        <w:tc>
          <w:tcPr>
            <w:tcW w:w="3640"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3×300VA，短时3000VA/1s</w:t>
            </w:r>
            <w:r>
              <w:rPr>
                <w:bCs/>
                <w:sz w:val="18"/>
                <w:szCs w:val="18"/>
              </w:rPr>
            </w:r>
            <w:r/>
          </w:p>
        </w:tc>
      </w:tr>
      <w:tr>
        <w:trPr>
          <w:cantSplit/>
          <w:trHeight w:val="20"/>
          <w:tblHeader/>
        </w:trPr>
        <w:tc>
          <w:tcPr>
            <w:tcW w:w="1359" w:type="dxa"/>
            <w:vAlign w:val="center"/>
            <w:textDirection w:val="lrTb"/>
            <w:noWrap w:val="false"/>
          </w:tcPr>
          <w:p>
            <w:pPr>
              <w:pStyle w:val="1151"/>
              <w:ind w:firstLine="360"/>
              <w:jc w:val="center"/>
              <w:spacing w:line="312" w:lineRule="exact"/>
              <w:widowControl/>
              <w:rPr>
                <w:bCs/>
                <w:sz w:val="18"/>
                <w:szCs w:val="18"/>
              </w:rPr>
            </w:pPr>
            <w:r>
              <w:rPr>
                <w:rFonts w:hint="eastAsia"/>
                <w:bCs/>
                <w:sz w:val="18"/>
                <w:szCs w:val="18"/>
              </w:rPr>
              <w:t xml:space="preserve">热极限输出容量</w:t>
            </w:r>
            <w:r>
              <w:rPr>
                <w:bCs/>
                <w:sz w:val="18"/>
                <w:szCs w:val="18"/>
              </w:rPr>
            </w:r>
            <w:r/>
          </w:p>
        </w:tc>
        <w:tc>
          <w:tcPr>
            <w:tcW w:w="3640"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3×</w:t>
            </w:r>
            <w:r>
              <w:rPr>
                <w:rFonts w:hint="eastAsia"/>
                <w:bCs/>
                <w:sz w:val="18"/>
                <w:szCs w:val="18"/>
              </w:rPr>
              <w:t xml:space="preserve">3</w:t>
            </w:r>
            <w:r>
              <w:rPr>
                <w:bCs/>
                <w:sz w:val="18"/>
                <w:szCs w:val="18"/>
              </w:rPr>
              <w:t xml:space="preserve">00</w:t>
            </w:r>
            <w:r>
              <w:rPr>
                <w:rFonts w:hint="eastAsia"/>
                <w:bCs/>
                <w:sz w:val="18"/>
                <w:szCs w:val="18"/>
              </w:rPr>
              <w:t xml:space="preserve">VA</w:t>
            </w:r>
            <w:r>
              <w:rPr>
                <w:bCs/>
                <w:sz w:val="18"/>
                <w:szCs w:val="18"/>
              </w:rPr>
            </w:r>
            <w:r/>
          </w:p>
        </w:tc>
      </w:tr>
      <w:tr>
        <w:trPr>
          <w:cantSplit/>
          <w:trHeight w:val="20"/>
          <w:tblHeader/>
        </w:trPr>
        <w:tc>
          <w:tcPr>
            <w:tcW w:w="1359"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局放</w:t>
            </w:r>
            <w:r>
              <w:rPr>
                <w:bCs/>
                <w:sz w:val="18"/>
                <w:szCs w:val="18"/>
              </w:rPr>
            </w:r>
            <w:r/>
          </w:p>
        </w:tc>
        <w:tc>
          <w:tcPr>
            <w:tcW w:w="3640"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1.2</w:t>
            </w:r>
            <w:r>
              <w:rPr>
                <w:bCs/>
                <w:i/>
                <w:sz w:val="18"/>
                <w:szCs w:val="18"/>
              </w:rPr>
              <w:t xml:space="preserve">U</w:t>
            </w:r>
            <w:r>
              <w:rPr>
                <w:bCs/>
                <w:sz w:val="18"/>
                <w:szCs w:val="18"/>
                <w:vertAlign w:val="subscript"/>
              </w:rPr>
              <w:t xml:space="preserve">m</w:t>
            </w:r>
            <w:r>
              <w:rPr>
                <w:bCs/>
                <w:sz w:val="18"/>
                <w:szCs w:val="18"/>
              </w:rPr>
              <w:t xml:space="preserve">≤20pC</w:t>
            </w:r>
            <w:r>
              <w:rPr>
                <w:bCs/>
                <w:sz w:val="18"/>
                <w:szCs w:val="18"/>
              </w:rPr>
            </w:r>
            <w:r/>
          </w:p>
        </w:tc>
      </w:tr>
      <w:tr>
        <w:trPr>
          <w:cantSplit/>
          <w:trHeight w:val="20"/>
          <w:tblHeader/>
        </w:trPr>
        <w:tc>
          <w:tcPr>
            <w:tcW w:w="1359"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温度</w:t>
            </w:r>
            <w:r>
              <w:rPr>
                <w:bCs/>
                <w:sz w:val="18"/>
                <w:szCs w:val="18"/>
              </w:rPr>
            </w:r>
            <w:r/>
          </w:p>
        </w:tc>
        <w:tc>
          <w:tcPr>
            <w:tcW w:w="3640"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-40℃~+40℃、-25℃~+40℃</w:t>
            </w:r>
            <w:r>
              <w:rPr>
                <w:bCs/>
                <w:sz w:val="18"/>
                <w:szCs w:val="18"/>
              </w:rPr>
            </w:r>
            <w:r/>
          </w:p>
        </w:tc>
      </w:tr>
      <w:tr>
        <w:trPr>
          <w:cantSplit/>
          <w:trHeight w:val="20"/>
          <w:tblHeader/>
        </w:trPr>
        <w:tc>
          <w:tcPr>
            <w:tcW w:w="1359"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一次连接形式</w:t>
            </w:r>
            <w:r>
              <w:rPr>
                <w:bCs/>
                <w:sz w:val="18"/>
                <w:szCs w:val="18"/>
              </w:rPr>
            </w:r>
            <w:r/>
          </w:p>
        </w:tc>
        <w:tc>
          <w:tcPr>
            <w:tcW w:w="3640"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与200A美式肘型头配套使用</w:t>
            </w:r>
            <w:r>
              <w:rPr>
                <w:bCs/>
                <w:sz w:val="18"/>
                <w:szCs w:val="18"/>
              </w:rPr>
            </w:r>
            <w:r/>
          </w:p>
        </w:tc>
      </w:tr>
      <w:tr>
        <w:trPr>
          <w:cantSplit/>
          <w:trHeight w:val="20"/>
          <w:tblHeader/>
        </w:trPr>
        <w:tc>
          <w:tcPr>
            <w:tcW w:w="1359"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安装尺寸（mm）</w:t>
            </w:r>
            <w:r>
              <w:rPr>
                <w:bCs/>
                <w:sz w:val="18"/>
                <w:szCs w:val="18"/>
              </w:rPr>
            </w:r>
            <w:r/>
          </w:p>
        </w:tc>
        <w:tc>
          <w:tcPr>
            <w:tcW w:w="3640" w:type="dxa"/>
            <w:vAlign w:val="center"/>
            <w:textDirection w:val="lrTb"/>
            <w:noWrap w:val="false"/>
          </w:tcPr>
          <w:p>
            <w:pPr>
              <w:pStyle w:val="1151"/>
              <w:ind w:firstLine="360"/>
              <w:jc w:val="center"/>
              <w:spacing w:line="312" w:lineRule="exact"/>
              <w:widowControl/>
              <w:rPr>
                <w:bCs/>
                <w:sz w:val="18"/>
                <w:szCs w:val="18"/>
              </w:rPr>
            </w:pPr>
            <w:r>
              <w:rPr>
                <w:bCs/>
                <w:sz w:val="18"/>
                <w:szCs w:val="18"/>
              </w:rPr>
              <w:t xml:space="preserve">430mm×300mm（</w:t>
            </w:r>
            <w:r>
              <w:rPr>
                <w:sz w:val="18"/>
                <w:szCs w:val="18"/>
              </w:rPr>
              <w:t xml:space="preserve">宽×深</w:t>
            </w:r>
            <w:r>
              <w:rPr>
                <w:bCs/>
                <w:sz w:val="18"/>
                <w:szCs w:val="18"/>
              </w:rPr>
              <w:t xml:space="preserve">），4-Ф13mm，出线端子高度270mm</w:t>
            </w:r>
            <w:r>
              <w:rPr>
                <w:bCs/>
                <w:sz w:val="18"/>
                <w:szCs w:val="18"/>
              </w:rPr>
            </w:r>
            <w:r/>
          </w:p>
        </w:tc>
      </w:tr>
      <w:tr>
        <w:trPr>
          <w:cantSplit/>
          <w:trHeight w:val="20"/>
          <w:tblHeader/>
        </w:trPr>
        <w:tc>
          <w:tcPr>
            <w:tcW w:w="1359" w:type="dxa"/>
            <w:vAlign w:val="center"/>
            <w:textDirection w:val="lrTb"/>
            <w:noWrap w:val="false"/>
          </w:tcPr>
          <w:p>
            <w:pPr>
              <w:pStyle w:val="1151"/>
              <w:ind w:firstLine="360"/>
              <w:jc w:val="center"/>
              <w:spacing w:line="312" w:lineRule="exact"/>
              <w:widowControl/>
              <w:rPr>
                <w:bCs/>
                <w:sz w:val="18"/>
                <w:szCs w:val="18"/>
              </w:rPr>
            </w:pPr>
            <w:r>
              <w:rPr>
                <w:rFonts w:hint="eastAsia"/>
                <w:bCs/>
                <w:sz w:val="18"/>
                <w:szCs w:val="18"/>
              </w:rPr>
              <w:t xml:space="preserve">高压侧熔断器</w:t>
            </w:r>
            <w:r>
              <w:rPr>
                <w:bCs/>
                <w:sz w:val="18"/>
                <w:szCs w:val="18"/>
              </w:rPr>
            </w:r>
            <w:r/>
          </w:p>
        </w:tc>
        <w:tc>
          <w:tcPr>
            <w:tcW w:w="3640" w:type="dxa"/>
            <w:vAlign w:val="center"/>
            <w:textDirection w:val="lrTb"/>
            <w:noWrap w:val="false"/>
          </w:tcPr>
          <w:p>
            <w:pPr>
              <w:pStyle w:val="1151"/>
              <w:ind w:firstLine="360"/>
              <w:jc w:val="center"/>
              <w:spacing w:line="312" w:lineRule="exact"/>
              <w:widowControl/>
              <w:rPr>
                <w:bCs/>
                <w:sz w:val="18"/>
                <w:szCs w:val="18"/>
              </w:rPr>
            </w:pPr>
            <w:r>
              <w:rPr>
                <w:rFonts w:hint="eastAsia"/>
                <w:bCs/>
                <w:sz w:val="18"/>
                <w:szCs w:val="18"/>
              </w:rPr>
              <w:t xml:space="preserve">0</w:t>
            </w:r>
            <w:r>
              <w:rPr>
                <w:bCs/>
                <w:sz w:val="18"/>
                <w:szCs w:val="18"/>
              </w:rPr>
              <w:t xml:space="preserve">.5</w:t>
            </w:r>
            <w:r>
              <w:rPr>
                <w:rFonts w:hint="eastAsia"/>
                <w:bCs/>
                <w:sz w:val="18"/>
                <w:szCs w:val="18"/>
              </w:rPr>
              <w:t xml:space="preserve">A</w:t>
            </w:r>
            <w:r>
              <w:rPr>
                <w:bCs/>
                <w:sz w:val="18"/>
                <w:szCs w:val="18"/>
              </w:rPr>
            </w:r>
            <w:r/>
          </w:p>
        </w:tc>
      </w:tr>
      <w:tr>
        <w:trPr>
          <w:cantSplit/>
          <w:trHeight w:val="20"/>
          <w:tblHeader/>
        </w:trPr>
        <w:tc>
          <w:tcPr>
            <w:tcW w:w="1359" w:type="dxa"/>
            <w:vAlign w:val="center"/>
            <w:textDirection w:val="lrTb"/>
            <w:noWrap w:val="false"/>
          </w:tcPr>
          <w:p>
            <w:pPr>
              <w:pStyle w:val="1151"/>
              <w:ind w:firstLine="360"/>
              <w:jc w:val="center"/>
              <w:spacing w:line="312" w:lineRule="exact"/>
              <w:widowControl/>
              <w:rPr>
                <w:bCs/>
                <w:sz w:val="18"/>
                <w:szCs w:val="18"/>
              </w:rPr>
            </w:pPr>
            <w:r>
              <w:rPr>
                <w:rFonts w:hint="eastAsia"/>
                <w:bCs/>
                <w:sz w:val="18"/>
                <w:szCs w:val="18"/>
              </w:rPr>
              <w:t xml:space="preserve">外壳</w:t>
            </w:r>
            <w:r>
              <w:rPr>
                <w:bCs/>
                <w:sz w:val="18"/>
                <w:szCs w:val="18"/>
              </w:rPr>
            </w:r>
            <w:r/>
          </w:p>
        </w:tc>
        <w:tc>
          <w:tcPr>
            <w:tcW w:w="3640" w:type="dxa"/>
            <w:vAlign w:val="center"/>
            <w:textDirection w:val="lrTb"/>
            <w:noWrap w:val="false"/>
          </w:tcPr>
          <w:p>
            <w:pPr>
              <w:pStyle w:val="1151"/>
              <w:ind w:firstLine="360"/>
              <w:jc w:val="center"/>
              <w:spacing w:line="312" w:lineRule="exact"/>
              <w:widowControl/>
              <w:rPr>
                <w:bCs/>
                <w:sz w:val="18"/>
                <w:szCs w:val="18"/>
              </w:rPr>
            </w:pPr>
            <w:r>
              <w:rPr>
                <w:rFonts w:hint="eastAsia"/>
                <w:bCs/>
                <w:sz w:val="18"/>
                <w:szCs w:val="18"/>
              </w:rPr>
              <w:t xml:space="preserve">外壳带有屏蔽接地层</w:t>
            </w:r>
            <w:r>
              <w:rPr>
                <w:bCs/>
                <w:sz w:val="18"/>
                <w:szCs w:val="18"/>
              </w:rPr>
            </w:r>
            <w:r/>
          </w:p>
        </w:tc>
      </w:tr>
    </w:tbl>
    <w:p>
      <w:pPr>
        <w:pStyle w:val="1186"/>
        <w:rPr>
          <w:szCs w:val="21"/>
        </w:rPr>
      </w:pPr>
      <w:r>
        <w:rPr>
          <w:szCs w:val="21"/>
        </w:rPr>
      </w:r>
      <w:r/>
    </w:p>
    <w:p>
      <w:pPr>
        <w:pStyle w:val="1186"/>
        <w:rPr>
          <w:szCs w:val="21"/>
        </w:rPr>
      </w:pPr>
      <w:r>
        <w:rPr>
          <w:rFonts w:hint="eastAsia"/>
          <w:szCs w:val="21"/>
        </w:rPr>
        <w:t xml:space="preserve">2）接线原理图</w:t>
      </w:r>
      <w:r>
        <w:rPr>
          <w:szCs w:val="21"/>
        </w:rPr>
      </w:r>
      <w:r/>
    </w:p>
    <w:p>
      <w:pPr>
        <w:pStyle w:val="1186"/>
        <w:rPr>
          <w:szCs w:val="21"/>
        </w:rPr>
      </w:pPr>
      <w:r>
        <w:rPr>
          <w:rFonts w:hint="eastAsia"/>
          <w:szCs w:val="21"/>
        </w:rPr>
        <w:t xml:space="preserve">接线原理如图</w:t>
      </w:r>
      <w:r>
        <w:rPr>
          <w:szCs w:val="21"/>
        </w:rPr>
        <w:t xml:space="preserve">5</w:t>
      </w:r>
      <w:r>
        <w:rPr>
          <w:rFonts w:hint="eastAsia"/>
          <w:szCs w:val="21"/>
        </w:rPr>
        <w:t xml:space="preserve">1所示.</w:t>
      </w:r>
      <w:r>
        <w:rPr>
          <w:szCs w:val="21"/>
        </w:rPr>
      </w:r>
      <w:r/>
    </w:p>
    <w:p>
      <w:pPr>
        <w:pStyle w:val="1186"/>
        <w:jc w:val="center"/>
        <w:rPr>
          <w:szCs w:val="21"/>
        </w:rPr>
      </w:pPr>
      <w:r>
        <w:rPr>
          <w:szCs w:val="21"/>
        </w:rPr>
        <mc:AlternateContent>
          <mc:Choice Requires="wpg">
            <w:drawing>
              <wp:inline xmlns:wp="http://schemas.openxmlformats.org/drawingml/2006/wordprocessingDrawing" distT="0" distB="0" distL="0" distR="0">
                <wp:extent cx="2814384" cy="1751470"/>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2814384" cy="1751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221.6pt;height:137.9pt;mso-wrap-distance-left:0.0pt;mso-wrap-distance-top:0.0pt;mso-wrap-distance-right:0.0pt;mso-wrap-distance-bottom:0.0pt;" stroked="f">
                <v:path textboxrect="0,0,0,0"/>
                <v:imagedata r:id="rId68" o:title=""/>
              </v:shape>
            </w:pict>
          </mc:Fallback>
        </mc:AlternateContent>
      </w:r>
      <w:r>
        <w:rPr>
          <w:szCs w:val="21"/>
        </w:rPr>
      </w:r>
      <w:r/>
    </w:p>
    <w:p>
      <w:pPr>
        <w:pStyle w:val="1186"/>
        <w:jc w:val="center"/>
        <w:rPr>
          <w:szCs w:val="21"/>
        </w:rPr>
      </w:pPr>
      <w:r>
        <w:rPr>
          <w:rFonts w:hint="eastAsia"/>
          <w:szCs w:val="21"/>
        </w:rPr>
        <w:t xml:space="preserve">图</w:t>
      </w:r>
      <w:r>
        <w:rPr>
          <w:szCs w:val="21"/>
        </w:rPr>
        <w:t xml:space="preserve">5</w:t>
      </w:r>
      <w:r>
        <w:rPr>
          <w:rFonts w:hint="eastAsia"/>
          <w:szCs w:val="21"/>
        </w:rPr>
        <w:t xml:space="preserve">1 电磁式电压互感器接线原理图</w:t>
      </w:r>
      <w:r>
        <w:rPr>
          <w:szCs w:val="21"/>
        </w:rPr>
      </w:r>
      <w:r/>
    </w:p>
    <w:p>
      <w:pPr>
        <w:pStyle w:val="1186"/>
        <w:numPr>
          <w:ilvl w:val="0"/>
          <w:numId w:val="12"/>
        </w:numPr>
        <w:ind w:left="0"/>
        <w:spacing w:after="0" w:line="360" w:lineRule="auto"/>
        <w:rPr>
          <w:szCs w:val="21"/>
        </w:rPr>
      </w:pPr>
      <w:r>
        <w:rPr>
          <w:rFonts w:hint="eastAsia"/>
          <w:szCs w:val="21"/>
        </w:rPr>
        <w:t xml:space="preserve">最大外形及安装接口</w:t>
      </w:r>
      <w:r>
        <w:rPr>
          <w:szCs w:val="21"/>
        </w:rPr>
      </w:r>
      <w:r/>
    </w:p>
    <w:p>
      <w:pPr>
        <w:pStyle w:val="1186"/>
        <w:rPr>
          <w:szCs w:val="21"/>
        </w:rPr>
      </w:pPr>
      <w:r>
        <w:rPr>
          <w:rFonts w:hint="eastAsia"/>
          <w:szCs w:val="21"/>
        </w:rPr>
        <w:t xml:space="preserve">电磁式电压互感器最大外形尺寸为</w:t>
      </w:r>
      <w:r>
        <w:rPr>
          <w:szCs w:val="21"/>
        </w:rPr>
        <w:t xml:space="preserve">4</w:t>
      </w:r>
      <w:r>
        <w:rPr>
          <w:rFonts w:hint="eastAsia"/>
          <w:szCs w:val="21"/>
        </w:rPr>
        <w:t xml:space="preserve">70mm×500mm（宽×深），安装尺寸为430mm×300mm（宽×深），4-Ф13mm，出线端子高度270mm，如图</w:t>
      </w:r>
      <w:r>
        <w:rPr>
          <w:szCs w:val="21"/>
        </w:rPr>
        <w:t xml:space="preserve">5</w:t>
      </w:r>
      <w:r>
        <w:rPr>
          <w:rFonts w:hint="eastAsia"/>
          <w:szCs w:val="21"/>
        </w:rPr>
        <w:t xml:space="preserve">2所示。</w:t>
      </w:r>
      <w:r>
        <w:rPr>
          <w:szCs w:val="21"/>
        </w:rPr>
      </w:r>
      <w:r/>
    </w:p>
    <w:p>
      <w:pPr>
        <w:pStyle w:val="1186"/>
        <w:ind w:firstLine="0"/>
        <w:jc w:val="center"/>
      </w:pPr>
      <w:r>
        <mc:AlternateContent>
          <mc:Choice Requires="wpg">
            <w:drawing>
              <wp:inline xmlns:wp="http://schemas.openxmlformats.org/drawingml/2006/wordprocessingDrawing" distT="0" distB="0" distL="0" distR="0">
                <wp:extent cx="5274297" cy="3084220"/>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5274297" cy="3084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15.3pt;height:242.9pt;mso-wrap-distance-left:0.0pt;mso-wrap-distance-top:0.0pt;mso-wrap-distance-right:0.0pt;mso-wrap-distance-bottom:0.0pt;" stroked="f">
                <v:path textboxrect="0,0,0,0"/>
                <v:imagedata r:id="rId69" o:title=""/>
              </v:shape>
            </w:pict>
          </mc:Fallback>
        </mc:AlternateContent>
      </w:r>
      <w:r/>
    </w:p>
    <w:p>
      <w:pPr>
        <w:pStyle w:val="1186"/>
        <w:jc w:val="center"/>
        <w:rPr>
          <w:szCs w:val="21"/>
        </w:rPr>
      </w:pPr>
      <w:r>
        <w:rPr>
          <w:rFonts w:hint="eastAsia"/>
          <w:szCs w:val="21"/>
        </w:rPr>
        <w:t xml:space="preserve">图</w:t>
      </w:r>
      <w:r>
        <w:rPr>
          <w:szCs w:val="21"/>
        </w:rPr>
        <w:t xml:space="preserve">5</w:t>
      </w:r>
      <w:r>
        <w:rPr>
          <w:rFonts w:hint="eastAsia"/>
          <w:szCs w:val="21"/>
        </w:rPr>
        <w:t xml:space="preserve">2 电磁式电压互感器最大外形图</w:t>
      </w:r>
      <w:r>
        <w:rPr>
          <w:szCs w:val="21"/>
        </w:rPr>
      </w:r>
      <w:r/>
    </w:p>
    <w:p>
      <w:pPr>
        <w:pStyle w:val="1186"/>
        <w:rPr>
          <w:szCs w:val="21"/>
        </w:rPr>
      </w:pPr>
      <w:r>
        <w:rPr>
          <w:rFonts w:hint="eastAsia"/>
          <w:szCs w:val="21"/>
        </w:rPr>
        <w:t xml:space="preserve">4）防铁磁谐振要求：</w:t>
      </w:r>
      <w:r>
        <w:rPr>
          <w:szCs w:val="21"/>
        </w:rPr>
      </w:r>
      <w:r/>
    </w:p>
    <w:p>
      <w:pPr>
        <w:pStyle w:val="1186"/>
        <w:rPr>
          <w:szCs w:val="21"/>
        </w:rPr>
      </w:pPr>
      <w:r>
        <w:rPr>
          <w:rFonts w:hint="eastAsia"/>
          <w:szCs w:val="21"/>
        </w:rPr>
        <w:t xml:space="preserve">配置三相五柱式电磁式电压互感器时，要求电压互感器有防铁磁谐振功能，避免因电力系统不同程度接地后电压互感器发生铁磁谐振导致互感器损害现象。</w:t>
      </w:r>
      <w:r>
        <w:rPr>
          <w:szCs w:val="21"/>
        </w:rPr>
      </w:r>
      <w:r/>
    </w:p>
    <w:p>
      <w:pPr>
        <w:pStyle w:val="1151"/>
        <w:spacing w:line="312" w:lineRule="exact"/>
        <w:rPr>
          <w:rFonts w:ascii="宋体" w:hAnsi="宋体" w:eastAsia="黑体" w:cs="宋体"/>
          <w:sz w:val="24"/>
          <w:szCs w:val="21"/>
        </w:rPr>
        <w:outlineLvl w:val="3"/>
      </w:pPr>
      <w:r/>
      <w:bookmarkStart w:id="237" w:name="_Toc309"/>
      <w:r/>
      <w:bookmarkStart w:id="238" w:name="_Toc10035"/>
      <w:r>
        <w:rPr>
          <w:rFonts w:hint="eastAsia" w:eastAsia="黑体"/>
          <w:szCs w:val="21"/>
        </w:rPr>
        <w:t xml:space="preserve">5.2.22.4</w:t>
      </w:r>
      <w:r>
        <w:rPr>
          <w:rFonts w:ascii="宋体" w:hAnsi="宋体" w:eastAsia="黑体" w:cs="宋体"/>
          <w:sz w:val="24"/>
          <w:szCs w:val="21"/>
        </w:rPr>
        <w:t xml:space="preserve">互感器</w:t>
      </w:r>
      <w:r>
        <w:rPr>
          <w:rFonts w:hint="eastAsia" w:ascii="宋体" w:hAnsi="宋体" w:eastAsia="黑体" w:cs="宋体"/>
          <w:sz w:val="24"/>
          <w:szCs w:val="21"/>
        </w:rPr>
        <w:t xml:space="preserve">详细</w:t>
      </w:r>
      <w:bookmarkEnd w:id="237"/>
      <w:r/>
      <w:bookmarkEnd w:id="238"/>
      <w:r>
        <w:rPr>
          <w:rFonts w:hint="eastAsia" w:ascii="宋体" w:hAnsi="宋体" w:eastAsia="黑体" w:cs="宋体"/>
          <w:sz w:val="24"/>
          <w:szCs w:val="21"/>
        </w:rPr>
        <w:t xml:space="preserve">要求</w:t>
      </w:r>
      <w:r>
        <w:rPr>
          <w:rFonts w:ascii="宋体" w:hAnsi="宋体" w:eastAsia="黑体" w:cs="宋体"/>
          <w:sz w:val="24"/>
          <w:szCs w:val="21"/>
        </w:rPr>
      </w:r>
      <w:r/>
    </w:p>
    <w:p>
      <w:pPr>
        <w:pStyle w:val="1151"/>
        <w:ind w:firstLine="420"/>
      </w:pPr>
      <w:r>
        <w:rPr>
          <w:rFonts w:hint="eastAsia"/>
        </w:rPr>
        <w:t xml:space="preserve">各</w:t>
      </w:r>
      <w:r>
        <w:t xml:space="preserve">配套</w:t>
      </w:r>
      <w:r>
        <w:rPr>
          <w:rFonts w:hint="eastAsia"/>
        </w:rPr>
        <w:t xml:space="preserve">电磁式</w:t>
      </w:r>
      <w:r>
        <w:t xml:space="preserve">互感器/</w:t>
      </w:r>
      <w:r>
        <w:rPr>
          <w:rFonts w:hint="eastAsia"/>
        </w:rPr>
        <w:t xml:space="preserve">低功率互</w:t>
      </w:r>
      <w:r>
        <w:t xml:space="preserve">感器</w:t>
      </w:r>
      <w:r>
        <w:rPr>
          <w:rFonts w:hint="eastAsia"/>
        </w:rPr>
        <w:t xml:space="preserve">结构、接口及安装形式参考设计见附录G。</w:t>
      </w:r>
      <w:r/>
    </w:p>
    <w:p>
      <w:pPr>
        <w:pStyle w:val="1240"/>
        <w:rPr>
          <w:rFonts w:ascii="宋体" w:hAnsi="宋体" w:eastAsia="宋体" w:cs="宋体"/>
        </w:rPr>
        <w:outlineLvl w:val="2"/>
      </w:pPr>
      <w:r/>
      <w:bookmarkStart w:id="239" w:name="_Toc25022"/>
      <w:r/>
      <w:bookmarkStart w:id="240" w:name="_Toc26005"/>
      <w:r/>
      <w:bookmarkStart w:id="241" w:name="_Toc20330"/>
      <w:r>
        <w:rPr>
          <w:color w:val="000000"/>
        </w:rPr>
        <w:t xml:space="preserve">5</w:t>
      </w:r>
      <w:r>
        <w:rPr>
          <w:rFonts w:ascii="宋体" w:hAnsi="宋体" w:eastAsia="宋体" w:cs="宋体"/>
          <w:color w:val="000000"/>
        </w:rPr>
        <w:t xml:space="preserve">.</w:t>
      </w:r>
      <w:r>
        <w:rPr>
          <w:rFonts w:hint="eastAsia"/>
          <w:color w:val="000000"/>
        </w:rPr>
        <w:t xml:space="preserve">2.23</w:t>
      </w:r>
      <w:r>
        <w:rPr>
          <w:rFonts w:hint="eastAsia" w:ascii="宋体" w:hAnsi="宋体" w:eastAsia="宋体" w:cs="宋体"/>
          <w:color w:val="000000"/>
        </w:rPr>
        <w:t xml:space="preserve">一次设备二次回路技术</w:t>
      </w:r>
      <w:bookmarkEnd w:id="239"/>
      <w:r/>
      <w:bookmarkEnd w:id="240"/>
      <w:r/>
      <w:bookmarkEnd w:id="241"/>
      <w:r>
        <w:rPr>
          <w:rFonts w:hint="eastAsia" w:ascii="宋体" w:hAnsi="宋体" w:eastAsia="宋体" w:cs="宋体"/>
          <w:color w:val="000000"/>
        </w:rPr>
        <w:t xml:space="preserve">要求</w:t>
      </w:r>
      <w:r>
        <w:rPr>
          <w:rFonts w:ascii="宋体" w:hAnsi="宋体" w:eastAsia="宋体" w:cs="宋体"/>
        </w:rPr>
      </w:r>
      <w:r/>
    </w:p>
    <w:p>
      <w:pPr>
        <w:pStyle w:val="1151"/>
        <w:spacing w:line="312" w:lineRule="exact"/>
        <w:rPr>
          <w:rFonts w:ascii="宋体" w:hAnsi="宋体" w:eastAsia="黑体" w:cs="宋体"/>
          <w:sz w:val="24"/>
          <w:szCs w:val="21"/>
        </w:rPr>
        <w:outlineLvl w:val="3"/>
      </w:pPr>
      <w:r/>
      <w:bookmarkStart w:id="242" w:name="_Toc899"/>
      <w:r/>
      <w:bookmarkStart w:id="243" w:name="_Toc13367"/>
      <w:r>
        <w:rPr>
          <w:szCs w:val="21"/>
        </w:rPr>
        <w:t xml:space="preserve">5.</w:t>
      </w:r>
      <w:r>
        <w:rPr>
          <w:rFonts w:hint="eastAsia"/>
          <w:szCs w:val="21"/>
        </w:rPr>
        <w:t xml:space="preserve">2.23</w:t>
      </w:r>
      <w:r>
        <w:rPr>
          <w:szCs w:val="21"/>
        </w:rPr>
        <w:t xml:space="preserve">.1</w:t>
      </w:r>
      <w:r>
        <w:rPr>
          <w:rFonts w:hint="eastAsia" w:ascii="宋体" w:hAnsi="宋体" w:eastAsia="黑体" w:cs="宋体"/>
          <w:sz w:val="24"/>
          <w:szCs w:val="21"/>
        </w:rPr>
        <w:t xml:space="preserve">一般</w:t>
      </w:r>
      <w:bookmarkEnd w:id="242"/>
      <w:r/>
      <w:bookmarkEnd w:id="243"/>
      <w:r>
        <w:rPr>
          <w:rFonts w:hint="eastAsia" w:ascii="宋体" w:hAnsi="宋体" w:eastAsia="黑体" w:cs="宋体"/>
          <w:sz w:val="24"/>
          <w:szCs w:val="21"/>
        </w:rPr>
        <w:t xml:space="preserve">要求</w:t>
      </w:r>
      <w:r>
        <w:rPr>
          <w:rFonts w:ascii="宋体" w:hAnsi="宋体" w:eastAsia="黑体" w:cs="宋体"/>
          <w:sz w:val="24"/>
          <w:szCs w:val="21"/>
        </w:rPr>
      </w:r>
      <w:r/>
    </w:p>
    <w:p>
      <w:pPr>
        <w:pStyle w:val="1151"/>
        <w:ind w:firstLine="210"/>
        <w:rPr>
          <w:szCs w:val="21"/>
        </w:rPr>
      </w:pPr>
      <w:r>
        <w:rPr>
          <w:rFonts w:hint="eastAsia"/>
          <w:szCs w:val="21"/>
        </w:rPr>
        <w:t xml:space="preserve">（1）DTU操作功能与间隔柜二次回路操作功能融合，统一在一次间隔柜侧完成操作功能；</w:t>
      </w:r>
      <w:r>
        <w:rPr>
          <w:szCs w:val="21"/>
        </w:rPr>
      </w:r>
      <w:r/>
    </w:p>
    <w:p>
      <w:pPr>
        <w:pStyle w:val="1151"/>
        <w:ind w:left="210"/>
        <w:rPr>
          <w:szCs w:val="21"/>
        </w:rPr>
      </w:pPr>
      <w:r>
        <w:rPr>
          <w:rFonts w:hint="eastAsia"/>
          <w:szCs w:val="21"/>
        </w:rPr>
        <w:t xml:space="preserve">（2）一次间隔柜侧二次回路应具备操作回路防跳跃和自保持功能；</w:t>
      </w:r>
      <w:r>
        <w:rPr>
          <w:szCs w:val="21"/>
        </w:rPr>
      </w:r>
      <w:r/>
    </w:p>
    <w:p>
      <w:pPr>
        <w:pStyle w:val="1151"/>
        <w:ind w:left="210"/>
        <w:rPr>
          <w:szCs w:val="21"/>
        </w:rPr>
      </w:pPr>
      <w:r>
        <w:rPr>
          <w:rFonts w:hint="eastAsia"/>
          <w:szCs w:val="21"/>
        </w:rPr>
        <w:t xml:space="preserve">（3）PT柜二次回路和间隔柜二次回路采用模块化设计；</w:t>
      </w:r>
      <w:r>
        <w:rPr>
          <w:szCs w:val="21"/>
        </w:rPr>
      </w:r>
      <w:r/>
    </w:p>
    <w:p>
      <w:pPr>
        <w:pStyle w:val="1151"/>
        <w:ind w:firstLine="210"/>
        <w:rPr>
          <w:szCs w:val="21"/>
        </w:rPr>
      </w:pPr>
      <w:r>
        <w:rPr>
          <w:rFonts w:hint="eastAsia"/>
          <w:szCs w:val="21"/>
        </w:rPr>
        <w:t xml:space="preserve">（4）各模块之间采用矩形连接器连接，无裸露端子；</w:t>
      </w:r>
      <w:r>
        <w:rPr>
          <w:szCs w:val="21"/>
        </w:rPr>
      </w:r>
      <w:r/>
    </w:p>
    <w:p>
      <w:pPr>
        <w:pStyle w:val="1151"/>
        <w:ind w:firstLine="210"/>
        <w:rPr>
          <w:szCs w:val="21"/>
        </w:rPr>
      </w:pPr>
      <w:r>
        <w:rPr>
          <w:rFonts w:hint="eastAsia"/>
          <w:szCs w:val="21"/>
        </w:rPr>
        <w:t xml:space="preserve">（5）电磁式电流互感器相关连接器具备CT端子自短路功能，适应电磁式电流互感器防开路需求。</w:t>
      </w:r>
      <w:r>
        <w:rPr>
          <w:szCs w:val="21"/>
        </w:rPr>
      </w:r>
      <w:r/>
    </w:p>
    <w:p>
      <w:pPr>
        <w:pStyle w:val="1151"/>
        <w:spacing w:line="312" w:lineRule="exact"/>
        <w:rPr>
          <w:rFonts w:ascii="宋体" w:hAnsi="宋体" w:eastAsia="黑体" w:cs="宋体"/>
          <w:sz w:val="24"/>
          <w:szCs w:val="21"/>
        </w:rPr>
        <w:outlineLvl w:val="3"/>
      </w:pPr>
      <w:r/>
      <w:bookmarkStart w:id="244" w:name="_Toc17450"/>
      <w:r/>
      <w:bookmarkStart w:id="245" w:name="_Toc8389"/>
      <w:r>
        <w:rPr>
          <w:szCs w:val="21"/>
        </w:rPr>
        <w:t xml:space="preserve">5.</w:t>
      </w:r>
      <w:r>
        <w:rPr>
          <w:rFonts w:hint="eastAsia"/>
          <w:szCs w:val="21"/>
        </w:rPr>
        <w:t xml:space="preserve">2.23.2</w:t>
      </w:r>
      <w:r>
        <w:rPr>
          <w:rFonts w:hint="eastAsia" w:ascii="宋体" w:hAnsi="宋体" w:eastAsia="黑体" w:cs="宋体"/>
          <w:szCs w:val="21"/>
        </w:rPr>
        <w:t xml:space="preserve">二次回路模块技术</w:t>
      </w:r>
      <w:bookmarkEnd w:id="244"/>
      <w:r/>
      <w:bookmarkEnd w:id="245"/>
      <w:r>
        <w:rPr>
          <w:rFonts w:hint="eastAsia" w:ascii="宋体" w:hAnsi="宋体" w:eastAsia="黑体" w:cs="宋体"/>
          <w:szCs w:val="21"/>
        </w:rPr>
        <w:t xml:space="preserve">要求</w:t>
      </w:r>
      <w:r>
        <w:rPr>
          <w:rFonts w:ascii="宋体" w:hAnsi="宋体" w:eastAsia="黑体" w:cs="宋体"/>
          <w:sz w:val="24"/>
          <w:szCs w:val="21"/>
        </w:rPr>
      </w:r>
      <w:r/>
    </w:p>
    <w:p>
      <w:pPr>
        <w:pStyle w:val="1151"/>
        <w:ind w:firstLine="420"/>
        <w:rPr>
          <w:szCs w:val="21"/>
        </w:rPr>
      </w:pPr>
      <w:r>
        <w:rPr>
          <w:rFonts w:hint="eastAsia"/>
          <w:szCs w:val="21"/>
        </w:rPr>
        <w:t xml:space="preserve">PT柜二次模块、电压切换模块、间隔柜二次模块、间隔柜操作模块及配套连接器参考附录I。</w:t>
      </w:r>
      <w:r>
        <w:rPr>
          <w:szCs w:val="21"/>
        </w:rPr>
      </w:r>
      <w:r/>
    </w:p>
    <w:p>
      <w:pPr>
        <w:pStyle w:val="1151"/>
        <w:jc w:val="left"/>
        <w:spacing w:line="312" w:lineRule="exact"/>
        <w:outlineLvl w:val="2"/>
      </w:pPr>
      <w:r>
        <w:t xml:space="preserve">5.2.24</w:t>
      </w:r>
      <w:r>
        <w:rPr>
          <w:rFonts w:hint="eastAsia"/>
        </w:rPr>
        <w:t xml:space="preserve">操作机构设计要求</w:t>
      </w:r>
      <w:r/>
    </w:p>
    <w:p>
      <w:pPr>
        <w:pStyle w:val="1151"/>
        <w:ind w:firstLine="420"/>
        <w:jc w:val="left"/>
        <w:widowControl/>
        <w:rPr>
          <w:szCs w:val="21"/>
        </w:rPr>
      </w:pPr>
      <w:r>
        <w:rPr>
          <w:rFonts w:hint="eastAsia"/>
          <w:szCs w:val="21"/>
        </w:rPr>
        <w:t xml:space="preserve">1）</w:t>
      </w:r>
      <w:r>
        <w:rPr>
          <w:rFonts w:hint="eastAsia"/>
          <w:szCs w:val="21"/>
        </w:rPr>
        <w:tab/>
      </w:r>
      <w:r>
        <w:rPr>
          <w:rFonts w:hint="eastAsia"/>
          <w:szCs w:val="21"/>
        </w:rPr>
        <w:t xml:space="preserve">额定电压：DC 48V；</w:t>
      </w:r>
      <w:r>
        <w:rPr>
          <w:szCs w:val="21"/>
        </w:rPr>
      </w:r>
      <w:r/>
    </w:p>
    <w:p>
      <w:pPr>
        <w:pStyle w:val="1151"/>
        <w:ind w:firstLine="420"/>
        <w:jc w:val="left"/>
        <w:widowControl/>
        <w:rPr>
          <w:szCs w:val="21"/>
        </w:rPr>
      </w:pPr>
      <w:r>
        <w:rPr>
          <w:rFonts w:hint="eastAsia"/>
          <w:szCs w:val="21"/>
        </w:rPr>
        <w:t xml:space="preserve">2）</w:t>
      </w:r>
      <w:r>
        <w:rPr>
          <w:rFonts w:hint="eastAsia"/>
          <w:szCs w:val="21"/>
        </w:rPr>
        <w:tab/>
      </w:r>
      <w:r>
        <w:rPr>
          <w:rFonts w:hint="eastAsia"/>
          <w:szCs w:val="21"/>
        </w:rPr>
        <w:t xml:space="preserve">机械寿命：10000次；</w:t>
      </w:r>
      <w:r>
        <w:rPr>
          <w:szCs w:val="21"/>
        </w:rPr>
      </w:r>
      <w:r/>
    </w:p>
    <w:p>
      <w:pPr>
        <w:pStyle w:val="1151"/>
        <w:ind w:firstLine="420"/>
        <w:jc w:val="left"/>
        <w:widowControl/>
        <w:rPr>
          <w:szCs w:val="21"/>
        </w:rPr>
      </w:pPr>
      <w:r>
        <w:rPr>
          <w:rFonts w:hint="eastAsia"/>
          <w:szCs w:val="21"/>
        </w:rPr>
        <w:t xml:space="preserve">3）</w:t>
      </w:r>
      <w:r>
        <w:rPr>
          <w:rFonts w:hint="eastAsia"/>
          <w:szCs w:val="21"/>
        </w:rPr>
        <w:tab/>
      </w:r>
      <w:r>
        <w:rPr>
          <w:rFonts w:hint="eastAsia"/>
          <w:szCs w:val="21"/>
        </w:rPr>
        <w:t xml:space="preserve">电机储能额定功率：≤50 W；</w:t>
      </w:r>
      <w:r>
        <w:rPr>
          <w:szCs w:val="21"/>
        </w:rPr>
      </w:r>
      <w:r/>
    </w:p>
    <w:p>
      <w:pPr>
        <w:pStyle w:val="1151"/>
        <w:ind w:firstLine="420"/>
        <w:jc w:val="left"/>
        <w:widowControl/>
        <w:rPr>
          <w:szCs w:val="21"/>
        </w:rPr>
      </w:pPr>
      <w:r>
        <w:rPr>
          <w:rFonts w:hint="eastAsia"/>
          <w:szCs w:val="21"/>
        </w:rPr>
        <w:t xml:space="preserve">4）</w:t>
      </w:r>
      <w:r>
        <w:rPr>
          <w:rFonts w:hint="eastAsia"/>
          <w:szCs w:val="21"/>
        </w:rPr>
        <w:tab/>
      </w:r>
      <w:r>
        <w:rPr>
          <w:rFonts w:hint="eastAsia"/>
          <w:szCs w:val="21"/>
        </w:rPr>
        <w:t xml:space="preserve">储能时间：≤15s；</w:t>
      </w:r>
      <w:r>
        <w:rPr>
          <w:szCs w:val="21"/>
        </w:rPr>
      </w:r>
      <w:r/>
    </w:p>
    <w:p>
      <w:pPr>
        <w:pStyle w:val="1151"/>
        <w:ind w:firstLine="420"/>
        <w:jc w:val="left"/>
        <w:widowControl/>
        <w:rPr>
          <w:szCs w:val="21"/>
        </w:rPr>
      </w:pPr>
      <w:r>
        <w:rPr>
          <w:rFonts w:hint="eastAsia"/>
          <w:szCs w:val="21"/>
        </w:rPr>
        <w:t xml:space="preserve">5）</w:t>
      </w:r>
      <w:r>
        <w:rPr>
          <w:rFonts w:hint="eastAsia"/>
          <w:szCs w:val="21"/>
        </w:rPr>
        <w:tab/>
      </w:r>
      <w:r>
        <w:rPr>
          <w:rFonts w:hint="eastAsia"/>
          <w:szCs w:val="21"/>
        </w:rPr>
        <w:t xml:space="preserve">合闸时间（85-110%额定操作电压）：≤60 ms；</w:t>
      </w:r>
      <w:r>
        <w:rPr>
          <w:szCs w:val="21"/>
        </w:rPr>
      </w:r>
      <w:r/>
    </w:p>
    <w:p>
      <w:pPr>
        <w:pStyle w:val="1151"/>
        <w:ind w:firstLine="420"/>
        <w:rPr>
          <w:szCs w:val="21"/>
        </w:rPr>
      </w:pPr>
      <w:r>
        <w:rPr>
          <w:rFonts w:hint="eastAsia"/>
          <w:szCs w:val="21"/>
        </w:rPr>
        <w:t xml:space="preserve">6）</w:t>
      </w:r>
      <w:r>
        <w:rPr>
          <w:rFonts w:hint="eastAsia"/>
          <w:szCs w:val="21"/>
        </w:rPr>
        <w:tab/>
      </w:r>
      <w:r>
        <w:rPr>
          <w:rFonts w:hint="eastAsia"/>
          <w:szCs w:val="21"/>
        </w:rPr>
        <w:t xml:space="preserve">分闸时间（65-110%额定操作电压）：≤40 ms。</w:t>
      </w:r>
      <w:r>
        <w:rPr>
          <w:szCs w:val="21"/>
        </w:rPr>
      </w:r>
      <w:r/>
    </w:p>
    <w:p>
      <w:pPr>
        <w:pStyle w:val="1240"/>
        <w:rPr>
          <w:color w:val="000000"/>
        </w:rPr>
        <w:outlineLvl w:val="1"/>
      </w:pPr>
      <w:r/>
      <w:bookmarkEnd w:id="227"/>
      <w:r/>
      <w:bookmarkStart w:id="246" w:name="_Hlk55912271"/>
      <w:r>
        <w:rPr>
          <w:color w:val="000000"/>
        </w:rPr>
        <w:t xml:space="preserve">5.3 </w:t>
      </w:r>
      <w:r>
        <w:rPr>
          <w:rFonts w:hint="eastAsia"/>
          <w:color w:val="000000"/>
        </w:rPr>
        <w:t xml:space="preserve">配电自动化终端</w:t>
      </w:r>
      <w:r>
        <w:rPr>
          <w:color w:val="000000"/>
        </w:rPr>
        <w:t xml:space="preserve">技术</w:t>
      </w:r>
      <w:r>
        <w:rPr>
          <w:rFonts w:hint="eastAsia"/>
          <w:color w:val="000000"/>
        </w:rPr>
        <w:t xml:space="preserve">要求</w:t>
      </w:r>
      <w:r>
        <w:rPr>
          <w:color w:val="000000"/>
        </w:rPr>
      </w:r>
      <w:r/>
    </w:p>
    <w:p>
      <w:pPr>
        <w:pStyle w:val="1151"/>
        <w:spacing w:line="312" w:lineRule="exact"/>
        <w:rPr>
          <w:rFonts w:eastAsia="黑体"/>
          <w:szCs w:val="21"/>
        </w:rPr>
        <w:outlineLvl w:val="2"/>
      </w:pPr>
      <w:r>
        <w:rPr>
          <w:rFonts w:eastAsia="黑体"/>
          <w:szCs w:val="21"/>
        </w:rPr>
        <w:t xml:space="preserve">5.</w:t>
      </w:r>
      <w:r>
        <w:rPr>
          <w:rFonts w:hint="eastAsia" w:eastAsia="黑体"/>
          <w:szCs w:val="21"/>
        </w:rPr>
        <w:t xml:space="preserve">3</w:t>
      </w:r>
      <w:r>
        <w:rPr>
          <w:rFonts w:eastAsia="黑体"/>
          <w:szCs w:val="21"/>
        </w:rPr>
        <w:t xml:space="preserve">.1 </w:t>
      </w:r>
      <w:r>
        <w:rPr>
          <w:rFonts w:hint="eastAsia" w:eastAsia="黑体"/>
          <w:szCs w:val="21"/>
        </w:rPr>
        <w:t xml:space="preserve">总体要求</w:t>
      </w:r>
      <w:r>
        <w:rPr>
          <w:rFonts w:eastAsia="黑体"/>
          <w:szCs w:val="21"/>
        </w:rPr>
      </w:r>
      <w:r/>
    </w:p>
    <w:p>
      <w:pPr>
        <w:pStyle w:val="1151"/>
        <w:numPr>
          <w:ilvl w:val="0"/>
          <w:numId w:val="13"/>
        </w:numPr>
        <w:ind w:left="420"/>
        <w:spacing w:line="312" w:lineRule="exact"/>
        <w:rPr>
          <w:rFonts w:ascii="宋体" w:hAnsi="宋体"/>
        </w:rPr>
      </w:pPr>
      <w:r>
        <w:rPr>
          <w:rFonts w:hint="eastAsia" w:ascii="宋体" w:hAnsi="宋体"/>
        </w:rPr>
        <w:t xml:space="preserve">集中式站所终端（以下简称终端）采用模块化可扩展设计，由核心单元、电源模块和电池组构成；各模块采取标准化设计；模块直接通过标准化线束连接；终端结构和内部组成应符合附录</w:t>
      </w:r>
      <w:r>
        <w:rPr>
          <w:rFonts w:ascii="宋体" w:hAnsi="宋体"/>
        </w:rPr>
        <w:t xml:space="preserve">B</w:t>
      </w:r>
      <w:r>
        <w:rPr>
          <w:rFonts w:hint="eastAsia" w:ascii="宋体" w:hAnsi="宋体"/>
        </w:rPr>
        <w:t xml:space="preserve">的要求；核心单元采用集中式组屏安装型式，外形结构应符合附录</w:t>
      </w:r>
      <w:r>
        <w:rPr>
          <w:rFonts w:ascii="宋体" w:hAnsi="宋体"/>
        </w:rPr>
        <w:t xml:space="preserve">B</w:t>
      </w:r>
      <w:r>
        <w:rPr>
          <w:rFonts w:hint="eastAsia" w:ascii="宋体" w:hAnsi="宋体"/>
        </w:rPr>
        <w:t xml:space="preserve">的要求；终端与一次设备连接采用矩形连接器形式，终端模块之间连接采用矩形连接器方式，矩形连接器应符合附录</w:t>
      </w:r>
      <w:r>
        <w:rPr>
          <w:rFonts w:ascii="宋体" w:hAnsi="宋体"/>
        </w:rPr>
        <w:t xml:space="preserve">D</w:t>
      </w:r>
      <w:r>
        <w:rPr>
          <w:rFonts w:hint="eastAsia" w:ascii="宋体" w:hAnsi="宋体"/>
        </w:rPr>
        <w:t xml:space="preserve">的要求；模块之间标准化连接电缆应符合附录</w:t>
      </w:r>
      <w:r>
        <w:rPr>
          <w:rFonts w:ascii="宋体" w:hAnsi="宋体"/>
        </w:rPr>
        <w:t xml:space="preserve">D</w:t>
      </w:r>
      <w:r>
        <w:rPr>
          <w:rFonts w:hint="eastAsia" w:ascii="宋体" w:hAnsi="宋体"/>
        </w:rPr>
        <w:t xml:space="preserve">的要求；电源模块的结构和功能应满足附录</w:t>
      </w:r>
      <w:r>
        <w:rPr>
          <w:rFonts w:ascii="宋体" w:hAnsi="宋体"/>
        </w:rPr>
        <w:t xml:space="preserve">F</w:t>
      </w:r>
      <w:r>
        <w:rPr>
          <w:rFonts w:hint="eastAsia" w:ascii="宋体" w:hAnsi="宋体"/>
        </w:rPr>
        <w:t xml:space="preserve">的要求。</w:t>
      </w:r>
      <w:r>
        <w:rPr>
          <w:rFonts w:ascii="宋体" w:hAnsi="宋体"/>
        </w:rPr>
      </w:r>
      <w:r/>
    </w:p>
    <w:p>
      <w:pPr>
        <w:pStyle w:val="1151"/>
        <w:numPr>
          <w:ilvl w:val="0"/>
          <w:numId w:val="13"/>
        </w:numPr>
        <w:ind w:left="420"/>
        <w:spacing w:line="312" w:lineRule="exact"/>
        <w:rPr>
          <w:rFonts w:ascii="宋体" w:hAnsi="宋体"/>
        </w:rPr>
      </w:pPr>
      <w:r>
        <w:rPr>
          <w:rFonts w:hint="eastAsia" w:ascii="宋体" w:hAnsi="宋体"/>
        </w:rPr>
        <w:t xml:space="preserve">终端具备</w:t>
      </w:r>
      <w:r>
        <w:rPr>
          <w:rFonts w:ascii="宋体" w:hAnsi="宋体"/>
        </w:rPr>
        <w:t xml:space="preserve">数据采集、</w:t>
      </w:r>
      <w:r>
        <w:rPr>
          <w:rFonts w:hint="eastAsia" w:ascii="宋体" w:hAnsi="宋体"/>
        </w:rPr>
        <w:t xml:space="preserve">远程</w:t>
      </w:r>
      <w:r>
        <w:rPr>
          <w:rFonts w:ascii="宋体" w:hAnsi="宋体"/>
        </w:rPr>
        <w:t xml:space="preserve">控制、</w:t>
      </w:r>
      <w:r>
        <w:rPr>
          <w:rFonts w:hint="eastAsia" w:ascii="宋体" w:hAnsi="宋体"/>
        </w:rPr>
        <w:t xml:space="preserve">故障就地动作，线损测量、</w:t>
      </w:r>
      <w:r>
        <w:rPr>
          <w:rFonts w:ascii="宋体" w:hAnsi="宋体"/>
        </w:rPr>
        <w:t xml:space="preserve">通信等功能</w:t>
      </w:r>
      <w:r>
        <w:rPr>
          <w:rFonts w:hint="eastAsia" w:ascii="宋体" w:hAnsi="宋体"/>
        </w:rPr>
        <w:t xml:space="preserve">，同时具备接收当地一次设备状态监测数据并分析处理能力。</w:t>
      </w:r>
      <w:r>
        <w:rPr>
          <w:rFonts w:ascii="宋体" w:hAnsi="宋体"/>
        </w:rPr>
      </w:r>
      <w:r/>
    </w:p>
    <w:p>
      <w:pPr>
        <w:pStyle w:val="1151"/>
        <w:numPr>
          <w:ilvl w:val="0"/>
          <w:numId w:val="13"/>
        </w:numPr>
        <w:ind w:left="420"/>
        <w:spacing w:line="312" w:lineRule="exact"/>
        <w:rPr>
          <w:rFonts w:ascii="宋体" w:hAnsi="宋体"/>
        </w:rPr>
      </w:pPr>
      <w:r>
        <w:rPr>
          <w:rFonts w:hint="eastAsia" w:ascii="宋体" w:hAnsi="宋体"/>
        </w:rPr>
        <w:t xml:space="preserve">终端与主站通信的数据传输规约应采用符合</w:t>
      </w:r>
      <w:r>
        <w:rPr>
          <w:rFonts w:ascii="宋体" w:hAnsi="宋体"/>
        </w:rPr>
        <w:t xml:space="preserve">DL/T 634</w:t>
      </w:r>
      <w:r>
        <w:rPr>
          <w:rFonts w:hint="eastAsia" w:ascii="宋体" w:hAnsi="宋体"/>
        </w:rPr>
        <w:t xml:space="preserve">标准的</w:t>
      </w:r>
      <w:r>
        <w:rPr>
          <w:rFonts w:ascii="宋体" w:hAnsi="宋体"/>
        </w:rPr>
        <w:t xml:space="preserve">104</w:t>
      </w:r>
      <w:r>
        <w:rPr>
          <w:rFonts w:hint="eastAsia" w:ascii="宋体" w:hAnsi="宋体"/>
        </w:rPr>
        <w:t xml:space="preserve">通信规约。</w:t>
      </w:r>
      <w:r>
        <w:rPr>
          <w:rFonts w:ascii="宋体" w:hAnsi="宋体"/>
        </w:rPr>
      </w:r>
      <w:r/>
    </w:p>
    <w:p>
      <w:pPr>
        <w:pStyle w:val="1151"/>
        <w:numPr>
          <w:ilvl w:val="0"/>
          <w:numId w:val="13"/>
        </w:numPr>
        <w:ind w:left="420"/>
        <w:spacing w:line="312" w:lineRule="exact"/>
        <w:rPr>
          <w:rFonts w:ascii="宋体" w:hAnsi="宋体"/>
        </w:rPr>
      </w:pPr>
      <w:r>
        <w:rPr>
          <w:rFonts w:hint="eastAsia" w:ascii="宋体" w:hAnsi="宋体"/>
        </w:rPr>
        <w:t xml:space="preserve">终端应支持内嵌国密算法的安全芯片，实现终端与主站之间的数据交互的完整性、机密性、可用性保护，并实现对本地存储数据的机密性、完整性保护。安全芯片应满足附录</w:t>
      </w:r>
      <w:r>
        <w:rPr>
          <w:rFonts w:ascii="宋体" w:hAnsi="宋体"/>
        </w:rPr>
        <w:t xml:space="preserve">C</w:t>
      </w:r>
      <w:r>
        <w:rPr>
          <w:rFonts w:hint="eastAsia" w:ascii="宋体" w:hAnsi="宋体"/>
        </w:rPr>
        <w:t xml:space="preserve">的要求。</w:t>
      </w:r>
      <w:r>
        <w:rPr>
          <w:rFonts w:ascii="宋体" w:hAnsi="宋体"/>
        </w:rPr>
      </w:r>
      <w:r/>
    </w:p>
    <w:p>
      <w:pPr>
        <w:pStyle w:val="1151"/>
        <w:spacing w:line="312" w:lineRule="exact"/>
        <w:rPr>
          <w:rFonts w:eastAsia="黑体"/>
          <w:szCs w:val="21"/>
        </w:rPr>
        <w:outlineLvl w:val="2"/>
      </w:pPr>
      <w:r/>
      <w:bookmarkStart w:id="247" w:name="_Toc35713621"/>
      <w:r>
        <w:rPr>
          <w:rFonts w:eastAsia="黑体"/>
          <w:szCs w:val="21"/>
        </w:rPr>
        <w:t xml:space="preserve">5.</w:t>
      </w:r>
      <w:r>
        <w:rPr>
          <w:rFonts w:hint="eastAsia" w:eastAsia="黑体"/>
          <w:szCs w:val="21"/>
        </w:rPr>
        <w:t xml:space="preserve">3</w:t>
      </w:r>
      <w:r>
        <w:rPr>
          <w:rFonts w:eastAsia="黑体"/>
          <w:szCs w:val="21"/>
        </w:rPr>
        <w:t xml:space="preserve">.2 </w:t>
      </w:r>
      <w:r>
        <w:rPr>
          <w:rFonts w:hint="eastAsia" w:eastAsia="黑体"/>
          <w:szCs w:val="21"/>
        </w:rPr>
        <w:t xml:space="preserve">环境条件</w:t>
      </w:r>
      <w:r>
        <w:rPr>
          <w:rFonts w:eastAsia="黑体"/>
          <w:szCs w:val="21"/>
        </w:rPr>
      </w:r>
      <w:r/>
    </w:p>
    <w:p>
      <w:pPr>
        <w:pStyle w:val="1151"/>
      </w:pPr>
      <w:r/>
      <w:bookmarkEnd w:id="247"/>
      <w:r>
        <w:rPr>
          <w:rFonts w:hint="eastAsia"/>
        </w:rPr>
        <w:t xml:space="preserve">5.3.2.1环境温度、湿度</w:t>
      </w:r>
      <w:r/>
    </w:p>
    <w:p>
      <w:pPr>
        <w:pStyle w:val="1245"/>
        <w:ind w:firstLine="420"/>
        <w:rPr>
          <w:rStyle w:val="1246"/>
          <w:rFonts w:hAnsi="宋体"/>
        </w:rPr>
      </w:pPr>
      <w:r>
        <w:rPr>
          <w:rStyle w:val="1246"/>
          <w:rFonts w:hint="eastAsia" w:hAnsi="宋体"/>
        </w:rPr>
        <w:t xml:space="preserve">对于户外DTU必须符合C3级别要求；对于室内屏柜DTU必须符合C2级别要求。工作场所环境温度和湿度分级</w:t>
      </w:r>
      <w:r>
        <w:rPr>
          <w:rStyle w:val="1246"/>
          <w:rFonts w:hAnsi="宋体"/>
        </w:rPr>
        <w:t xml:space="preserve">见表</w:t>
      </w:r>
      <w:r>
        <w:rPr>
          <w:rStyle w:val="1246"/>
          <w:rFonts w:hint="eastAsia" w:hAnsi="宋体"/>
        </w:rPr>
        <w:t xml:space="preserve">8</w:t>
      </w:r>
      <w:r>
        <w:rPr>
          <w:rStyle w:val="1246"/>
          <w:rFonts w:hAnsi="宋体"/>
        </w:rPr>
        <w:t xml:space="preserve">。</w:t>
      </w:r>
      <w:r>
        <w:rPr>
          <w:rStyle w:val="1246"/>
          <w:rFonts w:hAnsi="宋体"/>
        </w:rPr>
      </w:r>
      <w:r/>
    </w:p>
    <w:p>
      <w:pPr>
        <w:pStyle w:val="1151"/>
        <w:ind w:firstLine="420"/>
        <w:jc w:val="center"/>
        <w:spacing w:line="312" w:lineRule="exact"/>
        <w:rPr>
          <w:rFonts w:ascii="宋体" w:hAnsi="宋体"/>
        </w:rPr>
      </w:pPr>
      <w:r>
        <w:rPr>
          <w:rFonts w:hint="eastAsia" w:ascii="宋体" w:hAnsi="宋体"/>
        </w:rPr>
        <w:t xml:space="preserve">表8 工作场所环境温度和湿度分级</w:t>
      </w:r>
      <w:r>
        <w:rPr>
          <w:rFonts w:ascii="宋体" w:hAnsi="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1800"/>
        <w:gridCol w:w="1440"/>
        <w:gridCol w:w="1260"/>
        <w:gridCol w:w="1440"/>
        <w:gridCol w:w="1800"/>
      </w:tblGrid>
      <w:tr>
        <w:trPr>
          <w:cantSplit/>
          <w:trHeight w:val="397"/>
        </w:trPr>
        <w:tc>
          <w:tcPr>
            <w:tcW w:w="1008" w:type="dxa"/>
            <w:vAlign w:val="center"/>
            <w:vMerge w:val="restart"/>
            <w:textDirection w:val="lrTb"/>
            <w:noWrap w:val="false"/>
          </w:tcPr>
          <w:p>
            <w:pPr>
              <w:pStyle w:val="1151"/>
              <w:jc w:val="center"/>
              <w:spacing w:line="312" w:lineRule="exact"/>
              <w:rPr>
                <w:rFonts w:ascii="宋体" w:hAnsi="宋体"/>
              </w:rPr>
            </w:pPr>
            <w:r>
              <w:rPr>
                <w:rFonts w:ascii="宋体" w:hAnsi="宋体"/>
              </w:rPr>
              <w:t xml:space="preserve">级别</w:t>
            </w:r>
            <w:r>
              <w:rPr>
                <w:rFonts w:ascii="宋体" w:hAnsi="宋体"/>
              </w:rPr>
            </w:r>
            <w:r/>
          </w:p>
        </w:tc>
        <w:tc>
          <w:tcPr>
            <w:gridSpan w:val="2"/>
            <w:tcW w:w="3240" w:type="dxa"/>
            <w:vAlign w:val="center"/>
            <w:textDirection w:val="lrTb"/>
            <w:noWrap w:val="false"/>
          </w:tcPr>
          <w:p>
            <w:pPr>
              <w:pStyle w:val="1151"/>
              <w:jc w:val="center"/>
              <w:spacing w:line="312" w:lineRule="exact"/>
              <w:rPr>
                <w:rFonts w:ascii="宋体" w:hAnsi="宋体"/>
              </w:rPr>
            </w:pPr>
            <w:r>
              <w:rPr>
                <w:rFonts w:ascii="宋体" w:hAnsi="宋体"/>
              </w:rPr>
              <w:t xml:space="preserve">环境温度</w:t>
            </w:r>
            <w:r>
              <w:rPr>
                <w:rFonts w:ascii="宋体" w:hAnsi="宋体"/>
              </w:rPr>
            </w:r>
            <w:r/>
          </w:p>
        </w:tc>
        <w:tc>
          <w:tcPr>
            <w:gridSpan w:val="2"/>
            <w:tcW w:w="2700" w:type="dxa"/>
            <w:vAlign w:val="center"/>
            <w:textDirection w:val="lrTb"/>
            <w:noWrap w:val="false"/>
          </w:tcPr>
          <w:p>
            <w:pPr>
              <w:pStyle w:val="1151"/>
              <w:jc w:val="center"/>
              <w:spacing w:line="312" w:lineRule="exact"/>
              <w:rPr>
                <w:rFonts w:ascii="宋体" w:hAnsi="宋体"/>
              </w:rPr>
            </w:pPr>
            <w:r>
              <w:rPr>
                <w:rFonts w:ascii="宋体" w:hAnsi="宋体"/>
              </w:rPr>
              <w:t xml:space="preserve">湿度</w:t>
            </w:r>
            <w:r>
              <w:rPr>
                <w:rFonts w:ascii="宋体" w:hAnsi="宋体"/>
              </w:rPr>
            </w:r>
            <w:r/>
          </w:p>
        </w:tc>
        <w:tc>
          <w:tcPr>
            <w:tcW w:w="1800" w:type="dxa"/>
            <w:vAlign w:val="center"/>
            <w:vMerge w:val="restart"/>
            <w:textDirection w:val="lrTb"/>
            <w:noWrap w:val="false"/>
          </w:tcPr>
          <w:p>
            <w:pPr>
              <w:pStyle w:val="1151"/>
              <w:jc w:val="center"/>
              <w:spacing w:line="312" w:lineRule="exact"/>
              <w:rPr>
                <w:rFonts w:ascii="宋体" w:hAnsi="宋体"/>
              </w:rPr>
            </w:pPr>
            <w:r>
              <w:rPr>
                <w:rFonts w:ascii="宋体" w:hAnsi="宋体"/>
              </w:rPr>
              <w:t xml:space="preserve">使用场所</w:t>
            </w:r>
            <w:r>
              <w:rPr>
                <w:rFonts w:ascii="宋体" w:hAnsi="宋体"/>
              </w:rPr>
            </w:r>
            <w:r/>
          </w:p>
        </w:tc>
      </w:tr>
      <w:tr>
        <w:trPr>
          <w:cantSplit/>
          <w:trHeight w:val="696"/>
        </w:trPr>
        <w:tc>
          <w:tcPr>
            <w:tcW w:w="1008" w:type="dxa"/>
            <w:vAlign w:val="center"/>
            <w:vMerge w:val="continue"/>
            <w:textDirection w:val="lrTb"/>
            <w:noWrap w:val="false"/>
          </w:tcPr>
          <w:p>
            <w:pPr>
              <w:pStyle w:val="1151"/>
              <w:jc w:val="center"/>
              <w:spacing w:line="312" w:lineRule="exact"/>
              <w:rPr>
                <w:rFonts w:ascii="宋体" w:hAnsi="宋体"/>
              </w:rPr>
            </w:pPr>
            <w:r>
              <w:rPr>
                <w:rFonts w:ascii="宋体" w:hAnsi="宋体"/>
              </w:rPr>
            </w:r>
            <w:r/>
          </w:p>
        </w:tc>
        <w:tc>
          <w:tcPr>
            <w:tcW w:w="1800" w:type="dxa"/>
            <w:vAlign w:val="center"/>
            <w:textDirection w:val="lrTb"/>
            <w:noWrap w:val="false"/>
          </w:tcPr>
          <w:p>
            <w:pPr>
              <w:pStyle w:val="1151"/>
              <w:jc w:val="center"/>
              <w:spacing w:line="312" w:lineRule="exact"/>
              <w:rPr>
                <w:rFonts w:ascii="宋体" w:hAnsi="宋体"/>
              </w:rPr>
            </w:pPr>
            <w:r>
              <w:rPr>
                <w:rFonts w:ascii="宋体" w:hAnsi="宋体"/>
              </w:rPr>
              <w:t xml:space="preserve">范围℃</w:t>
            </w:r>
            <w:r>
              <w:rPr>
                <w:rFonts w:ascii="宋体" w:hAnsi="宋体"/>
              </w:rPr>
            </w:r>
            <w:r/>
          </w:p>
        </w:tc>
        <w:tc>
          <w:tcPr>
            <w:tcW w:w="1440" w:type="dxa"/>
            <w:vAlign w:val="center"/>
            <w:textDirection w:val="lrTb"/>
            <w:noWrap w:val="false"/>
          </w:tcPr>
          <w:p>
            <w:pPr>
              <w:pStyle w:val="1151"/>
              <w:jc w:val="center"/>
              <w:spacing w:line="312" w:lineRule="exact"/>
              <w:rPr>
                <w:rFonts w:ascii="宋体" w:hAnsi="宋体"/>
              </w:rPr>
            </w:pPr>
            <w:r>
              <w:rPr>
                <w:rFonts w:ascii="宋体" w:hAnsi="宋体"/>
              </w:rPr>
              <w:t xml:space="preserve">最大变化率</w:t>
            </w:r>
            <w:r>
              <w:rPr>
                <w:rFonts w:ascii="宋体" w:hAnsi="宋体"/>
              </w:rPr>
            </w:r>
            <w:r/>
          </w:p>
          <w:p>
            <w:pPr>
              <w:pStyle w:val="1151"/>
              <w:jc w:val="center"/>
              <w:spacing w:line="312" w:lineRule="exact"/>
              <w:rPr>
                <w:rFonts w:ascii="宋体" w:hAnsi="宋体"/>
              </w:rPr>
            </w:pPr>
            <w:r>
              <w:rPr>
                <w:rFonts w:ascii="宋体" w:hAnsi="宋体"/>
              </w:rPr>
              <w:t xml:space="preserve">℃／min</w:t>
            </w:r>
            <w:r>
              <w:rPr>
                <w:rFonts w:ascii="宋体" w:hAnsi="宋体"/>
              </w:rPr>
            </w:r>
            <w:r/>
          </w:p>
        </w:tc>
        <w:tc>
          <w:tcPr>
            <w:tcW w:w="1260" w:type="dxa"/>
            <w:vAlign w:val="center"/>
            <w:textDirection w:val="lrTb"/>
            <w:noWrap w:val="false"/>
          </w:tcPr>
          <w:p>
            <w:pPr>
              <w:pStyle w:val="1151"/>
              <w:jc w:val="center"/>
              <w:spacing w:line="312" w:lineRule="exact"/>
              <w:rPr>
                <w:rFonts w:ascii="宋体" w:hAnsi="宋体"/>
              </w:rPr>
            </w:pPr>
            <w:r>
              <w:rPr>
                <w:rFonts w:ascii="宋体" w:hAnsi="宋体"/>
              </w:rPr>
              <w:t xml:space="preserve">相对湿度</w:t>
            </w:r>
            <w:r>
              <w:rPr>
                <w:rFonts w:ascii="宋体" w:hAnsi="宋体"/>
              </w:rPr>
            </w:r>
            <w:r/>
          </w:p>
          <w:p>
            <w:pPr>
              <w:pStyle w:val="1151"/>
              <w:jc w:val="center"/>
              <w:spacing w:line="312" w:lineRule="exact"/>
              <w:rPr>
                <w:rFonts w:ascii="宋体" w:hAnsi="宋体"/>
              </w:rPr>
            </w:pPr>
            <w:r>
              <w:rPr>
                <w:rFonts w:ascii="宋体" w:hAnsi="宋体"/>
              </w:rPr>
              <w:t xml:space="preserve">%</w:t>
            </w:r>
            <w:r>
              <w:rPr>
                <w:rFonts w:ascii="宋体" w:hAnsi="宋体"/>
              </w:rPr>
            </w:r>
            <w:r/>
          </w:p>
        </w:tc>
        <w:tc>
          <w:tcPr>
            <w:tcW w:w="1440" w:type="dxa"/>
            <w:vAlign w:val="center"/>
            <w:textDirection w:val="lrTb"/>
            <w:noWrap w:val="false"/>
          </w:tcPr>
          <w:p>
            <w:pPr>
              <w:pStyle w:val="1151"/>
              <w:jc w:val="center"/>
              <w:spacing w:line="312" w:lineRule="exact"/>
              <w:rPr>
                <w:rFonts w:ascii="宋体" w:hAnsi="宋体"/>
              </w:rPr>
            </w:pPr>
            <w:r>
              <w:rPr>
                <w:rFonts w:ascii="宋体" w:hAnsi="宋体"/>
              </w:rPr>
              <w:t xml:space="preserve">最大绝对湿度g/m3</w:t>
            </w:r>
            <w:r>
              <w:rPr>
                <w:rFonts w:ascii="宋体" w:hAnsi="宋体"/>
              </w:rPr>
            </w:r>
            <w:r/>
          </w:p>
        </w:tc>
        <w:tc>
          <w:tcPr>
            <w:tcW w:w="1800" w:type="dxa"/>
            <w:vAlign w:val="center"/>
            <w:vMerge w:val="continue"/>
            <w:textDirection w:val="lrTb"/>
            <w:noWrap w:val="false"/>
          </w:tcPr>
          <w:p>
            <w:pPr>
              <w:pStyle w:val="1151"/>
              <w:jc w:val="center"/>
              <w:spacing w:line="312" w:lineRule="exact"/>
              <w:rPr>
                <w:rFonts w:ascii="宋体" w:hAnsi="宋体"/>
              </w:rPr>
            </w:pPr>
            <w:r>
              <w:rPr>
                <w:rFonts w:ascii="宋体" w:hAnsi="宋体"/>
              </w:rPr>
            </w:r>
            <w:r/>
          </w:p>
        </w:tc>
      </w:tr>
      <w:tr>
        <w:trPr>
          <w:cantSplit/>
          <w:trHeight w:val="397"/>
        </w:trPr>
        <w:tc>
          <w:tcPr>
            <w:tcW w:w="1008" w:type="dxa"/>
            <w:vAlign w:val="center"/>
            <w:textDirection w:val="lrTb"/>
            <w:noWrap w:val="false"/>
          </w:tcPr>
          <w:p>
            <w:pPr>
              <w:pStyle w:val="1151"/>
              <w:jc w:val="center"/>
              <w:spacing w:line="312" w:lineRule="exact"/>
              <w:rPr>
                <w:rFonts w:ascii="宋体" w:hAnsi="宋体"/>
              </w:rPr>
            </w:pPr>
            <w:r>
              <w:rPr>
                <w:rFonts w:ascii="宋体" w:hAnsi="宋体"/>
              </w:rPr>
              <w:t xml:space="preserve">C1</w:t>
            </w:r>
            <w:r>
              <w:rPr>
                <w:rFonts w:ascii="宋体" w:hAnsi="宋体"/>
              </w:rPr>
            </w:r>
            <w:r/>
          </w:p>
        </w:tc>
        <w:tc>
          <w:tcPr>
            <w:tcW w:w="1800" w:type="dxa"/>
            <w:vAlign w:val="center"/>
            <w:textDirection w:val="lrTb"/>
            <w:noWrap w:val="false"/>
          </w:tcPr>
          <w:p>
            <w:pPr>
              <w:pStyle w:val="1151"/>
              <w:jc w:val="center"/>
              <w:spacing w:line="312" w:lineRule="exact"/>
              <w:rPr>
                <w:rFonts w:ascii="宋体" w:hAnsi="宋体"/>
              </w:rPr>
            </w:pPr>
            <w:r>
              <w:rPr>
                <w:rFonts w:ascii="宋体" w:hAnsi="宋体"/>
              </w:rPr>
              <w:t xml:space="preserve">－5～＋45</w:t>
            </w:r>
            <w:r>
              <w:rPr>
                <w:rFonts w:ascii="宋体" w:hAnsi="宋体"/>
              </w:rPr>
            </w:r>
            <w:r/>
          </w:p>
        </w:tc>
        <w:tc>
          <w:tcPr>
            <w:tcW w:w="1440" w:type="dxa"/>
            <w:vAlign w:val="center"/>
            <w:textDirection w:val="lrTb"/>
            <w:noWrap w:val="false"/>
          </w:tcPr>
          <w:p>
            <w:pPr>
              <w:pStyle w:val="1151"/>
              <w:jc w:val="center"/>
              <w:spacing w:line="312" w:lineRule="exact"/>
              <w:rPr>
                <w:rFonts w:ascii="宋体" w:hAnsi="宋体"/>
              </w:rPr>
            </w:pPr>
            <w:r>
              <w:rPr>
                <w:rFonts w:ascii="宋体" w:hAnsi="宋体"/>
              </w:rPr>
              <w:t xml:space="preserve">0.5</w:t>
            </w:r>
            <w:r>
              <w:rPr>
                <w:rFonts w:ascii="宋体" w:hAnsi="宋体"/>
              </w:rPr>
            </w:r>
            <w:r/>
          </w:p>
        </w:tc>
        <w:tc>
          <w:tcPr>
            <w:tcW w:w="1260" w:type="dxa"/>
            <w:vAlign w:val="center"/>
            <w:textDirection w:val="lrTb"/>
            <w:noWrap w:val="false"/>
          </w:tcPr>
          <w:p>
            <w:pPr>
              <w:pStyle w:val="1151"/>
              <w:jc w:val="center"/>
              <w:spacing w:line="312" w:lineRule="exact"/>
              <w:rPr>
                <w:rFonts w:ascii="宋体" w:hAnsi="宋体"/>
              </w:rPr>
            </w:pPr>
            <w:r>
              <w:rPr>
                <w:rFonts w:ascii="宋体" w:hAnsi="宋体"/>
              </w:rPr>
              <w:t xml:space="preserve">5～95</w:t>
            </w:r>
            <w:r>
              <w:rPr>
                <w:rFonts w:ascii="宋体" w:hAnsi="宋体"/>
              </w:rPr>
            </w:r>
            <w:r/>
          </w:p>
        </w:tc>
        <w:tc>
          <w:tcPr>
            <w:tcW w:w="1440" w:type="dxa"/>
            <w:vAlign w:val="center"/>
            <w:textDirection w:val="lrTb"/>
            <w:noWrap w:val="false"/>
          </w:tcPr>
          <w:p>
            <w:pPr>
              <w:pStyle w:val="1151"/>
              <w:jc w:val="center"/>
              <w:spacing w:line="312" w:lineRule="exact"/>
              <w:rPr>
                <w:rFonts w:ascii="宋体" w:hAnsi="宋体"/>
              </w:rPr>
            </w:pPr>
            <w:r>
              <w:rPr>
                <w:rFonts w:ascii="宋体" w:hAnsi="宋体"/>
              </w:rPr>
              <w:t xml:space="preserve">29</w:t>
            </w:r>
            <w:r>
              <w:rPr>
                <w:rFonts w:ascii="宋体" w:hAnsi="宋体"/>
              </w:rPr>
            </w:r>
            <w:r/>
          </w:p>
        </w:tc>
        <w:tc>
          <w:tcPr>
            <w:tcW w:w="1800" w:type="dxa"/>
            <w:vAlign w:val="center"/>
            <w:textDirection w:val="lrTb"/>
            <w:noWrap w:val="false"/>
          </w:tcPr>
          <w:p>
            <w:pPr>
              <w:pStyle w:val="1151"/>
              <w:jc w:val="center"/>
              <w:spacing w:line="312" w:lineRule="exact"/>
              <w:rPr>
                <w:rFonts w:ascii="宋体" w:hAnsi="宋体"/>
              </w:rPr>
            </w:pPr>
            <w:r>
              <w:rPr>
                <w:rFonts w:ascii="宋体" w:hAnsi="宋体"/>
              </w:rPr>
              <w:t xml:space="preserve">非推荐</w:t>
            </w:r>
            <w:r>
              <w:rPr>
                <w:rFonts w:ascii="宋体" w:hAnsi="宋体"/>
              </w:rPr>
            </w:r>
            <w:r/>
          </w:p>
        </w:tc>
      </w:tr>
      <w:tr>
        <w:trPr>
          <w:cantSplit/>
          <w:trHeight w:val="397"/>
        </w:trPr>
        <w:tc>
          <w:tcPr>
            <w:tcW w:w="1008" w:type="dxa"/>
            <w:vAlign w:val="center"/>
            <w:textDirection w:val="lrTb"/>
            <w:noWrap w:val="false"/>
          </w:tcPr>
          <w:p>
            <w:pPr>
              <w:pStyle w:val="1151"/>
              <w:jc w:val="center"/>
              <w:spacing w:line="312" w:lineRule="exact"/>
              <w:rPr>
                <w:rFonts w:ascii="宋体" w:hAnsi="宋体"/>
              </w:rPr>
            </w:pPr>
            <w:r>
              <w:rPr>
                <w:rFonts w:ascii="宋体" w:hAnsi="宋体"/>
              </w:rPr>
              <w:t xml:space="preserve">C2</w:t>
            </w:r>
            <w:r>
              <w:rPr>
                <w:rFonts w:ascii="宋体" w:hAnsi="宋体"/>
              </w:rPr>
            </w:r>
            <w:r/>
          </w:p>
        </w:tc>
        <w:tc>
          <w:tcPr>
            <w:tcW w:w="1800" w:type="dxa"/>
            <w:vAlign w:val="center"/>
            <w:textDirection w:val="lrTb"/>
            <w:noWrap w:val="false"/>
          </w:tcPr>
          <w:p>
            <w:pPr>
              <w:pStyle w:val="1151"/>
              <w:jc w:val="center"/>
              <w:spacing w:line="312" w:lineRule="exact"/>
              <w:rPr>
                <w:rFonts w:ascii="宋体" w:hAnsi="宋体"/>
              </w:rPr>
            </w:pPr>
            <w:r>
              <w:rPr>
                <w:rFonts w:ascii="宋体" w:hAnsi="宋体"/>
              </w:rPr>
              <w:t xml:space="preserve">－25～＋55</w:t>
            </w:r>
            <w:r>
              <w:rPr>
                <w:rFonts w:ascii="宋体" w:hAnsi="宋体"/>
              </w:rPr>
            </w:r>
            <w:r/>
          </w:p>
        </w:tc>
        <w:tc>
          <w:tcPr>
            <w:tcW w:w="1440" w:type="dxa"/>
            <w:vAlign w:val="center"/>
            <w:textDirection w:val="lrTb"/>
            <w:noWrap w:val="false"/>
          </w:tcPr>
          <w:p>
            <w:pPr>
              <w:pStyle w:val="1151"/>
              <w:jc w:val="center"/>
              <w:spacing w:line="312" w:lineRule="exact"/>
              <w:rPr>
                <w:rFonts w:ascii="宋体" w:hAnsi="宋体"/>
              </w:rPr>
            </w:pPr>
            <w:r>
              <w:rPr>
                <w:rFonts w:ascii="宋体" w:hAnsi="宋体"/>
              </w:rPr>
              <w:t xml:space="preserve">0.5</w:t>
            </w:r>
            <w:r>
              <w:rPr>
                <w:rFonts w:ascii="宋体" w:hAnsi="宋体"/>
              </w:rPr>
            </w:r>
            <w:r/>
          </w:p>
        </w:tc>
        <w:tc>
          <w:tcPr>
            <w:tcW w:w="1260" w:type="dxa"/>
            <w:vAlign w:val="center"/>
            <w:textDirection w:val="lrTb"/>
            <w:noWrap w:val="false"/>
          </w:tcPr>
          <w:p>
            <w:pPr>
              <w:pStyle w:val="1151"/>
              <w:jc w:val="center"/>
              <w:spacing w:line="312" w:lineRule="exact"/>
              <w:rPr>
                <w:rFonts w:ascii="宋体" w:hAnsi="宋体"/>
              </w:rPr>
            </w:pPr>
            <w:r>
              <w:rPr>
                <w:rFonts w:ascii="宋体" w:hAnsi="宋体"/>
              </w:rPr>
              <w:t xml:space="preserve">10～100</w:t>
            </w:r>
            <w:r>
              <w:rPr>
                <w:rFonts w:ascii="宋体" w:hAnsi="宋体"/>
              </w:rPr>
            </w:r>
            <w:r/>
          </w:p>
        </w:tc>
        <w:tc>
          <w:tcPr>
            <w:tcW w:w="1440" w:type="dxa"/>
            <w:vAlign w:val="center"/>
            <w:textDirection w:val="lrTb"/>
            <w:noWrap w:val="false"/>
          </w:tcPr>
          <w:p>
            <w:pPr>
              <w:pStyle w:val="1151"/>
              <w:jc w:val="center"/>
              <w:spacing w:line="312" w:lineRule="exact"/>
              <w:rPr>
                <w:rFonts w:ascii="宋体" w:hAnsi="宋体"/>
              </w:rPr>
            </w:pPr>
            <w:r>
              <w:rPr>
                <w:rFonts w:ascii="宋体" w:hAnsi="宋体"/>
              </w:rPr>
              <w:t xml:space="preserve">29</w:t>
            </w:r>
            <w:r>
              <w:rPr>
                <w:rFonts w:ascii="宋体" w:hAnsi="宋体"/>
              </w:rPr>
            </w:r>
            <w:r/>
          </w:p>
        </w:tc>
        <w:tc>
          <w:tcPr>
            <w:tcW w:w="1800" w:type="dxa"/>
            <w:vAlign w:val="center"/>
            <w:textDirection w:val="lrTb"/>
            <w:noWrap w:val="false"/>
          </w:tcPr>
          <w:p>
            <w:pPr>
              <w:pStyle w:val="1151"/>
              <w:jc w:val="center"/>
              <w:spacing w:line="312" w:lineRule="exact"/>
              <w:rPr>
                <w:rFonts w:ascii="宋体" w:hAnsi="宋体"/>
              </w:rPr>
            </w:pPr>
            <w:r>
              <w:rPr>
                <w:rFonts w:ascii="宋体" w:hAnsi="宋体"/>
              </w:rPr>
              <w:t xml:space="preserve">室内</w:t>
            </w:r>
            <w:r>
              <w:rPr>
                <w:rFonts w:ascii="宋体" w:hAnsi="宋体"/>
              </w:rPr>
            </w:r>
            <w:r/>
          </w:p>
        </w:tc>
      </w:tr>
      <w:tr>
        <w:trPr>
          <w:cantSplit/>
          <w:trHeight w:val="397"/>
        </w:trPr>
        <w:tc>
          <w:tcPr>
            <w:tcW w:w="1008" w:type="dxa"/>
            <w:vAlign w:val="center"/>
            <w:textDirection w:val="lrTb"/>
            <w:noWrap w:val="false"/>
          </w:tcPr>
          <w:p>
            <w:pPr>
              <w:pStyle w:val="1151"/>
              <w:jc w:val="center"/>
              <w:spacing w:line="312" w:lineRule="exact"/>
              <w:rPr>
                <w:rFonts w:ascii="宋体" w:hAnsi="宋体"/>
              </w:rPr>
            </w:pPr>
            <w:r>
              <w:rPr>
                <w:rFonts w:ascii="宋体" w:hAnsi="宋体"/>
              </w:rPr>
              <w:t xml:space="preserve">C3</w:t>
            </w:r>
            <w:r>
              <w:rPr>
                <w:rFonts w:ascii="宋体" w:hAnsi="宋体"/>
              </w:rPr>
            </w:r>
            <w:r/>
          </w:p>
        </w:tc>
        <w:tc>
          <w:tcPr>
            <w:tcW w:w="1800" w:type="dxa"/>
            <w:vAlign w:val="center"/>
            <w:textDirection w:val="lrTb"/>
            <w:noWrap w:val="false"/>
          </w:tcPr>
          <w:p>
            <w:pPr>
              <w:pStyle w:val="1151"/>
              <w:jc w:val="center"/>
              <w:spacing w:line="312" w:lineRule="exact"/>
              <w:rPr>
                <w:rFonts w:ascii="宋体" w:hAnsi="宋体"/>
              </w:rPr>
            </w:pPr>
            <w:r>
              <w:rPr>
                <w:rFonts w:ascii="宋体" w:hAnsi="宋体"/>
              </w:rPr>
              <w:t xml:space="preserve">－40～＋70</w:t>
            </w:r>
            <w:r>
              <w:rPr>
                <w:rFonts w:ascii="宋体" w:hAnsi="宋体"/>
              </w:rPr>
            </w:r>
            <w:r/>
          </w:p>
        </w:tc>
        <w:tc>
          <w:tcPr>
            <w:tcW w:w="1440" w:type="dxa"/>
            <w:vAlign w:val="center"/>
            <w:textDirection w:val="lrTb"/>
            <w:noWrap w:val="false"/>
          </w:tcPr>
          <w:p>
            <w:pPr>
              <w:pStyle w:val="1151"/>
              <w:jc w:val="center"/>
              <w:spacing w:line="312" w:lineRule="exact"/>
              <w:rPr>
                <w:rFonts w:ascii="宋体" w:hAnsi="宋体"/>
              </w:rPr>
            </w:pPr>
            <w:r>
              <w:rPr>
                <w:rFonts w:ascii="宋体" w:hAnsi="宋体"/>
              </w:rPr>
              <w:t xml:space="preserve">1.0</w:t>
            </w:r>
            <w:r>
              <w:rPr>
                <w:rFonts w:ascii="宋体" w:hAnsi="宋体"/>
              </w:rPr>
            </w:r>
            <w:r/>
          </w:p>
        </w:tc>
        <w:tc>
          <w:tcPr>
            <w:tcW w:w="1260" w:type="dxa"/>
            <w:vAlign w:val="center"/>
            <w:textDirection w:val="lrTb"/>
            <w:noWrap w:val="false"/>
          </w:tcPr>
          <w:p>
            <w:pPr>
              <w:pStyle w:val="1151"/>
              <w:jc w:val="center"/>
              <w:spacing w:line="312" w:lineRule="exact"/>
              <w:rPr>
                <w:rFonts w:ascii="宋体" w:hAnsi="宋体"/>
              </w:rPr>
            </w:pPr>
            <w:r>
              <w:rPr>
                <w:rFonts w:ascii="宋体" w:hAnsi="宋体"/>
              </w:rPr>
              <w:t xml:space="preserve">10～100</w:t>
            </w:r>
            <w:r>
              <w:rPr>
                <w:rFonts w:ascii="宋体" w:hAnsi="宋体"/>
              </w:rPr>
            </w:r>
            <w:r/>
          </w:p>
        </w:tc>
        <w:tc>
          <w:tcPr>
            <w:tcW w:w="1440" w:type="dxa"/>
            <w:vAlign w:val="center"/>
            <w:textDirection w:val="lrTb"/>
            <w:noWrap w:val="false"/>
          </w:tcPr>
          <w:p>
            <w:pPr>
              <w:pStyle w:val="1151"/>
              <w:jc w:val="center"/>
              <w:spacing w:line="312" w:lineRule="exact"/>
              <w:rPr>
                <w:rFonts w:ascii="宋体" w:hAnsi="宋体"/>
              </w:rPr>
            </w:pPr>
            <w:r>
              <w:rPr>
                <w:rFonts w:ascii="宋体" w:hAnsi="宋体"/>
              </w:rPr>
              <w:t xml:space="preserve">35</w:t>
            </w:r>
            <w:r>
              <w:rPr>
                <w:rFonts w:ascii="宋体" w:hAnsi="宋体"/>
              </w:rPr>
            </w:r>
            <w:r/>
          </w:p>
        </w:tc>
        <w:tc>
          <w:tcPr>
            <w:tcW w:w="1800" w:type="dxa"/>
            <w:vAlign w:val="center"/>
            <w:textDirection w:val="lrTb"/>
            <w:noWrap w:val="false"/>
          </w:tcPr>
          <w:p>
            <w:pPr>
              <w:pStyle w:val="1151"/>
              <w:jc w:val="center"/>
              <w:spacing w:line="312" w:lineRule="exact"/>
              <w:rPr>
                <w:rFonts w:ascii="宋体" w:hAnsi="宋体"/>
              </w:rPr>
            </w:pPr>
            <w:r>
              <w:rPr>
                <w:rFonts w:ascii="宋体" w:hAnsi="宋体"/>
              </w:rPr>
              <w:t xml:space="preserve">遮蔽场所、户外</w:t>
            </w:r>
            <w:r>
              <w:rPr>
                <w:rFonts w:ascii="宋体" w:hAnsi="宋体"/>
              </w:rPr>
            </w:r>
            <w:r/>
          </w:p>
        </w:tc>
      </w:tr>
      <w:tr>
        <w:trPr>
          <w:cantSplit/>
          <w:trHeight w:val="397"/>
        </w:trPr>
        <w:tc>
          <w:tcPr>
            <w:tcW w:w="1008" w:type="dxa"/>
            <w:vAlign w:val="center"/>
            <w:textDirection w:val="lrTb"/>
            <w:noWrap w:val="false"/>
          </w:tcPr>
          <w:p>
            <w:pPr>
              <w:pStyle w:val="1151"/>
              <w:jc w:val="center"/>
              <w:spacing w:line="312" w:lineRule="exact"/>
              <w:rPr>
                <w:rFonts w:ascii="宋体" w:hAnsi="宋体"/>
              </w:rPr>
            </w:pPr>
            <w:r>
              <w:rPr>
                <w:rFonts w:ascii="宋体" w:hAnsi="宋体"/>
              </w:rPr>
              <w:t xml:space="preserve">CX</w:t>
            </w:r>
            <w:r>
              <w:rPr>
                <w:rFonts w:ascii="宋体" w:hAnsi="宋体"/>
              </w:rPr>
            </w:r>
            <w:r/>
          </w:p>
        </w:tc>
        <w:tc>
          <w:tcPr>
            <w:gridSpan w:val="5"/>
            <w:tcW w:w="7740" w:type="dxa"/>
            <w:vAlign w:val="center"/>
            <w:textDirection w:val="lrTb"/>
            <w:noWrap w:val="false"/>
          </w:tcPr>
          <w:p>
            <w:pPr>
              <w:pStyle w:val="1151"/>
              <w:spacing w:line="312" w:lineRule="exact"/>
              <w:rPr>
                <w:rFonts w:ascii="宋体" w:hAnsi="宋体"/>
              </w:rPr>
            </w:pPr>
            <w:r>
              <w:rPr>
                <w:rFonts w:ascii="宋体" w:hAnsi="宋体"/>
              </w:rPr>
              <w:t xml:space="preserve">特定</w:t>
            </w:r>
            <w:r>
              <w:rPr>
                <w:rFonts w:hint="eastAsia" w:ascii="宋体" w:hAnsi="宋体"/>
              </w:rPr>
              <w:t xml:space="preserve">(</w:t>
            </w:r>
            <w:r>
              <w:rPr>
                <w:rFonts w:ascii="宋体" w:hAnsi="宋体"/>
              </w:rPr>
              <w:t xml:space="preserve">根据需要由用户和制造商协商确定</w:t>
            </w:r>
            <w:r>
              <w:rPr>
                <w:rFonts w:hint="eastAsia" w:ascii="宋体" w:hAnsi="宋体"/>
              </w:rPr>
              <w:t xml:space="preserve">)</w:t>
            </w:r>
            <w:r>
              <w:rPr>
                <w:rFonts w:ascii="宋体" w:hAnsi="宋体"/>
              </w:rPr>
            </w:r>
            <w:r/>
          </w:p>
        </w:tc>
      </w:tr>
    </w:tbl>
    <w:p>
      <w:pPr>
        <w:pStyle w:val="1151"/>
      </w:pPr>
      <w:r>
        <w:rPr>
          <w:rFonts w:hint="eastAsia"/>
        </w:rPr>
        <w:t xml:space="preserve">5.3.2.2海拔高度</w:t>
      </w:r>
      <w:r/>
    </w:p>
    <w:p>
      <w:pPr>
        <w:pStyle w:val="1151"/>
        <w:numPr>
          <w:ilvl w:val="0"/>
          <w:numId w:val="14"/>
        </w:numPr>
        <w:spacing w:line="312" w:lineRule="exact"/>
        <w:rPr>
          <w:rFonts w:ascii="宋体" w:hAnsi="宋体"/>
        </w:rPr>
      </w:pPr>
      <w:r/>
      <w:bookmarkStart w:id="248" w:name="_Toc35713622"/>
      <w:r>
        <w:rPr>
          <w:rFonts w:ascii="宋体" w:hAnsi="宋体"/>
        </w:rPr>
        <w:t xml:space="preserve">安装场地的海拔高度不应超过</w:t>
      </w:r>
      <w:r>
        <w:rPr>
          <w:rFonts w:hint="eastAsia" w:ascii="宋体" w:hAnsi="宋体"/>
        </w:rPr>
        <w:t xml:space="preserve">1000</w:t>
      </w:r>
      <w:r>
        <w:rPr>
          <w:rFonts w:ascii="宋体" w:hAnsi="宋体"/>
        </w:rPr>
        <w:t xml:space="preserve">m；</w:t>
      </w:r>
      <w:r>
        <w:rPr>
          <w:rFonts w:ascii="宋体" w:hAnsi="宋体"/>
        </w:rPr>
      </w:r>
      <w:r/>
    </w:p>
    <w:p>
      <w:pPr>
        <w:pStyle w:val="1151"/>
        <w:numPr>
          <w:ilvl w:val="0"/>
          <w:numId w:val="14"/>
        </w:numPr>
        <w:spacing w:line="312" w:lineRule="exact"/>
        <w:rPr>
          <w:rFonts w:ascii="宋体" w:hAnsi="宋体"/>
        </w:rPr>
      </w:pPr>
      <w:r>
        <w:rPr>
          <w:rFonts w:ascii="宋体" w:hAnsi="宋体"/>
        </w:rPr>
        <w:t xml:space="preserve">对于安装在海拔高度超过</w:t>
      </w:r>
      <w:r>
        <w:rPr>
          <w:rFonts w:hint="eastAsia" w:ascii="宋体" w:hAnsi="宋体"/>
        </w:rPr>
        <w:t xml:space="preserve">10</w:t>
      </w:r>
      <w:r>
        <w:rPr>
          <w:rFonts w:ascii="宋体" w:hAnsi="宋体"/>
        </w:rPr>
        <w:t xml:space="preserve">00m的配电终端应依据标准GB/T 11022</w:t>
      </w:r>
      <w:r>
        <w:rPr>
          <w:rFonts w:hint="eastAsia" w:ascii="宋体" w:hAnsi="宋体"/>
        </w:rPr>
        <w:t xml:space="preserve">-2011</w:t>
      </w:r>
      <w:r>
        <w:rPr>
          <w:rFonts w:ascii="宋体" w:hAnsi="宋体"/>
        </w:rPr>
        <w:t xml:space="preserve">第2.</w:t>
      </w:r>
      <w:r>
        <w:rPr>
          <w:rFonts w:hint="eastAsia" w:ascii="宋体" w:hAnsi="宋体"/>
        </w:rPr>
        <w:t xml:space="preserve">3</w:t>
      </w:r>
      <w:r>
        <w:rPr>
          <w:rFonts w:ascii="宋体" w:hAnsi="宋体"/>
        </w:rPr>
        <w:t xml:space="preserve">.</w:t>
      </w:r>
      <w:r>
        <w:rPr>
          <w:rFonts w:hint="eastAsia" w:ascii="宋体" w:hAnsi="宋体"/>
        </w:rPr>
        <w:t xml:space="preserve">2</w:t>
      </w:r>
      <w:r>
        <w:rPr>
          <w:rFonts w:ascii="宋体" w:hAnsi="宋体"/>
        </w:rPr>
        <w:t xml:space="preserve">条规定执行。</w:t>
      </w:r>
      <w:r>
        <w:rPr>
          <w:rFonts w:ascii="宋体" w:hAnsi="宋体"/>
        </w:rPr>
      </w:r>
      <w:r/>
    </w:p>
    <w:p>
      <w:pPr>
        <w:pStyle w:val="1151"/>
        <w:spacing w:line="312" w:lineRule="exact"/>
        <w:rPr>
          <w:rFonts w:eastAsia="黑体"/>
          <w:szCs w:val="21"/>
        </w:rPr>
        <w:outlineLvl w:val="2"/>
      </w:pPr>
      <w:r>
        <w:rPr>
          <w:rFonts w:eastAsia="黑体"/>
          <w:szCs w:val="21"/>
        </w:rPr>
        <w:t xml:space="preserve">5.</w:t>
      </w:r>
      <w:r>
        <w:rPr>
          <w:rFonts w:hint="eastAsia" w:eastAsia="黑体"/>
          <w:szCs w:val="21"/>
        </w:rPr>
        <w:t xml:space="preserve">3</w:t>
      </w:r>
      <w:r>
        <w:rPr>
          <w:rFonts w:eastAsia="黑体"/>
          <w:szCs w:val="21"/>
        </w:rPr>
        <w:t xml:space="preserve">.3 </w:t>
      </w:r>
      <w:r>
        <w:rPr>
          <w:rFonts w:hint="eastAsia" w:eastAsia="黑体"/>
          <w:szCs w:val="21"/>
        </w:rPr>
        <w:t xml:space="preserve">电源要求</w:t>
      </w:r>
      <w:bookmarkEnd w:id="248"/>
      <w:r>
        <w:rPr>
          <w:rFonts w:eastAsia="黑体"/>
          <w:szCs w:val="21"/>
        </w:rPr>
      </w:r>
      <w:r/>
    </w:p>
    <w:p>
      <w:pPr>
        <w:pStyle w:val="1151"/>
      </w:pPr>
      <w:r>
        <w:rPr>
          <w:rFonts w:hint="eastAsia"/>
        </w:rPr>
        <w:t xml:space="preserve">5.3.3.1供电电源要求</w:t>
      </w:r>
      <w:r/>
    </w:p>
    <w:p>
      <w:pPr>
        <w:pStyle w:val="1151"/>
        <w:ind w:firstLine="420"/>
      </w:pPr>
      <w:r>
        <w:t xml:space="preserve">使用交流三相供电，在</w:t>
      </w:r>
      <w:r>
        <w:rPr>
          <w:rFonts w:hint="eastAsia"/>
        </w:rPr>
        <w:t xml:space="preserve">供电线路</w:t>
      </w:r>
      <w:r>
        <w:t xml:space="preserve">故障（三相</w:t>
      </w:r>
      <w:r>
        <w:rPr>
          <w:rFonts w:hint="eastAsia"/>
        </w:rPr>
        <w:t xml:space="preserve">三</w:t>
      </w:r>
      <w:r>
        <w:t xml:space="preserve">线供电时任断</w:t>
      </w:r>
      <w:r>
        <w:rPr>
          <w:rFonts w:hint="eastAsia"/>
        </w:rPr>
        <w:t xml:space="preserve">一</w:t>
      </w:r>
      <w:r>
        <w:t xml:space="preserve">相电）时，交流电源可供终端正常工作。</w:t>
      </w:r>
      <w:r/>
    </w:p>
    <w:p>
      <w:pPr>
        <w:pStyle w:val="1151"/>
        <w:numPr>
          <w:ilvl w:val="0"/>
          <w:numId w:val="15"/>
        </w:numPr>
        <w:spacing w:line="312" w:lineRule="exact"/>
        <w:rPr>
          <w:rFonts w:ascii="宋体" w:hAnsi="宋体"/>
        </w:rPr>
      </w:pPr>
      <w:r>
        <w:rPr>
          <w:rFonts w:hint="eastAsia" w:ascii="宋体" w:hAnsi="宋体"/>
        </w:rPr>
        <w:t xml:space="preserve">交流电源电压标称值：AC</w:t>
      </w:r>
      <w:r>
        <w:rPr>
          <w:rFonts w:ascii="宋体" w:hAnsi="宋体"/>
        </w:rPr>
        <w:t xml:space="preserve">22</w:t>
      </w:r>
      <w:r>
        <w:rPr>
          <w:rFonts w:hint="eastAsia" w:ascii="宋体" w:hAnsi="宋体"/>
        </w:rPr>
        <w:t xml:space="preserve">0V；</w:t>
      </w:r>
      <w:r>
        <w:rPr>
          <w:rFonts w:ascii="宋体" w:hAnsi="宋体"/>
        </w:rPr>
      </w:r>
      <w:r/>
    </w:p>
    <w:p>
      <w:pPr>
        <w:pStyle w:val="1151"/>
        <w:numPr>
          <w:ilvl w:val="0"/>
          <w:numId w:val="15"/>
        </w:numPr>
        <w:spacing w:line="312" w:lineRule="exact"/>
        <w:rPr>
          <w:rFonts w:ascii="宋体" w:hAnsi="宋体"/>
        </w:rPr>
      </w:pPr>
      <w:r>
        <w:rPr>
          <w:rFonts w:hint="eastAsia" w:ascii="宋体" w:hAnsi="宋体"/>
        </w:rPr>
        <w:t xml:space="preserve">交流电源标称电压容差为-</w:t>
      </w:r>
      <w:r>
        <w:rPr>
          <w:rFonts w:ascii="宋体" w:hAnsi="宋体"/>
        </w:rPr>
        <w:t xml:space="preserve">20</w:t>
      </w:r>
      <w:r>
        <w:rPr>
          <w:rFonts w:hint="eastAsia" w:ascii="宋体" w:hAnsi="宋体"/>
        </w:rPr>
        <w:t xml:space="preserve">%～+</w:t>
      </w:r>
      <w:r>
        <w:rPr>
          <w:rFonts w:ascii="宋体" w:hAnsi="宋体"/>
        </w:rPr>
        <w:t xml:space="preserve">20</w:t>
      </w:r>
      <w:r>
        <w:rPr>
          <w:rFonts w:hint="eastAsia" w:ascii="宋体" w:hAnsi="宋体"/>
        </w:rPr>
        <w:t xml:space="preserve">%；</w:t>
      </w:r>
      <w:r>
        <w:rPr>
          <w:rFonts w:ascii="宋体" w:hAnsi="宋体"/>
        </w:rPr>
      </w:r>
      <w:r/>
    </w:p>
    <w:p>
      <w:pPr>
        <w:pStyle w:val="1151"/>
        <w:numPr>
          <w:ilvl w:val="0"/>
          <w:numId w:val="15"/>
        </w:numPr>
        <w:spacing w:line="312" w:lineRule="exact"/>
        <w:rPr>
          <w:rFonts w:ascii="宋体" w:hAnsi="宋体"/>
        </w:rPr>
      </w:pPr>
      <w:r>
        <w:rPr>
          <w:rFonts w:hint="eastAsia" w:ascii="宋体" w:hAnsi="宋体"/>
        </w:rPr>
        <w:t xml:space="preserve">交流电源标称频率为</w:t>
      </w:r>
      <w:r>
        <w:rPr>
          <w:rFonts w:ascii="宋体" w:hAnsi="宋体"/>
        </w:rPr>
        <w:t xml:space="preserve">50Hz</w:t>
      </w:r>
      <w:r>
        <w:rPr>
          <w:rFonts w:hint="eastAsia" w:ascii="宋体" w:hAnsi="宋体"/>
        </w:rPr>
        <w:t xml:space="preserve">，频率容差为±</w:t>
      </w:r>
      <w:r>
        <w:rPr>
          <w:rFonts w:ascii="宋体" w:hAnsi="宋体"/>
        </w:rPr>
        <w:t xml:space="preserve">5</w:t>
      </w:r>
      <w:r>
        <w:rPr>
          <w:rFonts w:hint="eastAsia" w:ascii="宋体" w:hAnsi="宋体"/>
        </w:rPr>
        <w:t xml:space="preserve">%；</w:t>
      </w:r>
      <w:r>
        <w:rPr>
          <w:rFonts w:ascii="宋体" w:hAnsi="宋体"/>
        </w:rPr>
      </w:r>
      <w:r/>
    </w:p>
    <w:p>
      <w:pPr>
        <w:pStyle w:val="1151"/>
        <w:numPr>
          <w:ilvl w:val="0"/>
          <w:numId w:val="15"/>
        </w:numPr>
        <w:spacing w:line="312" w:lineRule="exact"/>
        <w:rPr>
          <w:rFonts w:ascii="宋体" w:hAnsi="宋体"/>
        </w:rPr>
      </w:pPr>
      <w:r>
        <w:rPr>
          <w:rFonts w:hint="eastAsia" w:ascii="宋体" w:hAnsi="宋体"/>
        </w:rPr>
        <w:t xml:space="preserve">交流电源波形为正弦波，谐波含量小于10</w:t>
      </w:r>
      <w:r>
        <w:rPr>
          <w:rFonts w:ascii="宋体" w:hAnsi="宋体"/>
        </w:rPr>
        <w:t xml:space="preserve">%</w:t>
      </w:r>
      <w:r>
        <w:rPr>
          <w:rFonts w:hint="eastAsia" w:ascii="宋体" w:hAnsi="宋体"/>
        </w:rPr>
        <w:t xml:space="preserve">。</w:t>
      </w:r>
      <w:r>
        <w:rPr>
          <w:rFonts w:ascii="宋体" w:hAnsi="宋体"/>
        </w:rPr>
      </w:r>
      <w:r/>
    </w:p>
    <w:p>
      <w:pPr>
        <w:pStyle w:val="1151"/>
      </w:pPr>
      <w:r>
        <w:rPr>
          <w:rFonts w:hint="eastAsia"/>
        </w:rPr>
        <w:t xml:space="preserve">5.3.3.2配套电源模块及装置运行要求</w:t>
      </w:r>
      <w:r/>
    </w:p>
    <w:p>
      <w:pPr>
        <w:pStyle w:val="1151"/>
        <w:numPr>
          <w:ilvl w:val="0"/>
          <w:numId w:val="16"/>
        </w:numPr>
        <w:spacing w:line="312" w:lineRule="exact"/>
        <w:rPr>
          <w:rFonts w:ascii="宋体" w:hAnsi="宋体"/>
          <w:szCs w:val="22"/>
        </w:rPr>
      </w:pPr>
      <w:r>
        <w:rPr>
          <w:rFonts w:hint="eastAsia" w:ascii="宋体" w:hAnsi="宋体"/>
          <w:szCs w:val="22"/>
        </w:rPr>
        <w:t xml:space="preserve">工作电源满足同时为终端核心单元、通信设备、开关分合闸提供正常工作电源；</w:t>
      </w:r>
      <w:r>
        <w:rPr>
          <w:rFonts w:ascii="宋体" w:hAnsi="宋体"/>
          <w:szCs w:val="22"/>
        </w:rPr>
      </w:r>
      <w:r/>
    </w:p>
    <w:p>
      <w:pPr>
        <w:pStyle w:val="1151"/>
        <w:numPr>
          <w:ilvl w:val="0"/>
          <w:numId w:val="16"/>
        </w:numPr>
        <w:spacing w:line="312" w:lineRule="exact"/>
        <w:rPr>
          <w:rFonts w:ascii="宋体" w:hAnsi="宋体"/>
          <w:szCs w:val="22"/>
        </w:rPr>
      </w:pPr>
      <w:r>
        <w:rPr>
          <w:rFonts w:hint="eastAsia" w:ascii="宋体" w:hAnsi="宋体"/>
          <w:szCs w:val="22"/>
        </w:rPr>
        <w:t xml:space="preserve">主电源供电和后备电源都应独立满足终端核心单元、通信设备正常运行及对开关的正常操作；</w:t>
      </w:r>
      <w:r>
        <w:rPr>
          <w:rFonts w:ascii="宋体" w:hAnsi="宋体"/>
          <w:szCs w:val="22"/>
        </w:rPr>
      </w:r>
      <w:r/>
    </w:p>
    <w:p>
      <w:pPr>
        <w:pStyle w:val="1151"/>
        <w:numPr>
          <w:ilvl w:val="0"/>
          <w:numId w:val="16"/>
        </w:numPr>
        <w:spacing w:line="312" w:lineRule="exact"/>
        <w:rPr>
          <w:rFonts w:ascii="宋体" w:hAnsi="宋体"/>
          <w:szCs w:val="22"/>
        </w:rPr>
      </w:pPr>
      <w:r>
        <w:rPr>
          <w:rFonts w:hint="eastAsia" w:ascii="宋体" w:hAnsi="宋体"/>
          <w:szCs w:val="22"/>
        </w:rPr>
        <w:t xml:space="preserve">电源输出和输入应电气隔离。</w:t>
      </w:r>
      <w:r>
        <w:rPr>
          <w:rFonts w:ascii="宋体" w:hAnsi="宋体"/>
          <w:szCs w:val="22"/>
        </w:rPr>
      </w:r>
      <w:r/>
    </w:p>
    <w:p>
      <w:pPr>
        <w:pStyle w:val="1151"/>
        <w:numPr>
          <w:ilvl w:val="0"/>
          <w:numId w:val="16"/>
        </w:numPr>
        <w:spacing w:line="312" w:lineRule="exact"/>
        <w:rPr>
          <w:rFonts w:ascii="宋体" w:hAnsi="宋体"/>
          <w:szCs w:val="22"/>
        </w:rPr>
      </w:pPr>
      <w:r>
        <w:rPr>
          <w:rFonts w:hint="eastAsia" w:ascii="宋体" w:hAnsi="宋体"/>
          <w:szCs w:val="22"/>
        </w:rPr>
        <w:t xml:space="preserve">电源模块应支持三相供电方式，具备任意一相失电电源模块正常工作的功能；电源模块电压输出两路直流电源，其中一路为采用24V电压等级，提供终端核心单元工作电源，提供通信电源为终端配套通信设备供电。另一路为操作电源，采用48V电压等级，为开关提供操作和储能电源，支持不少于两间隔同时跳闸，开关柜中设备若采用该路电压供电，应能保证在40V至60V区间能正常工作；电源模块应满足附录</w:t>
      </w:r>
      <w:r>
        <w:rPr>
          <w:rFonts w:ascii="宋体" w:hAnsi="宋体"/>
          <w:szCs w:val="22"/>
        </w:rPr>
        <w:t xml:space="preserve">F</w:t>
      </w:r>
      <w:r>
        <w:rPr>
          <w:rFonts w:hint="eastAsia" w:ascii="宋体" w:hAnsi="宋体"/>
          <w:szCs w:val="22"/>
        </w:rPr>
        <w:t xml:space="preserve">设计要求。</w:t>
      </w:r>
      <w:r>
        <w:rPr>
          <w:rFonts w:ascii="宋体" w:hAnsi="宋体"/>
          <w:szCs w:val="22"/>
        </w:rPr>
      </w:r>
      <w:r/>
    </w:p>
    <w:p>
      <w:pPr>
        <w:pStyle w:val="1151"/>
        <w:numPr>
          <w:ilvl w:val="0"/>
          <w:numId w:val="16"/>
        </w:numPr>
        <w:spacing w:line="312" w:lineRule="exact"/>
        <w:rPr>
          <w:rFonts w:ascii="宋体" w:hAnsi="宋体"/>
          <w:szCs w:val="22"/>
        </w:rPr>
      </w:pPr>
      <w:r>
        <w:rPr>
          <w:rFonts w:hint="eastAsia" w:ascii="宋体" w:hAnsi="宋体"/>
          <w:szCs w:val="22"/>
        </w:rPr>
        <w:t xml:space="preserve">终端上电、断电、电源电压缓慢上升或缓慢下降，终端均不应误输出；当电源恢复正常后，终端应自动恢复正常运行。</w:t>
      </w:r>
      <w:r>
        <w:rPr>
          <w:rFonts w:ascii="宋体" w:hAnsi="宋体"/>
          <w:szCs w:val="22"/>
        </w:rPr>
      </w:r>
      <w:r/>
    </w:p>
    <w:p>
      <w:pPr>
        <w:pStyle w:val="1151"/>
        <w:numPr>
          <w:ilvl w:val="0"/>
          <w:numId w:val="16"/>
        </w:numPr>
        <w:spacing w:line="312" w:lineRule="exact"/>
        <w:rPr>
          <w:rFonts w:ascii="宋体" w:hAnsi="宋体"/>
          <w:szCs w:val="22"/>
        </w:rPr>
      </w:pPr>
      <w:r>
        <w:rPr>
          <w:rFonts w:hint="eastAsia" w:ascii="宋体" w:hAnsi="宋体"/>
          <w:szCs w:val="22"/>
        </w:rPr>
        <w:t xml:space="preserve">终端核心单元工作电源、通信电源及操作电源均应配置独立直流空开。终端配套通信设备直流电源正端与地线相连时，应额外配置单独的24V供电电源模块。</w:t>
      </w:r>
      <w:r>
        <w:rPr>
          <w:rFonts w:ascii="宋体" w:hAnsi="宋体"/>
          <w:szCs w:val="22"/>
        </w:rPr>
      </w:r>
      <w:r/>
    </w:p>
    <w:p>
      <w:pPr>
        <w:pStyle w:val="1151"/>
        <w:numPr>
          <w:ilvl w:val="0"/>
          <w:numId w:val="0"/>
        </w:numPr>
        <w:spacing w:line="312" w:lineRule="exact"/>
        <w:rPr>
          <w:rFonts w:ascii="宋体" w:hAnsi="宋体"/>
          <w:szCs w:val="22"/>
        </w:rPr>
      </w:pPr>
      <w:r>
        <w:rPr>
          <w:rFonts w:ascii="宋体" w:hAnsi="宋体"/>
          <w:szCs w:val="22"/>
        </w:rPr>
      </w:r>
      <w:r/>
    </w:p>
    <w:p>
      <w:pPr>
        <w:pStyle w:val="1151"/>
      </w:pPr>
      <w:r>
        <w:rPr>
          <w:rFonts w:hint="eastAsia"/>
        </w:rPr>
        <w:t xml:space="preserve">5.3.3.3后备电源要求</w:t>
      </w:r>
      <w:r/>
    </w:p>
    <w:p>
      <w:pPr>
        <w:pStyle w:val="1245"/>
        <w:numPr>
          <w:ilvl w:val="0"/>
          <w:numId w:val="17"/>
        </w:numPr>
        <w:ind w:left="0" w:firstLine="0"/>
        <w:rPr>
          <w:rStyle w:val="1246"/>
          <w:rFonts w:ascii="宋体" w:hAnsi="宋体"/>
        </w:rPr>
      </w:pPr>
      <w:r/>
      <w:bookmarkStart w:id="249" w:name="_Toc35713623"/>
      <w:r>
        <w:rPr>
          <w:rStyle w:val="1246"/>
          <w:rFonts w:hint="eastAsia" w:ascii="宋体" w:hAnsi="宋体"/>
        </w:rPr>
        <w:t xml:space="preserve">后备电源应采用免维护阀控铅酸蓄电池或超级电容</w:t>
      </w:r>
      <w:r>
        <w:rPr>
          <w:rFonts w:hint="eastAsia"/>
        </w:rPr>
        <w:t xml:space="preserve">，</w:t>
      </w:r>
      <w:r>
        <w:rPr>
          <w:rStyle w:val="1246"/>
          <w:rFonts w:ascii="宋体" w:hAnsi="宋体"/>
        </w:rPr>
        <w:t xml:space="preserve">或采用其它新能源电池，如电容电池、钛酸锂电池等</w:t>
      </w:r>
      <w:r>
        <w:rPr>
          <w:rStyle w:val="1246"/>
          <w:rFonts w:hint="eastAsia" w:ascii="宋体" w:hAnsi="宋体"/>
        </w:rPr>
        <w:t xml:space="preserve">；后备电源额定电压48V；</w:t>
      </w:r>
      <w:r>
        <w:rPr>
          <w:szCs w:val="21"/>
        </w:rPr>
        <w:t xml:space="preserve">后备电源采用免维护阀控铅酸蓄电池</w:t>
      </w:r>
      <w:r>
        <w:rPr>
          <w:rFonts w:hint="eastAsia"/>
          <w:szCs w:val="21"/>
        </w:rPr>
        <w:t xml:space="preserve">、新能源电池时，单节电池容量大于等于</w:t>
      </w:r>
      <w:r>
        <w:rPr>
          <w:rFonts w:hint="eastAsia"/>
        </w:rPr>
        <w:t xml:space="preserve">12Ah；</w:t>
      </w:r>
      <w:r>
        <w:rPr>
          <w:rStyle w:val="1246"/>
          <w:rFonts w:ascii="宋体" w:hAnsi="宋体"/>
        </w:rPr>
      </w:r>
      <w:r/>
    </w:p>
    <w:p>
      <w:pPr>
        <w:pStyle w:val="1245"/>
        <w:numPr>
          <w:ilvl w:val="0"/>
          <w:numId w:val="17"/>
        </w:numPr>
        <w:ind w:left="0" w:firstLine="0"/>
        <w:rPr>
          <w:rStyle w:val="1246"/>
          <w:rFonts w:ascii="宋体" w:hAnsi="宋体"/>
        </w:rPr>
      </w:pPr>
      <w:r>
        <w:rPr>
          <w:rStyle w:val="1246"/>
          <w:rFonts w:hint="eastAsia" w:ascii="宋体" w:hAnsi="宋体"/>
        </w:rPr>
        <w:t xml:space="preserve">免维护阀控铅酸蓄电池寿命不少于3年，超级电容寿命不少于6年</w:t>
      </w:r>
      <w:r>
        <w:rPr>
          <w:rFonts w:hint="eastAsia"/>
        </w:rPr>
        <w:t xml:space="preserve">，</w:t>
      </w:r>
      <w:r>
        <w:rPr>
          <w:rStyle w:val="1246"/>
          <w:rFonts w:ascii="宋体" w:hAnsi="宋体"/>
        </w:rPr>
        <w:t xml:space="preserve">其他新能源电池寿命不少于6年</w:t>
      </w:r>
      <w:r>
        <w:rPr>
          <w:rStyle w:val="1246"/>
          <w:rFonts w:hint="eastAsia" w:ascii="宋体" w:hAnsi="宋体"/>
        </w:rPr>
        <w:t xml:space="preserve">；</w:t>
      </w:r>
      <w:r>
        <w:rPr>
          <w:rStyle w:val="1246"/>
          <w:rFonts w:ascii="宋体" w:hAnsi="宋体"/>
        </w:rPr>
      </w:r>
      <w:r/>
    </w:p>
    <w:p>
      <w:pPr>
        <w:pStyle w:val="1245"/>
        <w:numPr>
          <w:ilvl w:val="0"/>
          <w:numId w:val="17"/>
        </w:numPr>
        <w:ind w:left="0" w:firstLine="0"/>
        <w:rPr>
          <w:rStyle w:val="1246"/>
          <w:rFonts w:ascii="宋体" w:hAnsi="宋体"/>
        </w:rPr>
      </w:pPr>
      <w:r>
        <w:rPr>
          <w:rStyle w:val="1246"/>
          <w:rFonts w:hint="eastAsia" w:ascii="宋体" w:hAnsi="宋体"/>
        </w:rPr>
        <w:t xml:space="preserve">后备电源能保证配电终端运行一定时间且满足表9的要求。</w:t>
      </w:r>
      <w:r>
        <w:rPr>
          <w:rStyle w:val="1246"/>
          <w:rFonts w:ascii="宋体" w:hAnsi="宋体"/>
        </w:rPr>
      </w:r>
      <w:r/>
    </w:p>
    <w:p>
      <w:pPr>
        <w:pStyle w:val="1245"/>
        <w:jc w:val="center"/>
        <w:rPr>
          <w:rStyle w:val="1246"/>
          <w:rFonts w:ascii="宋体" w:hAnsi="宋体"/>
        </w:rPr>
      </w:pPr>
      <w:r>
        <w:rPr>
          <w:rStyle w:val="1246"/>
          <w:rFonts w:hint="eastAsia" w:ascii="宋体" w:hAnsi="宋体"/>
        </w:rPr>
        <w:t xml:space="preserve">表9 后备电源的技术参数表</w:t>
      </w:r>
      <w:r>
        <w:rPr>
          <w:rStyle w:val="1246"/>
          <w:rFonts w:ascii="宋体" w:hAnsi="宋体"/>
        </w:rPr>
      </w:r>
      <w:r/>
    </w:p>
    <w:tbl>
      <w:tblPr>
        <w:tblW w:w="88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3"/>
        <w:gridCol w:w="6581"/>
      </w:tblGrid>
      <w:tr>
        <w:trPr/>
        <w:tc>
          <w:tcPr>
            <w:tcW w:w="2243"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后备电源类型</w:t>
            </w:r>
            <w:r>
              <w:rPr>
                <w:rStyle w:val="1246"/>
                <w:rFonts w:ascii="宋体" w:hAnsi="宋体"/>
              </w:rPr>
            </w:r>
            <w:r/>
          </w:p>
        </w:tc>
        <w:tc>
          <w:tcPr>
            <w:tcW w:w="6581"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后备电源</w:t>
            </w:r>
            <w:r>
              <w:rPr>
                <w:rStyle w:val="1246"/>
                <w:rFonts w:ascii="宋体" w:hAnsi="宋体"/>
              </w:rPr>
              <w:t xml:space="preserve">维持时间</w:t>
            </w:r>
            <w:r>
              <w:rPr>
                <w:rStyle w:val="1246"/>
                <w:rFonts w:ascii="宋体" w:hAnsi="宋体"/>
              </w:rPr>
            </w:r>
            <w:r/>
          </w:p>
        </w:tc>
      </w:tr>
      <w:tr>
        <w:trPr>
          <w:trHeight w:val="679"/>
        </w:trPr>
        <w:tc>
          <w:tcPr>
            <w:tcW w:w="2243"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免维护阀控铅酸</w:t>
            </w:r>
            <w:r>
              <w:rPr>
                <w:rStyle w:val="1246"/>
                <w:rFonts w:ascii="宋体" w:hAnsi="宋体"/>
              </w:rPr>
              <w:t xml:space="preserve">蓄电池</w:t>
            </w:r>
            <w:r>
              <w:rPr>
                <w:rStyle w:val="1246"/>
                <w:rFonts w:hint="eastAsia" w:ascii="宋体" w:hAnsi="宋体"/>
              </w:rPr>
              <w:t xml:space="preserve">或其他新能源电池</w:t>
            </w:r>
            <w:r>
              <w:rPr>
                <w:rStyle w:val="1246"/>
                <w:rFonts w:ascii="宋体" w:hAnsi="宋体"/>
              </w:rPr>
            </w:r>
            <w:r/>
          </w:p>
        </w:tc>
        <w:tc>
          <w:tcPr>
            <w:tcW w:w="6581" w:type="dxa"/>
            <w:vAlign w:val="center"/>
            <w:textDirection w:val="lrTb"/>
            <w:noWrap w:val="false"/>
          </w:tcPr>
          <w:p>
            <w:pPr>
              <w:pStyle w:val="1245"/>
              <w:rPr>
                <w:rStyle w:val="1246"/>
                <w:rFonts w:ascii="宋体" w:hAnsi="宋体"/>
              </w:rPr>
            </w:pPr>
            <w:r>
              <w:rPr>
                <w:rStyle w:val="1246"/>
                <w:rFonts w:ascii="宋体" w:hAnsi="宋体"/>
              </w:rPr>
              <w:t xml:space="preserve">应保证</w:t>
            </w:r>
            <w:r>
              <w:rPr>
                <w:rStyle w:val="1246"/>
                <w:rFonts w:hint="eastAsia" w:ascii="宋体" w:hAnsi="宋体"/>
              </w:rPr>
              <w:t xml:space="preserve">各间隔</w:t>
            </w:r>
            <w:r>
              <w:rPr>
                <w:rStyle w:val="1246"/>
                <w:rFonts w:ascii="宋体" w:hAnsi="宋体"/>
              </w:rPr>
              <w:t xml:space="preserve">完成分-合-分操作</w:t>
            </w:r>
            <w:r>
              <w:rPr>
                <w:rStyle w:val="1246"/>
                <w:rFonts w:hint="eastAsia" w:ascii="宋体" w:hAnsi="宋体"/>
              </w:rPr>
              <w:t xml:space="preserve">一次</w:t>
            </w:r>
            <w:r>
              <w:rPr>
                <w:rStyle w:val="1246"/>
                <w:rFonts w:ascii="宋体" w:hAnsi="宋体"/>
              </w:rPr>
              <w:t xml:space="preserve">并维持配电终端及通信模块至少运行4小时</w:t>
            </w:r>
            <w:r>
              <w:rPr>
                <w:rStyle w:val="1246"/>
                <w:rFonts w:hint="eastAsia" w:ascii="宋体" w:hAnsi="宋体"/>
              </w:rPr>
              <w:t xml:space="preserve">。</w:t>
            </w:r>
            <w:r>
              <w:rPr>
                <w:rStyle w:val="1246"/>
                <w:rFonts w:ascii="宋体" w:hAnsi="宋体"/>
              </w:rPr>
            </w:r>
            <w:r/>
          </w:p>
        </w:tc>
      </w:tr>
      <w:tr>
        <w:trPr>
          <w:trHeight w:val="419"/>
        </w:trPr>
        <w:tc>
          <w:tcPr>
            <w:tcW w:w="2243" w:type="dxa"/>
            <w:vAlign w:val="center"/>
            <w:textDirection w:val="lrTb"/>
            <w:noWrap w:val="false"/>
          </w:tcPr>
          <w:p>
            <w:pPr>
              <w:pStyle w:val="1245"/>
              <w:jc w:val="center"/>
              <w:rPr>
                <w:rStyle w:val="1246"/>
                <w:rFonts w:ascii="宋体" w:hAnsi="宋体"/>
              </w:rPr>
            </w:pPr>
            <w:r>
              <w:rPr>
                <w:rStyle w:val="1246"/>
                <w:rFonts w:ascii="宋体" w:hAnsi="宋体"/>
              </w:rPr>
              <w:t xml:space="preserve">超级电容</w:t>
            </w:r>
            <w:r>
              <w:rPr>
                <w:rStyle w:val="1246"/>
                <w:rFonts w:ascii="宋体" w:hAnsi="宋体"/>
              </w:rPr>
            </w:r>
            <w:r/>
          </w:p>
        </w:tc>
        <w:tc>
          <w:tcPr>
            <w:tcW w:w="6581" w:type="dxa"/>
            <w:vAlign w:val="center"/>
            <w:textDirection w:val="lrTb"/>
            <w:noWrap w:val="false"/>
          </w:tcPr>
          <w:p>
            <w:pPr>
              <w:pStyle w:val="1245"/>
              <w:rPr>
                <w:rStyle w:val="1246"/>
                <w:rFonts w:ascii="宋体" w:hAnsi="宋体"/>
              </w:rPr>
            </w:pPr>
            <w:r>
              <w:rPr>
                <w:rStyle w:val="1246"/>
                <w:rFonts w:ascii="宋体" w:hAnsi="宋体"/>
              </w:rPr>
              <w:t xml:space="preserve">应保证</w:t>
            </w:r>
            <w:r>
              <w:rPr>
                <w:rStyle w:val="1246"/>
                <w:rFonts w:hint="eastAsia" w:ascii="宋体" w:hAnsi="宋体"/>
              </w:rPr>
              <w:t xml:space="preserve">各间隔</w:t>
            </w:r>
            <w:r>
              <w:rPr>
                <w:rStyle w:val="1246"/>
                <w:rFonts w:ascii="宋体" w:hAnsi="宋体"/>
              </w:rPr>
              <w:t xml:space="preserve">分闸操作</w:t>
            </w:r>
            <w:r>
              <w:rPr>
                <w:rStyle w:val="1246"/>
                <w:rFonts w:hint="eastAsia" w:ascii="宋体" w:hAnsi="宋体"/>
              </w:rPr>
              <w:t xml:space="preserve">一次</w:t>
            </w:r>
            <w:r>
              <w:rPr>
                <w:rStyle w:val="1246"/>
                <w:rFonts w:ascii="宋体" w:hAnsi="宋体"/>
              </w:rPr>
              <w:t xml:space="preserve">并维持配电终端及通信模块至少运行15分钟。</w:t>
            </w:r>
            <w:r>
              <w:rPr>
                <w:rStyle w:val="1246"/>
                <w:rFonts w:ascii="宋体" w:hAnsi="宋体"/>
              </w:rPr>
            </w:r>
            <w:r/>
          </w:p>
        </w:tc>
      </w:tr>
    </w:tbl>
    <w:p>
      <w:pPr>
        <w:pStyle w:val="1245"/>
        <w:numPr>
          <w:ilvl w:val="0"/>
          <w:numId w:val="17"/>
        </w:numPr>
        <w:ind w:left="0" w:firstLine="0"/>
        <w:rPr>
          <w:rStyle w:val="1246"/>
          <w:rFonts w:ascii="宋体" w:hAnsi="宋体"/>
        </w:rPr>
      </w:pPr>
      <w:r>
        <w:rPr>
          <w:rFonts w:hint="eastAsia"/>
          <w:szCs w:val="21"/>
        </w:rPr>
        <w:t xml:space="preserve">采用其它新能源电池时，应能满足以下要求：</w:t>
      </w:r>
      <w:r>
        <w:rPr>
          <w:rStyle w:val="1246"/>
          <w:rFonts w:ascii="宋体" w:hAnsi="宋体"/>
        </w:rPr>
      </w:r>
      <w:r/>
    </w:p>
    <w:p>
      <w:pPr>
        <w:pStyle w:val="1151"/>
        <w:numPr>
          <w:ilvl w:val="0"/>
          <w:numId w:val="18"/>
        </w:numPr>
        <w:ind w:firstLine="420"/>
        <w:rPr>
          <w:szCs w:val="21"/>
        </w:rPr>
      </w:pPr>
      <w:r>
        <w:rPr>
          <w:rFonts w:hint="eastAsia"/>
          <w:szCs w:val="21"/>
        </w:rPr>
        <w:t xml:space="preserve">寿命大于6年，充放电循环次数大于1000次，使用6年后电池剩余容量不小于标准容量50%。</w:t>
      </w:r>
      <w:r>
        <w:rPr>
          <w:szCs w:val="21"/>
        </w:rPr>
      </w:r>
      <w:r/>
    </w:p>
    <w:p>
      <w:pPr>
        <w:pStyle w:val="1151"/>
        <w:numPr>
          <w:ilvl w:val="0"/>
          <w:numId w:val="18"/>
        </w:numPr>
        <w:ind w:firstLine="420"/>
        <w:rPr>
          <w:szCs w:val="21"/>
        </w:rPr>
      </w:pPr>
      <w:r>
        <w:rPr>
          <w:rFonts w:hint="eastAsia"/>
          <w:szCs w:val="21"/>
        </w:rPr>
        <w:t xml:space="preserve">安全性：不允许出现自燃和自爆；在专业鉴定机构能通过穿刺，挤压等安全试验认证；</w:t>
      </w:r>
      <w:r>
        <w:rPr>
          <w:szCs w:val="21"/>
        </w:rPr>
      </w:r>
      <w:r/>
    </w:p>
    <w:p>
      <w:pPr>
        <w:pStyle w:val="1151"/>
        <w:numPr>
          <w:ilvl w:val="0"/>
          <w:numId w:val="18"/>
        </w:numPr>
        <w:ind w:firstLine="420"/>
        <w:rPr>
          <w:szCs w:val="21"/>
        </w:rPr>
      </w:pPr>
      <w:r>
        <w:rPr>
          <w:rFonts w:hint="eastAsia"/>
          <w:szCs w:val="21"/>
        </w:rPr>
        <w:t xml:space="preserve">运行温度：-40℃至+70℃全范围内运行时，放电功率稳定，</w:t>
      </w:r>
      <w:r>
        <w:rPr>
          <w:rFonts w:hint="eastAsia" w:hAnsi="宋体"/>
          <w:szCs w:val="21"/>
        </w:rPr>
        <w:t xml:space="preserve">应满足</w:t>
      </w:r>
      <w:r>
        <w:t xml:space="preserve">表</w:t>
      </w:r>
      <w:r>
        <w:rPr>
          <w:rFonts w:hint="eastAsia"/>
        </w:rPr>
        <w:t xml:space="preserve">9</w:t>
      </w:r>
      <w:r>
        <w:rPr>
          <w:rFonts w:hint="eastAsia" w:hAnsi="宋体"/>
          <w:szCs w:val="21"/>
        </w:rPr>
        <w:t xml:space="preserve">要求</w:t>
      </w:r>
      <w:r>
        <w:rPr>
          <w:rFonts w:hint="eastAsia"/>
          <w:szCs w:val="21"/>
        </w:rPr>
        <w:t xml:space="preserve">；</w:t>
      </w:r>
      <w:r>
        <w:rPr>
          <w:szCs w:val="21"/>
        </w:rPr>
      </w:r>
      <w:r/>
    </w:p>
    <w:p>
      <w:pPr>
        <w:pStyle w:val="1151"/>
        <w:numPr>
          <w:ilvl w:val="0"/>
          <w:numId w:val="18"/>
        </w:numPr>
        <w:ind w:firstLine="420"/>
        <w:rPr>
          <w:szCs w:val="21"/>
        </w:rPr>
      </w:pPr>
      <w:r>
        <w:rPr>
          <w:rFonts w:hint="eastAsia"/>
          <w:szCs w:val="21"/>
        </w:rPr>
        <w:t xml:space="preserve">电池管理：自带BMS，自带过充过放保护，监控运行温度，电量，内阻等参数。</w:t>
      </w:r>
      <w:r>
        <w:rPr>
          <w:szCs w:val="21"/>
        </w:rPr>
      </w:r>
      <w:r/>
    </w:p>
    <w:p>
      <w:pPr>
        <w:pStyle w:val="1151"/>
        <w:spacing w:line="312" w:lineRule="exact"/>
        <w:rPr>
          <w:rFonts w:eastAsia="黑体"/>
          <w:szCs w:val="21"/>
        </w:rPr>
        <w:outlineLvl w:val="2"/>
      </w:pPr>
      <w:r>
        <w:rPr>
          <w:rFonts w:eastAsia="黑体"/>
          <w:szCs w:val="21"/>
        </w:rPr>
        <w:t xml:space="preserve">5.</w:t>
      </w:r>
      <w:r>
        <w:rPr>
          <w:rFonts w:hint="eastAsia" w:eastAsia="黑体"/>
          <w:szCs w:val="21"/>
        </w:rPr>
        <w:t xml:space="preserve">3</w:t>
      </w:r>
      <w:r>
        <w:rPr>
          <w:rFonts w:eastAsia="黑体"/>
          <w:szCs w:val="21"/>
        </w:rPr>
        <w:t xml:space="preserve">.4 </w:t>
      </w:r>
      <w:r>
        <w:rPr>
          <w:rFonts w:hint="eastAsia" w:eastAsia="黑体"/>
          <w:szCs w:val="21"/>
        </w:rPr>
        <w:t xml:space="preserve">通信要求</w:t>
      </w:r>
      <w:bookmarkEnd w:id="249"/>
      <w:r>
        <w:rPr>
          <w:rFonts w:eastAsia="黑体"/>
          <w:szCs w:val="21"/>
        </w:rPr>
      </w:r>
      <w:r/>
    </w:p>
    <w:p>
      <w:pPr>
        <w:pStyle w:val="1151"/>
      </w:pPr>
      <w:r>
        <w:rPr>
          <w:rFonts w:hint="eastAsia"/>
        </w:rPr>
        <w:t xml:space="preserve">5.3.4.1基本要求</w:t>
      </w:r>
      <w:r/>
    </w:p>
    <w:p>
      <w:pPr>
        <w:pStyle w:val="1151"/>
        <w:ind w:firstLine="420"/>
        <w:rPr>
          <w:szCs w:val="21"/>
        </w:rPr>
      </w:pPr>
      <w:r>
        <w:rPr>
          <w:rFonts w:hint="eastAsia"/>
          <w:szCs w:val="21"/>
        </w:rPr>
        <w:t xml:space="preserve">终端配置远程无线通信模块、本地通信模块两类通信模块，并配置2路以太网口、4路串行通信接口（3路RS485，1路RS232）、1路RS-232维护串口等外部接口。其中，2路以太网口、4路串行通信接口（3路RS485，1路RS232）、1路维护串口采用固化设计，两类通信模块应采用模块化可插拔设计，应满足不同厂家、相同功能模块的可互换要求。接口要求如下：</w:t>
      </w:r>
      <w:r>
        <w:rPr>
          <w:szCs w:val="21"/>
        </w:rPr>
      </w:r>
      <w:r/>
    </w:p>
    <w:p>
      <w:pPr>
        <w:pStyle w:val="1151"/>
        <w:numPr>
          <w:ilvl w:val="0"/>
          <w:numId w:val="19"/>
        </w:numPr>
        <w:ind w:left="640"/>
        <w:spacing w:line="312" w:lineRule="exact"/>
        <w:tabs>
          <w:tab w:val="left" w:pos="630" w:leader="none"/>
        </w:tabs>
        <w:rPr>
          <w:rFonts w:ascii="宋体" w:hAnsi="宋体"/>
          <w:szCs w:val="22"/>
        </w:rPr>
      </w:pPr>
      <w:r>
        <w:rPr>
          <w:rFonts w:hint="eastAsia" w:ascii="宋体" w:hAnsi="宋体"/>
          <w:szCs w:val="22"/>
        </w:rPr>
        <w:t xml:space="preserve">通信接口中，远程通信接口包括以太网口1、远程无线通信模块的无线通信接口；本地通信接口包括：其中以太网口2应用于分布式馈线自动化等终端互联要求；</w:t>
      </w:r>
      <w:r>
        <w:rPr>
          <w:rFonts w:hint="eastAsia"/>
          <w:szCs w:val="21"/>
        </w:rPr>
        <w:t xml:space="preserve">4路串行通信接口</w:t>
      </w:r>
      <w:r>
        <w:rPr>
          <w:rFonts w:hint="eastAsia" w:ascii="宋体" w:hAnsi="宋体"/>
          <w:szCs w:val="22"/>
        </w:rPr>
        <w:t xml:space="preserve">中，串口</w:t>
      </w:r>
      <w:r>
        <w:rPr>
          <w:rFonts w:ascii="宋体" w:hAnsi="宋体"/>
          <w:szCs w:val="22"/>
        </w:rPr>
        <w:t xml:space="preserve">2</w:t>
      </w:r>
      <w:r>
        <w:rPr>
          <w:rFonts w:hint="eastAsia" w:ascii="宋体" w:hAnsi="宋体"/>
          <w:szCs w:val="22"/>
        </w:rPr>
        <w:t xml:space="preserve">应用于终端核心单元与本地传感器的通信，串口3应用于终端核心单元与电源模块的通信。通信接口的位置、接口定义应符合附录B的要求。</w:t>
      </w:r>
      <w:r>
        <w:rPr>
          <w:rFonts w:ascii="宋体" w:hAnsi="宋体"/>
          <w:szCs w:val="22"/>
        </w:rPr>
      </w:r>
      <w:r/>
    </w:p>
    <w:p>
      <w:pPr>
        <w:pStyle w:val="1151"/>
        <w:numPr>
          <w:ilvl w:val="0"/>
          <w:numId w:val="19"/>
        </w:numPr>
        <w:ind w:left="640"/>
        <w:spacing w:line="312" w:lineRule="exact"/>
        <w:tabs>
          <w:tab w:val="left" w:pos="630" w:leader="none"/>
        </w:tabs>
        <w:rPr>
          <w:rFonts w:ascii="宋体" w:hAnsi="宋体"/>
          <w:szCs w:val="22"/>
        </w:rPr>
      </w:pPr>
      <w:r>
        <w:rPr>
          <w:rFonts w:hint="eastAsia"/>
          <w:szCs w:val="21"/>
        </w:rPr>
        <w:t xml:space="preserve">串行通信</w:t>
      </w:r>
      <w:r>
        <w:rPr>
          <w:rFonts w:hint="eastAsia" w:ascii="宋体" w:hAnsi="宋体"/>
          <w:szCs w:val="22"/>
        </w:rPr>
        <w:t xml:space="preserve">接口传输速率可选用1200bit/s、2400bit/s、9600bit/s等，以太网接口传输速率可选用100Mbit/s全双工等；</w:t>
      </w:r>
      <w:r>
        <w:rPr>
          <w:rFonts w:ascii="宋体" w:hAnsi="宋体"/>
          <w:szCs w:val="22"/>
        </w:rPr>
      </w:r>
      <w:r/>
    </w:p>
    <w:p>
      <w:pPr>
        <w:pStyle w:val="1151"/>
        <w:numPr>
          <w:ilvl w:val="0"/>
          <w:numId w:val="19"/>
        </w:numPr>
        <w:ind w:left="640"/>
        <w:spacing w:line="312" w:lineRule="exact"/>
        <w:tabs>
          <w:tab w:val="left" w:pos="630" w:leader="none"/>
        </w:tabs>
      </w:pPr>
      <w:r>
        <w:rPr>
          <w:rFonts w:hint="eastAsia" w:ascii="宋体" w:hAnsi="宋体"/>
          <w:szCs w:val="22"/>
        </w:rPr>
        <w:t xml:space="preserve">终端应具备1路安全加密的蓝牙通信模块，用于终端本地运维，支持蓝牙4.2及以上版本。</w:t>
      </w:r>
      <w:r/>
    </w:p>
    <w:p>
      <w:pPr>
        <w:pStyle w:val="1151"/>
        <w:spacing w:line="312" w:lineRule="exact"/>
        <w:tabs>
          <w:tab w:val="left" w:pos="630" w:leader="none"/>
        </w:tabs>
      </w:pPr>
      <w:r>
        <w:rPr>
          <w:rFonts w:hint="eastAsia"/>
        </w:rPr>
        <w:t xml:space="preserve">5.3.4.2远程通信要求</w:t>
      </w:r>
      <w:r/>
    </w:p>
    <w:p>
      <w:pPr>
        <w:pStyle w:val="1151"/>
      </w:pPr>
      <w:r>
        <w:rPr>
          <w:rFonts w:hint="eastAsia"/>
        </w:rPr>
        <w:t xml:space="preserve">5</w:t>
      </w:r>
      <w:r>
        <w:t xml:space="preserve">.</w:t>
      </w:r>
      <w:r>
        <w:rPr>
          <w:rFonts w:hint="eastAsia"/>
        </w:rPr>
        <w:t xml:space="preserve">3</w:t>
      </w:r>
      <w:r>
        <w:t xml:space="preserve">.</w:t>
      </w:r>
      <w:r>
        <w:rPr>
          <w:rFonts w:hint="eastAsia"/>
        </w:rPr>
        <w:t xml:space="preserve">4</w:t>
      </w:r>
      <w:r>
        <w:t xml:space="preserve">.2.1</w:t>
      </w:r>
      <w:r>
        <w:rPr>
          <w:rFonts w:hint="eastAsia"/>
        </w:rPr>
        <w:t xml:space="preserve">远程通信模块要求</w:t>
      </w:r>
      <w:r/>
    </w:p>
    <w:p>
      <w:pPr>
        <w:pStyle w:val="1151"/>
        <w:numPr>
          <w:ilvl w:val="0"/>
          <w:numId w:val="20"/>
        </w:numPr>
        <w:ind w:left="640"/>
        <w:spacing w:line="312" w:lineRule="exact"/>
        <w:tabs>
          <w:tab w:val="left" w:pos="630" w:leader="none"/>
        </w:tabs>
        <w:rPr>
          <w:rFonts w:ascii="宋体" w:hAnsi="宋体"/>
          <w:szCs w:val="22"/>
        </w:rPr>
      </w:pPr>
      <w:r>
        <w:rPr>
          <w:rFonts w:hint="eastAsia" w:ascii="宋体" w:hAnsi="宋体"/>
          <w:szCs w:val="22"/>
        </w:rPr>
        <w:t xml:space="preserve">终端远程无线通信模块可插拔，安装结构详应符合附录B的规定。其无线通信模块应满足以下要求：远程通信模块与主站传输通道可采用无线公网、无线专网通信等方式，模块结构尺寸应符合附录B规定，模块接口定义应符合附录B规定。其中，采用无线公网的无线通信模块兼容2G/3G/4G制式，并可向5G演进。</w:t>
      </w:r>
      <w:r>
        <w:rPr>
          <w:rFonts w:ascii="宋体" w:hAnsi="宋体"/>
          <w:szCs w:val="22"/>
        </w:rPr>
      </w:r>
      <w:r/>
    </w:p>
    <w:p>
      <w:pPr>
        <w:pStyle w:val="1151"/>
        <w:numPr>
          <w:ilvl w:val="0"/>
          <w:numId w:val="20"/>
        </w:numPr>
        <w:ind w:left="640"/>
        <w:spacing w:line="312" w:lineRule="exact"/>
        <w:tabs>
          <w:tab w:val="left" w:pos="630" w:leader="none"/>
        </w:tabs>
        <w:rPr>
          <w:rFonts w:ascii="宋体" w:hAnsi="宋体"/>
          <w:szCs w:val="22"/>
        </w:rPr>
      </w:pPr>
      <w:r>
        <w:rPr>
          <w:rFonts w:hint="eastAsia" w:ascii="宋体" w:hAnsi="宋体"/>
          <w:szCs w:val="22"/>
        </w:rPr>
        <w:t xml:space="preserve">通信模块环境适应性要求：无线通信模块环境应适应于表5</w:t>
      </w:r>
      <w:r>
        <w:rPr>
          <w:rFonts w:ascii="宋体" w:hAnsi="宋体"/>
          <w:szCs w:val="22"/>
        </w:rPr>
        <w:t xml:space="preserve">.3</w:t>
      </w:r>
      <w:r>
        <w:rPr>
          <w:rFonts w:hint="eastAsia" w:ascii="宋体" w:hAnsi="宋体"/>
          <w:szCs w:val="22"/>
        </w:rPr>
        <w:t xml:space="preserve">-1中C3要求。</w:t>
      </w:r>
      <w:r>
        <w:rPr>
          <w:rFonts w:ascii="宋体" w:hAnsi="宋体"/>
          <w:szCs w:val="22"/>
        </w:rPr>
      </w:r>
      <w:r/>
    </w:p>
    <w:p>
      <w:pPr>
        <w:pStyle w:val="1151"/>
        <w:numPr>
          <w:ilvl w:val="0"/>
          <w:numId w:val="20"/>
        </w:numPr>
        <w:ind w:left="640"/>
        <w:spacing w:line="312" w:lineRule="exact"/>
        <w:tabs>
          <w:tab w:val="left" w:pos="630" w:leader="none"/>
        </w:tabs>
        <w:rPr>
          <w:rFonts w:ascii="宋体" w:hAnsi="宋体"/>
          <w:szCs w:val="22"/>
        </w:rPr>
      </w:pPr>
      <w:r>
        <w:rPr>
          <w:rFonts w:hint="eastAsia" w:ascii="宋体" w:hAnsi="宋体"/>
          <w:szCs w:val="22"/>
        </w:rPr>
        <w:t xml:space="preserve">无线通信模块支持端口数据监视功能，具备网络中断自动重连功能；</w:t>
      </w:r>
      <w:r>
        <w:rPr>
          <w:rFonts w:ascii="宋体" w:hAnsi="宋体"/>
          <w:szCs w:val="22"/>
        </w:rPr>
      </w:r>
      <w:r/>
    </w:p>
    <w:p>
      <w:pPr>
        <w:pStyle w:val="1151"/>
        <w:numPr>
          <w:ilvl w:val="0"/>
          <w:numId w:val="20"/>
        </w:numPr>
        <w:ind w:left="640"/>
        <w:spacing w:line="312" w:lineRule="exact"/>
        <w:tabs>
          <w:tab w:val="left" w:pos="630" w:leader="none"/>
        </w:tabs>
        <w:rPr>
          <w:rFonts w:ascii="宋体" w:hAnsi="宋体"/>
          <w:szCs w:val="22"/>
        </w:rPr>
      </w:pPr>
      <w:r>
        <w:rPr>
          <w:rFonts w:hint="eastAsia" w:ascii="宋体" w:hAnsi="宋体"/>
          <w:szCs w:val="22"/>
        </w:rPr>
        <w:t xml:space="preserve">无线通信模块应支持本地维护功能，可通过本地维护接口支持调试、参数设置、状态查询和软件升级。</w:t>
      </w:r>
      <w:r>
        <w:rPr>
          <w:rFonts w:ascii="宋体" w:hAnsi="宋体"/>
          <w:szCs w:val="22"/>
        </w:rPr>
      </w:r>
      <w:r/>
    </w:p>
    <w:p>
      <w:pPr>
        <w:pStyle w:val="1151"/>
      </w:pPr>
      <w:r>
        <w:rPr>
          <w:rFonts w:hint="eastAsia"/>
        </w:rPr>
        <w:t xml:space="preserve">5.3.4</w:t>
      </w:r>
      <w:r>
        <w:t xml:space="preserve">.2</w:t>
      </w:r>
      <w:r>
        <w:rPr>
          <w:rFonts w:hint="eastAsia"/>
        </w:rPr>
        <w:t xml:space="preserve">.</w:t>
      </w:r>
      <w:r>
        <w:t xml:space="preserve">2 </w:t>
      </w:r>
      <w:r>
        <w:rPr>
          <w:rFonts w:hint="eastAsia"/>
        </w:rPr>
        <w:t xml:space="preserve">通信连接要求</w:t>
      </w:r>
      <w:r/>
    </w:p>
    <w:p>
      <w:pPr>
        <w:pStyle w:val="1151"/>
        <w:ind w:firstLine="420"/>
        <w:rPr>
          <w:szCs w:val="21"/>
        </w:rPr>
      </w:pPr>
      <w:r>
        <w:rPr>
          <w:rFonts w:hint="eastAsia"/>
          <w:szCs w:val="21"/>
        </w:rPr>
        <w:t xml:space="preserve">a）配电终端与主站建立连接时间应小于60秒；</w:t>
      </w:r>
      <w:r>
        <w:rPr>
          <w:szCs w:val="21"/>
        </w:rPr>
      </w:r>
      <w:r/>
    </w:p>
    <w:p>
      <w:pPr>
        <w:pStyle w:val="1151"/>
        <w:ind w:firstLine="420"/>
        <w:rPr>
          <w:szCs w:val="21"/>
        </w:rPr>
      </w:pPr>
      <w:r>
        <w:rPr>
          <w:rFonts w:hint="eastAsia"/>
          <w:szCs w:val="21"/>
        </w:rPr>
        <w:t xml:space="preserve">b）在主站通信异常时，配电终端应保存未确认及未上送的SOE信息，并通信恢复时及时传送至主站；</w:t>
      </w:r>
      <w:r>
        <w:rPr>
          <w:szCs w:val="21"/>
        </w:rPr>
      </w:r>
      <w:r/>
    </w:p>
    <w:p>
      <w:pPr>
        <w:pStyle w:val="1151"/>
        <w:rPr>
          <w:szCs w:val="21"/>
        </w:rPr>
      </w:pPr>
      <w:r>
        <w:rPr>
          <w:rFonts w:hint="eastAsia"/>
        </w:rPr>
        <w:t xml:space="preserve">5.3.4</w:t>
      </w:r>
      <w:r>
        <w:t xml:space="preserve">.2</w:t>
      </w:r>
      <w:r>
        <w:rPr>
          <w:rFonts w:hint="eastAsia"/>
        </w:rPr>
        <w:t xml:space="preserve">.</w:t>
      </w:r>
      <w:r>
        <w:t xml:space="preserve">3 </w:t>
      </w:r>
      <w:r>
        <w:rPr>
          <w:rFonts w:hint="eastAsia"/>
        </w:rPr>
        <w:t xml:space="preserve">远程通讯协议要求</w:t>
      </w:r>
      <w:r>
        <w:rPr>
          <w:szCs w:val="21"/>
        </w:rPr>
      </w:r>
      <w:r/>
    </w:p>
    <w:p>
      <w:pPr>
        <w:pStyle w:val="1151"/>
        <w:ind w:firstLine="420"/>
        <w:rPr>
          <w:szCs w:val="21"/>
        </w:rPr>
      </w:pPr>
      <w:r>
        <w:rPr>
          <w:rFonts w:hint="eastAsia"/>
          <w:szCs w:val="21"/>
        </w:rPr>
        <w:t xml:space="preserve">远程通讯协议内容符合《配电自动化系统应用DLT634.5104-2009实施细则》。</w:t>
      </w:r>
      <w:r>
        <w:rPr>
          <w:szCs w:val="21"/>
        </w:rPr>
      </w:r>
      <w:r/>
    </w:p>
    <w:p>
      <w:pPr>
        <w:pStyle w:val="1151"/>
      </w:pPr>
      <w:r>
        <w:rPr>
          <w:rFonts w:hint="eastAsia"/>
        </w:rPr>
        <w:t xml:space="preserve">5.3.4.3本地通信要求</w:t>
      </w:r>
      <w:r/>
    </w:p>
    <w:p>
      <w:pPr>
        <w:pStyle w:val="1151"/>
        <w:numPr>
          <w:ilvl w:val="0"/>
          <w:numId w:val="21"/>
        </w:numPr>
        <w:spacing w:line="312" w:lineRule="exact"/>
        <w:rPr>
          <w:rFonts w:ascii="宋体"/>
          <w:color w:val="000000"/>
        </w:rPr>
      </w:pPr>
      <w:r>
        <w:rPr>
          <w:rFonts w:hint="eastAsia" w:ascii="宋体"/>
          <w:color w:val="000000"/>
        </w:rPr>
        <w:t xml:space="preserve">终端本地无线通信模块可插拔，本地通信模块结构尺寸应符合附录</w:t>
      </w:r>
      <w:r>
        <w:rPr>
          <w:rFonts w:ascii="宋体"/>
          <w:color w:val="000000"/>
        </w:rPr>
        <w:t xml:space="preserve">B</w:t>
      </w:r>
      <w:r>
        <w:rPr>
          <w:rFonts w:hint="eastAsia" w:ascii="宋体"/>
          <w:color w:val="000000"/>
        </w:rPr>
        <w:t xml:space="preserve">规定，模块接口定义应符合附录</w:t>
      </w:r>
      <w:r>
        <w:rPr>
          <w:rFonts w:ascii="宋体"/>
          <w:color w:val="000000"/>
        </w:rPr>
        <w:t xml:space="preserve">B</w:t>
      </w:r>
      <w:r>
        <w:rPr>
          <w:rFonts w:hint="eastAsia" w:ascii="宋体"/>
          <w:color w:val="000000"/>
        </w:rPr>
        <w:t xml:space="preserve">规定。</w:t>
      </w:r>
      <w:r>
        <w:rPr>
          <w:rFonts w:ascii="宋体"/>
          <w:color w:val="000000"/>
        </w:rPr>
      </w:r>
      <w:r/>
    </w:p>
    <w:p>
      <w:pPr>
        <w:pStyle w:val="1151"/>
        <w:numPr>
          <w:ilvl w:val="0"/>
          <w:numId w:val="21"/>
        </w:numPr>
        <w:rPr>
          <w:rFonts w:ascii="宋体"/>
          <w:color w:val="000000"/>
        </w:rPr>
      </w:pPr>
      <w:r>
        <w:rPr>
          <w:rFonts w:hint="eastAsia" w:ascii="宋体"/>
          <w:color w:val="000000"/>
        </w:rPr>
        <w:t xml:space="preserve">终端串口3，应用于终端核心单元与电源模块的通信，通信协议应符合附录</w:t>
      </w:r>
      <w:r>
        <w:rPr>
          <w:rFonts w:ascii="宋体"/>
          <w:color w:val="000000"/>
        </w:rPr>
        <w:t xml:space="preserve">F</w:t>
      </w:r>
      <w:r>
        <w:rPr>
          <w:rFonts w:hint="eastAsia" w:ascii="宋体"/>
          <w:color w:val="000000"/>
        </w:rPr>
        <w:t xml:space="preserve">的规定。</w:t>
      </w:r>
      <w:r>
        <w:rPr>
          <w:rFonts w:ascii="宋体"/>
          <w:color w:val="000000"/>
        </w:rPr>
      </w:r>
      <w:r/>
    </w:p>
    <w:p>
      <w:pPr>
        <w:pStyle w:val="1151"/>
        <w:numPr>
          <w:ilvl w:val="0"/>
          <w:numId w:val="21"/>
        </w:numPr>
        <w:rPr>
          <w:rFonts w:ascii="宋体"/>
          <w:color w:val="000000"/>
        </w:rPr>
      </w:pPr>
      <w:r>
        <w:rPr>
          <w:rFonts w:hint="eastAsia" w:ascii="宋体"/>
          <w:color w:val="000000"/>
        </w:rPr>
        <w:t xml:space="preserve">终端维护串口</w:t>
      </w:r>
      <w:r>
        <w:rPr>
          <w:rFonts w:hint="eastAsia"/>
          <w:szCs w:val="21"/>
        </w:rPr>
        <w:t xml:space="preserve">采用RS</w:t>
      </w:r>
      <w:r>
        <w:rPr>
          <w:szCs w:val="21"/>
        </w:rPr>
        <w:t xml:space="preserve">232</w:t>
      </w:r>
      <w:r>
        <w:rPr>
          <w:rFonts w:hint="eastAsia"/>
          <w:szCs w:val="21"/>
        </w:rPr>
        <w:t xml:space="preserve">线与维护工具连接</w:t>
      </w:r>
      <w:r>
        <w:rPr>
          <w:rFonts w:hint="eastAsia" w:ascii="宋体"/>
          <w:color w:val="000000"/>
        </w:rPr>
        <w:t xml:space="preserve">，通信协议应符合附录H的规定。</w:t>
      </w:r>
      <w:r>
        <w:rPr>
          <w:rFonts w:ascii="宋体"/>
          <w:color w:val="000000"/>
        </w:rPr>
      </w:r>
      <w:r/>
    </w:p>
    <w:p>
      <w:pPr>
        <w:pStyle w:val="1151"/>
        <w:numPr>
          <w:ilvl w:val="0"/>
          <w:numId w:val="21"/>
        </w:numPr>
        <w:spacing w:line="312" w:lineRule="exact"/>
        <w:rPr>
          <w:rFonts w:ascii="宋体"/>
          <w:color w:val="000000"/>
        </w:rPr>
      </w:pPr>
      <w:r>
        <w:rPr>
          <w:rFonts w:hint="eastAsia" w:ascii="宋体"/>
          <w:color w:val="000000"/>
        </w:rPr>
        <w:t xml:space="preserve">终端本地状态感知数据应支持微功率无线通信方式</w:t>
      </w:r>
      <w:r>
        <w:rPr>
          <w:rFonts w:hint="eastAsia"/>
          <w:szCs w:val="21"/>
        </w:rPr>
        <w:t xml:space="preserve">。</w:t>
      </w:r>
      <w:r>
        <w:rPr>
          <w:rFonts w:ascii="宋体"/>
          <w:color w:val="000000"/>
        </w:rPr>
      </w:r>
      <w:r/>
    </w:p>
    <w:p>
      <w:pPr>
        <w:pStyle w:val="1151"/>
        <w:numPr>
          <w:ilvl w:val="0"/>
          <w:numId w:val="21"/>
        </w:numPr>
      </w:pPr>
      <w:r>
        <w:rPr>
          <w:rFonts w:hint="eastAsia"/>
          <w:szCs w:val="21"/>
        </w:rPr>
        <w:t xml:space="preserve">终端其他本地通信协议应支持Modbus、1</w:t>
      </w:r>
      <w:r>
        <w:rPr>
          <w:szCs w:val="21"/>
        </w:rPr>
        <w:t xml:space="preserve">01</w:t>
      </w:r>
      <w:r>
        <w:rPr>
          <w:rFonts w:hint="eastAsia"/>
          <w:szCs w:val="21"/>
        </w:rPr>
        <w:t xml:space="preserve">等协议，可灵活适应现场要求，具备通信接收电缆接头温度、柜内温湿度等状态监测数据功能，具备通信接收备自投等其它装置数据功能；</w:t>
      </w:r>
      <w:r/>
    </w:p>
    <w:p>
      <w:pPr>
        <w:pStyle w:val="1151"/>
        <w:spacing w:line="312" w:lineRule="exact"/>
        <w:rPr>
          <w:rFonts w:eastAsia="黑体"/>
          <w:szCs w:val="21"/>
        </w:rPr>
        <w:outlineLvl w:val="2"/>
      </w:pPr>
      <w:r/>
      <w:bookmarkStart w:id="250" w:name="_Toc35713637"/>
      <w:r>
        <w:rPr>
          <w:rFonts w:eastAsia="黑体"/>
          <w:szCs w:val="21"/>
        </w:rPr>
        <w:t xml:space="preserve">5.</w:t>
      </w:r>
      <w:r>
        <w:rPr>
          <w:rFonts w:hint="eastAsia" w:eastAsia="黑体"/>
          <w:szCs w:val="21"/>
        </w:rPr>
        <w:t xml:space="preserve">3</w:t>
      </w:r>
      <w:r>
        <w:rPr>
          <w:rFonts w:eastAsia="黑体"/>
          <w:szCs w:val="21"/>
        </w:rPr>
        <w:t xml:space="preserve">.5 </w:t>
      </w:r>
      <w:r>
        <w:rPr>
          <w:rFonts w:hint="eastAsia" w:eastAsia="黑体"/>
          <w:szCs w:val="21"/>
        </w:rPr>
        <w:t xml:space="preserve">功能要求</w:t>
      </w:r>
      <w:bookmarkEnd w:id="250"/>
      <w:r>
        <w:rPr>
          <w:rFonts w:eastAsia="黑体"/>
          <w:szCs w:val="21"/>
        </w:rPr>
      </w:r>
      <w:r/>
    </w:p>
    <w:p>
      <w:pPr>
        <w:pStyle w:val="1151"/>
      </w:pPr>
      <w:r>
        <w:rPr>
          <w:rFonts w:hint="eastAsia"/>
        </w:rPr>
        <w:t xml:space="preserve">5.3.5.1终端基本功能</w:t>
      </w:r>
      <w:r/>
    </w:p>
    <w:p>
      <w:pPr>
        <w:pStyle w:val="1151"/>
        <w:numPr>
          <w:ilvl w:val="0"/>
          <w:numId w:val="22"/>
        </w:numPr>
        <w:spacing w:line="312" w:lineRule="exact"/>
        <w:rPr>
          <w:rFonts w:ascii="宋体"/>
        </w:rPr>
      </w:pPr>
      <w:r>
        <w:rPr>
          <w:rFonts w:ascii="宋体"/>
        </w:rPr>
        <w:t xml:space="preserve">应采用模块化、可扩展、低功耗、免维护的设计标准，适应复杂运行环境，具有高可靠性和稳定性；</w:t>
      </w:r>
      <w:r>
        <w:rPr>
          <w:rFonts w:ascii="宋体"/>
        </w:rPr>
      </w:r>
      <w:r/>
    </w:p>
    <w:p>
      <w:pPr>
        <w:pStyle w:val="1151"/>
        <w:numPr>
          <w:ilvl w:val="0"/>
          <w:numId w:val="22"/>
        </w:numPr>
        <w:spacing w:line="312" w:lineRule="exact"/>
        <w:rPr>
          <w:rFonts w:ascii="宋体"/>
        </w:rPr>
      </w:pPr>
      <w:r>
        <w:rPr>
          <w:rFonts w:hint="eastAsia" w:ascii="宋体"/>
        </w:rPr>
        <w:t xml:space="preserve">应同时具备三相电压及零序电压采集功能，每回路三相电流及零序电流采集功能；</w:t>
      </w:r>
      <w:r>
        <w:rPr>
          <w:rFonts w:ascii="宋体"/>
        </w:rPr>
      </w:r>
      <w:r/>
    </w:p>
    <w:p>
      <w:pPr>
        <w:pStyle w:val="1151"/>
        <w:numPr>
          <w:ilvl w:val="0"/>
          <w:numId w:val="22"/>
        </w:numPr>
        <w:spacing w:line="312" w:lineRule="exact"/>
        <w:rPr>
          <w:rFonts w:ascii="宋体"/>
        </w:rPr>
      </w:pPr>
      <w:r>
        <w:rPr>
          <w:rFonts w:hint="eastAsia" w:ascii="宋体"/>
        </w:rPr>
        <w:t xml:space="preserve">具备自诊断、自恢复功能，对各功能板件、重要芯片等可以进行自诊断，异常时能上送报警信息，软件异常时能自动复位；</w:t>
      </w:r>
      <w:r>
        <w:rPr>
          <w:rFonts w:ascii="宋体"/>
        </w:rPr>
      </w:r>
      <w:r/>
    </w:p>
    <w:p>
      <w:pPr>
        <w:pStyle w:val="1151"/>
        <w:numPr>
          <w:ilvl w:val="0"/>
          <w:numId w:val="22"/>
        </w:numPr>
        <w:spacing w:line="312" w:lineRule="exact"/>
        <w:rPr>
          <w:rFonts w:ascii="宋体"/>
        </w:rPr>
      </w:pPr>
      <w:r>
        <w:rPr>
          <w:rFonts w:hint="eastAsia" w:ascii="宋体"/>
        </w:rPr>
        <w:t xml:space="preserve">具备历史数据循环存储功能，电源失电后保存数据不丢失；支持历史数据远程调阅，以文件方式上传至配网主站；历史数据包括SO</w:t>
      </w:r>
      <w:r>
        <w:rPr>
          <w:rFonts w:ascii="宋体"/>
        </w:rPr>
        <w:t xml:space="preserve">E</w:t>
      </w:r>
      <w:r>
        <w:rPr>
          <w:rFonts w:hint="eastAsia" w:ascii="宋体"/>
        </w:rPr>
        <w:t xml:space="preserve">记录、遥控操作记录、日冻结电量、电能定点数据、功率定点数据、电压定点数据、电流定点数据、电压日极值数据、电流日极值数据、功率反向的电能冻结等；</w:t>
      </w:r>
      <w:r>
        <w:rPr>
          <w:rFonts w:ascii="宋体"/>
        </w:rPr>
      </w:r>
      <w:r/>
    </w:p>
    <w:p>
      <w:pPr>
        <w:pStyle w:val="1151"/>
        <w:numPr>
          <w:ilvl w:val="0"/>
          <w:numId w:val="22"/>
        </w:numPr>
        <w:spacing w:line="312" w:lineRule="exact"/>
        <w:rPr>
          <w:rFonts w:ascii="宋体"/>
        </w:rPr>
      </w:pPr>
      <w:r>
        <w:rPr>
          <w:rFonts w:ascii="宋体"/>
        </w:rPr>
        <w:t xml:space="preserve">采取防误措施，避免装置初始化、运行中、断电等情况下产生误报遥信</w:t>
      </w:r>
      <w:r>
        <w:rPr>
          <w:rFonts w:hint="eastAsia" w:ascii="宋体"/>
        </w:rPr>
        <w:t xml:space="preserve">。</w:t>
      </w:r>
      <w:r>
        <w:rPr>
          <w:rFonts w:ascii="宋体"/>
        </w:rPr>
      </w:r>
      <w:r/>
    </w:p>
    <w:p>
      <w:pPr>
        <w:pStyle w:val="1151"/>
        <w:numPr>
          <w:ilvl w:val="0"/>
          <w:numId w:val="22"/>
        </w:numPr>
        <w:spacing w:line="312" w:lineRule="exact"/>
        <w:rPr>
          <w:rFonts w:ascii="宋体"/>
        </w:rPr>
      </w:pPr>
      <w:r>
        <w:rPr>
          <w:rFonts w:hint="eastAsia" w:ascii="宋体"/>
        </w:rPr>
        <w:t xml:space="preserve">具备控制回路告警判断功能，在开关分/合闸操作回路异常断开、低气压报警出现时经延时确认后告警。</w:t>
      </w:r>
      <w:r>
        <w:rPr>
          <w:rFonts w:ascii="宋体"/>
        </w:rPr>
      </w:r>
      <w:r/>
    </w:p>
    <w:p>
      <w:pPr>
        <w:pStyle w:val="1151"/>
      </w:pPr>
      <w:r>
        <w:rPr>
          <w:rFonts w:hint="eastAsia"/>
        </w:rPr>
        <w:t xml:space="preserve">5.3.5.</w:t>
      </w:r>
      <w:r>
        <w:t xml:space="preserve">2</w:t>
      </w:r>
      <w:r>
        <w:rPr>
          <w:rFonts w:hint="eastAsia"/>
        </w:rPr>
        <w:t xml:space="preserve">测控及故障处理功能</w:t>
      </w:r>
      <w:r/>
    </w:p>
    <w:p>
      <w:pPr>
        <w:pStyle w:val="1151"/>
        <w:numPr>
          <w:ilvl w:val="0"/>
          <w:numId w:val="23"/>
        </w:numPr>
        <w:spacing w:line="312" w:lineRule="exact"/>
        <w:rPr>
          <w:rFonts w:ascii="宋体"/>
        </w:rPr>
      </w:pPr>
      <w:r/>
      <w:bookmarkStart w:id="251" w:name="_Toc35386094"/>
      <w:r>
        <w:rPr>
          <w:rFonts w:ascii="宋体"/>
        </w:rPr>
        <w:t xml:space="preserve">具备4</w:t>
      </w:r>
      <w:r>
        <w:rPr>
          <w:rFonts w:hint="eastAsia" w:ascii="宋体"/>
        </w:rPr>
        <w:t xml:space="preserve">间隔或6间隔</w:t>
      </w:r>
      <w:r>
        <w:rPr>
          <w:rFonts w:ascii="宋体"/>
        </w:rPr>
        <w:t xml:space="preserve">模拟量</w:t>
      </w:r>
      <w:r>
        <w:rPr>
          <w:rFonts w:hint="eastAsia" w:ascii="宋体"/>
        </w:rPr>
        <w:t xml:space="preserve">、</w:t>
      </w:r>
      <w:r>
        <w:rPr>
          <w:rFonts w:ascii="宋体"/>
        </w:rPr>
        <w:t xml:space="preserve">状态量就地采集以及控制开关分合闸</w:t>
      </w:r>
      <w:r>
        <w:rPr>
          <w:rFonts w:hint="eastAsia" w:ascii="宋体"/>
        </w:rPr>
        <w:t xml:space="preserve">的</w:t>
      </w:r>
      <w:r>
        <w:rPr>
          <w:rFonts w:ascii="宋体"/>
        </w:rPr>
        <w:t xml:space="preserve">功能，</w:t>
      </w:r>
      <w:r>
        <w:rPr>
          <w:rFonts w:hint="eastAsia" w:ascii="宋体"/>
        </w:rPr>
        <w:t xml:space="preserve">具备</w:t>
      </w:r>
      <w:r>
        <w:rPr>
          <w:rFonts w:ascii="宋体"/>
        </w:rPr>
        <w:t xml:space="preserve">测量数据、状态数据的远传和远方控制功能</w:t>
      </w:r>
      <w:r>
        <w:rPr>
          <w:rFonts w:hint="eastAsia" w:ascii="宋体"/>
        </w:rPr>
        <w:t xml:space="preserve">，</w:t>
      </w:r>
      <w:r>
        <w:rPr>
          <w:rFonts w:ascii="宋体"/>
        </w:rPr>
        <w:t xml:space="preserve">可实现监控开关数量的灵活扩展</w:t>
      </w:r>
      <w:r>
        <w:rPr>
          <w:rFonts w:hint="eastAsia" w:ascii="宋体"/>
        </w:rPr>
        <w:t xml:space="preserve">；</w:t>
      </w:r>
      <w:r>
        <w:rPr>
          <w:rFonts w:ascii="宋体"/>
        </w:rPr>
      </w:r>
      <w:r/>
    </w:p>
    <w:p>
      <w:pPr>
        <w:pStyle w:val="1151"/>
        <w:numPr>
          <w:ilvl w:val="0"/>
          <w:numId w:val="23"/>
        </w:numPr>
        <w:spacing w:line="312" w:lineRule="exact"/>
        <w:rPr>
          <w:rFonts w:ascii="宋体"/>
        </w:rPr>
      </w:pPr>
      <w:r>
        <w:rPr>
          <w:rFonts w:ascii="宋体"/>
        </w:rPr>
        <w:t xml:space="preserve">具备</w:t>
      </w:r>
      <w:r>
        <w:rPr>
          <w:rFonts w:hint="eastAsia" w:ascii="宋体"/>
        </w:rPr>
        <w:t xml:space="preserve">就</w:t>
      </w:r>
      <w:r>
        <w:rPr>
          <w:rFonts w:ascii="宋体"/>
        </w:rPr>
        <w:t xml:space="preserve">地/远方</w:t>
      </w:r>
      <w:r>
        <w:rPr>
          <w:rFonts w:hint="eastAsia" w:ascii="宋体"/>
        </w:rPr>
        <w:t xml:space="preserve">切换</w:t>
      </w:r>
      <w:r>
        <w:rPr>
          <w:rFonts w:ascii="宋体"/>
        </w:rPr>
        <w:t xml:space="preserve">开关和控制出口硬压板，支持控制出口软压板功能；</w:t>
      </w:r>
      <w:r>
        <w:rPr>
          <w:rFonts w:ascii="宋体"/>
        </w:rPr>
      </w:r>
      <w:r/>
    </w:p>
    <w:p>
      <w:pPr>
        <w:pStyle w:val="1151"/>
        <w:numPr>
          <w:ilvl w:val="0"/>
          <w:numId w:val="23"/>
        </w:numPr>
        <w:spacing w:line="312" w:lineRule="exact"/>
        <w:rPr>
          <w:rFonts w:ascii="宋体"/>
        </w:rPr>
      </w:pPr>
      <w:r>
        <w:rPr>
          <w:rFonts w:ascii="宋体"/>
        </w:rPr>
        <w:t xml:space="preserve">具备遥信防抖功能，防抖动时间可设，支持上传</w:t>
      </w:r>
      <w:r>
        <w:rPr>
          <w:rFonts w:hint="eastAsia" w:ascii="宋体"/>
        </w:rPr>
        <w:t xml:space="preserve">S</w:t>
      </w:r>
      <w:r>
        <w:rPr>
          <w:rFonts w:ascii="宋体"/>
        </w:rPr>
        <w:t xml:space="preserve">OE信息</w:t>
      </w:r>
      <w:r>
        <w:rPr>
          <w:rFonts w:hint="eastAsia" w:ascii="宋体"/>
        </w:rPr>
        <w:t xml:space="preserve">，硬遥信SOE信息的时标应为防抖时间前的时标，软遥信（合成信号或虚遥信等）SOE信息的时标应为处理完时刻的时标；</w:t>
      </w:r>
      <w:r>
        <w:rPr>
          <w:rFonts w:ascii="宋体"/>
        </w:rPr>
      </w:r>
      <w:r/>
    </w:p>
    <w:p>
      <w:pPr>
        <w:pStyle w:val="1151"/>
        <w:numPr>
          <w:ilvl w:val="0"/>
          <w:numId w:val="23"/>
        </w:numPr>
        <w:spacing w:line="312" w:lineRule="exact"/>
        <w:rPr>
          <w:rFonts w:ascii="宋体"/>
        </w:rPr>
      </w:pPr>
      <w:r>
        <w:rPr>
          <w:rFonts w:ascii="宋体"/>
        </w:rPr>
        <w:t xml:space="preserve">具备双位置遥信处理功能</w:t>
      </w:r>
      <w:r>
        <w:rPr>
          <w:rFonts w:hint="eastAsia" w:ascii="宋体"/>
        </w:rPr>
        <w:t xml:space="preserve">，</w:t>
      </w:r>
      <w:r>
        <w:rPr>
          <w:rFonts w:ascii="宋体"/>
        </w:rPr>
        <w:t xml:space="preserve">支持遥信变位优先传送；</w:t>
      </w:r>
      <w:r>
        <w:rPr>
          <w:rFonts w:ascii="宋体"/>
        </w:rPr>
      </w:r>
      <w:r/>
    </w:p>
    <w:p>
      <w:pPr>
        <w:pStyle w:val="1151"/>
        <w:numPr>
          <w:ilvl w:val="0"/>
          <w:numId w:val="23"/>
        </w:numPr>
        <w:spacing w:line="312" w:lineRule="exact"/>
        <w:rPr>
          <w:rFonts w:ascii="宋体"/>
        </w:rPr>
      </w:pPr>
      <w:r>
        <w:rPr>
          <w:rFonts w:ascii="宋体"/>
        </w:rPr>
        <w:t xml:space="preserve">具备</w:t>
      </w:r>
      <w:r>
        <w:rPr>
          <w:rFonts w:hint="eastAsia" w:ascii="宋体"/>
        </w:rPr>
        <w:t xml:space="preserve">相间短路故障</w:t>
      </w:r>
      <w:r>
        <w:rPr>
          <w:rFonts w:ascii="宋体"/>
        </w:rPr>
        <w:t xml:space="preserve">检测</w:t>
      </w:r>
      <w:r>
        <w:rPr>
          <w:rFonts w:hint="eastAsia" w:ascii="宋体"/>
        </w:rPr>
        <w:t xml:space="preserve">、判断与录波功能；并支持上送相间短路故障事件，故障事件包括故障遥信信息及故障发生时刻开关电压、电流值</w:t>
      </w:r>
      <w:r>
        <w:rPr>
          <w:rFonts w:ascii="宋体"/>
        </w:rPr>
        <w:t xml:space="preserve">；</w:t>
      </w:r>
      <w:r>
        <w:rPr>
          <w:rFonts w:hint="eastAsia" w:ascii="宋体"/>
        </w:rPr>
        <w:t xml:space="preserve">支持录波数据循环存储并上传至主站；</w:t>
      </w:r>
      <w:r>
        <w:rPr>
          <w:rFonts w:ascii="宋体"/>
        </w:rPr>
      </w:r>
      <w:r/>
    </w:p>
    <w:p>
      <w:pPr>
        <w:pStyle w:val="1151"/>
        <w:numPr>
          <w:ilvl w:val="0"/>
          <w:numId w:val="23"/>
        </w:numPr>
        <w:spacing w:line="312" w:lineRule="exact"/>
        <w:rPr>
          <w:rFonts w:ascii="宋体"/>
        </w:rPr>
      </w:pPr>
      <w:r>
        <w:rPr>
          <w:rFonts w:ascii="宋体"/>
        </w:rPr>
        <w:t xml:space="preserve">具备</w:t>
      </w:r>
      <w:r>
        <w:rPr>
          <w:rFonts w:hint="eastAsia" w:ascii="宋体"/>
        </w:rPr>
        <w:t xml:space="preserve">不同中性点接地方式下接地故障故障</w:t>
      </w:r>
      <w:r>
        <w:rPr>
          <w:rFonts w:ascii="宋体"/>
        </w:rPr>
        <w:t xml:space="preserve">检测</w:t>
      </w:r>
      <w:r>
        <w:rPr>
          <w:rFonts w:hint="eastAsia" w:ascii="宋体"/>
        </w:rPr>
        <w:t xml:space="preserve">、判断与录波功能，且以上功能可在现场不具备零压和零流测量条件下实现；并支持上送接地故障事件，故障事件包括故障遥信信息及故障发生时刻开关电压、电流值</w:t>
      </w:r>
      <w:r>
        <w:rPr>
          <w:rFonts w:ascii="宋体"/>
        </w:rPr>
        <w:t xml:space="preserve">；</w:t>
      </w:r>
      <w:r>
        <w:rPr>
          <w:rFonts w:hint="eastAsia" w:ascii="宋体"/>
        </w:rPr>
        <w:t xml:space="preserve">支持录波数据循环存储并上传至主站；</w:t>
      </w:r>
      <w:r>
        <w:rPr>
          <w:rFonts w:ascii="宋体"/>
        </w:rPr>
      </w:r>
      <w:r/>
    </w:p>
    <w:p>
      <w:pPr>
        <w:pStyle w:val="1151"/>
        <w:numPr>
          <w:ilvl w:val="0"/>
          <w:numId w:val="23"/>
        </w:numPr>
        <w:spacing w:line="312" w:lineRule="exact"/>
        <w:rPr>
          <w:rFonts w:ascii="宋体"/>
        </w:rPr>
      </w:pPr>
      <w:r>
        <w:rPr>
          <w:rFonts w:hint="eastAsia" w:ascii="宋体"/>
        </w:rPr>
        <w:t xml:space="preserve">具备故障就地动作功能，可直接切除相间短路故障和不同中性点接地方式下接地故障，故障就地动作功能支持按间隔投退；终端就地动作出口和控制出口独立，具备就地维护时就地切除故障能力。具备保护出口硬压板；</w:t>
      </w:r>
      <w:r>
        <w:rPr>
          <w:rFonts w:ascii="宋体"/>
        </w:rPr>
      </w:r>
      <w:r/>
    </w:p>
    <w:p>
      <w:pPr>
        <w:pStyle w:val="1151"/>
        <w:numPr>
          <w:ilvl w:val="0"/>
          <w:numId w:val="23"/>
        </w:numPr>
        <w:spacing w:line="312" w:lineRule="exact"/>
        <w:rPr>
          <w:rFonts w:ascii="宋体"/>
        </w:rPr>
      </w:pPr>
      <w:r>
        <w:rPr>
          <w:rFonts w:hint="eastAsia" w:ascii="宋体"/>
        </w:rPr>
        <w:t xml:space="preserve">具备故障指示手动复归、自动复归和主站远程复归功能，能根据设定时间或线路恢复正常供电后自动复归，也能根据故障性质（瞬时性或永久性）自动选择复归方式；手动复归按钮安装在终端核心单元面板，安装位置应符合附录B的要求；</w:t>
      </w:r>
      <w:r>
        <w:rPr>
          <w:rFonts w:ascii="宋体"/>
        </w:rPr>
      </w:r>
      <w:r/>
    </w:p>
    <w:p>
      <w:pPr>
        <w:pStyle w:val="1151"/>
        <w:numPr>
          <w:ilvl w:val="0"/>
          <w:numId w:val="23"/>
        </w:numPr>
        <w:spacing w:line="312" w:lineRule="exact"/>
        <w:rPr>
          <w:rFonts w:ascii="宋体"/>
        </w:rPr>
      </w:pPr>
      <w:r>
        <w:rPr>
          <w:rFonts w:ascii="宋体"/>
        </w:rPr>
        <w:t xml:space="preserve">具备</w:t>
      </w:r>
      <w:r>
        <w:rPr>
          <w:rFonts w:hint="eastAsia" w:ascii="宋体"/>
        </w:rPr>
        <w:t xml:space="preserve">电压越限</w:t>
      </w:r>
      <w:r>
        <w:rPr>
          <w:rFonts w:ascii="宋体"/>
        </w:rPr>
        <w:t xml:space="preserve">（过压、低压）</w:t>
      </w:r>
      <w:r>
        <w:rPr>
          <w:rFonts w:hint="eastAsia" w:ascii="宋体"/>
        </w:rPr>
        <w:t xml:space="preserve">、</w:t>
      </w:r>
      <w:r>
        <w:rPr>
          <w:rFonts w:ascii="宋体"/>
        </w:rPr>
        <w:t xml:space="preserve">负荷越限（重载、过载）</w:t>
      </w:r>
      <w:r>
        <w:rPr>
          <w:rFonts w:hint="eastAsia" w:ascii="宋体"/>
        </w:rPr>
        <w:t xml:space="preserve">等</w:t>
      </w:r>
      <w:r>
        <w:rPr>
          <w:rFonts w:ascii="宋体"/>
        </w:rPr>
        <w:t xml:space="preserve">告警上送功能；</w:t>
      </w:r>
      <w:r>
        <w:rPr>
          <w:rFonts w:ascii="宋体"/>
        </w:rPr>
      </w:r>
      <w:r/>
    </w:p>
    <w:p>
      <w:pPr>
        <w:pStyle w:val="1151"/>
        <w:numPr>
          <w:ilvl w:val="0"/>
          <w:numId w:val="23"/>
        </w:numPr>
        <w:spacing w:line="312" w:lineRule="exact"/>
        <w:rPr>
          <w:rFonts w:ascii="宋体"/>
        </w:rPr>
      </w:pPr>
      <w:r>
        <w:rPr>
          <w:rFonts w:ascii="宋体"/>
        </w:rPr>
        <w:t xml:space="preserve">具备</w:t>
      </w:r>
      <w:r>
        <w:rPr>
          <w:rFonts w:hint="eastAsia" w:ascii="宋体"/>
        </w:rPr>
        <w:t xml:space="preserve">防止</w:t>
      </w:r>
      <w:r>
        <w:rPr>
          <w:rFonts w:ascii="宋体"/>
        </w:rPr>
        <w:t xml:space="preserve">涌流和负荷波动</w:t>
      </w:r>
      <w:r>
        <w:rPr>
          <w:rFonts w:hint="eastAsia" w:ascii="宋体"/>
        </w:rPr>
        <w:t xml:space="preserve">引起的</w:t>
      </w:r>
      <w:r>
        <w:rPr>
          <w:rFonts w:ascii="宋体"/>
        </w:rPr>
        <w:t xml:space="preserve">误报警功能；</w:t>
      </w:r>
      <w:r>
        <w:rPr>
          <w:rFonts w:ascii="宋体"/>
        </w:rPr>
      </w:r>
      <w:r/>
    </w:p>
    <w:p>
      <w:pPr>
        <w:pStyle w:val="1151"/>
        <w:numPr>
          <w:ilvl w:val="0"/>
          <w:numId w:val="23"/>
        </w:numPr>
        <w:spacing w:line="312" w:lineRule="exact"/>
        <w:rPr>
          <w:rFonts w:ascii="宋体"/>
        </w:rPr>
      </w:pPr>
      <w:r>
        <w:rPr>
          <w:rFonts w:hint="eastAsia" w:ascii="宋体"/>
        </w:rPr>
        <w:t xml:space="preserve">具备CT极性反向调整功能，当根据参数设置调整电流极性</w:t>
      </w:r>
      <w:r>
        <w:rPr>
          <w:rStyle w:val="1246"/>
          <w:rFonts w:hint="eastAsia" w:ascii="宋体" w:hAnsi="宋体" w:eastAsia="宋体"/>
        </w:rPr>
        <w:t xml:space="preserve">，</w:t>
      </w:r>
      <w:r>
        <w:rPr>
          <w:rStyle w:val="1246"/>
          <w:rFonts w:hint="eastAsia" w:ascii="宋体" w:hAnsi="宋体" w:eastAsia="宋体" w:cs="Arial"/>
        </w:rPr>
        <w:t xml:space="preserve">线路运行方式、电源方向发生变化时，单相接地特征方向宜根据功率方向自适应判断</w:t>
      </w:r>
      <w:r>
        <w:rPr>
          <w:rStyle w:val="1246"/>
          <w:rFonts w:hint="eastAsia" w:ascii="宋体" w:hAnsi="宋体" w:eastAsia="宋体"/>
        </w:rPr>
        <w:t xml:space="preserve">。</w:t>
      </w:r>
      <w:r>
        <w:rPr>
          <w:rFonts w:ascii="宋体"/>
        </w:rPr>
      </w:r>
      <w:r/>
    </w:p>
    <w:p>
      <w:pPr>
        <w:pStyle w:val="1151"/>
        <w:numPr>
          <w:ilvl w:val="0"/>
          <w:numId w:val="23"/>
        </w:numPr>
        <w:spacing w:line="312" w:lineRule="exact"/>
        <w:rPr>
          <w:rFonts w:ascii="宋体"/>
        </w:rPr>
      </w:pPr>
      <w:r>
        <w:rPr>
          <w:rStyle w:val="1246"/>
          <w:rFonts w:hint="eastAsia" w:ascii="宋体" w:hAnsi="宋体"/>
          <w:szCs w:val="21"/>
        </w:rPr>
        <w:t xml:space="preserve">当保护动作条件不满足时，保护动作信号经内部短延时自动返回。</w:t>
      </w:r>
      <w:r>
        <w:rPr>
          <w:rFonts w:ascii="宋体"/>
        </w:rPr>
      </w:r>
      <w:r/>
    </w:p>
    <w:p>
      <w:pPr>
        <w:pStyle w:val="1151"/>
      </w:pPr>
      <w:r>
        <w:rPr>
          <w:rFonts w:hint="eastAsia"/>
        </w:rPr>
        <w:t xml:space="preserve">5.3.5.</w:t>
      </w:r>
      <w:r>
        <w:t xml:space="preserve">3</w:t>
      </w:r>
      <w:r>
        <w:rPr>
          <w:rFonts w:hint="eastAsia"/>
        </w:rPr>
        <w:t xml:space="preserve">线损测量功能</w:t>
      </w:r>
      <w:bookmarkEnd w:id="251"/>
      <w:r/>
      <w:r/>
    </w:p>
    <w:p>
      <w:pPr>
        <w:pStyle w:val="1151"/>
        <w:numPr>
          <w:ilvl w:val="0"/>
          <w:numId w:val="24"/>
        </w:numPr>
        <w:spacing w:line="312" w:lineRule="exact"/>
        <w:rPr>
          <w:rFonts w:ascii="宋体"/>
          <w:szCs w:val="22"/>
        </w:rPr>
      </w:pPr>
      <w:r>
        <w:rPr>
          <w:rFonts w:hint="eastAsia" w:ascii="宋体"/>
          <w:szCs w:val="22"/>
        </w:rPr>
        <w:t xml:space="preserve">具备电能计量功能，单独计量每个间隔的正向、反向有功电能量，正向、反向无功电能量和四象限无功电能量；</w:t>
      </w:r>
      <w:r>
        <w:rPr>
          <w:rFonts w:ascii="宋体"/>
          <w:szCs w:val="22"/>
        </w:rPr>
      </w:r>
      <w:r/>
    </w:p>
    <w:p>
      <w:pPr>
        <w:pStyle w:val="1151"/>
        <w:numPr>
          <w:ilvl w:val="0"/>
          <w:numId w:val="24"/>
        </w:numPr>
        <w:spacing w:line="312" w:lineRule="exact"/>
        <w:rPr>
          <w:rFonts w:ascii="宋体"/>
          <w:szCs w:val="22"/>
        </w:rPr>
      </w:pPr>
      <w:r>
        <w:rPr>
          <w:rFonts w:hint="eastAsia" w:ascii="宋体"/>
          <w:szCs w:val="22"/>
        </w:rPr>
        <w:t xml:space="preserve">电能量冻结功能</w:t>
      </w:r>
      <w:r>
        <w:rPr>
          <w:rFonts w:ascii="宋体"/>
          <w:szCs w:val="22"/>
        </w:rPr>
      </w:r>
      <w:r/>
    </w:p>
    <w:p>
      <w:pPr>
        <w:pStyle w:val="1151"/>
        <w:ind w:firstLine="630"/>
        <w:spacing w:line="312" w:lineRule="exact"/>
        <w:rPr>
          <w:rFonts w:ascii="宋体" w:hAnsi="宋体"/>
        </w:rPr>
      </w:pPr>
      <w:r>
        <w:rPr>
          <w:rFonts w:hint="eastAsia" w:ascii="宋体" w:hAnsi="宋体" w:eastAsia="黑体"/>
        </w:rPr>
        <w:t xml:space="preserve">a)</w:t>
      </w:r>
      <w:r>
        <w:rPr>
          <w:rFonts w:hint="eastAsia" w:ascii="宋体" w:hAnsi="宋体"/>
        </w:rPr>
        <w:t xml:space="preserve">定点冻结功能：定点冻结数据每天等间隔记录96条；</w:t>
      </w:r>
      <w:r>
        <w:rPr>
          <w:rFonts w:ascii="宋体" w:hAnsi="宋体"/>
        </w:rPr>
      </w:r>
      <w:r/>
    </w:p>
    <w:p>
      <w:pPr>
        <w:pStyle w:val="1151"/>
        <w:ind w:firstLine="630"/>
        <w:spacing w:line="312" w:lineRule="exact"/>
        <w:rPr>
          <w:rFonts w:ascii="宋体" w:hAnsi="宋体"/>
        </w:rPr>
      </w:pPr>
      <w:r>
        <w:rPr>
          <w:rFonts w:hint="eastAsia" w:ascii="宋体" w:hAnsi="宋体" w:eastAsia="黑体"/>
        </w:rPr>
        <w:t xml:space="preserve">b)</w:t>
      </w:r>
      <w:r>
        <w:rPr>
          <w:rFonts w:hint="eastAsia" w:ascii="宋体" w:hAnsi="宋体"/>
        </w:rPr>
        <w:t xml:space="preserve">日冻结功能：日冻结数据记录零点时刻的电能量；</w:t>
      </w:r>
      <w:r>
        <w:rPr>
          <w:rFonts w:ascii="宋体" w:hAnsi="宋体"/>
        </w:rPr>
      </w:r>
      <w:r/>
    </w:p>
    <w:p>
      <w:pPr>
        <w:pStyle w:val="1151"/>
        <w:ind w:firstLine="630"/>
        <w:spacing w:line="312" w:lineRule="exact"/>
        <w:rPr>
          <w:rFonts w:ascii="宋体" w:hAnsi="宋体"/>
        </w:rPr>
      </w:pPr>
      <w:r>
        <w:rPr>
          <w:rFonts w:hint="eastAsia" w:ascii="宋体" w:hAnsi="宋体" w:eastAsia="黑体"/>
        </w:rPr>
        <w:t xml:space="preserve">C)</w:t>
      </w:r>
      <w:r>
        <w:rPr>
          <w:rFonts w:hint="eastAsia" w:ascii="宋体" w:hAnsi="宋体"/>
        </w:rPr>
        <w:t xml:space="preserve">功率反向电能量冻结功能：冻结数据应包含正向、反向有功电能量，正向、反向无功电能量，四象限无功电能量；冻结记录应循环存储不少于31天定点记录。</w:t>
      </w:r>
      <w:r>
        <w:rPr>
          <w:rFonts w:ascii="宋体" w:hAnsi="宋体"/>
        </w:rPr>
      </w:r>
      <w:r/>
    </w:p>
    <w:p>
      <w:pPr>
        <w:pStyle w:val="1151"/>
        <w:numPr>
          <w:ilvl w:val="0"/>
          <w:numId w:val="24"/>
        </w:numPr>
        <w:spacing w:line="312" w:lineRule="exact"/>
        <w:rPr>
          <w:rFonts w:ascii="宋体"/>
          <w:szCs w:val="22"/>
        </w:rPr>
      </w:pPr>
      <w:r>
        <w:rPr>
          <w:rFonts w:hint="eastAsia" w:ascii="宋体"/>
          <w:szCs w:val="22"/>
        </w:rPr>
        <w:t xml:space="preserve">电度清零</w:t>
      </w:r>
      <w:r>
        <w:rPr>
          <w:rFonts w:ascii="宋体"/>
          <w:szCs w:val="22"/>
        </w:rPr>
      </w:r>
      <w:r/>
    </w:p>
    <w:p>
      <w:pPr>
        <w:pStyle w:val="1151"/>
        <w:ind w:firstLine="630"/>
        <w:spacing w:line="312" w:lineRule="exact"/>
        <w:rPr>
          <w:rFonts w:ascii="宋体" w:hAnsi="宋体"/>
        </w:rPr>
      </w:pPr>
      <w:r>
        <w:rPr>
          <w:rFonts w:hint="eastAsia" w:ascii="宋体" w:hAnsi="宋体" w:eastAsia="黑体"/>
        </w:rPr>
        <w:t xml:space="preserve">a)</w:t>
      </w:r>
      <w:r>
        <w:rPr>
          <w:rFonts w:hint="eastAsia" w:ascii="宋体" w:hAnsi="宋体"/>
        </w:rPr>
        <w:t xml:space="preserve">清除存储的电能量数据；</w:t>
      </w:r>
      <w:r>
        <w:rPr>
          <w:rFonts w:ascii="宋体" w:hAnsi="宋体"/>
        </w:rPr>
      </w:r>
      <w:r/>
    </w:p>
    <w:p>
      <w:pPr>
        <w:pStyle w:val="1151"/>
        <w:ind w:left="425" w:firstLine="210"/>
        <w:spacing w:line="312" w:lineRule="exact"/>
        <w:rPr>
          <w:rFonts w:ascii="宋体"/>
        </w:rPr>
      </w:pPr>
      <w:r>
        <w:rPr>
          <w:rFonts w:hint="eastAsia" w:ascii="宋体" w:hAnsi="宋体" w:eastAsia="黑体"/>
        </w:rPr>
        <w:t xml:space="preserve">b)</w:t>
      </w:r>
      <w:r>
        <w:rPr>
          <w:rFonts w:hint="eastAsia" w:ascii="宋体" w:hAnsi="宋体"/>
        </w:rPr>
        <w:t xml:space="preserve">具备电能量数据整体清零功能。</w:t>
      </w:r>
      <w:r>
        <w:rPr>
          <w:rFonts w:ascii="宋体"/>
        </w:rPr>
      </w:r>
      <w:r/>
    </w:p>
    <w:p>
      <w:pPr>
        <w:pStyle w:val="1151"/>
      </w:pPr>
      <w:r>
        <w:rPr>
          <w:rFonts w:hint="eastAsia"/>
        </w:rPr>
        <w:t xml:space="preserve">5.3.5.</w:t>
      </w:r>
      <w:r>
        <w:t xml:space="preserve">4</w:t>
      </w:r>
      <w:r>
        <w:rPr>
          <w:rFonts w:hint="eastAsia"/>
        </w:rPr>
        <w:t xml:space="preserve">管理功能</w:t>
      </w:r>
      <w:r/>
    </w:p>
    <w:p>
      <w:pPr>
        <w:pStyle w:val="1151"/>
        <w:numPr>
          <w:ilvl w:val="0"/>
          <w:numId w:val="25"/>
        </w:numPr>
        <w:spacing w:line="312" w:lineRule="exact"/>
        <w:rPr>
          <w:rFonts w:ascii="宋体"/>
        </w:rPr>
      </w:pPr>
      <w:r>
        <w:rPr>
          <w:rFonts w:hint="eastAsia" w:ascii="宋体"/>
        </w:rPr>
        <w:t xml:space="preserve">具备当地及远方设定定值功能；</w:t>
      </w:r>
      <w:r>
        <w:rPr>
          <w:rFonts w:ascii="宋体"/>
        </w:rPr>
      </w:r>
      <w:r/>
    </w:p>
    <w:p>
      <w:pPr>
        <w:pStyle w:val="1151"/>
        <w:numPr>
          <w:ilvl w:val="0"/>
          <w:numId w:val="25"/>
        </w:numPr>
        <w:spacing w:line="312" w:lineRule="exact"/>
        <w:rPr>
          <w:rFonts w:ascii="宋体"/>
        </w:rPr>
      </w:pPr>
      <w:r>
        <w:rPr>
          <w:rFonts w:hint="eastAsia" w:ascii="宋体"/>
        </w:rPr>
        <w:t xml:space="preserve">具备终端运行参数的当地及远方调阅与配置功能，配置参数包括零门槛值（零漂）、变化阈值（死区）、重过载报警限值、短路及接地故障动作参数等；</w:t>
      </w:r>
      <w:r>
        <w:rPr>
          <w:rFonts w:ascii="宋体"/>
        </w:rPr>
      </w:r>
      <w:r/>
    </w:p>
    <w:p>
      <w:pPr>
        <w:pStyle w:val="1151"/>
        <w:numPr>
          <w:ilvl w:val="0"/>
          <w:numId w:val="25"/>
        </w:numPr>
        <w:spacing w:line="312" w:lineRule="exact"/>
        <w:rPr>
          <w:rFonts w:ascii="宋体"/>
        </w:rPr>
      </w:pPr>
      <w:r>
        <w:rPr>
          <w:rFonts w:hint="eastAsia" w:ascii="宋体"/>
        </w:rPr>
        <w:t xml:space="preserve">具备终端固有参数的当地及远方调阅功能，调阅参数包括终端类型及出厂型号、终端ID号、嵌入式系统名称及版本号、硬件版本号、软件校验码、通信参数及二次变比等；</w:t>
      </w:r>
      <w:r>
        <w:rPr>
          <w:rFonts w:ascii="宋体"/>
        </w:rPr>
      </w:r>
      <w:r/>
    </w:p>
    <w:p>
      <w:pPr>
        <w:pStyle w:val="1151"/>
        <w:numPr>
          <w:ilvl w:val="0"/>
          <w:numId w:val="25"/>
        </w:numPr>
        <w:spacing w:line="312" w:lineRule="exact"/>
        <w:rPr>
          <w:rFonts w:ascii="宋体"/>
        </w:rPr>
      </w:pPr>
      <w:r>
        <w:rPr>
          <w:rFonts w:hint="eastAsia" w:ascii="宋体"/>
        </w:rPr>
        <w:t xml:space="preserve">具备当地及远方设定定值功能，宜遵循统一的查询、调阅软件界面要求，支持程序远程下载，支持安全密钥远程下载，提供当地调试软件或人机接口</w:t>
      </w:r>
      <w:r>
        <w:rPr>
          <w:rFonts w:ascii="宋体"/>
        </w:rPr>
        <w:t xml:space="preserve">；</w:t>
      </w:r>
      <w:r>
        <w:rPr>
          <w:rFonts w:ascii="宋体"/>
        </w:rPr>
      </w:r>
      <w:r/>
    </w:p>
    <w:p>
      <w:pPr>
        <w:pStyle w:val="1151"/>
        <w:numPr>
          <w:ilvl w:val="0"/>
          <w:numId w:val="25"/>
        </w:numPr>
        <w:spacing w:line="312" w:lineRule="exact"/>
        <w:rPr>
          <w:rFonts w:ascii="宋体"/>
        </w:rPr>
      </w:pPr>
      <w:r>
        <w:rPr>
          <w:rFonts w:hint="eastAsia" w:ascii="宋体"/>
        </w:rPr>
        <w:t xml:space="preserve">应满足通过远方通信口对设备进行参数维护，在进行参数、定值的查看或整定时应保持与主站系统的正常业务连接；</w:t>
      </w:r>
      <w:r>
        <w:rPr>
          <w:rFonts w:ascii="宋体"/>
        </w:rPr>
      </w:r>
      <w:r/>
    </w:p>
    <w:p>
      <w:pPr>
        <w:pStyle w:val="1151"/>
        <w:numPr>
          <w:ilvl w:val="0"/>
          <w:numId w:val="25"/>
        </w:numPr>
        <w:spacing w:line="312" w:lineRule="exact"/>
        <w:rPr>
          <w:rFonts w:ascii="宋体"/>
        </w:rPr>
      </w:pPr>
      <w:r>
        <w:rPr>
          <w:rFonts w:hint="eastAsia" w:ascii="宋体"/>
        </w:rPr>
        <w:t xml:space="preserve">具备终端日志记录功能；</w:t>
      </w:r>
      <w:r>
        <w:rPr>
          <w:rFonts w:ascii="宋体"/>
        </w:rPr>
      </w:r>
      <w:r/>
    </w:p>
    <w:p>
      <w:pPr>
        <w:pStyle w:val="1151"/>
        <w:numPr>
          <w:ilvl w:val="0"/>
          <w:numId w:val="25"/>
        </w:numPr>
        <w:spacing w:line="312" w:lineRule="exact"/>
        <w:rPr>
          <w:rFonts w:ascii="宋体"/>
        </w:rPr>
      </w:pPr>
      <w:r>
        <w:rPr>
          <w:rFonts w:hint="eastAsia" w:ascii="宋体"/>
        </w:rPr>
        <w:t xml:space="preserve">具有明显的线路故障、终端状态和通信状态等就地状态指示信号。</w:t>
      </w:r>
      <w:r>
        <w:rPr>
          <w:rFonts w:ascii="宋体"/>
        </w:rPr>
      </w:r>
      <w:r/>
    </w:p>
    <w:p>
      <w:pPr>
        <w:pStyle w:val="1151"/>
      </w:pPr>
      <w:r>
        <w:rPr>
          <w:rFonts w:hint="eastAsia"/>
        </w:rPr>
        <w:t xml:space="preserve">5.3.5.</w:t>
      </w:r>
      <w:r>
        <w:t xml:space="preserve">5</w:t>
      </w:r>
      <w:r>
        <w:rPr>
          <w:rFonts w:hint="eastAsia"/>
        </w:rPr>
        <w:t xml:space="preserve">对时和定位功能</w:t>
      </w:r>
      <w:r/>
    </w:p>
    <w:p>
      <w:pPr>
        <w:pStyle w:val="1151"/>
        <w:numPr>
          <w:ilvl w:val="0"/>
          <w:numId w:val="26"/>
        </w:numPr>
        <w:spacing w:line="312" w:lineRule="exact"/>
        <w:rPr>
          <w:rFonts w:ascii="宋体"/>
        </w:rPr>
      </w:pPr>
      <w:r>
        <w:rPr>
          <w:rFonts w:hint="eastAsia" w:ascii="宋体"/>
        </w:rPr>
        <w:t xml:space="preserve">具备对时功能，支持主站规约、北斗/GPS等对时方式，优先北斗/GPS对时；站所终端自带北斗/GPS双模模块，提供天线接口，通过外接天线实现与北斗/GPS的连接。北斗/GPS对时精度应不大于5ms；主站规约对时，光纤通道对时精度应不大于1秒，无线通信方式对时精度应不大于10秒；守时精度不大于2秒/天；</w:t>
      </w:r>
      <w:r>
        <w:rPr>
          <w:rFonts w:ascii="宋体"/>
        </w:rPr>
      </w:r>
      <w:r/>
    </w:p>
    <w:p>
      <w:pPr>
        <w:pStyle w:val="1151"/>
        <w:numPr>
          <w:ilvl w:val="0"/>
          <w:numId w:val="26"/>
        </w:numPr>
        <w:spacing w:line="312" w:lineRule="exact"/>
      </w:pPr>
      <w:r>
        <w:rPr>
          <w:rFonts w:hint="eastAsia" w:ascii="宋体"/>
        </w:rPr>
        <w:t xml:space="preserve">具备北斗/GPS定位功能，定位精度不大于10米；具备将定位数据上送主站功能。</w:t>
      </w:r>
      <w:r/>
    </w:p>
    <w:p>
      <w:pPr>
        <w:pStyle w:val="1151"/>
      </w:pPr>
      <w:r>
        <w:rPr>
          <w:rFonts w:hint="eastAsia"/>
        </w:rPr>
        <w:t xml:space="preserve">5.3.5.</w:t>
      </w:r>
      <w:r>
        <w:t xml:space="preserve">6</w:t>
      </w:r>
      <w:r>
        <w:rPr>
          <w:rFonts w:hint="eastAsia"/>
        </w:rPr>
        <w:t xml:space="preserve">安全功能</w:t>
      </w:r>
      <w:r/>
    </w:p>
    <w:p>
      <w:pPr>
        <w:pStyle w:val="1151"/>
        <w:numPr>
          <w:ilvl w:val="0"/>
          <w:numId w:val="27"/>
        </w:numPr>
        <w:spacing w:line="312" w:lineRule="exact"/>
        <w:rPr>
          <w:rFonts w:ascii="宋体"/>
        </w:rPr>
      </w:pPr>
      <w:r>
        <w:rPr>
          <w:rFonts w:hint="eastAsia" w:ascii="宋体"/>
        </w:rPr>
        <w:t xml:space="preserve">具备基于内嵌安全芯片实现的信息安全防护功能，安全防护功能至少包括基于国产商用密码算法的统一密钥和数字证书，可与配电主站实现双向身份认证、参数配置等的签名验证、数据的加解密与完整性保护；</w:t>
      </w:r>
      <w:r>
        <w:rPr>
          <w:rFonts w:ascii="宋体"/>
        </w:rPr>
      </w:r>
      <w:r/>
    </w:p>
    <w:p>
      <w:pPr>
        <w:pStyle w:val="1151"/>
        <w:numPr>
          <w:ilvl w:val="0"/>
          <w:numId w:val="27"/>
        </w:numPr>
        <w:spacing w:line="312" w:lineRule="exact"/>
        <w:rPr>
          <w:rFonts w:ascii="宋体"/>
        </w:rPr>
      </w:pPr>
      <w:r>
        <w:rPr>
          <w:rFonts w:hint="eastAsia" w:ascii="宋体"/>
        </w:rPr>
        <w:t xml:space="preserve">支持安全密钥管理功能，包括远程下载、更新、恢复等；</w:t>
      </w:r>
      <w:r>
        <w:rPr>
          <w:rFonts w:ascii="宋体"/>
        </w:rPr>
      </w:r>
      <w:r/>
    </w:p>
    <w:p>
      <w:pPr>
        <w:pStyle w:val="1151"/>
        <w:numPr>
          <w:ilvl w:val="0"/>
          <w:numId w:val="27"/>
        </w:numPr>
        <w:spacing w:line="312" w:lineRule="exact"/>
        <w:rPr>
          <w:rFonts w:ascii="宋体"/>
        </w:rPr>
      </w:pPr>
      <w:r>
        <w:rPr>
          <w:rFonts w:hint="eastAsia" w:ascii="宋体" w:cs="宋体"/>
          <w:szCs w:val="21"/>
        </w:rPr>
        <w:t xml:space="preserve">当采用串口进行本地运维时，终端应基于内嵌安全芯片，实现对运维工具的身份认证，以及交互运维数据的加解密；</w:t>
      </w:r>
      <w:r>
        <w:rPr>
          <w:rFonts w:ascii="宋体"/>
        </w:rPr>
      </w:r>
      <w:r/>
    </w:p>
    <w:p>
      <w:pPr>
        <w:pStyle w:val="1151"/>
        <w:numPr>
          <w:ilvl w:val="0"/>
          <w:numId w:val="27"/>
        </w:numPr>
        <w:spacing w:line="312" w:lineRule="exact"/>
        <w:rPr>
          <w:rFonts w:ascii="宋体"/>
        </w:rPr>
      </w:pPr>
      <w:r>
        <w:rPr>
          <w:rFonts w:hint="eastAsia" w:ascii="宋体" w:cs="宋体"/>
          <w:szCs w:val="21"/>
        </w:rPr>
        <w:t xml:space="preserve">当采用蓝牙通信方式进行本地运维时，终端应采用支持安全加密功能的蓝牙通信模块，实现与运维工具之间的连接加密；并通过终端内嵌安全芯片，实现终端对运维工具的身份认证和数据加解密；</w:t>
      </w:r>
      <w:r>
        <w:rPr>
          <w:rFonts w:ascii="宋体"/>
        </w:rPr>
      </w:r>
      <w:r/>
    </w:p>
    <w:p>
      <w:pPr>
        <w:pStyle w:val="1151"/>
        <w:numPr>
          <w:ilvl w:val="0"/>
          <w:numId w:val="27"/>
        </w:numPr>
        <w:spacing w:line="312" w:lineRule="exact"/>
        <w:rPr>
          <w:rFonts w:ascii="宋体"/>
        </w:rPr>
      </w:pPr>
      <w:r>
        <w:rPr>
          <w:rFonts w:hint="eastAsia" w:ascii="宋体"/>
        </w:rPr>
        <w:t xml:space="preserve">站所终端应满足《电力监控系统安全防护规定》（国家发展和改革委员会令2014年第14号）、《关于印发电力监控系统安全防护总体方案等安全防护方案和评估规范的通知》（国能安全〔2015〕36号）及《国家电网公司关于进一步加强配电自动化系统安全防护工作的通知》（国家电网运检〔2016〕576号）中相应的安全防护要求。</w:t>
      </w:r>
      <w:r>
        <w:rPr>
          <w:rFonts w:ascii="宋体"/>
        </w:rPr>
      </w:r>
      <w:r/>
    </w:p>
    <w:p>
      <w:pPr>
        <w:pStyle w:val="1151"/>
      </w:pPr>
      <w:r>
        <w:rPr>
          <w:rFonts w:hint="eastAsia"/>
        </w:rPr>
        <w:t xml:space="preserve">5.3.5.</w:t>
      </w:r>
      <w:r>
        <w:t xml:space="preserve">7</w:t>
      </w:r>
      <w:r>
        <w:rPr>
          <w:rFonts w:hint="eastAsia"/>
        </w:rPr>
        <w:t xml:space="preserve">分布式馈线自动化功能</w:t>
      </w:r>
      <w:r/>
    </w:p>
    <w:p>
      <w:pPr>
        <w:pStyle w:val="1245"/>
        <w:numPr>
          <w:ilvl w:val="0"/>
          <w:numId w:val="28"/>
        </w:numPr>
        <w:ind w:left="0" w:firstLine="0"/>
        <w:jc w:val="left"/>
        <w:keepLines/>
        <w:keepNext/>
        <w:spacing w:line="360" w:lineRule="auto"/>
        <w:rPr>
          <w:rStyle w:val="1246"/>
          <w:rFonts w:hAnsi="宋体"/>
        </w:rPr>
      </w:pPr>
      <w:r>
        <w:rPr>
          <w:rStyle w:val="1246"/>
          <w:rFonts w:hint="eastAsia" w:hAnsi="宋体"/>
        </w:rPr>
        <w:t xml:space="preserve">配置要求</w:t>
      </w:r>
      <w:r>
        <w:rPr>
          <w:rStyle w:val="1246"/>
          <w:rFonts w:hAnsi="宋体"/>
        </w:rPr>
      </w:r>
      <w:r/>
    </w:p>
    <w:p>
      <w:pPr>
        <w:pStyle w:val="1245"/>
        <w:ind w:firstLine="420"/>
        <w:rPr>
          <w:rStyle w:val="1246"/>
          <w:rFonts w:hAnsi="宋体"/>
        </w:rPr>
      </w:pPr>
      <w:r>
        <w:rPr>
          <w:rStyle w:val="1246"/>
          <w:rFonts w:hint="eastAsia" w:hAnsi="宋体"/>
        </w:rPr>
        <w:t xml:space="preserve">对配电网故障定位、隔离、恢复快速性要求较高</w:t>
      </w:r>
      <w:r>
        <w:rPr>
          <w:rStyle w:val="1246"/>
          <w:rFonts w:hAnsi="宋体"/>
        </w:rPr>
        <w:t xml:space="preserve">的</w:t>
      </w:r>
      <w:r>
        <w:rPr>
          <w:rStyle w:val="1246"/>
          <w:rFonts w:hint="eastAsia" w:hAnsi="宋体"/>
        </w:rPr>
        <w:t xml:space="preserve">场合，在主干线、母线、首开关、联络开关等配置分布式FA，通过GOOSE通信实现信号交互；主干线使用信号量纵联保护。</w:t>
      </w:r>
      <w:r>
        <w:rPr>
          <w:rStyle w:val="1246"/>
          <w:rFonts w:hint="eastAsia" w:ascii="宋体" w:hAnsi="宋体"/>
        </w:rPr>
        <w:t xml:space="preserve">主要适用于单电源辐射状、单环网、双环网、双花瓣、N供一备、N供多备等典型网架</w:t>
      </w:r>
      <w:r>
        <w:rPr>
          <w:rStyle w:val="1246"/>
          <w:rFonts w:hint="eastAsia" w:hAnsi="宋体"/>
        </w:rPr>
        <w:t xml:space="preserve">。</w:t>
      </w:r>
      <w:r>
        <w:rPr>
          <w:rStyle w:val="1246"/>
          <w:rFonts w:hAnsi="宋体"/>
        </w:rPr>
      </w:r>
      <w:r/>
    </w:p>
    <w:p>
      <w:pPr>
        <w:pStyle w:val="1245"/>
        <w:numPr>
          <w:ilvl w:val="0"/>
          <w:numId w:val="28"/>
        </w:numPr>
        <w:ind w:left="0" w:firstLine="0"/>
        <w:jc w:val="left"/>
        <w:keepLines/>
        <w:keepNext/>
        <w:spacing w:line="360" w:lineRule="auto"/>
        <w:rPr>
          <w:rStyle w:val="1246"/>
          <w:rFonts w:hAnsi="宋体"/>
        </w:rPr>
      </w:pPr>
      <w:r>
        <w:rPr>
          <w:rStyle w:val="1246"/>
          <w:rFonts w:hint="eastAsia" w:hAnsi="宋体"/>
        </w:rPr>
        <w:t xml:space="preserve">配置技术原则</w:t>
      </w:r>
      <w:r>
        <w:rPr>
          <w:rStyle w:val="1246"/>
          <w:rFonts w:hAnsi="宋体"/>
        </w:rPr>
      </w:r>
      <w:r/>
    </w:p>
    <w:p>
      <w:pPr>
        <w:pStyle w:val="1249"/>
        <w:numPr>
          <w:ilvl w:val="0"/>
          <w:numId w:val="29"/>
        </w:numPr>
        <w:ind w:left="0" w:firstLine="420"/>
        <w:jc w:val="left"/>
        <w:spacing w:line="360" w:lineRule="auto"/>
        <w:rPr>
          <w:rFonts w:ascii="宋体" w:cs="宋体"/>
          <w:szCs w:val="21"/>
        </w:rPr>
      </w:pPr>
      <w:r>
        <w:rPr>
          <w:rFonts w:hint="eastAsia" w:ascii="宋体" w:cs="宋体"/>
          <w:szCs w:val="21"/>
        </w:rPr>
        <w:t xml:space="preserve">分布式馈线自动化处理不依赖主站或子站，主要通过检测故障区段两侧短路电流、接地故障的特征差异，通过相互通信自动实现馈线的故障定位、隔离和非故障区域恢复供电的功能，并将处理过程及结果上报配电自动化主站。支持速动型馈线自动化；</w:t>
      </w:r>
      <w:r>
        <w:rPr>
          <w:rFonts w:ascii="宋体" w:cs="宋体"/>
          <w:szCs w:val="21"/>
        </w:rPr>
      </w:r>
      <w:r/>
    </w:p>
    <w:p>
      <w:pPr>
        <w:pStyle w:val="1249"/>
        <w:numPr>
          <w:ilvl w:val="0"/>
          <w:numId w:val="29"/>
        </w:numPr>
        <w:ind w:left="0" w:firstLine="420"/>
        <w:jc w:val="left"/>
        <w:spacing w:line="360" w:lineRule="auto"/>
        <w:rPr>
          <w:rFonts w:ascii="宋体" w:cs="宋体"/>
          <w:szCs w:val="21"/>
        </w:rPr>
      </w:pPr>
      <w:r>
        <w:rPr>
          <w:rFonts w:hint="eastAsia" w:ascii="宋体" w:cs="宋体"/>
          <w:szCs w:val="21"/>
        </w:rPr>
        <w:t xml:space="preserve">速动型分布式馈线自动化，在故障定位完成后，在变电站馈线保护动作之前隔离相应故障区段，随后判断联络电源转供条件满足与否，若满足，合上联络开关完成非故障停电区域的供电恢复；</w:t>
      </w:r>
      <w:r>
        <w:rPr>
          <w:rFonts w:ascii="宋体" w:cs="宋体"/>
          <w:szCs w:val="21"/>
        </w:rPr>
      </w:r>
      <w:r/>
    </w:p>
    <w:p>
      <w:pPr>
        <w:pStyle w:val="1249"/>
        <w:numPr>
          <w:ilvl w:val="0"/>
          <w:numId w:val="29"/>
        </w:numPr>
        <w:ind w:left="0" w:firstLine="420"/>
        <w:jc w:val="left"/>
        <w:spacing w:line="360" w:lineRule="auto"/>
        <w:rPr>
          <w:rFonts w:ascii="宋体" w:cs="宋体"/>
          <w:szCs w:val="21"/>
        </w:rPr>
      </w:pPr>
      <w:r>
        <w:rPr>
          <w:rFonts w:ascii="宋体" w:cs="宋体"/>
          <w:szCs w:val="21"/>
        </w:rPr>
        <w:t xml:space="preserve">速动型模式可通过定值投退；</w:t>
      </w:r>
      <w:r>
        <w:rPr>
          <w:rFonts w:ascii="宋体" w:cs="宋体"/>
          <w:szCs w:val="21"/>
        </w:rPr>
      </w:r>
      <w:r/>
    </w:p>
    <w:p>
      <w:pPr>
        <w:pStyle w:val="1249"/>
        <w:numPr>
          <w:ilvl w:val="0"/>
          <w:numId w:val="29"/>
        </w:numPr>
        <w:ind w:left="0" w:firstLine="420"/>
        <w:jc w:val="left"/>
        <w:spacing w:line="360" w:lineRule="auto"/>
        <w:rPr>
          <w:rFonts w:ascii="宋体" w:cs="宋体"/>
          <w:szCs w:val="21"/>
        </w:rPr>
      </w:pPr>
      <w:r>
        <w:rPr>
          <w:rFonts w:ascii="宋体" w:cs="宋体"/>
          <w:szCs w:val="21"/>
        </w:rPr>
        <w:t xml:space="preserve">分布式馈线自动化静态拓扑模型发生变化时仅需修改相邻的终端</w:t>
      </w:r>
      <w:r>
        <w:rPr>
          <w:rFonts w:hint="eastAsia" w:ascii="宋体" w:cs="宋体"/>
          <w:szCs w:val="21"/>
        </w:rPr>
        <w:t xml:space="preserve">配置</w:t>
      </w:r>
      <w:r>
        <w:rPr>
          <w:rFonts w:ascii="宋体" w:cs="宋体"/>
          <w:szCs w:val="21"/>
        </w:rPr>
        <w:t xml:space="preserve">；</w:t>
      </w:r>
      <w:r>
        <w:rPr>
          <w:rFonts w:ascii="宋体" w:cs="宋体"/>
          <w:szCs w:val="21"/>
        </w:rPr>
      </w:r>
      <w:r/>
    </w:p>
    <w:p>
      <w:pPr>
        <w:pStyle w:val="1249"/>
        <w:numPr>
          <w:ilvl w:val="0"/>
          <w:numId w:val="29"/>
        </w:numPr>
        <w:ind w:left="0" w:firstLine="420"/>
        <w:jc w:val="left"/>
        <w:spacing w:line="360" w:lineRule="auto"/>
        <w:rPr>
          <w:rFonts w:ascii="宋体" w:cs="宋体"/>
          <w:szCs w:val="21"/>
        </w:rPr>
      </w:pPr>
      <w:r>
        <w:rPr>
          <w:rFonts w:ascii="宋体" w:cs="宋体"/>
          <w:szCs w:val="21"/>
        </w:rPr>
        <w:t xml:space="preserve">应配套分布式馈线自动化维护工具软件；</w:t>
      </w:r>
      <w:r>
        <w:rPr>
          <w:rFonts w:ascii="宋体" w:cs="宋体"/>
          <w:szCs w:val="21"/>
        </w:rPr>
      </w:r>
      <w:r/>
    </w:p>
    <w:p>
      <w:pPr>
        <w:pStyle w:val="1249"/>
        <w:numPr>
          <w:ilvl w:val="0"/>
          <w:numId w:val="29"/>
        </w:numPr>
        <w:ind w:left="0" w:firstLine="420"/>
        <w:jc w:val="left"/>
        <w:spacing w:line="360" w:lineRule="auto"/>
        <w:rPr>
          <w:rFonts w:ascii="宋体" w:cs="宋体"/>
          <w:szCs w:val="21"/>
        </w:rPr>
      </w:pPr>
      <w:r>
        <w:rPr>
          <w:rFonts w:ascii="宋体" w:cs="宋体"/>
          <w:szCs w:val="21"/>
        </w:rPr>
        <w:t xml:space="preserve">应支持主站远方投退</w:t>
      </w:r>
      <w:r>
        <w:rPr>
          <w:rFonts w:hint="eastAsia" w:ascii="宋体" w:cs="宋体"/>
          <w:szCs w:val="21"/>
        </w:rPr>
        <w:t xml:space="preserve">配电终端</w:t>
      </w:r>
      <w:r>
        <w:rPr>
          <w:rFonts w:ascii="宋体" w:cs="宋体"/>
          <w:szCs w:val="21"/>
        </w:rPr>
        <w:t xml:space="preserve">分布式馈线自动化软压板；</w:t>
      </w:r>
      <w:r>
        <w:rPr>
          <w:rFonts w:ascii="宋体" w:cs="宋体"/>
          <w:szCs w:val="21"/>
        </w:rPr>
      </w:r>
      <w:r/>
    </w:p>
    <w:p>
      <w:pPr>
        <w:pStyle w:val="1249"/>
        <w:numPr>
          <w:ilvl w:val="0"/>
          <w:numId w:val="29"/>
        </w:numPr>
        <w:ind w:left="0" w:firstLine="420"/>
        <w:jc w:val="left"/>
        <w:spacing w:line="360" w:lineRule="auto"/>
        <w:rPr>
          <w:rFonts w:ascii="宋体" w:cs="宋体"/>
          <w:szCs w:val="21"/>
        </w:rPr>
      </w:pPr>
      <w:r>
        <w:rPr>
          <w:rFonts w:hint="eastAsia" w:ascii="宋体" w:cs="宋体"/>
          <w:szCs w:val="21"/>
        </w:rPr>
        <w:t xml:space="preserve">终端在分布式馈线自动化功能退出、通信中断、装置异常等情况下，可闭锁全线或本终端的分布式馈线自动化功能；</w:t>
      </w:r>
      <w:r>
        <w:rPr>
          <w:rFonts w:ascii="宋体" w:cs="宋体"/>
          <w:szCs w:val="21"/>
        </w:rPr>
      </w:r>
      <w:r/>
    </w:p>
    <w:p>
      <w:pPr>
        <w:pStyle w:val="1249"/>
        <w:numPr>
          <w:ilvl w:val="0"/>
          <w:numId w:val="29"/>
        </w:numPr>
        <w:ind w:left="0" w:firstLine="420"/>
        <w:jc w:val="left"/>
        <w:spacing w:line="360" w:lineRule="auto"/>
        <w:rPr>
          <w:rFonts w:ascii="宋体" w:cs="宋体"/>
          <w:szCs w:val="21"/>
        </w:rPr>
      </w:pPr>
      <w:r>
        <w:rPr>
          <w:rFonts w:ascii="宋体" w:cs="宋体"/>
          <w:szCs w:val="21"/>
        </w:rPr>
        <w:t xml:space="preserve">分布式馈线自动化能够自适应线路运行方式的改变，运行方式改变时不需要对</w:t>
      </w:r>
      <w:r>
        <w:rPr>
          <w:rFonts w:hint="eastAsia" w:ascii="宋体" w:cs="宋体"/>
          <w:szCs w:val="21"/>
        </w:rPr>
        <w:t xml:space="preserve">拓扑</w:t>
      </w:r>
      <w:r>
        <w:rPr>
          <w:rFonts w:ascii="宋体" w:cs="宋体"/>
          <w:szCs w:val="21"/>
        </w:rPr>
        <w:t xml:space="preserve">参数作修改；</w:t>
      </w:r>
      <w:r>
        <w:rPr>
          <w:rFonts w:ascii="宋体" w:cs="宋体"/>
          <w:szCs w:val="21"/>
        </w:rPr>
      </w:r>
      <w:r/>
    </w:p>
    <w:p>
      <w:pPr>
        <w:pStyle w:val="1249"/>
        <w:numPr>
          <w:ilvl w:val="0"/>
          <w:numId w:val="29"/>
        </w:numPr>
        <w:ind w:left="0" w:firstLine="420"/>
        <w:jc w:val="left"/>
        <w:spacing w:line="360" w:lineRule="auto"/>
        <w:rPr>
          <w:rFonts w:ascii="宋体" w:cs="宋体"/>
          <w:szCs w:val="21"/>
        </w:rPr>
      </w:pPr>
      <w:r>
        <w:rPr>
          <w:rFonts w:ascii="宋体" w:cs="宋体"/>
          <w:szCs w:val="21"/>
        </w:rPr>
        <w:t xml:space="preserve">故障处理全过程完成后，再次发生故障时，终端仍应可以进行故障处理；</w:t>
      </w:r>
      <w:r>
        <w:rPr>
          <w:rFonts w:ascii="宋体" w:cs="宋体"/>
          <w:szCs w:val="21"/>
        </w:rPr>
      </w:r>
      <w:r/>
    </w:p>
    <w:p>
      <w:pPr>
        <w:pStyle w:val="1249"/>
        <w:numPr>
          <w:ilvl w:val="0"/>
          <w:numId w:val="29"/>
        </w:numPr>
        <w:ind w:left="0" w:firstLine="420"/>
        <w:jc w:val="left"/>
        <w:spacing w:line="360" w:lineRule="auto"/>
        <w:rPr>
          <w:rFonts w:ascii="宋体" w:cs="宋体"/>
          <w:szCs w:val="21"/>
        </w:rPr>
      </w:pPr>
      <w:r>
        <w:rPr>
          <w:rFonts w:ascii="宋体" w:cs="宋体"/>
          <w:szCs w:val="21"/>
        </w:rPr>
        <w:t xml:space="preserve">分布式馈线自动化</w:t>
      </w:r>
      <w:r>
        <w:rPr>
          <w:rFonts w:hint="eastAsia" w:ascii="宋体" w:cs="宋体"/>
          <w:szCs w:val="21"/>
        </w:rPr>
        <w:t xml:space="preserve">运行状态、</w:t>
      </w:r>
      <w:r>
        <w:rPr>
          <w:rFonts w:ascii="宋体" w:cs="宋体"/>
          <w:szCs w:val="21"/>
        </w:rPr>
        <w:t xml:space="preserve">处理过程及结果可上报主站</w:t>
      </w:r>
      <w:r>
        <w:rPr>
          <w:rFonts w:hint="eastAsia" w:ascii="宋体" w:cs="宋体"/>
          <w:szCs w:val="21"/>
        </w:rPr>
        <w:t xml:space="preserve">，包括但不限于FA投退、FA闭锁、FA跳闸动作、FA合闸动作、转供闭锁、拒动信息、通信异常；</w:t>
      </w:r>
      <w:r>
        <w:rPr>
          <w:rFonts w:ascii="宋体" w:cs="宋体"/>
          <w:szCs w:val="21"/>
        </w:rPr>
      </w:r>
      <w:r/>
    </w:p>
    <w:p>
      <w:pPr>
        <w:pStyle w:val="1249"/>
        <w:numPr>
          <w:ilvl w:val="0"/>
          <w:numId w:val="29"/>
        </w:numPr>
        <w:ind w:left="0" w:firstLine="420"/>
        <w:jc w:val="left"/>
        <w:spacing w:line="360" w:lineRule="auto"/>
        <w:rPr>
          <w:rFonts w:ascii="宋体" w:cs="宋体"/>
          <w:szCs w:val="21"/>
        </w:rPr>
      </w:pPr>
      <w:r>
        <w:rPr>
          <w:rFonts w:hint="eastAsia" w:ascii="宋体" w:cs="宋体"/>
          <w:szCs w:val="21"/>
        </w:rPr>
        <w:t xml:space="preserve">故障区段隔离成功之后，预判转供线路</w:t>
      </w:r>
      <w:r>
        <w:rPr>
          <w:rFonts w:ascii="宋体" w:cs="宋体"/>
          <w:szCs w:val="21"/>
        </w:rPr>
        <w:t xml:space="preserve">出</w:t>
      </w:r>
      <w:r>
        <w:rPr>
          <w:rFonts w:hint="eastAsia" w:ascii="宋体" w:cs="宋体"/>
          <w:szCs w:val="21"/>
        </w:rPr>
        <w:t xml:space="preserve">现</w:t>
      </w:r>
      <w:r>
        <w:rPr>
          <w:rFonts w:ascii="宋体" w:cs="宋体"/>
          <w:szCs w:val="21"/>
        </w:rPr>
        <w:t xml:space="preserve">过负荷时，应停止</w:t>
      </w:r>
      <w:r>
        <w:rPr>
          <w:rFonts w:hint="eastAsia" w:ascii="宋体" w:cs="宋体"/>
          <w:szCs w:val="21"/>
        </w:rPr>
        <w:t xml:space="preserve">转供</w:t>
      </w:r>
      <w:r>
        <w:rPr>
          <w:rFonts w:ascii="宋体" w:cs="宋体"/>
          <w:szCs w:val="21"/>
        </w:rPr>
        <w:t xml:space="preserve">过程</w:t>
      </w:r>
      <w:r>
        <w:rPr>
          <w:rFonts w:hint="eastAsia" w:ascii="宋体" w:cs="宋体"/>
          <w:szCs w:val="21"/>
        </w:rPr>
        <w:t xml:space="preserve">，本次FA处理过程结束</w:t>
      </w:r>
      <w:r>
        <w:rPr>
          <w:rFonts w:ascii="宋体" w:cs="宋体"/>
          <w:szCs w:val="21"/>
        </w:rPr>
        <w:t xml:space="preserve">。</w:t>
      </w:r>
      <w:r>
        <w:rPr>
          <w:rFonts w:ascii="宋体" w:cs="宋体"/>
          <w:szCs w:val="21"/>
        </w:rPr>
      </w:r>
      <w:r/>
    </w:p>
    <w:p>
      <w:pPr>
        <w:pStyle w:val="1245"/>
        <w:numPr>
          <w:ilvl w:val="0"/>
          <w:numId w:val="28"/>
        </w:numPr>
        <w:ind w:left="0" w:firstLine="0"/>
        <w:jc w:val="left"/>
        <w:keepLines/>
        <w:keepNext/>
        <w:spacing w:line="360" w:lineRule="auto"/>
        <w:rPr>
          <w:rStyle w:val="1246"/>
          <w:rFonts w:hAnsi="宋体"/>
        </w:rPr>
      </w:pPr>
      <w:r>
        <w:rPr>
          <w:rStyle w:val="1246"/>
          <w:rFonts w:hint="eastAsia" w:hAnsi="宋体"/>
        </w:rPr>
        <w:t xml:space="preserve">功能说明</w:t>
      </w:r>
      <w:r>
        <w:rPr>
          <w:rStyle w:val="1246"/>
          <w:rFonts w:hAnsi="宋体"/>
        </w:rPr>
      </w:r>
      <w:r/>
    </w:p>
    <w:p>
      <w:pPr>
        <w:pStyle w:val="1249"/>
        <w:numPr>
          <w:ilvl w:val="0"/>
          <w:numId w:val="30"/>
        </w:numPr>
        <w:jc w:val="left"/>
        <w:spacing w:line="360" w:lineRule="auto"/>
        <w:rPr>
          <w:rFonts w:ascii="宋体" w:cs="宋体"/>
          <w:szCs w:val="21"/>
        </w:rPr>
      </w:pPr>
      <w:r>
        <w:rPr>
          <w:rFonts w:hint="eastAsia" w:ascii="宋体" w:cs="宋体"/>
          <w:szCs w:val="21"/>
        </w:rPr>
        <w:t xml:space="preserve">分布式FA隔离功能逻辑</w:t>
      </w:r>
      <w:r>
        <w:rPr>
          <w:rFonts w:ascii="宋体" w:cs="宋体"/>
          <w:szCs w:val="21"/>
        </w:rPr>
      </w:r>
      <w:r/>
    </w:p>
    <w:p>
      <w:pPr>
        <w:pStyle w:val="1249"/>
        <w:ind w:left="420" w:firstLine="0"/>
        <w:jc w:val="left"/>
        <w:rPr>
          <w:rFonts w:ascii="宋体" w:cs="宋体"/>
          <w:szCs w:val="21"/>
        </w:rPr>
      </w:pPr>
      <w:r>
        <w:rPr>
          <w:rFonts w:hint="eastAsia" w:ascii="宋体" w:cs="宋体"/>
          <w:szCs w:val="21"/>
        </w:rPr>
        <w:t xml:space="preserve">分布式FA隔离功能投入，GOOSE通信正常，满足动作条件后经延时出口。</w:t>
      </w:r>
      <w:r>
        <w:rPr>
          <w:rFonts w:ascii="宋体" w:cs="宋体"/>
          <w:szCs w:val="21"/>
        </w:rPr>
      </w:r>
      <w:r/>
    </w:p>
    <w:p>
      <w:pPr>
        <w:pStyle w:val="1151"/>
        <w:jc w:val="center"/>
        <w:rPr>
          <w:rFonts w:ascii="宋体" w:cs="宋体"/>
          <w:szCs w:val="21"/>
        </w:rPr>
      </w:pPr>
      <w:r>
        <w:object w:dxaOrig="8370" w:dyaOrig="111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14.7pt;height:54.0pt;mso-wrap-distance-left:0.0pt;mso-wrap-distance-top:0.0pt;mso-wrap-distance-right:0.0pt;mso-wrap-distance-bottom:0.0pt;" filled="f" stroked="f">
            <v:path textboxrect="0,0,0,0"/>
            <v:imagedata r:id="rId70" o:title=""/>
          </v:shape>
          <o:OLEObject DrawAspect="Content" r:id="rId71" ObjectID="_15250459" ProgID="" ShapeID="_x0000_i59" Type="Embed"/>
        </w:object>
      </w:r>
      <w:r>
        <w:rPr>
          <w:rFonts w:ascii="宋体" w:cs="宋体"/>
          <w:szCs w:val="21"/>
        </w:rPr>
      </w:r>
      <w:r/>
    </w:p>
    <w:p>
      <w:pPr>
        <w:pStyle w:val="1249"/>
        <w:numPr>
          <w:ilvl w:val="0"/>
          <w:numId w:val="30"/>
        </w:numPr>
        <w:ind w:left="0" w:firstLine="420"/>
        <w:jc w:val="left"/>
        <w:spacing w:line="360" w:lineRule="auto"/>
        <w:rPr>
          <w:rFonts w:ascii="宋体" w:cs="宋体"/>
          <w:szCs w:val="21"/>
        </w:rPr>
      </w:pPr>
      <w:r>
        <w:rPr>
          <w:rFonts w:hint="eastAsia" w:ascii="宋体" w:cs="宋体"/>
          <w:szCs w:val="21"/>
        </w:rPr>
        <w:t xml:space="preserve">分布式FA恢复功能逻辑</w:t>
      </w:r>
      <w:r>
        <w:rPr>
          <w:rFonts w:ascii="宋体" w:cs="宋体"/>
          <w:szCs w:val="21"/>
        </w:rPr>
      </w:r>
      <w:r/>
    </w:p>
    <w:p>
      <w:pPr>
        <w:pStyle w:val="1249"/>
        <w:ind w:left="420" w:firstLine="0"/>
        <w:jc w:val="left"/>
        <w:rPr>
          <w:rFonts w:ascii="宋体" w:cs="宋体"/>
          <w:szCs w:val="21"/>
        </w:rPr>
      </w:pPr>
      <w:r>
        <w:rPr>
          <w:rFonts w:hint="eastAsia" w:ascii="宋体" w:cs="宋体"/>
          <w:szCs w:val="21"/>
        </w:rPr>
        <w:t xml:space="preserve">分布式FA恢复功能投入，通信正常，联络开关充电完成，满足动作条件后经合联络开关延时出口。</w:t>
      </w:r>
      <w:r>
        <w:rPr>
          <w:rFonts w:ascii="宋体" w:cs="宋体"/>
          <w:szCs w:val="21"/>
        </w:rPr>
      </w:r>
      <w:r/>
    </w:p>
    <w:p>
      <w:pPr>
        <w:pStyle w:val="1151"/>
      </w:pPr>
      <w:r>
        <w:object w:dxaOrig="6788" w:dyaOrig="299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15.5pt;height:182.2pt;mso-wrap-distance-left:0.0pt;mso-wrap-distance-top:0.0pt;mso-wrap-distance-right:0.0pt;mso-wrap-distance-bottom:0.0pt;" filled="f" stroked="f">
            <v:path textboxrect="0,0,0,0"/>
            <v:imagedata r:id="rId72" o:title=""/>
          </v:shape>
          <o:OLEObject DrawAspect="Content" r:id="rId73" ObjectID="_15250460" ProgID="" ShapeID="_x0000_i60" Type="Embed"/>
        </w:object>
      </w:r>
      <w:r/>
    </w:p>
    <w:p>
      <w:pPr>
        <w:pStyle w:val="1249"/>
        <w:numPr>
          <w:ilvl w:val="0"/>
          <w:numId w:val="30"/>
        </w:numPr>
        <w:ind w:left="0" w:firstLine="420"/>
        <w:jc w:val="left"/>
        <w:spacing w:line="360" w:lineRule="auto"/>
        <w:rPr>
          <w:rFonts w:ascii="宋体" w:cs="宋体"/>
          <w:szCs w:val="21"/>
        </w:rPr>
      </w:pPr>
      <w:r>
        <w:rPr>
          <w:rFonts w:hint="eastAsia" w:ascii="宋体" w:cs="宋体"/>
          <w:szCs w:val="21"/>
        </w:rPr>
        <w:t xml:space="preserve">首开关失压保护功能逻辑</w:t>
      </w:r>
      <w:r>
        <w:rPr>
          <w:rFonts w:ascii="宋体" w:cs="宋体"/>
          <w:szCs w:val="21"/>
        </w:rPr>
      </w:r>
      <w:r/>
    </w:p>
    <w:p>
      <w:pPr>
        <w:pStyle w:val="1249"/>
        <w:ind w:left="420" w:firstLine="0"/>
        <w:jc w:val="left"/>
        <w:rPr>
          <w:rFonts w:ascii="宋体" w:cs="宋体"/>
          <w:szCs w:val="21"/>
        </w:rPr>
      </w:pPr>
      <w:r>
        <w:rPr>
          <w:rFonts w:hint="eastAsia" w:ascii="宋体" w:cs="宋体"/>
          <w:szCs w:val="21"/>
        </w:rPr>
        <w:t xml:space="preserve">首开关失压保护投入，最大线电压小于失压定值，满足动作条件后经首开关失压延时出口。</w:t>
      </w:r>
      <w:r>
        <w:rPr>
          <w:rFonts w:ascii="宋体" w:cs="宋体"/>
          <w:szCs w:val="21"/>
        </w:rPr>
      </w:r>
      <w:r/>
    </w:p>
    <w:p>
      <w:pPr>
        <w:pStyle w:val="1151"/>
        <w:jc w:val="center"/>
        <w:rPr>
          <w:rFonts w:ascii="宋体" w:cs="宋体"/>
          <w:b/>
          <w:szCs w:val="21"/>
        </w:rPr>
      </w:pPr>
      <w:r>
        <w:object w:dxaOrig="6788" w:dyaOrig="17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15.5pt;height:109.5pt;mso-wrap-distance-left:0.0pt;mso-wrap-distance-top:0.0pt;mso-wrap-distance-right:0.0pt;mso-wrap-distance-bottom:0.0pt;" filled="f" stroked="f">
            <v:path textboxrect="0,0,0,0"/>
            <v:imagedata r:id="rId74" o:title=""/>
          </v:shape>
          <o:OLEObject DrawAspect="Content" r:id="rId75" ObjectID="_15250461" ProgID="" ShapeID="_x0000_i61" Type="Embed"/>
        </w:object>
      </w:r>
      <w:r>
        <w:rPr>
          <w:rFonts w:ascii="宋体" w:cs="宋体"/>
          <w:b/>
          <w:szCs w:val="21"/>
        </w:rPr>
      </w:r>
      <w:r/>
    </w:p>
    <w:p>
      <w:pPr>
        <w:pStyle w:val="1250"/>
        <w:numPr>
          <w:ilvl w:val="0"/>
          <w:numId w:val="30"/>
        </w:numPr>
        <w:ind w:left="0" w:firstLine="420"/>
        <w:jc w:val="left"/>
        <w:spacing w:line="360" w:lineRule="auto"/>
        <w:rPr>
          <w:rFonts w:ascii="宋体" w:cs="宋体"/>
          <w:szCs w:val="21"/>
        </w:rPr>
      </w:pPr>
      <w:r>
        <w:rPr>
          <w:rFonts w:hint="eastAsia" w:ascii="宋体" w:cs="宋体"/>
          <w:szCs w:val="21"/>
        </w:rPr>
        <w:t xml:space="preserve">失灵保护逻辑</w:t>
      </w:r>
      <w:r>
        <w:rPr>
          <w:rFonts w:ascii="宋体" w:cs="宋体"/>
          <w:szCs w:val="21"/>
        </w:rPr>
      </w:r>
      <w:r/>
    </w:p>
    <w:p>
      <w:pPr>
        <w:pStyle w:val="1151"/>
        <w:jc w:val="right"/>
        <w:spacing w:line="360" w:lineRule="auto"/>
        <w:rPr>
          <w:szCs w:val="20"/>
        </w:rPr>
      </w:pPr>
      <w:r>
        <w:object w:dxaOrig="5240" w:dyaOrig="151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14.7pt;height:119.2pt;mso-wrap-distance-left:0.0pt;mso-wrap-distance-top:0.0pt;mso-wrap-distance-right:0.0pt;mso-wrap-distance-bottom:0.0pt;" filled="f" stroked="f">
            <v:path textboxrect="0,0,0,0"/>
            <v:imagedata r:id="rId76" o:title=""/>
          </v:shape>
          <o:OLEObject DrawAspect="Content" r:id="rId77" ObjectID="_15250462" ProgID="" ShapeID="_x0000_i62" Type="Embed"/>
        </w:object>
      </w:r>
      <w:r>
        <w:rPr>
          <w:szCs w:val="20"/>
        </w:rPr>
      </w:r>
      <w:r/>
    </w:p>
    <w:p>
      <w:pPr>
        <w:pStyle w:val="1151"/>
      </w:pPr>
      <w:r/>
      <w:bookmarkStart w:id="252" w:name="_Toc35386099"/>
      <w:r>
        <w:rPr>
          <w:rFonts w:hint="eastAsia"/>
        </w:rPr>
        <w:t xml:space="preserve">5.3.5.</w:t>
      </w:r>
      <w:r>
        <w:t xml:space="preserve">8</w:t>
      </w:r>
      <w:r>
        <w:rPr>
          <w:rFonts w:hint="eastAsia"/>
        </w:rPr>
        <w:t xml:space="preserve">常规保护功能</w:t>
      </w:r>
      <w:bookmarkEnd w:id="252"/>
      <w:r/>
      <w:r/>
    </w:p>
    <w:p>
      <w:pPr>
        <w:pStyle w:val="1245"/>
        <w:numPr>
          <w:ilvl w:val="0"/>
          <w:numId w:val="31"/>
        </w:numPr>
        <w:ind w:left="0" w:firstLine="420"/>
        <w:jc w:val="left"/>
        <w:keepLines/>
        <w:keepNext/>
        <w:spacing w:line="360" w:lineRule="auto"/>
        <w:rPr>
          <w:rStyle w:val="1246"/>
          <w:rFonts w:ascii="宋体" w:hAnsi="宋体" w:eastAsia="宋体"/>
        </w:rPr>
      </w:pPr>
      <w:r/>
      <w:bookmarkStart w:id="253" w:name="_Toc35386103"/>
      <w:r>
        <w:rPr>
          <w:rStyle w:val="1246"/>
          <w:rFonts w:ascii="宋体" w:hAnsi="宋体" w:eastAsia="宋体"/>
        </w:rPr>
        <w:t xml:space="preserve">配置要求</w:t>
      </w:r>
      <w:r>
        <w:rPr>
          <w:rStyle w:val="1246"/>
          <w:rFonts w:ascii="宋体" w:hAnsi="宋体" w:eastAsia="宋体"/>
        </w:rPr>
      </w:r>
      <w:r/>
    </w:p>
    <w:p>
      <w:pPr>
        <w:pStyle w:val="1249"/>
        <w:numPr>
          <w:ilvl w:val="0"/>
          <w:numId w:val="32"/>
        </w:numPr>
        <w:jc w:val="left"/>
        <w:spacing w:line="360" w:lineRule="auto"/>
        <w:rPr>
          <w:rFonts w:ascii="宋体" w:hAnsi="宋体" w:eastAsia="宋体"/>
          <w:szCs w:val="21"/>
        </w:rPr>
      </w:pPr>
      <w:r>
        <w:rPr>
          <w:rFonts w:hint="eastAsia" w:ascii="宋体" w:hAnsi="宋体" w:cs="宋体"/>
        </w:rPr>
        <w:t xml:space="preserve">具有过电流保护跳闸功能，具备三段保护，可对保护动作时限、电流定值进行设定；</w:t>
      </w:r>
      <w:r>
        <w:rPr>
          <w:rFonts w:ascii="宋体" w:hAnsi="宋体" w:eastAsia="宋体"/>
          <w:szCs w:val="21"/>
        </w:rPr>
      </w:r>
      <w:r/>
    </w:p>
    <w:p>
      <w:pPr>
        <w:pStyle w:val="1249"/>
        <w:numPr>
          <w:ilvl w:val="0"/>
          <w:numId w:val="32"/>
        </w:numPr>
        <w:jc w:val="left"/>
        <w:spacing w:line="360" w:lineRule="auto"/>
        <w:rPr>
          <w:rFonts w:ascii="宋体" w:hAnsi="宋体" w:eastAsia="宋体"/>
          <w:szCs w:val="21"/>
        </w:rPr>
      </w:pPr>
      <w:r>
        <w:rPr>
          <w:rFonts w:hint="eastAsia" w:ascii="宋体" w:hAnsi="宋体" w:cs="宋体"/>
        </w:rPr>
        <w:t xml:space="preserve">具有零序电流保护跳闸功能，具备两段保护，可对保护动作时限、电流定值进行设定；</w:t>
      </w:r>
      <w:r>
        <w:rPr>
          <w:rFonts w:ascii="宋体" w:hAnsi="宋体" w:eastAsia="宋体"/>
          <w:szCs w:val="21"/>
        </w:rPr>
      </w:r>
      <w:r/>
    </w:p>
    <w:p>
      <w:pPr>
        <w:pStyle w:val="1249"/>
        <w:numPr>
          <w:ilvl w:val="0"/>
          <w:numId w:val="32"/>
        </w:numPr>
        <w:jc w:val="left"/>
        <w:spacing w:line="360" w:lineRule="auto"/>
        <w:rPr>
          <w:rFonts w:ascii="宋体" w:hAnsi="宋体" w:eastAsia="宋体"/>
          <w:szCs w:val="21"/>
        </w:rPr>
      </w:pPr>
      <w:r>
        <w:rPr>
          <w:rFonts w:hint="eastAsia" w:ascii="宋体" w:hAnsi="宋体" w:cs="宋体"/>
        </w:rPr>
        <w:t xml:space="preserve">具有短路故障告警功能，可对短路故障告警时限、电流定值进行整定；</w:t>
      </w:r>
      <w:r>
        <w:rPr>
          <w:rFonts w:ascii="宋体" w:hAnsi="宋体" w:eastAsia="宋体"/>
          <w:szCs w:val="21"/>
        </w:rPr>
      </w:r>
      <w:r/>
    </w:p>
    <w:p>
      <w:pPr>
        <w:pStyle w:val="1249"/>
        <w:numPr>
          <w:ilvl w:val="0"/>
          <w:numId w:val="32"/>
        </w:numPr>
        <w:jc w:val="left"/>
        <w:spacing w:line="360" w:lineRule="auto"/>
        <w:rPr>
          <w:rFonts w:ascii="宋体" w:hAnsi="宋体" w:eastAsia="宋体"/>
          <w:szCs w:val="21"/>
        </w:rPr>
      </w:pPr>
      <w:r>
        <w:rPr>
          <w:rFonts w:hint="eastAsia" w:ascii="宋体" w:hAnsi="宋体" w:cs="宋体"/>
        </w:rPr>
        <w:t xml:space="preserve">具有零流告警功能，可对零流告警时限、电流定值进行整定；</w:t>
      </w:r>
      <w:r>
        <w:rPr>
          <w:rFonts w:ascii="宋体" w:hAnsi="宋体" w:eastAsia="宋体"/>
          <w:szCs w:val="21"/>
        </w:rPr>
      </w:r>
      <w:r/>
    </w:p>
    <w:p>
      <w:pPr>
        <w:pStyle w:val="1249"/>
        <w:numPr>
          <w:ilvl w:val="0"/>
          <w:numId w:val="32"/>
        </w:numPr>
        <w:jc w:val="left"/>
        <w:spacing w:line="360" w:lineRule="auto"/>
        <w:rPr>
          <w:rFonts w:ascii="宋体" w:hAnsi="宋体" w:eastAsia="宋体"/>
          <w:szCs w:val="21"/>
        </w:rPr>
      </w:pPr>
      <w:r>
        <w:rPr>
          <w:rFonts w:hint="eastAsia" w:ascii="宋体" w:hAnsi="宋体" w:cs="宋体"/>
        </w:rPr>
        <w:t xml:space="preserve">具备小电流接地系统单相接地故障识别功能；</w:t>
      </w:r>
      <w:r>
        <w:rPr>
          <w:rFonts w:ascii="宋体" w:hAnsi="宋体" w:cs="宋体"/>
        </w:rPr>
        <w:t xml:space="preserve">单相接地故障识别功能可配置为告警或跳闸，</w:t>
      </w:r>
      <w:r>
        <w:rPr>
          <w:rFonts w:hint="eastAsia" w:ascii="宋体" w:hAnsi="宋体" w:cs="宋体"/>
        </w:rPr>
        <w:t xml:space="preserve">告警或</w:t>
      </w:r>
      <w:r>
        <w:rPr>
          <w:rFonts w:ascii="宋体" w:hAnsi="宋体" w:cs="宋体"/>
        </w:rPr>
        <w:t xml:space="preserve">跳闸延时可</w:t>
      </w:r>
      <w:r>
        <w:rPr>
          <w:rFonts w:hint="eastAsia" w:ascii="宋体" w:hAnsi="宋体" w:cs="宋体"/>
        </w:rPr>
        <w:t xml:space="preserve">独立</w:t>
      </w:r>
      <w:r>
        <w:rPr>
          <w:rFonts w:ascii="宋体" w:hAnsi="宋体" w:cs="宋体"/>
        </w:rPr>
        <w:t xml:space="preserve">设</w:t>
      </w:r>
      <w:r>
        <w:rPr>
          <w:rFonts w:hint="eastAsia" w:ascii="宋体" w:hAnsi="宋体" w:cs="宋体"/>
        </w:rPr>
        <w:t xml:space="preserve">定；</w:t>
      </w:r>
      <w:r>
        <w:rPr>
          <w:rFonts w:ascii="宋体" w:hAnsi="宋体" w:eastAsia="宋体"/>
          <w:szCs w:val="21"/>
        </w:rPr>
      </w:r>
      <w:r/>
    </w:p>
    <w:p>
      <w:pPr>
        <w:pStyle w:val="1249"/>
        <w:numPr>
          <w:ilvl w:val="0"/>
          <w:numId w:val="32"/>
        </w:numPr>
        <w:jc w:val="left"/>
        <w:spacing w:line="360" w:lineRule="auto"/>
        <w:rPr>
          <w:rFonts w:ascii="宋体" w:hAnsi="宋体" w:eastAsia="宋体"/>
          <w:szCs w:val="21"/>
        </w:rPr>
      </w:pPr>
      <w:r>
        <w:rPr>
          <w:rFonts w:hint="eastAsia" w:ascii="宋体" w:hAnsi="宋体" w:cs="宋体"/>
        </w:rPr>
        <w:t xml:space="preserve">可设置三次自动重合闸功能，可根据需要设定重合闸次数以及每次重合闸延时定值；</w:t>
      </w:r>
      <w:r>
        <w:rPr>
          <w:rFonts w:hint="eastAsia" w:ascii="宋体" w:hAnsi="宋体" w:cs="宋体"/>
          <w:color w:val="000000"/>
        </w:rPr>
        <w:t xml:space="preserve">可配置重合闸检有压功能；</w:t>
      </w:r>
      <w:r>
        <w:rPr>
          <w:rFonts w:hint="eastAsia" w:eastAsia="宋体"/>
          <w:szCs w:val="21"/>
        </w:rPr>
        <w:t xml:space="preserve">重合闸功能在三段过流保护、两段零序过流保护及小电流接地故障跳闸时，启动重合闸；</w:t>
      </w:r>
      <w:r>
        <w:rPr>
          <w:rFonts w:ascii="宋体" w:hAnsi="宋体" w:eastAsia="宋体"/>
          <w:szCs w:val="21"/>
        </w:rPr>
      </w:r>
      <w:r/>
    </w:p>
    <w:p>
      <w:pPr>
        <w:pStyle w:val="1249"/>
        <w:numPr>
          <w:ilvl w:val="0"/>
          <w:numId w:val="32"/>
        </w:numPr>
        <w:jc w:val="left"/>
        <w:spacing w:line="360" w:lineRule="auto"/>
        <w:rPr>
          <w:rFonts w:ascii="宋体" w:hAnsi="宋体" w:eastAsia="宋体"/>
          <w:szCs w:val="21"/>
        </w:rPr>
      </w:pPr>
      <w:r>
        <w:rPr>
          <w:rFonts w:hint="eastAsia" w:ascii="宋体" w:hAnsi="宋体" w:cs="宋体"/>
        </w:rPr>
        <w:t xml:space="preserve">具有闭锁重合闸功能，可设定闭锁重合闸时限定值。一、二次重合闸后在设定时间（可整定）之内检测到故障电流，则闭锁重合闸；</w:t>
      </w:r>
      <w:r>
        <w:rPr>
          <w:rFonts w:ascii="宋体" w:hAnsi="宋体" w:eastAsia="宋体"/>
          <w:szCs w:val="21"/>
        </w:rPr>
      </w:r>
      <w:r/>
    </w:p>
    <w:p>
      <w:pPr>
        <w:pStyle w:val="1249"/>
        <w:numPr>
          <w:ilvl w:val="0"/>
          <w:numId w:val="32"/>
        </w:numPr>
        <w:jc w:val="left"/>
        <w:spacing w:line="360" w:lineRule="auto"/>
        <w:rPr>
          <w:rFonts w:ascii="宋体" w:hAnsi="宋体" w:eastAsia="宋体"/>
          <w:szCs w:val="21"/>
        </w:rPr>
      </w:pPr>
      <w:r>
        <w:rPr>
          <w:rFonts w:hint="eastAsia" w:ascii="宋体" w:hAnsi="宋体" w:cs="宋体"/>
          <w:color w:val="000000"/>
        </w:rPr>
        <w:t xml:space="preserve">具备过流、零序过流、零序电压后加速功能，</w:t>
      </w:r>
      <w:r>
        <w:rPr>
          <w:rFonts w:hint="eastAsia" w:ascii="宋体" w:hAnsi="宋体" w:cs="宋体"/>
        </w:rPr>
        <w:t xml:space="preserve">可对投退定值、动作时限、电流定值、电压定值进行整定</w:t>
      </w:r>
      <w:r>
        <w:rPr>
          <w:rFonts w:hint="eastAsia" w:ascii="宋体" w:hAnsi="宋体" w:cs="宋体"/>
          <w:color w:val="000000"/>
        </w:rPr>
        <w:t xml:space="preserve">；</w:t>
      </w:r>
      <w:r>
        <w:rPr>
          <w:rFonts w:ascii="宋体" w:hAnsi="宋体" w:eastAsia="宋体"/>
          <w:szCs w:val="21"/>
        </w:rPr>
      </w:r>
      <w:r/>
    </w:p>
    <w:p>
      <w:pPr>
        <w:pStyle w:val="1249"/>
        <w:numPr>
          <w:ilvl w:val="0"/>
          <w:numId w:val="32"/>
        </w:numPr>
        <w:jc w:val="left"/>
        <w:spacing w:line="360" w:lineRule="auto"/>
        <w:rPr>
          <w:rFonts w:ascii="宋体" w:hAnsi="宋体" w:eastAsia="宋体"/>
          <w:szCs w:val="21"/>
        </w:rPr>
      </w:pPr>
      <w:r>
        <w:rPr>
          <w:rFonts w:hint="eastAsia" w:ascii="宋体" w:hAnsi="宋体" w:cs="宋体"/>
          <w:color w:val="000000"/>
        </w:rPr>
        <w:t xml:space="preserve">具备励磁涌流防误动作功能；</w:t>
      </w:r>
      <w:r>
        <w:rPr>
          <w:rFonts w:ascii="宋体" w:hAnsi="宋体" w:eastAsia="宋体"/>
          <w:szCs w:val="21"/>
        </w:rPr>
      </w:r>
      <w:r/>
    </w:p>
    <w:p>
      <w:pPr>
        <w:pStyle w:val="1249"/>
        <w:numPr>
          <w:ilvl w:val="0"/>
          <w:numId w:val="32"/>
        </w:numPr>
        <w:jc w:val="left"/>
        <w:spacing w:line="360" w:lineRule="auto"/>
        <w:rPr>
          <w:rFonts w:ascii="宋体" w:hAnsi="宋体" w:eastAsia="宋体"/>
          <w:szCs w:val="21"/>
        </w:rPr>
      </w:pPr>
      <w:r>
        <w:rPr>
          <w:rFonts w:ascii="宋体" w:hAnsi="宋体" w:eastAsia="宋体"/>
          <w:szCs w:val="21"/>
        </w:rPr>
        <w:t xml:space="preserve">应配置非遮断电流闭锁功能，可独立投退</w:t>
      </w:r>
      <w:r>
        <w:rPr>
          <w:rFonts w:hint="eastAsia" w:ascii="宋体" w:hAnsi="宋体" w:eastAsia="宋体"/>
          <w:szCs w:val="21"/>
        </w:rPr>
        <w:t xml:space="preserve">；</w:t>
      </w:r>
      <w:r>
        <w:rPr>
          <w:rFonts w:ascii="宋体" w:hAnsi="宋体" w:eastAsia="宋体"/>
          <w:szCs w:val="21"/>
        </w:rPr>
      </w:r>
      <w:r/>
    </w:p>
    <w:p>
      <w:pPr>
        <w:pStyle w:val="1249"/>
        <w:numPr>
          <w:ilvl w:val="0"/>
          <w:numId w:val="32"/>
        </w:numPr>
        <w:jc w:val="left"/>
        <w:spacing w:line="360" w:lineRule="auto"/>
        <w:rPr>
          <w:rFonts w:ascii="宋体" w:hAnsi="宋体" w:eastAsia="宋体"/>
          <w:szCs w:val="21"/>
        </w:rPr>
      </w:pPr>
      <w:r>
        <w:rPr>
          <w:rFonts w:ascii="宋体" w:hAnsi="宋体" w:eastAsia="宋体"/>
          <w:szCs w:val="21"/>
        </w:rPr>
        <w:t xml:space="preserve">应配置</w:t>
      </w:r>
      <w:r>
        <w:rPr>
          <w:rFonts w:hint="eastAsia" w:ascii="宋体" w:hAnsi="宋体" w:eastAsia="宋体"/>
          <w:szCs w:val="21"/>
        </w:rPr>
        <w:t xml:space="preserve">失压、</w:t>
      </w:r>
      <w:r>
        <w:rPr>
          <w:rFonts w:ascii="宋体" w:hAnsi="宋体" w:eastAsia="宋体"/>
          <w:szCs w:val="21"/>
        </w:rPr>
        <w:t xml:space="preserve">零序过压告警，可独立投退</w:t>
      </w:r>
      <w:r>
        <w:rPr>
          <w:rFonts w:hint="eastAsia" w:ascii="宋体" w:hAnsi="宋体" w:eastAsia="宋体"/>
          <w:szCs w:val="21"/>
        </w:rPr>
        <w:t xml:space="preserve">；</w:t>
      </w:r>
      <w:r>
        <w:rPr>
          <w:rFonts w:ascii="宋体" w:hAnsi="宋体" w:eastAsia="宋体"/>
          <w:szCs w:val="21"/>
        </w:rPr>
      </w:r>
      <w:r/>
    </w:p>
    <w:p>
      <w:pPr>
        <w:pStyle w:val="1249"/>
        <w:numPr>
          <w:ilvl w:val="0"/>
          <w:numId w:val="32"/>
        </w:numPr>
        <w:jc w:val="left"/>
        <w:spacing w:line="360" w:lineRule="auto"/>
        <w:rPr>
          <w:rFonts w:ascii="宋体" w:hAnsi="宋体" w:eastAsia="宋体"/>
          <w:szCs w:val="21"/>
        </w:rPr>
      </w:pPr>
      <w:r>
        <w:rPr>
          <w:rFonts w:ascii="宋体" w:hAnsi="宋体" w:eastAsia="宋体"/>
          <w:szCs w:val="21"/>
        </w:rPr>
        <w:t xml:space="preserve">应配置PT断线告警，可独立投退</w:t>
      </w:r>
      <w:r>
        <w:rPr>
          <w:rFonts w:hint="eastAsia" w:ascii="宋体" w:hAnsi="宋体" w:eastAsia="宋体"/>
          <w:szCs w:val="21"/>
        </w:rPr>
        <w:t xml:space="preserve">；</w:t>
      </w:r>
      <w:r>
        <w:rPr>
          <w:rFonts w:ascii="宋体" w:hAnsi="宋体" w:eastAsia="宋体"/>
          <w:szCs w:val="21"/>
        </w:rPr>
      </w:r>
      <w:r/>
    </w:p>
    <w:p>
      <w:pPr>
        <w:pStyle w:val="1249"/>
        <w:numPr>
          <w:ilvl w:val="0"/>
          <w:numId w:val="32"/>
        </w:numPr>
        <w:jc w:val="left"/>
        <w:spacing w:line="360" w:lineRule="auto"/>
        <w:rPr>
          <w:rFonts w:ascii="宋体" w:hAnsi="宋体" w:eastAsia="宋体"/>
          <w:szCs w:val="21"/>
        </w:rPr>
      </w:pPr>
      <w:r>
        <w:rPr>
          <w:rFonts w:ascii="宋体" w:hAnsi="宋体" w:eastAsia="宋体"/>
          <w:szCs w:val="21"/>
        </w:rPr>
        <w:t xml:space="preserve">应配置保护动作故障指示手动复归、自动复归和主站远程复归功能，能根据设定时间或线路恢复正常供电后自动复归，复归时实现装置整体复归功能</w:t>
      </w:r>
      <w:r>
        <w:rPr>
          <w:rFonts w:hint="eastAsia" w:ascii="宋体" w:hAnsi="宋体" w:eastAsia="宋体"/>
          <w:szCs w:val="21"/>
        </w:rPr>
        <w:t xml:space="preserve">；</w:t>
      </w:r>
      <w:r>
        <w:rPr>
          <w:rFonts w:ascii="宋体" w:hAnsi="宋体" w:eastAsia="宋体"/>
          <w:szCs w:val="21"/>
        </w:rPr>
      </w:r>
      <w:r/>
    </w:p>
    <w:p>
      <w:pPr>
        <w:pStyle w:val="1249"/>
        <w:numPr>
          <w:ilvl w:val="0"/>
          <w:numId w:val="32"/>
        </w:numPr>
        <w:jc w:val="left"/>
        <w:spacing w:line="360" w:lineRule="auto"/>
        <w:rPr>
          <w:rFonts w:ascii="宋体" w:hAnsi="宋体" w:eastAsia="宋体"/>
          <w:szCs w:val="21"/>
        </w:rPr>
      </w:pPr>
      <w:r>
        <w:rPr>
          <w:rFonts w:ascii="宋体" w:hAnsi="宋体" w:eastAsia="宋体"/>
          <w:szCs w:val="21"/>
        </w:rPr>
        <w:t xml:space="preserve">远方/就地转换开关不限制保护出口</w:t>
      </w:r>
      <w:r>
        <w:rPr>
          <w:rFonts w:hint="eastAsia" w:ascii="宋体" w:hAnsi="宋体" w:eastAsia="宋体"/>
          <w:szCs w:val="21"/>
        </w:rPr>
        <w:t xml:space="preserve">；</w:t>
      </w:r>
      <w:r>
        <w:rPr>
          <w:rFonts w:ascii="宋体" w:hAnsi="宋体" w:eastAsia="宋体"/>
          <w:szCs w:val="21"/>
        </w:rPr>
      </w:r>
      <w:r/>
    </w:p>
    <w:p>
      <w:pPr>
        <w:pStyle w:val="1249"/>
        <w:numPr>
          <w:ilvl w:val="0"/>
          <w:numId w:val="32"/>
        </w:numPr>
        <w:jc w:val="left"/>
        <w:spacing w:line="360" w:lineRule="auto"/>
        <w:rPr>
          <w:rFonts w:ascii="宋体" w:hAnsi="宋体" w:eastAsia="宋体"/>
          <w:szCs w:val="21"/>
        </w:rPr>
      </w:pPr>
      <w:r>
        <w:rPr>
          <w:rFonts w:ascii="宋体" w:hAnsi="宋体" w:eastAsia="宋体"/>
          <w:szCs w:val="21"/>
        </w:rPr>
        <w:t xml:space="preserve">保护功能配置表见表</w:t>
      </w:r>
      <w:r>
        <w:rPr>
          <w:rFonts w:hint="eastAsia" w:ascii="宋体" w:hAnsi="宋体" w:eastAsia="宋体"/>
          <w:szCs w:val="21"/>
        </w:rPr>
        <w:t xml:space="preserve">10</w:t>
      </w:r>
      <w:r>
        <w:rPr>
          <w:rFonts w:ascii="宋体" w:hAnsi="宋体" w:eastAsia="宋体"/>
          <w:szCs w:val="21"/>
        </w:rPr>
        <w:t xml:space="preserve">。</w:t>
      </w:r>
      <w:r>
        <w:rPr>
          <w:rFonts w:ascii="宋体" w:hAnsi="宋体" w:eastAsia="宋体"/>
          <w:szCs w:val="21"/>
        </w:rPr>
      </w:r>
      <w:r/>
    </w:p>
    <w:p>
      <w:pPr>
        <w:pStyle w:val="1249"/>
        <w:numPr>
          <w:ilvl w:val="0"/>
          <w:numId w:val="32"/>
        </w:numPr>
        <w:jc w:val="left"/>
        <w:spacing w:line="360" w:lineRule="auto"/>
        <w:rPr>
          <w:rFonts w:ascii="宋体" w:hAnsi="宋体" w:eastAsia="宋体"/>
          <w:szCs w:val="21"/>
        </w:rPr>
      </w:pPr>
      <w:r>
        <w:rPr>
          <w:rFonts w:hint="eastAsia" w:ascii="宋体" w:hAnsi="宋体" w:eastAsia="宋体"/>
          <w:szCs w:val="21"/>
        </w:rPr>
        <w:t xml:space="preserve">故障处理逻辑规范详见附录L</w:t>
      </w:r>
      <w:r>
        <w:rPr>
          <w:rFonts w:ascii="宋体" w:hAnsi="宋体" w:eastAsia="宋体"/>
          <w:szCs w:val="21"/>
        </w:rPr>
        <w:t xml:space="preserve">。</w:t>
      </w:r>
      <w:r>
        <w:rPr>
          <w:rFonts w:ascii="宋体" w:hAnsi="宋体" w:eastAsia="宋体"/>
          <w:szCs w:val="21"/>
        </w:rPr>
      </w:r>
      <w:r/>
    </w:p>
    <w:p>
      <w:pPr>
        <w:pStyle w:val="1151"/>
        <w:ind w:firstLine="420"/>
        <w:jc w:val="center"/>
        <w:rPr>
          <w:rFonts w:ascii="宋体" w:hAnsi="宋体" w:eastAsia="宋体"/>
          <w:szCs w:val="21"/>
        </w:rPr>
      </w:pPr>
      <w:r>
        <w:rPr>
          <w:rFonts w:ascii="宋体" w:hAnsi="宋体" w:eastAsia="宋体"/>
          <w:szCs w:val="21"/>
        </w:rPr>
        <w:t xml:space="preserve">表</w:t>
      </w:r>
      <w:r>
        <w:rPr>
          <w:rFonts w:hint="eastAsia" w:ascii="宋体" w:hAnsi="宋体" w:eastAsia="宋体"/>
          <w:szCs w:val="21"/>
        </w:rPr>
        <w:t xml:space="preserve">10</w:t>
      </w:r>
      <w:r>
        <w:rPr>
          <w:rFonts w:ascii="宋体" w:hAnsi="宋体" w:eastAsia="宋体"/>
          <w:szCs w:val="21"/>
        </w:rPr>
        <w:t xml:space="preserve">保护功能配置</w:t>
      </w:r>
      <w:r>
        <w:rPr>
          <w:rFonts w:ascii="宋体" w:hAnsi="宋体" w:eastAsia="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106"/>
        <w:gridCol w:w="2211"/>
      </w:tblGrid>
      <w:tr>
        <w:trPr/>
        <w:tc>
          <w:tcPr>
            <w:tcW w:w="636" w:type="dxa"/>
            <w:vAlign w:val="center"/>
            <w:textDirection w:val="lrTb"/>
            <w:noWrap w:val="false"/>
          </w:tcPr>
          <w:p>
            <w:pPr>
              <w:pStyle w:val="1151"/>
              <w:jc w:val="center"/>
              <w:rPr>
                <w:rFonts w:eastAsia="宋体"/>
                <w:szCs w:val="21"/>
              </w:rPr>
            </w:pPr>
            <w:r>
              <w:rPr>
                <w:rFonts w:eastAsia="宋体"/>
                <w:szCs w:val="21"/>
              </w:rPr>
              <w:t xml:space="preserve">序号</w:t>
            </w:r>
            <w:r>
              <w:rPr>
                <w:rFonts w:eastAsia="宋体"/>
                <w:szCs w:val="21"/>
              </w:rPr>
            </w:r>
            <w:r/>
          </w:p>
        </w:tc>
        <w:tc>
          <w:tcPr>
            <w:tcW w:w="2106" w:type="dxa"/>
            <w:vAlign w:val="center"/>
            <w:textDirection w:val="lrTb"/>
            <w:noWrap w:val="false"/>
          </w:tcPr>
          <w:p>
            <w:pPr>
              <w:pStyle w:val="1151"/>
              <w:jc w:val="center"/>
              <w:rPr>
                <w:rFonts w:eastAsia="宋体"/>
                <w:szCs w:val="21"/>
              </w:rPr>
            </w:pPr>
            <w:r>
              <w:rPr>
                <w:rFonts w:eastAsia="宋体"/>
                <w:szCs w:val="21"/>
              </w:rPr>
              <w:t xml:space="preserve">功能描述</w:t>
            </w:r>
            <w:r>
              <w:rPr>
                <w:rFonts w:eastAsia="宋体"/>
                <w:szCs w:val="21"/>
              </w:rPr>
            </w:r>
            <w:r/>
          </w:p>
        </w:tc>
        <w:tc>
          <w:tcPr>
            <w:tcW w:w="2211" w:type="dxa"/>
            <w:vAlign w:val="center"/>
            <w:textDirection w:val="lrTb"/>
            <w:noWrap w:val="false"/>
          </w:tcPr>
          <w:p>
            <w:pPr>
              <w:pStyle w:val="1151"/>
              <w:jc w:val="center"/>
              <w:rPr>
                <w:rFonts w:eastAsia="宋体"/>
                <w:szCs w:val="21"/>
              </w:rPr>
            </w:pPr>
            <w:r>
              <w:rPr>
                <w:rFonts w:eastAsia="宋体"/>
                <w:szCs w:val="21"/>
              </w:rPr>
              <w:t xml:space="preserve">段数及时限</w:t>
            </w:r>
            <w:r>
              <w:rPr>
                <w:rFonts w:eastAsia="宋体"/>
                <w:szCs w:val="21"/>
              </w:rPr>
            </w:r>
            <w:r/>
          </w:p>
        </w:tc>
      </w:tr>
      <w:tr>
        <w:trPr/>
        <w:tc>
          <w:tcPr>
            <w:tcW w:w="636" w:type="dxa"/>
            <w:vAlign w:val="center"/>
            <w:textDirection w:val="lrTb"/>
            <w:noWrap w:val="false"/>
          </w:tcPr>
          <w:p>
            <w:pPr>
              <w:pStyle w:val="1249"/>
              <w:numPr>
                <w:ilvl w:val="0"/>
                <w:numId w:val="33"/>
              </w:numPr>
              <w:jc w:val="center"/>
              <w:spacing w:line="240" w:lineRule="auto"/>
              <w:rPr>
                <w:rFonts w:eastAsia="宋体"/>
                <w:szCs w:val="21"/>
              </w:rPr>
            </w:pPr>
            <w:r>
              <w:rPr>
                <w:rFonts w:eastAsia="宋体"/>
                <w:szCs w:val="21"/>
              </w:rPr>
            </w:r>
            <w:r/>
          </w:p>
        </w:tc>
        <w:tc>
          <w:tcPr>
            <w:tcW w:w="2106" w:type="dxa"/>
            <w:vAlign w:val="center"/>
            <w:textDirection w:val="lrTb"/>
            <w:noWrap w:val="false"/>
          </w:tcPr>
          <w:p>
            <w:pPr>
              <w:pStyle w:val="1151"/>
              <w:jc w:val="center"/>
              <w:rPr>
                <w:rFonts w:eastAsia="宋体"/>
                <w:szCs w:val="21"/>
              </w:rPr>
            </w:pPr>
            <w:r>
              <w:rPr>
                <w:rFonts w:eastAsia="宋体"/>
                <w:szCs w:val="21"/>
              </w:rPr>
              <w:t xml:space="preserve">过流保护</w:t>
            </w:r>
            <w:r>
              <w:rPr>
                <w:rFonts w:eastAsia="宋体"/>
                <w:szCs w:val="21"/>
              </w:rPr>
            </w:r>
            <w:r/>
          </w:p>
        </w:tc>
        <w:tc>
          <w:tcPr>
            <w:tcW w:w="2211" w:type="dxa"/>
            <w:vAlign w:val="center"/>
            <w:textDirection w:val="lrTb"/>
            <w:noWrap w:val="false"/>
          </w:tcPr>
          <w:p>
            <w:pPr>
              <w:pStyle w:val="1151"/>
              <w:jc w:val="center"/>
              <w:rPr>
                <w:rFonts w:eastAsia="宋体"/>
                <w:szCs w:val="21"/>
              </w:rPr>
            </w:pPr>
            <w:r>
              <w:rPr>
                <w:rFonts w:eastAsia="宋体"/>
                <w:szCs w:val="21"/>
              </w:rPr>
              <w:t xml:space="preserve">Ⅰ段 1 时限，可投退</w:t>
            </w:r>
            <w:r>
              <w:rPr>
                <w:rFonts w:eastAsia="宋体"/>
                <w:szCs w:val="21"/>
              </w:rPr>
            </w:r>
            <w:r/>
          </w:p>
          <w:p>
            <w:pPr>
              <w:pStyle w:val="1151"/>
              <w:jc w:val="center"/>
              <w:rPr>
                <w:rFonts w:eastAsia="宋体"/>
                <w:szCs w:val="21"/>
              </w:rPr>
            </w:pPr>
            <w:r>
              <w:rPr>
                <w:rFonts w:eastAsia="宋体"/>
                <w:szCs w:val="21"/>
              </w:rPr>
              <w:t xml:space="preserve">Ⅱ段 1 时限，可投退</w:t>
            </w:r>
            <w:r>
              <w:rPr>
                <w:rFonts w:eastAsia="宋体"/>
                <w:szCs w:val="21"/>
              </w:rPr>
            </w:r>
            <w:r/>
          </w:p>
          <w:p>
            <w:pPr>
              <w:pStyle w:val="1151"/>
              <w:jc w:val="center"/>
              <w:rPr>
                <w:rFonts w:eastAsia="宋体"/>
                <w:szCs w:val="21"/>
              </w:rPr>
            </w:pPr>
            <w:r>
              <w:rPr>
                <w:rFonts w:hint="eastAsia" w:eastAsia="宋体"/>
                <w:szCs w:val="21"/>
              </w:rPr>
              <w:t xml:space="preserve">Ⅲ段 1 时限，可投退</w:t>
            </w:r>
            <w:r>
              <w:rPr>
                <w:rFonts w:eastAsia="宋体"/>
                <w:szCs w:val="21"/>
              </w:rPr>
            </w:r>
            <w:r/>
          </w:p>
          <w:p>
            <w:pPr>
              <w:pStyle w:val="1151"/>
              <w:jc w:val="center"/>
              <w:rPr>
                <w:rFonts w:eastAsia="宋体"/>
                <w:szCs w:val="21"/>
              </w:rPr>
            </w:pPr>
            <w:r>
              <w:rPr>
                <w:rFonts w:eastAsia="宋体"/>
                <w:szCs w:val="21"/>
              </w:rPr>
              <w:t xml:space="preserve">按间隔配置</w:t>
            </w:r>
            <w:r>
              <w:rPr>
                <w:rFonts w:eastAsia="宋体"/>
                <w:szCs w:val="21"/>
              </w:rPr>
            </w:r>
            <w:r/>
          </w:p>
        </w:tc>
      </w:tr>
      <w:tr>
        <w:trPr/>
        <w:tc>
          <w:tcPr>
            <w:tcW w:w="636" w:type="dxa"/>
            <w:vAlign w:val="center"/>
            <w:textDirection w:val="lrTb"/>
            <w:noWrap w:val="false"/>
          </w:tcPr>
          <w:p>
            <w:pPr>
              <w:pStyle w:val="1249"/>
              <w:numPr>
                <w:ilvl w:val="0"/>
                <w:numId w:val="33"/>
              </w:numPr>
              <w:jc w:val="center"/>
              <w:spacing w:line="240" w:lineRule="auto"/>
              <w:rPr>
                <w:rFonts w:eastAsia="宋体"/>
                <w:szCs w:val="21"/>
              </w:rPr>
            </w:pPr>
            <w:r>
              <w:rPr>
                <w:rFonts w:eastAsia="宋体"/>
                <w:szCs w:val="21"/>
              </w:rPr>
            </w:r>
            <w:r/>
          </w:p>
        </w:tc>
        <w:tc>
          <w:tcPr>
            <w:tcW w:w="2106" w:type="dxa"/>
            <w:vAlign w:val="center"/>
            <w:textDirection w:val="lrTb"/>
            <w:noWrap w:val="false"/>
          </w:tcPr>
          <w:p>
            <w:pPr>
              <w:pStyle w:val="1151"/>
              <w:jc w:val="center"/>
              <w:rPr>
                <w:rFonts w:eastAsia="宋体"/>
                <w:szCs w:val="21"/>
              </w:rPr>
            </w:pPr>
            <w:r>
              <w:rPr>
                <w:rFonts w:eastAsia="宋体"/>
                <w:szCs w:val="21"/>
              </w:rPr>
              <w:t xml:space="preserve">零序过流保护</w:t>
            </w:r>
            <w:r>
              <w:rPr>
                <w:rFonts w:eastAsia="宋体"/>
                <w:szCs w:val="21"/>
              </w:rPr>
            </w:r>
            <w:r/>
          </w:p>
        </w:tc>
        <w:tc>
          <w:tcPr>
            <w:tcW w:w="2211" w:type="dxa"/>
            <w:vAlign w:val="center"/>
            <w:textDirection w:val="lrTb"/>
            <w:noWrap w:val="false"/>
          </w:tcPr>
          <w:p>
            <w:pPr>
              <w:pStyle w:val="1151"/>
              <w:jc w:val="center"/>
              <w:rPr>
                <w:rFonts w:eastAsia="宋体"/>
                <w:szCs w:val="21"/>
              </w:rPr>
            </w:pPr>
            <w:r>
              <w:rPr>
                <w:rFonts w:eastAsia="宋体"/>
                <w:szCs w:val="21"/>
              </w:rPr>
              <w:t xml:space="preserve">Ⅰ段 1 时限，可投退</w:t>
            </w:r>
            <w:r>
              <w:rPr>
                <w:rFonts w:eastAsia="宋体"/>
                <w:szCs w:val="21"/>
              </w:rPr>
            </w:r>
            <w:r/>
          </w:p>
          <w:p>
            <w:pPr>
              <w:pStyle w:val="1151"/>
              <w:jc w:val="center"/>
              <w:rPr>
                <w:rFonts w:eastAsia="宋体"/>
                <w:szCs w:val="21"/>
              </w:rPr>
            </w:pPr>
            <w:r>
              <w:rPr>
                <w:rFonts w:hint="eastAsia" w:eastAsia="宋体"/>
                <w:szCs w:val="21"/>
              </w:rPr>
              <w:t xml:space="preserve">Ⅱ段 1 时限，可投退</w:t>
            </w:r>
            <w:r>
              <w:rPr>
                <w:rFonts w:eastAsia="宋体"/>
                <w:szCs w:val="21"/>
              </w:rPr>
            </w:r>
            <w:r/>
          </w:p>
          <w:p>
            <w:pPr>
              <w:pStyle w:val="1151"/>
              <w:jc w:val="center"/>
              <w:rPr>
                <w:rFonts w:eastAsia="宋体"/>
                <w:szCs w:val="21"/>
              </w:rPr>
            </w:pPr>
            <w:r>
              <w:rPr>
                <w:rFonts w:eastAsia="宋体"/>
                <w:szCs w:val="21"/>
              </w:rPr>
              <w:t xml:space="preserve">按间隔配置</w:t>
            </w:r>
            <w:r>
              <w:rPr>
                <w:rFonts w:eastAsia="宋体"/>
                <w:szCs w:val="21"/>
              </w:rPr>
            </w:r>
            <w:r/>
          </w:p>
        </w:tc>
      </w:tr>
      <w:tr>
        <w:trPr/>
        <w:tc>
          <w:tcPr>
            <w:tcW w:w="636" w:type="dxa"/>
            <w:vAlign w:val="center"/>
            <w:textDirection w:val="lrTb"/>
            <w:noWrap w:val="false"/>
          </w:tcPr>
          <w:p>
            <w:pPr>
              <w:pStyle w:val="1249"/>
              <w:numPr>
                <w:ilvl w:val="0"/>
                <w:numId w:val="33"/>
              </w:numPr>
              <w:jc w:val="center"/>
              <w:spacing w:line="240" w:lineRule="auto"/>
              <w:rPr>
                <w:rFonts w:eastAsia="宋体"/>
                <w:szCs w:val="21"/>
              </w:rPr>
            </w:pPr>
            <w:r>
              <w:rPr>
                <w:rFonts w:eastAsia="宋体"/>
                <w:szCs w:val="21"/>
              </w:rPr>
            </w:r>
            <w:r/>
          </w:p>
        </w:tc>
        <w:tc>
          <w:tcPr>
            <w:tcW w:w="2106" w:type="dxa"/>
            <w:vAlign w:val="center"/>
            <w:textDirection w:val="lrTb"/>
            <w:noWrap w:val="false"/>
          </w:tcPr>
          <w:p>
            <w:pPr>
              <w:pStyle w:val="1151"/>
              <w:jc w:val="center"/>
              <w:rPr>
                <w:rFonts w:eastAsia="宋体"/>
                <w:szCs w:val="21"/>
              </w:rPr>
            </w:pPr>
            <w:r>
              <w:rPr>
                <w:rFonts w:eastAsia="宋体"/>
                <w:szCs w:val="21"/>
              </w:rPr>
              <w:t xml:space="preserve">小电流接地故障</w:t>
            </w:r>
            <w:r>
              <w:rPr>
                <w:rFonts w:hint="eastAsia" w:eastAsia="宋体"/>
                <w:szCs w:val="21"/>
              </w:rPr>
              <w:t xml:space="preserve">处理</w:t>
            </w:r>
            <w:r>
              <w:rPr>
                <w:rFonts w:eastAsia="宋体"/>
                <w:szCs w:val="21"/>
              </w:rPr>
            </w:r>
            <w:r/>
          </w:p>
        </w:tc>
        <w:tc>
          <w:tcPr>
            <w:tcW w:w="2211" w:type="dxa"/>
            <w:vAlign w:val="center"/>
            <w:textDirection w:val="lrTb"/>
            <w:noWrap w:val="false"/>
          </w:tcPr>
          <w:p>
            <w:pPr>
              <w:pStyle w:val="1151"/>
              <w:jc w:val="center"/>
              <w:rPr>
                <w:rFonts w:eastAsia="宋体"/>
                <w:szCs w:val="21"/>
              </w:rPr>
            </w:pPr>
            <w:r>
              <w:rPr>
                <w:rFonts w:eastAsia="宋体"/>
                <w:szCs w:val="21"/>
              </w:rPr>
              <w:t xml:space="preserve">按间隔配置</w:t>
            </w:r>
            <w:r>
              <w:rPr>
                <w:rFonts w:eastAsia="宋体"/>
                <w:szCs w:val="21"/>
              </w:rPr>
            </w:r>
            <w:r/>
          </w:p>
        </w:tc>
      </w:tr>
      <w:tr>
        <w:trPr/>
        <w:tc>
          <w:tcPr>
            <w:tcW w:w="636" w:type="dxa"/>
            <w:vAlign w:val="center"/>
            <w:textDirection w:val="lrTb"/>
            <w:noWrap w:val="false"/>
          </w:tcPr>
          <w:p>
            <w:pPr>
              <w:pStyle w:val="1249"/>
              <w:numPr>
                <w:ilvl w:val="0"/>
                <w:numId w:val="33"/>
              </w:numPr>
              <w:jc w:val="center"/>
              <w:spacing w:line="240" w:lineRule="auto"/>
              <w:rPr>
                <w:rFonts w:eastAsia="宋体"/>
                <w:szCs w:val="21"/>
              </w:rPr>
            </w:pPr>
            <w:r>
              <w:rPr>
                <w:rFonts w:eastAsia="宋体"/>
                <w:szCs w:val="21"/>
              </w:rPr>
            </w:r>
            <w:r/>
          </w:p>
        </w:tc>
        <w:tc>
          <w:tcPr>
            <w:tcW w:w="2106" w:type="dxa"/>
            <w:vAlign w:val="center"/>
            <w:textDirection w:val="lrTb"/>
            <w:noWrap w:val="false"/>
          </w:tcPr>
          <w:p>
            <w:pPr>
              <w:pStyle w:val="1151"/>
              <w:jc w:val="center"/>
              <w:rPr>
                <w:rFonts w:eastAsia="宋体"/>
                <w:szCs w:val="21"/>
              </w:rPr>
            </w:pPr>
            <w:r>
              <w:rPr>
                <w:rFonts w:eastAsia="宋体"/>
                <w:szCs w:val="21"/>
              </w:rPr>
              <w:t xml:space="preserve">非遮断电流闭锁</w:t>
            </w:r>
            <w:r>
              <w:rPr>
                <w:rFonts w:eastAsia="宋体"/>
                <w:szCs w:val="21"/>
              </w:rPr>
            </w:r>
            <w:r/>
          </w:p>
        </w:tc>
        <w:tc>
          <w:tcPr>
            <w:tcW w:w="2211" w:type="dxa"/>
            <w:vAlign w:val="center"/>
            <w:textDirection w:val="lrTb"/>
            <w:noWrap w:val="false"/>
          </w:tcPr>
          <w:p>
            <w:pPr>
              <w:pStyle w:val="1151"/>
              <w:jc w:val="center"/>
              <w:rPr>
                <w:rFonts w:eastAsia="宋体"/>
                <w:szCs w:val="21"/>
              </w:rPr>
            </w:pPr>
            <w:r>
              <w:rPr>
                <w:rFonts w:eastAsia="宋体"/>
                <w:szCs w:val="21"/>
              </w:rPr>
              <w:t xml:space="preserve">按间隔配置</w:t>
            </w:r>
            <w:r>
              <w:rPr>
                <w:rFonts w:eastAsia="宋体"/>
                <w:szCs w:val="21"/>
              </w:rPr>
            </w:r>
            <w:r/>
          </w:p>
        </w:tc>
      </w:tr>
      <w:tr>
        <w:trPr/>
        <w:tc>
          <w:tcPr>
            <w:tcW w:w="636" w:type="dxa"/>
            <w:vAlign w:val="center"/>
            <w:textDirection w:val="lrTb"/>
            <w:noWrap w:val="false"/>
          </w:tcPr>
          <w:p>
            <w:pPr>
              <w:pStyle w:val="1249"/>
              <w:numPr>
                <w:ilvl w:val="0"/>
                <w:numId w:val="33"/>
              </w:numPr>
              <w:jc w:val="center"/>
              <w:spacing w:line="240" w:lineRule="auto"/>
              <w:rPr>
                <w:rFonts w:eastAsia="宋体"/>
                <w:szCs w:val="21"/>
              </w:rPr>
            </w:pPr>
            <w:r>
              <w:rPr>
                <w:rFonts w:eastAsia="宋体"/>
                <w:szCs w:val="21"/>
              </w:rPr>
            </w:r>
            <w:r/>
          </w:p>
        </w:tc>
        <w:tc>
          <w:tcPr>
            <w:tcW w:w="2106" w:type="dxa"/>
            <w:vAlign w:val="center"/>
            <w:textDirection w:val="lrTb"/>
            <w:noWrap w:val="false"/>
          </w:tcPr>
          <w:p>
            <w:pPr>
              <w:pStyle w:val="1151"/>
              <w:jc w:val="center"/>
              <w:rPr>
                <w:rFonts w:eastAsia="宋体"/>
                <w:szCs w:val="21"/>
              </w:rPr>
            </w:pPr>
            <w:r>
              <w:rPr>
                <w:rFonts w:eastAsia="宋体"/>
                <w:szCs w:val="21"/>
              </w:rPr>
              <w:t xml:space="preserve">失压告警</w:t>
            </w:r>
            <w:r>
              <w:rPr>
                <w:rFonts w:eastAsia="宋体"/>
                <w:szCs w:val="21"/>
              </w:rPr>
            </w:r>
            <w:r/>
          </w:p>
        </w:tc>
        <w:tc>
          <w:tcPr>
            <w:tcW w:w="2211" w:type="dxa"/>
            <w:vAlign w:val="center"/>
            <w:textDirection w:val="lrTb"/>
            <w:noWrap w:val="false"/>
          </w:tcPr>
          <w:p>
            <w:pPr>
              <w:pStyle w:val="1151"/>
              <w:jc w:val="center"/>
              <w:rPr>
                <w:rFonts w:eastAsia="宋体"/>
                <w:szCs w:val="21"/>
              </w:rPr>
            </w:pPr>
            <w:r>
              <w:rPr>
                <w:rFonts w:eastAsia="宋体"/>
                <w:szCs w:val="21"/>
              </w:rPr>
              <w:t xml:space="preserve">Ⅰ段 1 时限</w:t>
            </w:r>
            <w:r>
              <w:rPr>
                <w:rFonts w:eastAsia="宋体"/>
                <w:szCs w:val="21"/>
              </w:rPr>
            </w:r>
            <w:r/>
          </w:p>
        </w:tc>
      </w:tr>
      <w:tr>
        <w:trPr/>
        <w:tc>
          <w:tcPr>
            <w:tcW w:w="636" w:type="dxa"/>
            <w:vAlign w:val="center"/>
            <w:textDirection w:val="lrTb"/>
            <w:noWrap w:val="false"/>
          </w:tcPr>
          <w:p>
            <w:pPr>
              <w:pStyle w:val="1249"/>
              <w:numPr>
                <w:ilvl w:val="0"/>
                <w:numId w:val="33"/>
              </w:numPr>
              <w:jc w:val="center"/>
              <w:spacing w:line="240" w:lineRule="auto"/>
              <w:rPr>
                <w:rFonts w:eastAsia="宋体"/>
                <w:szCs w:val="21"/>
              </w:rPr>
            </w:pPr>
            <w:r>
              <w:rPr>
                <w:rFonts w:eastAsia="宋体"/>
                <w:szCs w:val="21"/>
              </w:rPr>
            </w:r>
            <w:r/>
          </w:p>
        </w:tc>
        <w:tc>
          <w:tcPr>
            <w:tcW w:w="2106" w:type="dxa"/>
            <w:vAlign w:val="center"/>
            <w:textDirection w:val="lrTb"/>
            <w:noWrap w:val="false"/>
          </w:tcPr>
          <w:p>
            <w:pPr>
              <w:pStyle w:val="1151"/>
              <w:jc w:val="center"/>
              <w:rPr>
                <w:rFonts w:eastAsia="宋体"/>
                <w:szCs w:val="21"/>
              </w:rPr>
            </w:pPr>
            <w:r>
              <w:rPr>
                <w:rFonts w:eastAsia="宋体"/>
                <w:szCs w:val="21"/>
              </w:rPr>
              <w:t xml:space="preserve">零序过压告警</w:t>
            </w:r>
            <w:r>
              <w:rPr>
                <w:rFonts w:eastAsia="宋体"/>
                <w:szCs w:val="21"/>
              </w:rPr>
            </w:r>
            <w:r/>
          </w:p>
        </w:tc>
        <w:tc>
          <w:tcPr>
            <w:tcW w:w="2211" w:type="dxa"/>
            <w:vAlign w:val="center"/>
            <w:textDirection w:val="lrTb"/>
            <w:noWrap w:val="false"/>
          </w:tcPr>
          <w:p>
            <w:pPr>
              <w:pStyle w:val="1151"/>
              <w:jc w:val="center"/>
              <w:rPr>
                <w:rFonts w:eastAsia="宋体"/>
                <w:szCs w:val="21"/>
              </w:rPr>
            </w:pPr>
            <w:r>
              <w:rPr>
                <w:rFonts w:eastAsia="宋体"/>
                <w:szCs w:val="21"/>
              </w:rPr>
              <w:t xml:space="preserve">Ⅰ段 1 时限</w:t>
            </w:r>
            <w:r>
              <w:rPr>
                <w:rFonts w:eastAsia="宋体"/>
                <w:szCs w:val="21"/>
              </w:rPr>
            </w:r>
            <w:r/>
          </w:p>
        </w:tc>
      </w:tr>
      <w:tr>
        <w:trPr/>
        <w:tc>
          <w:tcPr>
            <w:tcW w:w="636" w:type="dxa"/>
            <w:vAlign w:val="center"/>
            <w:textDirection w:val="lrTb"/>
            <w:noWrap w:val="false"/>
          </w:tcPr>
          <w:p>
            <w:pPr>
              <w:pStyle w:val="1249"/>
              <w:numPr>
                <w:ilvl w:val="0"/>
                <w:numId w:val="33"/>
              </w:numPr>
              <w:jc w:val="center"/>
              <w:spacing w:line="240" w:lineRule="auto"/>
              <w:rPr>
                <w:rFonts w:eastAsia="宋体"/>
                <w:szCs w:val="21"/>
              </w:rPr>
            </w:pPr>
            <w:r>
              <w:rPr>
                <w:rFonts w:eastAsia="宋体"/>
                <w:szCs w:val="21"/>
              </w:rPr>
            </w:r>
            <w:r/>
          </w:p>
        </w:tc>
        <w:tc>
          <w:tcPr>
            <w:tcW w:w="2106" w:type="dxa"/>
            <w:vAlign w:val="center"/>
            <w:textDirection w:val="lrTb"/>
            <w:noWrap w:val="false"/>
          </w:tcPr>
          <w:p>
            <w:pPr>
              <w:pStyle w:val="1151"/>
              <w:jc w:val="center"/>
              <w:rPr>
                <w:rFonts w:eastAsia="宋体"/>
                <w:szCs w:val="21"/>
              </w:rPr>
            </w:pPr>
            <w:r>
              <w:rPr>
                <w:rFonts w:eastAsia="宋体"/>
                <w:szCs w:val="21"/>
              </w:rPr>
              <w:t xml:space="preserve">PT断线告警</w:t>
            </w:r>
            <w:r>
              <w:rPr>
                <w:rFonts w:eastAsia="宋体"/>
                <w:szCs w:val="21"/>
              </w:rPr>
            </w:r>
            <w:r/>
          </w:p>
        </w:tc>
        <w:tc>
          <w:tcPr>
            <w:tcW w:w="2211" w:type="dxa"/>
            <w:vAlign w:val="center"/>
            <w:textDirection w:val="lrTb"/>
            <w:noWrap w:val="false"/>
          </w:tcPr>
          <w:p>
            <w:pPr>
              <w:pStyle w:val="1151"/>
              <w:jc w:val="center"/>
              <w:rPr>
                <w:rFonts w:eastAsia="宋体"/>
                <w:szCs w:val="21"/>
              </w:rPr>
            </w:pPr>
            <w:r>
              <w:rPr>
                <w:rFonts w:eastAsia="宋体"/>
                <w:szCs w:val="21"/>
              </w:rPr>
              <w:t xml:space="preserve">—</w:t>
            </w:r>
            <w:r>
              <w:rPr>
                <w:rFonts w:eastAsia="宋体"/>
                <w:szCs w:val="21"/>
              </w:rPr>
            </w:r>
            <w:r/>
          </w:p>
        </w:tc>
      </w:tr>
      <w:tr>
        <w:trPr/>
        <w:tc>
          <w:tcPr>
            <w:tcW w:w="636" w:type="dxa"/>
            <w:vAlign w:val="center"/>
            <w:textDirection w:val="lrTb"/>
            <w:noWrap w:val="false"/>
          </w:tcPr>
          <w:p>
            <w:pPr>
              <w:pStyle w:val="1249"/>
              <w:numPr>
                <w:ilvl w:val="0"/>
                <w:numId w:val="33"/>
              </w:numPr>
              <w:jc w:val="center"/>
              <w:spacing w:line="240" w:lineRule="auto"/>
              <w:rPr>
                <w:rFonts w:eastAsia="宋体"/>
                <w:szCs w:val="21"/>
              </w:rPr>
            </w:pPr>
            <w:r>
              <w:rPr>
                <w:rFonts w:eastAsia="宋体"/>
                <w:szCs w:val="21"/>
              </w:rPr>
            </w:r>
            <w:r/>
          </w:p>
        </w:tc>
        <w:tc>
          <w:tcPr>
            <w:tcW w:w="2106" w:type="dxa"/>
            <w:vAlign w:val="center"/>
            <w:textDirection w:val="lrTb"/>
            <w:noWrap w:val="false"/>
          </w:tcPr>
          <w:p>
            <w:pPr>
              <w:pStyle w:val="1151"/>
              <w:jc w:val="center"/>
              <w:rPr>
                <w:rFonts w:eastAsia="宋体"/>
                <w:szCs w:val="21"/>
              </w:rPr>
            </w:pPr>
            <w:r>
              <w:rPr>
                <w:rFonts w:eastAsia="宋体"/>
                <w:szCs w:val="21"/>
              </w:rPr>
              <w:t xml:space="preserve">重合闸</w:t>
            </w:r>
            <w:r>
              <w:rPr>
                <w:rFonts w:eastAsia="宋体"/>
                <w:szCs w:val="21"/>
              </w:rPr>
            </w:r>
            <w:r/>
          </w:p>
        </w:tc>
        <w:tc>
          <w:tcPr>
            <w:tcW w:w="2211" w:type="dxa"/>
            <w:vAlign w:val="center"/>
            <w:textDirection w:val="lrTb"/>
            <w:noWrap w:val="false"/>
          </w:tcPr>
          <w:p>
            <w:pPr>
              <w:pStyle w:val="1151"/>
              <w:jc w:val="center"/>
              <w:rPr>
                <w:rFonts w:eastAsia="宋体"/>
                <w:szCs w:val="21"/>
              </w:rPr>
            </w:pPr>
            <w:r>
              <w:rPr>
                <w:rFonts w:eastAsia="宋体"/>
                <w:szCs w:val="21"/>
              </w:rPr>
              <w:t xml:space="preserve">3次重合闸</w:t>
            </w:r>
            <w:r>
              <w:rPr>
                <w:rFonts w:eastAsia="宋体"/>
                <w:szCs w:val="21"/>
              </w:rPr>
            </w:r>
            <w:r/>
          </w:p>
          <w:p>
            <w:pPr>
              <w:pStyle w:val="1151"/>
              <w:jc w:val="center"/>
              <w:rPr>
                <w:rFonts w:eastAsia="宋体"/>
                <w:szCs w:val="21"/>
              </w:rPr>
            </w:pPr>
            <w:r>
              <w:rPr>
                <w:rFonts w:eastAsia="宋体"/>
                <w:szCs w:val="21"/>
              </w:rPr>
              <w:t xml:space="preserve">按间隔配置</w:t>
            </w:r>
            <w:r>
              <w:rPr>
                <w:rFonts w:eastAsia="宋体"/>
                <w:szCs w:val="21"/>
              </w:rPr>
            </w:r>
            <w:r/>
          </w:p>
        </w:tc>
      </w:tr>
      <w:tr>
        <w:trPr/>
        <w:tc>
          <w:tcPr>
            <w:tcW w:w="636" w:type="dxa"/>
            <w:vAlign w:val="center"/>
            <w:textDirection w:val="lrTb"/>
            <w:noWrap w:val="false"/>
          </w:tcPr>
          <w:p>
            <w:pPr>
              <w:pStyle w:val="1249"/>
              <w:numPr>
                <w:ilvl w:val="0"/>
                <w:numId w:val="33"/>
              </w:numPr>
              <w:jc w:val="center"/>
              <w:spacing w:line="240" w:lineRule="auto"/>
              <w:rPr>
                <w:rFonts w:eastAsia="宋体"/>
                <w:szCs w:val="21"/>
              </w:rPr>
            </w:pPr>
            <w:r>
              <w:rPr>
                <w:rFonts w:eastAsia="宋体"/>
                <w:szCs w:val="21"/>
              </w:rPr>
            </w:r>
            <w:r/>
          </w:p>
        </w:tc>
        <w:tc>
          <w:tcPr>
            <w:tcW w:w="2106" w:type="dxa"/>
            <w:vAlign w:val="center"/>
            <w:textDirection w:val="lrTb"/>
            <w:noWrap w:val="false"/>
          </w:tcPr>
          <w:p>
            <w:pPr>
              <w:pStyle w:val="1151"/>
              <w:jc w:val="center"/>
              <w:rPr>
                <w:rFonts w:eastAsia="宋体"/>
                <w:szCs w:val="21"/>
              </w:rPr>
            </w:pPr>
            <w:r>
              <w:rPr>
                <w:rFonts w:eastAsia="宋体"/>
                <w:szCs w:val="21"/>
              </w:rPr>
              <w:t xml:space="preserve">后加速</w:t>
            </w:r>
            <w:r>
              <w:rPr>
                <w:rFonts w:eastAsia="宋体"/>
                <w:szCs w:val="21"/>
              </w:rPr>
            </w:r>
            <w:r/>
          </w:p>
        </w:tc>
        <w:tc>
          <w:tcPr>
            <w:tcW w:w="2211" w:type="dxa"/>
            <w:vAlign w:val="center"/>
            <w:textDirection w:val="lrTb"/>
            <w:noWrap w:val="false"/>
          </w:tcPr>
          <w:p>
            <w:pPr>
              <w:pStyle w:val="1151"/>
              <w:jc w:val="center"/>
              <w:rPr>
                <w:rFonts w:eastAsia="宋体"/>
                <w:szCs w:val="21"/>
              </w:rPr>
            </w:pPr>
            <w:r>
              <w:rPr>
                <w:rFonts w:eastAsia="宋体"/>
                <w:szCs w:val="21"/>
              </w:rPr>
              <w:t xml:space="preserve">过流后加速</w:t>
            </w:r>
            <w:r>
              <w:rPr>
                <w:rFonts w:eastAsia="宋体"/>
                <w:szCs w:val="21"/>
              </w:rPr>
            </w:r>
            <w:r/>
          </w:p>
          <w:p>
            <w:pPr>
              <w:pStyle w:val="1151"/>
              <w:jc w:val="center"/>
              <w:rPr>
                <w:rFonts w:eastAsia="宋体"/>
                <w:szCs w:val="21"/>
              </w:rPr>
            </w:pPr>
            <w:r>
              <w:rPr>
                <w:rFonts w:eastAsia="宋体"/>
                <w:szCs w:val="21"/>
              </w:rPr>
              <w:t xml:space="preserve">零序过流后加速</w:t>
            </w:r>
            <w:r>
              <w:rPr>
                <w:rFonts w:eastAsia="宋体"/>
                <w:szCs w:val="21"/>
              </w:rPr>
            </w:r>
            <w:r/>
          </w:p>
          <w:p>
            <w:pPr>
              <w:pStyle w:val="1151"/>
              <w:jc w:val="center"/>
              <w:rPr>
                <w:rFonts w:eastAsia="宋体"/>
                <w:szCs w:val="21"/>
              </w:rPr>
            </w:pPr>
            <w:r>
              <w:rPr>
                <w:rFonts w:hint="eastAsia" w:eastAsia="宋体"/>
                <w:szCs w:val="21"/>
              </w:rPr>
              <w:t xml:space="preserve">零序电压后加速</w:t>
            </w:r>
            <w:r>
              <w:rPr>
                <w:rFonts w:eastAsia="宋体"/>
                <w:szCs w:val="21"/>
              </w:rPr>
            </w:r>
            <w:r/>
          </w:p>
          <w:p>
            <w:pPr>
              <w:pStyle w:val="1151"/>
              <w:jc w:val="center"/>
              <w:rPr>
                <w:rFonts w:eastAsia="宋体"/>
                <w:szCs w:val="21"/>
              </w:rPr>
            </w:pPr>
            <w:r>
              <w:rPr>
                <w:rFonts w:hint="eastAsia" w:eastAsia="宋体"/>
                <w:szCs w:val="21"/>
              </w:rPr>
              <w:t xml:space="preserve">手动合闸后加速</w:t>
            </w:r>
            <w:r>
              <w:rPr>
                <w:rFonts w:eastAsia="宋体"/>
                <w:szCs w:val="21"/>
              </w:rPr>
            </w:r>
            <w:r/>
          </w:p>
          <w:p>
            <w:pPr>
              <w:pStyle w:val="1151"/>
              <w:jc w:val="center"/>
              <w:rPr>
                <w:rFonts w:eastAsia="宋体"/>
                <w:szCs w:val="21"/>
              </w:rPr>
            </w:pPr>
            <w:r>
              <w:rPr>
                <w:rFonts w:eastAsia="宋体"/>
                <w:szCs w:val="21"/>
              </w:rPr>
              <w:t xml:space="preserve">按间隔配置</w:t>
            </w:r>
            <w:r>
              <w:rPr>
                <w:rFonts w:eastAsia="宋体"/>
                <w:szCs w:val="21"/>
              </w:rPr>
            </w:r>
            <w:r/>
          </w:p>
        </w:tc>
      </w:tr>
    </w:tbl>
    <w:p>
      <w:pPr>
        <w:pStyle w:val="1249"/>
        <w:numPr>
          <w:ilvl w:val="0"/>
          <w:numId w:val="0"/>
        </w:numPr>
        <w:jc w:val="left"/>
        <w:spacing w:line="360" w:lineRule="auto"/>
        <w:rPr>
          <w:rFonts w:ascii="宋体" w:hAnsi="宋体" w:eastAsia="宋体"/>
          <w:szCs w:val="21"/>
        </w:rPr>
      </w:pPr>
      <w:r>
        <w:rPr>
          <w:rFonts w:ascii="宋体" w:hAnsi="宋体" w:eastAsia="宋体"/>
          <w:szCs w:val="21"/>
        </w:rPr>
      </w:r>
      <w:r/>
    </w:p>
    <w:p>
      <w:pPr>
        <w:pStyle w:val="1151"/>
        <w:spacing w:line="312" w:lineRule="exact"/>
        <w:rPr>
          <w:rFonts w:eastAsia="黑体"/>
          <w:szCs w:val="21"/>
        </w:rPr>
        <w:outlineLvl w:val="2"/>
      </w:pPr>
      <w:r/>
      <w:bookmarkEnd w:id="253"/>
      <w:r/>
      <w:bookmarkStart w:id="254" w:name="_Toc35713639"/>
      <w:r>
        <w:rPr>
          <w:rFonts w:eastAsia="黑体"/>
          <w:szCs w:val="21"/>
        </w:rPr>
        <w:t xml:space="preserve">5.</w:t>
      </w:r>
      <w:r>
        <w:rPr>
          <w:rFonts w:hint="eastAsia" w:eastAsia="黑体"/>
          <w:szCs w:val="21"/>
        </w:rPr>
        <w:t xml:space="preserve">3</w:t>
      </w:r>
      <w:r>
        <w:rPr>
          <w:rFonts w:eastAsia="黑体"/>
          <w:szCs w:val="21"/>
        </w:rPr>
        <w:t xml:space="preserve">.6 </w:t>
      </w:r>
      <w:r>
        <w:rPr>
          <w:rFonts w:hint="eastAsia" w:eastAsia="黑体"/>
          <w:szCs w:val="21"/>
        </w:rPr>
        <w:t xml:space="preserve">性能要求</w:t>
      </w:r>
      <w:bookmarkEnd w:id="254"/>
      <w:r>
        <w:rPr>
          <w:rFonts w:eastAsia="黑体"/>
          <w:szCs w:val="21"/>
        </w:rPr>
      </w:r>
      <w:r/>
    </w:p>
    <w:p>
      <w:pPr>
        <w:pStyle w:val="1151"/>
        <w:jc w:val="left"/>
        <w:spacing w:line="312" w:lineRule="exact"/>
        <w:rPr>
          <w:rFonts w:ascii="宋体" w:hAnsi="宋体" w:eastAsia="宋体"/>
          <w:szCs w:val="21"/>
        </w:rPr>
      </w:pPr>
      <w:r/>
      <w:bookmarkStart w:id="255" w:name="_Toc35386106"/>
      <w:r>
        <w:rPr>
          <w:rFonts w:hint="eastAsia" w:ascii="宋体" w:hAnsi="宋体" w:eastAsia="宋体"/>
          <w:szCs w:val="21"/>
        </w:rPr>
        <w:t xml:space="preserve">5</w:t>
      </w:r>
      <w:r>
        <w:rPr>
          <w:rFonts w:ascii="宋体" w:hAnsi="宋体" w:eastAsia="宋体"/>
          <w:szCs w:val="21"/>
        </w:rPr>
        <w:t xml:space="preserve">.</w:t>
      </w:r>
      <w:r>
        <w:rPr>
          <w:rFonts w:hint="eastAsia" w:ascii="宋体" w:hAnsi="宋体" w:eastAsia="宋体"/>
          <w:szCs w:val="21"/>
        </w:rPr>
        <w:t xml:space="preserve">3</w:t>
      </w:r>
      <w:r>
        <w:rPr>
          <w:rFonts w:ascii="宋体" w:hAnsi="宋体" w:eastAsia="宋体"/>
          <w:szCs w:val="21"/>
        </w:rPr>
        <w:t xml:space="preserve">.6.1</w:t>
      </w:r>
      <w:r>
        <w:rPr>
          <w:rFonts w:hint="eastAsia" w:ascii="宋体" w:hAnsi="宋体" w:eastAsia="宋体"/>
          <w:szCs w:val="21"/>
        </w:rPr>
        <w:t xml:space="preserve">基本性能要求</w:t>
      </w:r>
      <w:r>
        <w:rPr>
          <w:rFonts w:ascii="宋体" w:hAnsi="宋体" w:eastAsia="宋体"/>
          <w:szCs w:val="21"/>
        </w:rPr>
      </w:r>
      <w:r/>
    </w:p>
    <w:p>
      <w:pPr>
        <w:pStyle w:val="1151"/>
        <w:numPr>
          <w:ilvl w:val="0"/>
          <w:numId w:val="34"/>
        </w:numPr>
        <w:spacing w:line="312" w:lineRule="exact"/>
        <w:rPr>
          <w:rFonts w:ascii="宋体"/>
        </w:rPr>
      </w:pPr>
      <w:r>
        <w:rPr>
          <w:rFonts w:hint="eastAsia" w:ascii="宋体"/>
        </w:rPr>
        <w:t xml:space="preserve">交流采集要求</w:t>
      </w:r>
      <w:r>
        <w:rPr>
          <w:rFonts w:ascii="宋体"/>
        </w:rPr>
      </w:r>
      <w:r/>
    </w:p>
    <w:p>
      <w:pPr>
        <w:pStyle w:val="1151"/>
        <w:numPr>
          <w:ilvl w:val="1"/>
          <w:numId w:val="34"/>
        </w:numPr>
        <w:spacing w:line="312" w:lineRule="exact"/>
        <w:rPr>
          <w:rFonts w:ascii="宋体"/>
        </w:rPr>
      </w:pPr>
      <w:r>
        <w:rPr>
          <w:rFonts w:hint="eastAsia" w:ascii="宋体"/>
        </w:rPr>
        <w:t xml:space="preserve">交流采集标称值要求</w:t>
      </w:r>
      <w:r>
        <w:rPr>
          <w:rFonts w:ascii="宋体"/>
        </w:rPr>
        <w:t xml:space="preserve">：</w:t>
      </w:r>
      <w:r>
        <w:rPr>
          <w:rFonts w:ascii="宋体"/>
        </w:rPr>
      </w:r>
      <w:r/>
    </w:p>
    <w:p>
      <w:pPr>
        <w:pStyle w:val="1151"/>
        <w:numPr>
          <w:ilvl w:val="0"/>
          <w:numId w:val="35"/>
        </w:numPr>
        <w:spacing w:line="312" w:lineRule="exact"/>
        <w:rPr>
          <w:rFonts w:ascii="宋体" w:hAnsi="宋体"/>
        </w:rPr>
      </w:pPr>
      <w:r>
        <w:rPr>
          <w:rFonts w:hint="eastAsia" w:ascii="宋体" w:hAnsi="宋体"/>
        </w:rPr>
        <w:t xml:space="preserve">电压输入标称值</w:t>
      </w:r>
      <w:r>
        <w:rPr>
          <w:rFonts w:ascii="宋体" w:hAnsi="宋体"/>
        </w:rPr>
        <w:t xml:space="preserve">： 100</w:t>
      </w:r>
      <w:r>
        <w:rPr>
          <w:rFonts w:hint="eastAsia" w:ascii="宋体" w:hAnsi="宋体"/>
        </w:rPr>
        <w:t xml:space="preserve">/√3</w:t>
      </w:r>
      <w:r>
        <w:rPr>
          <w:rFonts w:ascii="宋体" w:hAnsi="宋体"/>
        </w:rPr>
        <w:t xml:space="preserve">V</w:t>
      </w:r>
      <w:r>
        <w:rPr>
          <w:rFonts w:hint="eastAsia" w:ascii="宋体" w:hAnsi="宋体"/>
        </w:rPr>
        <w:t xml:space="preserve">；</w:t>
      </w:r>
      <w:r>
        <w:rPr>
          <w:rFonts w:ascii="宋体" w:hAnsi="宋体"/>
        </w:rPr>
      </w:r>
      <w:r/>
    </w:p>
    <w:p>
      <w:pPr>
        <w:pStyle w:val="1151"/>
        <w:numPr>
          <w:ilvl w:val="0"/>
          <w:numId w:val="35"/>
        </w:numPr>
        <w:spacing w:line="312" w:lineRule="exact"/>
        <w:rPr>
          <w:rFonts w:ascii="宋体" w:hAnsi="宋体"/>
        </w:rPr>
      </w:pPr>
      <w:r>
        <w:rPr>
          <w:rFonts w:ascii="宋体" w:hAnsi="宋体"/>
        </w:rPr>
        <w:t xml:space="preserve">相电流</w:t>
      </w:r>
      <w:r>
        <w:rPr>
          <w:rFonts w:hint="eastAsia" w:ascii="宋体" w:hAnsi="宋体"/>
        </w:rPr>
        <w:t xml:space="preserve">输入标称值：</w:t>
      </w:r>
      <w:r>
        <w:rPr>
          <w:rFonts w:ascii="宋体" w:hAnsi="宋体"/>
        </w:rPr>
        <w:t xml:space="preserve">5A/1A</w:t>
      </w:r>
      <w:r>
        <w:rPr>
          <w:rFonts w:hint="eastAsia" w:ascii="宋体" w:hAnsi="宋体"/>
        </w:rPr>
        <w:t xml:space="preserve">；</w:t>
      </w:r>
      <w:r>
        <w:rPr>
          <w:rFonts w:ascii="宋体" w:hAnsi="宋体"/>
        </w:rPr>
      </w:r>
      <w:r/>
    </w:p>
    <w:p>
      <w:pPr>
        <w:pStyle w:val="1151"/>
        <w:numPr>
          <w:ilvl w:val="0"/>
          <w:numId w:val="35"/>
        </w:numPr>
        <w:spacing w:line="312" w:lineRule="exact"/>
        <w:rPr>
          <w:rFonts w:ascii="宋体" w:hAnsi="宋体"/>
        </w:rPr>
      </w:pPr>
      <w:r>
        <w:rPr>
          <w:rFonts w:hint="eastAsia" w:ascii="宋体" w:hAnsi="宋体"/>
        </w:rPr>
        <w:t xml:space="preserve">零序</w:t>
      </w:r>
      <w:r>
        <w:rPr>
          <w:rFonts w:ascii="宋体" w:hAnsi="宋体"/>
        </w:rPr>
        <w:t xml:space="preserve">电流</w:t>
      </w:r>
      <w:r>
        <w:rPr>
          <w:rFonts w:hint="eastAsia" w:ascii="宋体" w:hAnsi="宋体"/>
        </w:rPr>
        <w:t xml:space="preserve">输入标称值：</w:t>
      </w:r>
      <w:r>
        <w:rPr>
          <w:rFonts w:ascii="宋体" w:hAnsi="宋体"/>
        </w:rPr>
        <w:t xml:space="preserve">1A</w:t>
      </w:r>
      <w:r>
        <w:rPr>
          <w:rFonts w:hint="eastAsia" w:ascii="宋体" w:hAnsi="宋体"/>
        </w:rPr>
        <w:t xml:space="preserve">；</w:t>
      </w:r>
      <w:r>
        <w:rPr>
          <w:rFonts w:ascii="宋体" w:hAnsi="宋体"/>
        </w:rPr>
      </w:r>
      <w:r/>
    </w:p>
    <w:p>
      <w:pPr>
        <w:pStyle w:val="1151"/>
        <w:numPr>
          <w:ilvl w:val="1"/>
          <w:numId w:val="34"/>
        </w:numPr>
        <w:spacing w:line="312" w:lineRule="exact"/>
        <w:rPr>
          <w:rFonts w:ascii="宋体"/>
        </w:rPr>
      </w:pPr>
      <w:r>
        <w:rPr>
          <w:rFonts w:hint="eastAsia" w:ascii="宋体"/>
        </w:rPr>
        <w:t xml:space="preserve">交流采集允许基本误差精度和等级指数：</w:t>
      </w:r>
      <w:r>
        <w:rPr>
          <w:rFonts w:ascii="宋体"/>
        </w:rPr>
      </w:r>
      <w:r/>
    </w:p>
    <w:p>
      <w:pPr>
        <w:pStyle w:val="1151"/>
        <w:numPr>
          <w:ilvl w:val="0"/>
          <w:numId w:val="36"/>
        </w:numPr>
        <w:spacing w:line="312" w:lineRule="exact"/>
        <w:rPr>
          <w:rFonts w:ascii="宋体" w:hAnsi="宋体"/>
        </w:rPr>
      </w:pPr>
      <w:r>
        <w:rPr>
          <w:rFonts w:hint="eastAsia" w:ascii="宋体" w:hAnsi="宋体"/>
        </w:rPr>
        <w:t xml:space="preserve">电压：0.5级；</w:t>
      </w:r>
      <w:r>
        <w:rPr>
          <w:rFonts w:ascii="宋体" w:hAnsi="宋体"/>
        </w:rPr>
      </w:r>
      <w:r/>
    </w:p>
    <w:p>
      <w:pPr>
        <w:pStyle w:val="1151"/>
        <w:numPr>
          <w:ilvl w:val="0"/>
          <w:numId w:val="36"/>
        </w:numPr>
        <w:spacing w:line="312" w:lineRule="exact"/>
        <w:rPr>
          <w:rFonts w:ascii="宋体" w:hAnsi="宋体"/>
        </w:rPr>
      </w:pPr>
      <w:r>
        <w:rPr>
          <w:rFonts w:ascii="宋体" w:hAnsi="宋体"/>
        </w:rPr>
        <w:t xml:space="preserve">相电流：相测量值0.5级（≤1.2In），相保护值≤3％(≤10In)；</w:t>
      </w:r>
      <w:r>
        <w:rPr>
          <w:rFonts w:ascii="宋体" w:hAnsi="宋体"/>
        </w:rPr>
      </w:r>
      <w:r/>
    </w:p>
    <w:p>
      <w:pPr>
        <w:pStyle w:val="1151"/>
        <w:numPr>
          <w:ilvl w:val="0"/>
          <w:numId w:val="36"/>
        </w:numPr>
        <w:spacing w:line="312" w:lineRule="exact"/>
        <w:rPr>
          <w:rFonts w:ascii="宋体" w:hAnsi="宋体"/>
        </w:rPr>
      </w:pPr>
      <w:r>
        <w:rPr>
          <w:rFonts w:ascii="宋体" w:hAnsi="宋体"/>
        </w:rPr>
        <w:t xml:space="preserve">零序电流： 0.5级；</w:t>
      </w:r>
      <w:r>
        <w:rPr>
          <w:rFonts w:ascii="宋体" w:hAnsi="宋体"/>
        </w:rPr>
      </w:r>
      <w:r/>
    </w:p>
    <w:p>
      <w:pPr>
        <w:pStyle w:val="1151"/>
        <w:numPr>
          <w:ilvl w:val="0"/>
          <w:numId w:val="36"/>
        </w:numPr>
        <w:spacing w:line="312" w:lineRule="exact"/>
        <w:rPr>
          <w:rFonts w:ascii="宋体" w:hAnsi="宋体"/>
        </w:rPr>
      </w:pPr>
      <w:r>
        <w:rPr>
          <w:rFonts w:ascii="宋体" w:hAnsi="宋体"/>
        </w:rPr>
        <w:t xml:space="preserve">有功功率、无功功率精度：1级</w:t>
      </w:r>
      <w:r>
        <w:rPr>
          <w:rFonts w:hint="eastAsia" w:ascii="宋体" w:hAnsi="宋体"/>
        </w:rPr>
        <w:t xml:space="preserve">；</w:t>
      </w:r>
      <w:r>
        <w:rPr>
          <w:rFonts w:ascii="宋体" w:hAnsi="宋体"/>
        </w:rPr>
      </w:r>
      <w:r/>
    </w:p>
    <w:p>
      <w:pPr>
        <w:pStyle w:val="1151"/>
        <w:numPr>
          <w:ilvl w:val="0"/>
          <w:numId w:val="36"/>
        </w:numPr>
        <w:spacing w:line="312" w:lineRule="exact"/>
        <w:rPr>
          <w:rFonts w:ascii="宋体" w:hAnsi="宋体"/>
        </w:rPr>
      </w:pPr>
      <w:r>
        <w:rPr>
          <w:rFonts w:ascii="宋体" w:hAnsi="宋体"/>
        </w:rPr>
        <w:t xml:space="preserve">电能量精度：有功0.5</w:t>
      </w:r>
      <w:r>
        <w:rPr>
          <w:rFonts w:hint="eastAsia" w:ascii="宋体" w:hAnsi="宋体"/>
        </w:rPr>
        <w:t xml:space="preserve">S</w:t>
      </w:r>
      <w:r>
        <w:rPr>
          <w:rFonts w:ascii="宋体" w:hAnsi="宋体"/>
        </w:rPr>
        <w:t xml:space="preserve">，无功2级</w:t>
      </w:r>
      <w:r>
        <w:rPr>
          <w:rFonts w:hint="eastAsia" w:ascii="宋体" w:hAnsi="宋体"/>
        </w:rPr>
        <w:t xml:space="preserve">；</w:t>
      </w:r>
      <w:r>
        <w:rPr>
          <w:rFonts w:ascii="宋体" w:hAnsi="宋体"/>
        </w:rPr>
      </w:r>
      <w:r/>
    </w:p>
    <w:p>
      <w:pPr>
        <w:pStyle w:val="1151"/>
        <w:numPr>
          <w:ilvl w:val="1"/>
          <w:numId w:val="34"/>
        </w:numPr>
        <w:spacing w:line="312" w:lineRule="exact"/>
        <w:rPr>
          <w:rFonts w:ascii="宋体"/>
        </w:rPr>
      </w:pPr>
      <w:r>
        <w:rPr>
          <w:rFonts w:ascii="宋体"/>
        </w:rPr>
        <w:t xml:space="preserve">采集交流电压、电流，在标称输入值时，核心单元每一电流回路的功率消耗应小于0.75VA；核心单元每一电压回路的功率消耗应小于0.5VA；</w:t>
      </w:r>
      <w:r>
        <w:rPr>
          <w:rFonts w:ascii="宋体"/>
        </w:rPr>
      </w:r>
      <w:r/>
    </w:p>
    <w:p>
      <w:pPr>
        <w:pStyle w:val="1151"/>
        <w:numPr>
          <w:ilvl w:val="1"/>
          <w:numId w:val="34"/>
        </w:numPr>
        <w:spacing w:line="312" w:lineRule="exact"/>
        <w:rPr>
          <w:rFonts w:ascii="宋体"/>
        </w:rPr>
      </w:pPr>
      <w:r>
        <w:rPr>
          <w:rFonts w:ascii="宋体"/>
        </w:rPr>
        <w:t xml:space="preserve">短期过量交流输入电流施加标称值的2000%，持续时间小于1秒，站所终端应工作正常。</w:t>
      </w:r>
      <w:r>
        <w:rPr>
          <w:rFonts w:ascii="宋体"/>
        </w:rPr>
      </w:r>
      <w:r/>
    </w:p>
    <w:p>
      <w:pPr>
        <w:pStyle w:val="1151"/>
        <w:numPr>
          <w:ilvl w:val="0"/>
          <w:numId w:val="34"/>
        </w:numPr>
        <w:spacing w:line="312" w:lineRule="exact"/>
        <w:rPr>
          <w:rFonts w:ascii="宋体"/>
        </w:rPr>
      </w:pPr>
      <w:r>
        <w:rPr>
          <w:rFonts w:ascii="宋体"/>
        </w:rPr>
        <w:t xml:space="preserve">遥信</w:t>
      </w:r>
      <w:r>
        <w:rPr>
          <w:rFonts w:hint="eastAsia" w:ascii="宋体"/>
        </w:rPr>
        <w:t xml:space="preserve">采集</w:t>
      </w:r>
      <w:r>
        <w:rPr>
          <w:rFonts w:ascii="宋体"/>
        </w:rPr>
        <w:t xml:space="preserve">要求：</w:t>
      </w:r>
      <w:r>
        <w:rPr>
          <w:rFonts w:ascii="宋体"/>
        </w:rPr>
      </w:r>
      <w:r/>
    </w:p>
    <w:p>
      <w:pPr>
        <w:pStyle w:val="1151"/>
        <w:numPr>
          <w:ilvl w:val="0"/>
          <w:numId w:val="37"/>
        </w:numPr>
        <w:spacing w:line="312" w:lineRule="exact"/>
        <w:rPr>
          <w:rFonts w:ascii="宋体" w:hAnsi="宋体"/>
        </w:rPr>
      </w:pPr>
      <w:r>
        <w:rPr>
          <w:rFonts w:ascii="宋体" w:hAnsi="宋体"/>
        </w:rPr>
        <w:t xml:space="preserve">遥信分辨率不大于5毫秒，遥信电源电压</w:t>
      </w:r>
      <w:r>
        <w:rPr>
          <w:rFonts w:hint="eastAsia" w:ascii="宋体" w:hAnsi="宋体"/>
        </w:rPr>
        <w:t xml:space="preserve">DC24V</w:t>
      </w:r>
      <w:r>
        <w:rPr>
          <w:rFonts w:ascii="宋体" w:hAnsi="宋体"/>
        </w:rPr>
        <w:t xml:space="preserve">；</w:t>
      </w:r>
      <w:r>
        <w:rPr>
          <w:rFonts w:ascii="宋体" w:hAnsi="宋体"/>
        </w:rPr>
      </w:r>
      <w:r/>
    </w:p>
    <w:p>
      <w:pPr>
        <w:pStyle w:val="1151"/>
        <w:numPr>
          <w:ilvl w:val="0"/>
          <w:numId w:val="37"/>
        </w:numPr>
        <w:spacing w:line="312" w:lineRule="exact"/>
        <w:rPr>
          <w:rFonts w:ascii="宋体" w:hAnsi="宋体"/>
        </w:rPr>
      </w:pPr>
      <w:r>
        <w:rPr>
          <w:rFonts w:hint="eastAsia" w:ascii="宋体" w:hAnsi="宋体"/>
        </w:rPr>
        <w:t xml:space="preserve">遥信动作阀值应合理设置，保证低于30%的额定电压时，遥信可靠不动作，高于70%的额定电压时，遥信应可靠动作</w:t>
      </w:r>
      <w:r>
        <w:rPr>
          <w:rFonts w:ascii="宋体" w:hAnsi="宋体"/>
        </w:rPr>
        <w:t xml:space="preserve">；</w:t>
      </w:r>
      <w:r>
        <w:rPr>
          <w:rFonts w:ascii="宋体" w:hAnsi="宋体"/>
        </w:rPr>
      </w:r>
      <w:r/>
    </w:p>
    <w:p>
      <w:pPr>
        <w:pStyle w:val="1151"/>
        <w:numPr>
          <w:ilvl w:val="0"/>
          <w:numId w:val="37"/>
        </w:numPr>
        <w:spacing w:line="312" w:lineRule="exact"/>
        <w:rPr>
          <w:rFonts w:ascii="宋体" w:hAnsi="宋体"/>
        </w:rPr>
      </w:pPr>
      <w:r>
        <w:rPr>
          <w:rFonts w:ascii="宋体" w:hAnsi="宋体"/>
        </w:rPr>
        <w:t xml:space="preserve">采取遥信防抖措施，软件防抖动时间10～1000毫秒可设（推荐出厂设置200毫秒）；</w:t>
      </w:r>
      <w:r>
        <w:rPr>
          <w:rFonts w:ascii="宋体" w:hAnsi="宋体"/>
        </w:rPr>
      </w:r>
      <w:r/>
    </w:p>
    <w:p>
      <w:pPr>
        <w:pStyle w:val="1151"/>
        <w:numPr>
          <w:ilvl w:val="0"/>
          <w:numId w:val="34"/>
        </w:numPr>
        <w:spacing w:line="312" w:lineRule="exact"/>
        <w:rPr>
          <w:rFonts w:ascii="宋体"/>
        </w:rPr>
      </w:pPr>
      <w:r>
        <w:rPr>
          <w:rFonts w:ascii="宋体"/>
        </w:rPr>
        <w:t xml:space="preserve">控制输出要求：</w:t>
      </w:r>
      <w:r>
        <w:rPr>
          <w:rFonts w:ascii="宋体"/>
        </w:rPr>
      </w:r>
      <w:r/>
    </w:p>
    <w:p>
      <w:pPr>
        <w:pStyle w:val="1151"/>
        <w:numPr>
          <w:ilvl w:val="0"/>
          <w:numId w:val="38"/>
        </w:numPr>
        <w:spacing w:line="312" w:lineRule="exact"/>
        <w:rPr>
          <w:rFonts w:ascii="宋体" w:hAnsi="宋体"/>
        </w:rPr>
      </w:pPr>
      <w:r>
        <w:rPr>
          <w:rFonts w:ascii="宋体" w:hAnsi="宋体"/>
        </w:rPr>
        <w:t xml:space="preserve">实现开关的分、合闸控制；</w:t>
      </w:r>
      <w:r>
        <w:rPr>
          <w:rFonts w:ascii="宋体" w:hAnsi="宋体"/>
        </w:rPr>
      </w:r>
      <w:r/>
    </w:p>
    <w:p>
      <w:pPr>
        <w:pStyle w:val="1151"/>
        <w:numPr>
          <w:ilvl w:val="0"/>
          <w:numId w:val="38"/>
        </w:numPr>
        <w:spacing w:line="312" w:lineRule="exact"/>
        <w:rPr>
          <w:rFonts w:ascii="宋体" w:hAnsi="宋体"/>
        </w:rPr>
      </w:pPr>
      <w:r>
        <w:rPr>
          <w:rFonts w:ascii="宋体" w:hAnsi="宋体"/>
        </w:rPr>
        <w:t xml:space="preserve">具备软硬件防误动措施，保证控制操作的可靠性，控制输出回路提供明显断开点；</w:t>
      </w:r>
      <w:r>
        <w:rPr>
          <w:rFonts w:ascii="宋体" w:hAnsi="宋体"/>
        </w:rPr>
      </w:r>
      <w:r/>
    </w:p>
    <w:p>
      <w:pPr>
        <w:pStyle w:val="1151"/>
        <w:numPr>
          <w:ilvl w:val="0"/>
          <w:numId w:val="38"/>
        </w:numPr>
        <w:spacing w:line="312" w:lineRule="exact"/>
        <w:rPr>
          <w:rFonts w:ascii="宋体" w:hAnsi="宋体"/>
        </w:rPr>
      </w:pPr>
      <w:r>
        <w:rPr>
          <w:rFonts w:ascii="宋体" w:hAnsi="宋体"/>
        </w:rPr>
        <w:t xml:space="preserve">触点容量交流250V/5A或直流110/0.5A纯电阻负载；</w:t>
      </w:r>
      <w:r>
        <w:rPr>
          <w:rFonts w:ascii="宋体" w:hAnsi="宋体"/>
        </w:rPr>
      </w:r>
      <w:r/>
    </w:p>
    <w:p>
      <w:pPr>
        <w:pStyle w:val="1151"/>
        <w:numPr>
          <w:ilvl w:val="0"/>
          <w:numId w:val="34"/>
        </w:numPr>
        <w:spacing w:line="312" w:lineRule="exact"/>
        <w:rPr>
          <w:rFonts w:ascii="宋体"/>
        </w:rPr>
      </w:pPr>
      <w:r>
        <w:rPr>
          <w:rFonts w:hint="eastAsia" w:ascii="宋体"/>
        </w:rPr>
        <w:t xml:space="preserve">装置功耗</w:t>
      </w:r>
      <w:r>
        <w:rPr>
          <w:rFonts w:ascii="宋体"/>
        </w:rPr>
        <w:t xml:space="preserve">要求</w:t>
      </w:r>
      <w:r>
        <w:rPr>
          <w:rFonts w:hint="eastAsia" w:ascii="宋体"/>
        </w:rPr>
        <w:t xml:space="preserve">：</w:t>
      </w:r>
      <w:r>
        <w:rPr>
          <w:rFonts w:ascii="宋体"/>
        </w:rPr>
      </w:r>
      <w:r/>
    </w:p>
    <w:p>
      <w:pPr>
        <w:pStyle w:val="1151"/>
        <w:ind w:left="420" w:firstLine="420"/>
        <w:spacing w:line="312" w:lineRule="exact"/>
        <w:rPr>
          <w:rFonts w:ascii="宋体" w:hAnsi="宋体"/>
        </w:rPr>
      </w:pPr>
      <w:r>
        <w:rPr>
          <w:rFonts w:hint="eastAsia" w:ascii="宋体" w:hAnsi="宋体"/>
        </w:rPr>
        <w:t xml:space="preserve">核心单元正常运行直流功耗宜不大于</w:t>
      </w:r>
      <w:r>
        <w:rPr>
          <w:rFonts w:ascii="宋体" w:hAnsi="宋体"/>
        </w:rPr>
        <w:t xml:space="preserve">20W</w:t>
      </w:r>
      <w:r>
        <w:rPr>
          <w:rFonts w:hint="eastAsia" w:ascii="宋体" w:hAnsi="宋体"/>
        </w:rPr>
        <w:t xml:space="preserve">（不含通信模块、电源管理模块），整机功耗不超过</w:t>
      </w:r>
      <w:r>
        <w:rPr>
          <w:rFonts w:ascii="宋体" w:hAnsi="宋体"/>
        </w:rPr>
        <w:t xml:space="preserve">50VA</w:t>
      </w:r>
      <w:r>
        <w:rPr>
          <w:rFonts w:hint="eastAsia" w:ascii="宋体" w:hAnsi="宋体"/>
        </w:rPr>
        <w:t xml:space="preserve">（不含通信模块、后备电源）。</w:t>
      </w:r>
      <w:r>
        <w:rPr>
          <w:rFonts w:ascii="宋体" w:hAnsi="宋体"/>
        </w:rPr>
      </w:r>
      <w:r/>
    </w:p>
    <w:p>
      <w:pPr>
        <w:pStyle w:val="1151"/>
        <w:numPr>
          <w:ilvl w:val="0"/>
          <w:numId w:val="34"/>
        </w:numPr>
        <w:spacing w:line="312" w:lineRule="exact"/>
        <w:rPr>
          <w:rFonts w:ascii="宋体"/>
        </w:rPr>
      </w:pPr>
      <w:r>
        <w:rPr>
          <w:rFonts w:ascii="宋体"/>
        </w:rPr>
        <w:t xml:space="preserve">数据处理性能要求</w:t>
      </w:r>
      <w:r>
        <w:rPr>
          <w:rFonts w:hint="eastAsia" w:ascii="宋体"/>
        </w:rPr>
        <w:t xml:space="preserve">：</w:t>
      </w:r>
      <w:r>
        <w:rPr>
          <w:rFonts w:ascii="宋体"/>
        </w:rPr>
      </w:r>
      <w:r/>
    </w:p>
    <w:p>
      <w:pPr>
        <w:pStyle w:val="1151"/>
        <w:numPr>
          <w:ilvl w:val="0"/>
          <w:numId w:val="39"/>
        </w:numPr>
        <w:spacing w:line="312" w:lineRule="exact"/>
        <w:rPr>
          <w:rFonts w:ascii="宋体" w:hAnsi="宋体"/>
        </w:rPr>
      </w:pPr>
      <w:r>
        <w:rPr>
          <w:rFonts w:ascii="宋体" w:hAnsi="宋体"/>
        </w:rPr>
        <w:t xml:space="preserve">在主站通信异常时，为保证事件（</w:t>
      </w:r>
      <w:r>
        <w:rPr>
          <w:rFonts w:hint="eastAsia" w:ascii="宋体" w:hAnsi="宋体"/>
        </w:rPr>
        <w:t xml:space="preserve">SOE</w:t>
      </w:r>
      <w:r>
        <w:rPr>
          <w:rFonts w:ascii="宋体" w:hAnsi="宋体"/>
        </w:rPr>
        <w:t xml:space="preserve">信息）不丢失，所有事件必须得到主站的确认；否则将事件进行缓存，待通信恢复正常后重新上送未被确认的事件，未被确认的事件应该在通信重新建立链路后重复上送，直至被确认才清除缓存遥信。如果终端掉电重启后则事件清空，无需再补充上送</w:t>
      </w:r>
      <w:r>
        <w:rPr>
          <w:rFonts w:hint="eastAsia" w:ascii="宋体" w:hAnsi="宋体"/>
        </w:rPr>
        <w:t xml:space="preserve">；</w:t>
      </w:r>
      <w:r>
        <w:rPr>
          <w:rFonts w:ascii="宋体" w:hAnsi="宋体"/>
        </w:rPr>
      </w:r>
      <w:r/>
    </w:p>
    <w:p>
      <w:pPr>
        <w:pStyle w:val="1151"/>
        <w:numPr>
          <w:ilvl w:val="0"/>
          <w:numId w:val="39"/>
        </w:numPr>
        <w:spacing w:line="312" w:lineRule="exact"/>
        <w:rPr>
          <w:rFonts w:ascii="宋体" w:hAnsi="宋体"/>
        </w:rPr>
      </w:pPr>
      <w:r>
        <w:rPr>
          <w:rFonts w:ascii="宋体" w:hAnsi="宋体"/>
        </w:rPr>
        <w:t xml:space="preserve">具备历史数据循环存储功能，要求如下：</w:t>
      </w:r>
      <w:r>
        <w:rPr>
          <w:rFonts w:ascii="宋体" w:hAnsi="宋体"/>
        </w:rPr>
      </w:r>
      <w:r/>
    </w:p>
    <w:p>
      <w:pPr>
        <w:pStyle w:val="1151"/>
        <w:numPr>
          <w:ilvl w:val="0"/>
          <w:numId w:val="40"/>
        </w:numPr>
        <w:spacing w:line="312" w:lineRule="exact"/>
        <w:rPr>
          <w:rFonts w:ascii="宋体" w:hAnsi="宋体"/>
        </w:rPr>
      </w:pPr>
      <w:r>
        <w:rPr>
          <w:rFonts w:ascii="宋体" w:hAnsi="宋体"/>
        </w:rPr>
        <w:t xml:space="preserve">应循环存储不少于1024条</w:t>
      </w:r>
      <w:r>
        <w:rPr>
          <w:rFonts w:hint="eastAsia" w:ascii="宋体" w:hAnsi="宋体"/>
        </w:rPr>
        <w:t xml:space="preserve">SOE</w:t>
      </w:r>
      <w:r>
        <w:rPr>
          <w:rFonts w:ascii="宋体" w:hAnsi="宋体"/>
        </w:rPr>
        <w:t xml:space="preserve">记录，采用文件传输方式上送最新的1024条记录</w:t>
      </w:r>
      <w:r>
        <w:rPr>
          <w:rFonts w:hint="eastAsia" w:ascii="宋体" w:hAnsi="宋体"/>
        </w:rPr>
        <w:t xml:space="preserve">；</w:t>
      </w:r>
      <w:r>
        <w:rPr>
          <w:rFonts w:ascii="宋体" w:hAnsi="宋体"/>
        </w:rPr>
      </w:r>
      <w:r/>
    </w:p>
    <w:p>
      <w:pPr>
        <w:pStyle w:val="1151"/>
        <w:numPr>
          <w:ilvl w:val="0"/>
          <w:numId w:val="40"/>
        </w:numPr>
        <w:spacing w:line="312" w:lineRule="exact"/>
        <w:rPr>
          <w:rFonts w:ascii="宋体" w:hAnsi="宋体"/>
        </w:rPr>
      </w:pPr>
      <w:r>
        <w:rPr>
          <w:rFonts w:ascii="宋体" w:hAnsi="宋体"/>
        </w:rPr>
        <w:t xml:space="preserve">应循环存储不少于31天的定点记录和极值记录，采用文件传输方式上送最新31天的记录数据，定点数据每天等间隔产生96条，极值记录每天产生1条</w:t>
      </w:r>
      <w:r>
        <w:rPr>
          <w:rFonts w:hint="eastAsia" w:ascii="宋体" w:hAnsi="宋体"/>
        </w:rPr>
        <w:t xml:space="preserve">；</w:t>
      </w:r>
      <w:r>
        <w:rPr>
          <w:rFonts w:ascii="宋体" w:hAnsi="宋体"/>
        </w:rPr>
      </w:r>
      <w:r/>
    </w:p>
    <w:p>
      <w:pPr>
        <w:pStyle w:val="1151"/>
        <w:numPr>
          <w:ilvl w:val="0"/>
          <w:numId w:val="40"/>
        </w:numPr>
        <w:spacing w:line="312" w:lineRule="exact"/>
        <w:rPr>
          <w:rFonts w:ascii="宋体" w:hAnsi="宋体"/>
        </w:rPr>
      </w:pPr>
      <w:r>
        <w:rPr>
          <w:rFonts w:ascii="宋体" w:hAnsi="宋体"/>
        </w:rPr>
        <w:t xml:space="preserve">应循环存储不少于30条的遥控操作记录，采用文件传输方式上送最新30条操作记录</w:t>
      </w:r>
      <w:r>
        <w:rPr>
          <w:rFonts w:hint="eastAsia" w:ascii="宋体" w:hAnsi="宋体"/>
        </w:rPr>
        <w:t xml:space="preserve">；</w:t>
      </w:r>
      <w:r>
        <w:rPr>
          <w:rFonts w:ascii="宋体" w:hAnsi="宋体"/>
        </w:rPr>
      </w:r>
      <w:r/>
    </w:p>
    <w:p>
      <w:pPr>
        <w:pStyle w:val="1151"/>
        <w:numPr>
          <w:ilvl w:val="0"/>
          <w:numId w:val="40"/>
        </w:numPr>
        <w:spacing w:line="312" w:lineRule="exact"/>
        <w:rPr>
          <w:rFonts w:ascii="宋体" w:hAnsi="宋体"/>
        </w:rPr>
      </w:pPr>
      <w:r>
        <w:rPr>
          <w:rFonts w:ascii="宋体" w:hAnsi="宋体"/>
        </w:rPr>
        <w:t xml:space="preserve">所有存储并上送的记录对象必须是现场配置的上送信息点表规定的信息，对于不满足最大条数的记录按实际记录数量传输。</w:t>
      </w:r>
      <w:r>
        <w:rPr>
          <w:rFonts w:ascii="宋体" w:hAnsi="宋体"/>
        </w:rPr>
      </w:r>
      <w:r/>
    </w:p>
    <w:p>
      <w:pPr>
        <w:pStyle w:val="1151"/>
        <w:numPr>
          <w:ilvl w:val="0"/>
          <w:numId w:val="34"/>
        </w:numPr>
        <w:spacing w:line="312" w:lineRule="exact"/>
        <w:rPr>
          <w:rFonts w:ascii="宋体"/>
        </w:rPr>
      </w:pPr>
      <w:r>
        <w:rPr>
          <w:rFonts w:hint="eastAsia" w:ascii="宋体"/>
        </w:rPr>
        <w:t xml:space="preserve">故障处理性能要求：</w:t>
      </w:r>
      <w:r>
        <w:rPr>
          <w:rFonts w:ascii="宋体"/>
        </w:rPr>
      </w:r>
      <w:r/>
    </w:p>
    <w:p>
      <w:pPr>
        <w:pStyle w:val="1151"/>
        <w:numPr>
          <w:ilvl w:val="0"/>
          <w:numId w:val="41"/>
        </w:numPr>
        <w:spacing w:line="312" w:lineRule="exact"/>
        <w:rPr>
          <w:rFonts w:ascii="宋体" w:hAnsi="宋体"/>
        </w:rPr>
      </w:pPr>
      <w:r>
        <w:rPr>
          <w:rFonts w:hint="eastAsia" w:ascii="宋体" w:hAnsi="宋体"/>
        </w:rPr>
        <w:t xml:space="preserve">故障处理相关电流整定值误差应不大于</w:t>
      </w:r>
      <w:r>
        <w:rPr>
          <w:rFonts w:ascii="宋体" w:hAnsi="宋体"/>
        </w:rPr>
        <w:t xml:space="preserve">±5%</w:t>
      </w:r>
      <w:r>
        <w:rPr>
          <w:rFonts w:hint="eastAsia" w:ascii="宋体" w:hAnsi="宋体"/>
        </w:rPr>
        <w:t xml:space="preserve">或</w:t>
      </w:r>
      <w:r>
        <w:rPr>
          <w:rFonts w:ascii="宋体" w:hAnsi="宋体"/>
        </w:rPr>
        <w:t xml:space="preserve">±0.02In</w:t>
      </w:r>
      <w:r>
        <w:rPr>
          <w:rFonts w:hint="eastAsia" w:ascii="宋体" w:hAnsi="宋体"/>
        </w:rPr>
        <w:t xml:space="preserve">；</w:t>
      </w:r>
      <w:r>
        <w:rPr>
          <w:rFonts w:ascii="宋体" w:hAnsi="宋体"/>
        </w:rPr>
      </w:r>
      <w:r/>
    </w:p>
    <w:p>
      <w:pPr>
        <w:pStyle w:val="1151"/>
        <w:numPr>
          <w:ilvl w:val="0"/>
          <w:numId w:val="41"/>
        </w:numPr>
        <w:spacing w:line="312" w:lineRule="exact"/>
        <w:rPr>
          <w:rFonts w:ascii="宋体" w:hAnsi="宋体"/>
        </w:rPr>
      </w:pPr>
      <w:r>
        <w:rPr>
          <w:rFonts w:hint="eastAsia" w:ascii="宋体" w:hAnsi="宋体"/>
        </w:rPr>
        <w:t xml:space="preserve">故障处理相关电压整定值误差应不大于</w:t>
      </w:r>
      <w:r>
        <w:rPr>
          <w:rFonts w:ascii="宋体" w:hAnsi="宋体"/>
        </w:rPr>
        <w:t xml:space="preserve">±5%</w:t>
      </w:r>
      <w:r>
        <w:rPr>
          <w:rFonts w:hint="eastAsia" w:ascii="宋体" w:hAnsi="宋体"/>
        </w:rPr>
        <w:t xml:space="preserve">或</w:t>
      </w:r>
      <w:r>
        <w:rPr>
          <w:rFonts w:ascii="宋体" w:hAnsi="宋体"/>
        </w:rPr>
        <w:t xml:space="preserve">±0.01Un</w:t>
      </w:r>
      <w:r>
        <w:rPr>
          <w:rFonts w:hint="eastAsia" w:ascii="宋体" w:hAnsi="宋体"/>
        </w:rPr>
        <w:t xml:space="preserve">；</w:t>
      </w:r>
      <w:r>
        <w:rPr>
          <w:rFonts w:ascii="宋体" w:hAnsi="宋体"/>
        </w:rPr>
      </w:r>
      <w:r/>
    </w:p>
    <w:p>
      <w:pPr>
        <w:pStyle w:val="1151"/>
        <w:numPr>
          <w:ilvl w:val="0"/>
          <w:numId w:val="41"/>
        </w:numPr>
        <w:spacing w:line="312" w:lineRule="exact"/>
        <w:rPr>
          <w:rFonts w:ascii="宋体" w:hAnsi="宋体"/>
        </w:rPr>
      </w:pPr>
      <w:r>
        <w:rPr>
          <w:rFonts w:hint="eastAsia" w:ascii="宋体" w:hAnsi="宋体"/>
        </w:rPr>
        <w:t xml:space="preserve">故障处理相关延时时间应满足：过量类保护</w:t>
      </w:r>
      <w:r>
        <w:rPr>
          <w:rFonts w:ascii="宋体" w:hAnsi="宋体"/>
        </w:rPr>
        <w:t xml:space="preserve">1.2</w:t>
      </w:r>
      <w:r>
        <w:rPr>
          <w:rFonts w:hint="eastAsia" w:ascii="宋体" w:hAnsi="宋体"/>
        </w:rPr>
        <w:t xml:space="preserve">倍整定值或欠量保护</w:t>
      </w:r>
      <w:r>
        <w:rPr>
          <w:rFonts w:ascii="宋体" w:hAnsi="宋体"/>
        </w:rPr>
        <w:t xml:space="preserve">0.8</w:t>
      </w:r>
      <w:r>
        <w:rPr>
          <w:rFonts w:hint="eastAsia" w:ascii="宋体" w:hAnsi="宋体"/>
        </w:rPr>
        <w:t xml:space="preserve">倍定值时，不大于</w:t>
      </w:r>
      <w:r>
        <w:rPr>
          <w:rFonts w:ascii="宋体" w:hAnsi="宋体"/>
        </w:rPr>
        <w:t xml:space="preserve">1%</w:t>
      </w:r>
      <w:r>
        <w:rPr>
          <w:rFonts w:hint="eastAsia" w:ascii="宋体" w:hAnsi="宋体"/>
        </w:rPr>
        <w:t xml:space="preserve">或</w:t>
      </w:r>
      <w:r>
        <w:rPr>
          <w:rFonts w:ascii="宋体" w:hAnsi="宋体"/>
        </w:rPr>
        <w:t xml:space="preserve">40ms</w:t>
      </w:r>
      <w:r>
        <w:rPr>
          <w:rFonts w:hint="eastAsia" w:ascii="宋体" w:hAnsi="宋体"/>
        </w:rPr>
        <w:t xml:space="preserve">；</w:t>
      </w:r>
      <w:r>
        <w:rPr>
          <w:rFonts w:ascii="宋体" w:hAnsi="宋体"/>
        </w:rPr>
      </w:r>
      <w:r/>
    </w:p>
    <w:p>
      <w:pPr>
        <w:pStyle w:val="1151"/>
        <w:numPr>
          <w:ilvl w:val="0"/>
          <w:numId w:val="41"/>
        </w:numPr>
        <w:spacing w:line="312" w:lineRule="exact"/>
        <w:rPr>
          <w:rFonts w:ascii="宋体" w:hAnsi="宋体"/>
        </w:rPr>
      </w:pPr>
      <w:r>
        <w:rPr>
          <w:rFonts w:hint="eastAsia" w:ascii="宋体" w:hAnsi="宋体"/>
        </w:rPr>
        <w:t xml:space="preserve">保护</w:t>
      </w:r>
      <w:r>
        <w:rPr>
          <w:rFonts w:ascii="宋体" w:hAnsi="宋体"/>
        </w:rPr>
        <w:t xml:space="preserve">固有动作时间</w:t>
      </w:r>
      <w:r>
        <w:rPr>
          <w:rFonts w:hint="eastAsia" w:ascii="宋体" w:hAnsi="宋体"/>
        </w:rPr>
        <w:t xml:space="preserve">应小于40ms。</w:t>
      </w:r>
      <w:r>
        <w:rPr>
          <w:rFonts w:ascii="宋体" w:hAnsi="宋体"/>
        </w:rPr>
      </w:r>
      <w:r/>
    </w:p>
    <w:p>
      <w:pPr>
        <w:pStyle w:val="1151"/>
        <w:numPr>
          <w:ilvl w:val="0"/>
          <w:numId w:val="34"/>
        </w:numPr>
        <w:spacing w:line="312" w:lineRule="exact"/>
        <w:rPr>
          <w:rFonts w:ascii="宋体"/>
        </w:rPr>
      </w:pPr>
      <w:r>
        <w:rPr>
          <w:rFonts w:ascii="宋体"/>
        </w:rPr>
        <w:t xml:space="preserve">故障录波功能要求：</w:t>
      </w:r>
      <w:r>
        <w:rPr>
          <w:rFonts w:ascii="宋体"/>
        </w:rPr>
      </w:r>
      <w:r/>
    </w:p>
    <w:p>
      <w:pPr>
        <w:pStyle w:val="1151"/>
        <w:numPr>
          <w:ilvl w:val="0"/>
          <w:numId w:val="41"/>
        </w:numPr>
        <w:spacing w:line="312" w:lineRule="exact"/>
        <w:rPr>
          <w:rFonts w:ascii="宋体" w:hAnsi="宋体"/>
        </w:rPr>
      </w:pPr>
      <w:r>
        <w:rPr>
          <w:rFonts w:ascii="宋体" w:hAnsi="宋体"/>
        </w:rPr>
        <w:t xml:space="preserve">支持录波数据循环存储至少64组，并支持上传至主站</w:t>
      </w:r>
      <w:r>
        <w:rPr>
          <w:rFonts w:hint="eastAsia" w:ascii="宋体" w:hAnsi="宋体"/>
        </w:rPr>
        <w:t xml:space="preserve">；</w:t>
      </w:r>
      <w:r>
        <w:rPr>
          <w:rFonts w:ascii="宋体" w:hAnsi="宋体"/>
        </w:rPr>
      </w:r>
      <w:r/>
    </w:p>
    <w:p>
      <w:pPr>
        <w:pStyle w:val="1151"/>
        <w:numPr>
          <w:ilvl w:val="0"/>
          <w:numId w:val="41"/>
        </w:numPr>
        <w:spacing w:line="312" w:lineRule="exact"/>
        <w:rPr>
          <w:rFonts w:ascii="宋体" w:hAnsi="宋体"/>
        </w:rPr>
      </w:pPr>
      <w:r>
        <w:rPr>
          <w:rFonts w:ascii="宋体" w:hAnsi="宋体"/>
        </w:rPr>
        <w:t xml:space="preserve">录波功能启动条件包括过流故障、线路失压、零序电压、零序电流突变等，可单独或组合设定</w:t>
      </w:r>
      <w:r>
        <w:rPr>
          <w:rFonts w:hint="eastAsia" w:ascii="宋体" w:hAnsi="宋体"/>
        </w:rPr>
        <w:t xml:space="preserve">；</w:t>
      </w:r>
      <w:r>
        <w:rPr>
          <w:rFonts w:ascii="宋体" w:hAnsi="宋体"/>
        </w:rPr>
      </w:r>
      <w:r/>
    </w:p>
    <w:p>
      <w:pPr>
        <w:pStyle w:val="1151"/>
        <w:numPr>
          <w:ilvl w:val="0"/>
          <w:numId w:val="41"/>
        </w:numPr>
        <w:spacing w:line="312" w:lineRule="exact"/>
        <w:rPr>
          <w:rFonts w:ascii="宋体" w:hAnsi="宋体"/>
        </w:rPr>
      </w:pPr>
      <w:r>
        <w:rPr>
          <w:rFonts w:ascii="宋体" w:hAnsi="宋体"/>
        </w:rPr>
        <w:t xml:space="preserve">录波内容应包含故障发生时刻前不少于4个周波和故障发生时刻后不少于8个周波的波形数据，录波点数为不少于80点/周波，录波数据应包含电压、电流、开关位置等</w:t>
      </w:r>
      <w:r>
        <w:rPr>
          <w:rFonts w:hint="eastAsia" w:ascii="宋体" w:hAnsi="宋体"/>
        </w:rPr>
        <w:t xml:space="preserve">，需满足至少两个回路的录波；</w:t>
      </w:r>
      <w:r>
        <w:rPr>
          <w:rFonts w:ascii="宋体" w:hAnsi="宋体"/>
        </w:rPr>
      </w:r>
      <w:r/>
    </w:p>
    <w:p>
      <w:pPr>
        <w:pStyle w:val="1151"/>
        <w:numPr>
          <w:ilvl w:val="0"/>
          <w:numId w:val="41"/>
        </w:numPr>
        <w:spacing w:line="312" w:lineRule="exact"/>
        <w:rPr>
          <w:rFonts w:ascii="宋体" w:hAnsi="宋体"/>
        </w:rPr>
      </w:pPr>
      <w:r>
        <w:rPr>
          <w:rFonts w:ascii="宋体" w:hAnsi="宋体"/>
        </w:rPr>
        <w:t xml:space="preserve">录波采用文件传输方式，录波文件格式遵循Comtrade 1999标准中定义的格式（详见《GBT 22386-2008 电力系统暂态数据交换通用格式》），只采用CFG（配置文件，ASCII文本）和DAT（数据文件，二进制格式）两个文件</w:t>
      </w:r>
      <w:r>
        <w:rPr>
          <w:rFonts w:hint="eastAsia" w:ascii="宋体" w:hAnsi="宋体"/>
        </w:rPr>
        <w:t xml:space="preserve">；</w:t>
      </w:r>
      <w:r>
        <w:rPr>
          <w:rFonts w:ascii="宋体" w:hAnsi="宋体"/>
        </w:rPr>
      </w:r>
      <w:r/>
    </w:p>
    <w:p>
      <w:pPr>
        <w:pStyle w:val="1151"/>
        <w:numPr>
          <w:ilvl w:val="0"/>
          <w:numId w:val="41"/>
        </w:numPr>
        <w:spacing w:line="312" w:lineRule="exact"/>
        <w:rPr>
          <w:rFonts w:ascii="宋体" w:hAnsi="宋体"/>
        </w:rPr>
      </w:pPr>
      <w:r>
        <w:rPr>
          <w:rFonts w:ascii="宋体" w:hAnsi="宋体"/>
        </w:rPr>
        <w:t xml:space="preserve">录波数据的精度:</w:t>
      </w:r>
      <w:r>
        <w:rPr>
          <w:rFonts w:ascii="宋体" w:hAnsi="宋体"/>
        </w:rPr>
      </w:r>
      <w:r/>
    </w:p>
    <w:p>
      <w:pPr>
        <w:pStyle w:val="1151"/>
        <w:numPr>
          <w:ilvl w:val="0"/>
          <w:numId w:val="42"/>
        </w:numPr>
        <w:spacing w:line="312" w:lineRule="exact"/>
        <w:rPr>
          <w:rFonts w:ascii="宋体" w:hAnsi="宋体"/>
        </w:rPr>
      </w:pPr>
      <w:r>
        <w:rPr>
          <w:rFonts w:ascii="宋体" w:hAnsi="宋体"/>
        </w:rPr>
        <w:t xml:space="preserve">交流电压回路稳态准确度应满足表</w:t>
      </w:r>
      <w:r>
        <w:rPr>
          <w:rFonts w:hint="eastAsia" w:ascii="宋体" w:hAnsi="宋体"/>
        </w:rPr>
        <w:t xml:space="preserve">11</w:t>
      </w:r>
      <w:r>
        <w:rPr>
          <w:rFonts w:ascii="宋体" w:hAnsi="宋体"/>
        </w:rPr>
        <w:t xml:space="preserve">要求</w:t>
      </w:r>
      <w:r>
        <w:rPr>
          <w:rFonts w:ascii="宋体" w:hAnsi="宋体"/>
        </w:rPr>
      </w:r>
      <w:r/>
    </w:p>
    <w:p>
      <w:pPr>
        <w:pStyle w:val="1151"/>
        <w:jc w:val="center"/>
        <w:spacing w:line="312" w:lineRule="exact"/>
        <w:rPr>
          <w:rFonts w:ascii="宋体" w:hAnsi="宋体"/>
        </w:rPr>
      </w:pPr>
      <w:r>
        <w:rPr>
          <w:rFonts w:ascii="宋体" w:hAnsi="宋体"/>
        </w:rPr>
        <w:t xml:space="preserve">表</w:t>
      </w:r>
      <w:r>
        <w:rPr>
          <w:rFonts w:hint="eastAsia" w:ascii="宋体" w:hAnsi="宋体"/>
        </w:rPr>
        <w:t xml:space="preserve">11</w:t>
      </w:r>
      <w:r>
        <w:rPr>
          <w:rFonts w:ascii="宋体" w:hAnsi="宋体"/>
        </w:rPr>
        <w:t xml:space="preserve">交流电压回路准确度要求</w:t>
      </w:r>
      <w:r>
        <w:rPr>
          <w:rFonts w:ascii="宋体" w:hAnsi="宋体"/>
        </w:rPr>
      </w:r>
      <w:r/>
    </w:p>
    <w:tbl>
      <w:tblPr>
        <w:tblW w:w="8712"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68"/>
        <w:gridCol w:w="1362"/>
        <w:gridCol w:w="1420"/>
        <w:gridCol w:w="1420"/>
        <w:gridCol w:w="1421"/>
        <w:gridCol w:w="1421"/>
      </w:tblGrid>
      <w:tr>
        <w:trPr>
          <w:trHeight w:val="397"/>
        </w:trPr>
        <w:tc>
          <w:tcPr>
            <w:tcW w:w="1668" w:type="dxa"/>
            <w:vAlign w:val="center"/>
            <w:textDirection w:val="lrTb"/>
            <w:noWrap w:val="false"/>
          </w:tcPr>
          <w:p>
            <w:pPr>
              <w:pStyle w:val="1151"/>
              <w:spacing w:line="312" w:lineRule="exact"/>
              <w:rPr>
                <w:rFonts w:ascii="宋体" w:hAnsi="宋体"/>
              </w:rPr>
            </w:pPr>
            <w:r>
              <w:rPr>
                <w:rFonts w:ascii="宋体" w:hAnsi="宋体"/>
              </w:rPr>
              <w:t xml:space="preserve">输入电压</w:t>
            </w:r>
            <w:r>
              <w:rPr>
                <w:rFonts w:ascii="宋体" w:hAnsi="宋体"/>
              </w:rPr>
            </w:r>
            <w:r/>
          </w:p>
        </w:tc>
        <w:tc>
          <w:tcPr>
            <w:tcW w:w="1362" w:type="dxa"/>
            <w:vAlign w:val="center"/>
            <w:textDirection w:val="lrTb"/>
            <w:noWrap w:val="false"/>
          </w:tcPr>
          <w:p>
            <w:pPr>
              <w:pStyle w:val="1151"/>
              <w:spacing w:line="312" w:lineRule="exact"/>
              <w:rPr>
                <w:rFonts w:ascii="宋体" w:hAnsi="宋体"/>
              </w:rPr>
            </w:pPr>
            <w:r>
              <w:rPr>
                <w:rFonts w:ascii="宋体" w:hAnsi="宋体"/>
              </w:rPr>
              <w:t xml:space="preserve">0.05Un</w:t>
            </w:r>
            <w:r>
              <w:rPr>
                <w:rFonts w:ascii="宋体" w:hAnsi="宋体"/>
              </w:rPr>
            </w:r>
            <w:r/>
          </w:p>
        </w:tc>
        <w:tc>
          <w:tcPr>
            <w:tcW w:w="1420" w:type="dxa"/>
            <w:vAlign w:val="center"/>
            <w:textDirection w:val="lrTb"/>
            <w:noWrap w:val="false"/>
          </w:tcPr>
          <w:p>
            <w:pPr>
              <w:pStyle w:val="1151"/>
              <w:spacing w:line="312" w:lineRule="exact"/>
              <w:rPr>
                <w:rFonts w:ascii="宋体" w:hAnsi="宋体"/>
              </w:rPr>
            </w:pPr>
            <w:r>
              <w:rPr>
                <w:rFonts w:ascii="宋体" w:hAnsi="宋体"/>
              </w:rPr>
              <w:t xml:space="preserve">0.1Un</w:t>
            </w:r>
            <w:r>
              <w:rPr>
                <w:rFonts w:ascii="宋体" w:hAnsi="宋体"/>
              </w:rPr>
            </w:r>
            <w:r/>
          </w:p>
        </w:tc>
        <w:tc>
          <w:tcPr>
            <w:tcW w:w="1420" w:type="dxa"/>
            <w:vAlign w:val="center"/>
            <w:textDirection w:val="lrTb"/>
            <w:noWrap w:val="false"/>
          </w:tcPr>
          <w:p>
            <w:pPr>
              <w:pStyle w:val="1151"/>
              <w:spacing w:line="312" w:lineRule="exact"/>
              <w:rPr>
                <w:rFonts w:ascii="宋体" w:hAnsi="宋体"/>
              </w:rPr>
            </w:pPr>
            <w:r>
              <w:rPr>
                <w:rFonts w:ascii="宋体" w:hAnsi="宋体"/>
              </w:rPr>
              <w:t xml:space="preserve">0.5Un</w:t>
            </w:r>
            <w:r>
              <w:rPr>
                <w:rFonts w:ascii="宋体" w:hAnsi="宋体"/>
              </w:rPr>
            </w:r>
            <w:r/>
          </w:p>
        </w:tc>
        <w:tc>
          <w:tcPr>
            <w:tcW w:w="1421" w:type="dxa"/>
            <w:vAlign w:val="center"/>
            <w:textDirection w:val="lrTb"/>
            <w:noWrap w:val="false"/>
          </w:tcPr>
          <w:p>
            <w:pPr>
              <w:pStyle w:val="1151"/>
              <w:spacing w:line="312" w:lineRule="exact"/>
              <w:rPr>
                <w:rFonts w:ascii="宋体" w:hAnsi="宋体"/>
              </w:rPr>
            </w:pPr>
            <w:r>
              <w:rPr>
                <w:rFonts w:ascii="宋体" w:hAnsi="宋体"/>
              </w:rPr>
              <w:t xml:space="preserve">1.0Un</w:t>
            </w:r>
            <w:r>
              <w:rPr>
                <w:rFonts w:ascii="宋体" w:hAnsi="宋体"/>
              </w:rPr>
            </w:r>
            <w:r/>
          </w:p>
        </w:tc>
        <w:tc>
          <w:tcPr>
            <w:tcW w:w="1421" w:type="dxa"/>
            <w:vAlign w:val="center"/>
            <w:textDirection w:val="lrTb"/>
            <w:noWrap w:val="false"/>
          </w:tcPr>
          <w:p>
            <w:pPr>
              <w:pStyle w:val="1151"/>
              <w:spacing w:line="312" w:lineRule="exact"/>
              <w:rPr>
                <w:rFonts w:ascii="宋体" w:hAnsi="宋体"/>
              </w:rPr>
            </w:pPr>
            <w:r>
              <w:rPr>
                <w:rFonts w:ascii="宋体" w:hAnsi="宋体"/>
              </w:rPr>
              <w:t xml:space="preserve">1.5Un</w:t>
            </w:r>
            <w:r>
              <w:rPr>
                <w:rFonts w:ascii="宋体" w:hAnsi="宋体"/>
              </w:rPr>
            </w:r>
            <w:r/>
          </w:p>
        </w:tc>
      </w:tr>
      <w:tr>
        <w:trPr>
          <w:trHeight w:val="397"/>
        </w:trPr>
        <w:tc>
          <w:tcPr>
            <w:tcW w:w="1668" w:type="dxa"/>
            <w:vAlign w:val="center"/>
            <w:textDirection w:val="lrTb"/>
            <w:noWrap w:val="false"/>
          </w:tcPr>
          <w:p>
            <w:pPr>
              <w:pStyle w:val="1151"/>
              <w:spacing w:line="312" w:lineRule="exact"/>
              <w:rPr>
                <w:rFonts w:ascii="宋体" w:hAnsi="宋体"/>
              </w:rPr>
            </w:pPr>
            <w:r>
              <w:rPr>
                <w:rFonts w:ascii="宋体" w:hAnsi="宋体"/>
              </w:rPr>
              <w:t xml:space="preserve">幅值相对误差</w:t>
            </w:r>
            <w:r>
              <w:rPr>
                <w:rFonts w:ascii="宋体" w:hAnsi="宋体"/>
              </w:rPr>
            </w:r>
            <w:r/>
          </w:p>
        </w:tc>
        <w:tc>
          <w:tcPr>
            <w:tcW w:w="1362" w:type="dxa"/>
            <w:vAlign w:val="top"/>
            <w:textDirection w:val="lrTb"/>
            <w:noWrap w:val="false"/>
          </w:tcPr>
          <w:p>
            <w:pPr>
              <w:pStyle w:val="1151"/>
              <w:spacing w:line="312" w:lineRule="exact"/>
              <w:rPr>
                <w:rFonts w:ascii="宋体" w:hAnsi="宋体"/>
              </w:rPr>
            </w:pPr>
            <w:r>
              <w:rPr>
                <w:rFonts w:ascii="宋体" w:hAnsi="宋体"/>
              </w:rPr>
              <w:t xml:space="preserve">≤5.0%</w:t>
            </w:r>
            <w:r>
              <w:rPr>
                <w:rFonts w:ascii="宋体" w:hAnsi="宋体"/>
              </w:rPr>
            </w:r>
            <w:r/>
          </w:p>
        </w:tc>
        <w:tc>
          <w:tcPr>
            <w:tcW w:w="1420" w:type="dxa"/>
            <w:vAlign w:val="top"/>
            <w:textDirection w:val="lrTb"/>
            <w:noWrap w:val="false"/>
          </w:tcPr>
          <w:p>
            <w:pPr>
              <w:pStyle w:val="1151"/>
              <w:spacing w:line="312" w:lineRule="exact"/>
              <w:rPr>
                <w:rFonts w:ascii="宋体" w:hAnsi="宋体"/>
              </w:rPr>
            </w:pPr>
            <w:r>
              <w:rPr>
                <w:rFonts w:ascii="宋体" w:hAnsi="宋体"/>
              </w:rPr>
              <w:t xml:space="preserve">≤2.5%</w:t>
            </w:r>
            <w:r>
              <w:rPr>
                <w:rFonts w:ascii="宋体" w:hAnsi="宋体"/>
              </w:rPr>
            </w:r>
            <w:r/>
          </w:p>
        </w:tc>
        <w:tc>
          <w:tcPr>
            <w:tcW w:w="1420" w:type="dxa"/>
            <w:vAlign w:val="top"/>
            <w:textDirection w:val="lrTb"/>
            <w:noWrap w:val="false"/>
          </w:tcPr>
          <w:p>
            <w:pPr>
              <w:pStyle w:val="1151"/>
              <w:spacing w:line="312" w:lineRule="exact"/>
              <w:rPr>
                <w:rFonts w:ascii="宋体" w:hAnsi="宋体"/>
              </w:rPr>
            </w:pPr>
            <w:r>
              <w:rPr>
                <w:rFonts w:ascii="宋体" w:hAnsi="宋体"/>
              </w:rPr>
              <w:t xml:space="preserve">≤1.0%</w:t>
            </w:r>
            <w:r>
              <w:rPr>
                <w:rFonts w:ascii="宋体" w:hAnsi="宋体"/>
              </w:rPr>
            </w:r>
            <w:r/>
          </w:p>
        </w:tc>
        <w:tc>
          <w:tcPr>
            <w:tcW w:w="1421" w:type="dxa"/>
            <w:vAlign w:val="top"/>
            <w:textDirection w:val="lrTb"/>
            <w:noWrap w:val="false"/>
          </w:tcPr>
          <w:p>
            <w:pPr>
              <w:pStyle w:val="1151"/>
              <w:spacing w:line="312" w:lineRule="exact"/>
              <w:rPr>
                <w:rFonts w:ascii="宋体" w:hAnsi="宋体"/>
              </w:rPr>
            </w:pPr>
            <w:r>
              <w:rPr>
                <w:rFonts w:ascii="宋体" w:hAnsi="宋体"/>
              </w:rPr>
              <w:t xml:space="preserve">≤0.5%</w:t>
            </w:r>
            <w:r>
              <w:rPr>
                <w:rFonts w:ascii="宋体" w:hAnsi="宋体"/>
              </w:rPr>
            </w:r>
            <w:r/>
          </w:p>
        </w:tc>
        <w:tc>
          <w:tcPr>
            <w:tcW w:w="1421" w:type="dxa"/>
            <w:vAlign w:val="top"/>
            <w:textDirection w:val="lrTb"/>
            <w:noWrap w:val="false"/>
          </w:tcPr>
          <w:p>
            <w:pPr>
              <w:pStyle w:val="1151"/>
              <w:spacing w:line="312" w:lineRule="exact"/>
              <w:rPr>
                <w:rFonts w:ascii="宋体" w:hAnsi="宋体"/>
              </w:rPr>
            </w:pPr>
            <w:r>
              <w:rPr>
                <w:rFonts w:ascii="宋体" w:hAnsi="宋体"/>
              </w:rPr>
              <w:t xml:space="preserve">≤1.0%</w:t>
            </w:r>
            <w:r>
              <w:rPr>
                <w:rFonts w:ascii="宋体" w:hAnsi="宋体"/>
              </w:rPr>
            </w:r>
            <w:r/>
          </w:p>
        </w:tc>
      </w:tr>
    </w:tbl>
    <w:p>
      <w:pPr>
        <w:pStyle w:val="1151"/>
        <w:numPr>
          <w:ilvl w:val="0"/>
          <w:numId w:val="42"/>
        </w:numPr>
        <w:spacing w:line="312" w:lineRule="exact"/>
        <w:rPr>
          <w:rFonts w:ascii="宋体" w:hAnsi="宋体"/>
        </w:rPr>
      </w:pPr>
      <w:r>
        <w:rPr>
          <w:rFonts w:ascii="宋体" w:hAnsi="宋体"/>
        </w:rPr>
        <w:t xml:space="preserve">交流电流回路稳态准确度应满足表</w:t>
      </w:r>
      <w:r>
        <w:rPr>
          <w:rFonts w:hint="eastAsia" w:ascii="宋体" w:hAnsi="宋体"/>
        </w:rPr>
        <w:t xml:space="preserve">12</w:t>
      </w:r>
      <w:r>
        <w:rPr>
          <w:rFonts w:ascii="宋体" w:hAnsi="宋体"/>
        </w:rPr>
        <w:t xml:space="preserve">要求</w:t>
      </w:r>
      <w:r>
        <w:rPr>
          <w:rFonts w:ascii="宋体" w:hAnsi="宋体"/>
        </w:rPr>
      </w:r>
      <w:r/>
    </w:p>
    <w:p>
      <w:pPr>
        <w:pStyle w:val="1151"/>
        <w:jc w:val="center"/>
        <w:spacing w:line="312" w:lineRule="exact"/>
        <w:rPr>
          <w:rFonts w:ascii="宋体" w:hAnsi="宋体"/>
        </w:rPr>
      </w:pPr>
      <w:r>
        <w:rPr>
          <w:rFonts w:ascii="宋体" w:hAnsi="宋体"/>
        </w:rPr>
        <w:t xml:space="preserve">表</w:t>
      </w:r>
      <w:r>
        <w:rPr>
          <w:rFonts w:hint="eastAsia" w:ascii="宋体" w:hAnsi="宋体"/>
        </w:rPr>
        <w:t xml:space="preserve">12</w:t>
      </w:r>
      <w:r>
        <w:rPr>
          <w:rFonts w:ascii="宋体" w:hAnsi="宋体"/>
        </w:rPr>
        <w:t xml:space="preserve">交流电流回路准确度要求</w:t>
      </w:r>
      <w:r>
        <w:rPr>
          <w:rFonts w:ascii="宋体" w:hAnsi="宋体"/>
        </w:rPr>
      </w:r>
      <w:r/>
    </w:p>
    <w:tbl>
      <w:tblPr>
        <w:tblW w:w="9296"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68"/>
        <w:gridCol w:w="1280"/>
        <w:gridCol w:w="1280"/>
        <w:gridCol w:w="1280"/>
        <w:gridCol w:w="1280"/>
        <w:gridCol w:w="1280"/>
        <w:gridCol w:w="1228"/>
      </w:tblGrid>
      <w:tr>
        <w:trPr>
          <w:trHeight w:val="397"/>
        </w:trPr>
        <w:tc>
          <w:tcPr>
            <w:tcW w:w="1668" w:type="dxa"/>
            <w:vAlign w:val="center"/>
            <w:textDirection w:val="lrTb"/>
            <w:noWrap w:val="false"/>
          </w:tcPr>
          <w:p>
            <w:pPr>
              <w:pStyle w:val="1151"/>
              <w:spacing w:line="312" w:lineRule="exact"/>
              <w:rPr>
                <w:rFonts w:ascii="宋体" w:hAnsi="宋体"/>
              </w:rPr>
            </w:pPr>
            <w:r>
              <w:rPr>
                <w:rFonts w:ascii="宋体" w:hAnsi="宋体"/>
              </w:rPr>
              <w:t xml:space="preserve">输入电流</w:t>
            </w:r>
            <w:r>
              <w:rPr>
                <w:rFonts w:ascii="宋体" w:hAnsi="宋体"/>
              </w:rPr>
            </w:r>
            <w:r/>
          </w:p>
        </w:tc>
        <w:tc>
          <w:tcPr>
            <w:tcW w:w="1280" w:type="dxa"/>
            <w:vAlign w:val="center"/>
            <w:textDirection w:val="lrTb"/>
            <w:noWrap w:val="false"/>
          </w:tcPr>
          <w:p>
            <w:pPr>
              <w:pStyle w:val="1151"/>
              <w:spacing w:line="312" w:lineRule="exact"/>
              <w:rPr>
                <w:rFonts w:ascii="宋体" w:hAnsi="宋体"/>
              </w:rPr>
            </w:pPr>
            <w:r>
              <w:rPr>
                <w:rFonts w:ascii="宋体" w:hAnsi="宋体"/>
              </w:rPr>
              <w:t xml:space="preserve">0.1In</w:t>
            </w:r>
            <w:r>
              <w:rPr>
                <w:rFonts w:ascii="宋体" w:hAnsi="宋体"/>
              </w:rPr>
            </w:r>
            <w:r/>
          </w:p>
        </w:tc>
        <w:tc>
          <w:tcPr>
            <w:tcW w:w="1280" w:type="dxa"/>
            <w:vAlign w:val="center"/>
            <w:textDirection w:val="lrTb"/>
            <w:noWrap w:val="false"/>
          </w:tcPr>
          <w:p>
            <w:pPr>
              <w:pStyle w:val="1151"/>
              <w:spacing w:line="312" w:lineRule="exact"/>
              <w:rPr>
                <w:rFonts w:ascii="宋体" w:hAnsi="宋体"/>
              </w:rPr>
            </w:pPr>
            <w:r>
              <w:rPr>
                <w:rFonts w:ascii="宋体" w:hAnsi="宋体"/>
              </w:rPr>
              <w:t xml:space="preserve">0.2In</w:t>
            </w:r>
            <w:r>
              <w:rPr>
                <w:rFonts w:ascii="宋体" w:hAnsi="宋体"/>
              </w:rPr>
            </w:r>
            <w:r/>
          </w:p>
        </w:tc>
        <w:tc>
          <w:tcPr>
            <w:tcW w:w="1280" w:type="dxa"/>
            <w:vAlign w:val="center"/>
            <w:textDirection w:val="lrTb"/>
            <w:noWrap w:val="false"/>
          </w:tcPr>
          <w:p>
            <w:pPr>
              <w:pStyle w:val="1151"/>
              <w:spacing w:line="312" w:lineRule="exact"/>
              <w:rPr>
                <w:rFonts w:ascii="宋体" w:hAnsi="宋体"/>
              </w:rPr>
            </w:pPr>
            <w:r>
              <w:rPr>
                <w:rFonts w:ascii="宋体" w:hAnsi="宋体"/>
              </w:rPr>
              <w:t xml:space="preserve">0.5In</w:t>
            </w:r>
            <w:r>
              <w:rPr>
                <w:rFonts w:ascii="宋体" w:hAnsi="宋体"/>
              </w:rPr>
            </w:r>
            <w:r/>
          </w:p>
        </w:tc>
        <w:tc>
          <w:tcPr>
            <w:tcW w:w="1280" w:type="dxa"/>
            <w:vAlign w:val="center"/>
            <w:textDirection w:val="lrTb"/>
            <w:noWrap w:val="false"/>
          </w:tcPr>
          <w:p>
            <w:pPr>
              <w:pStyle w:val="1151"/>
              <w:spacing w:line="312" w:lineRule="exact"/>
              <w:rPr>
                <w:rFonts w:ascii="宋体" w:hAnsi="宋体"/>
              </w:rPr>
            </w:pPr>
            <w:r>
              <w:rPr>
                <w:rFonts w:ascii="宋体" w:hAnsi="宋体"/>
              </w:rPr>
              <w:t xml:space="preserve">1.0In</w:t>
            </w:r>
            <w:r>
              <w:rPr>
                <w:rFonts w:ascii="宋体" w:hAnsi="宋体"/>
              </w:rPr>
            </w:r>
            <w:r/>
          </w:p>
        </w:tc>
        <w:tc>
          <w:tcPr>
            <w:tcW w:w="1280" w:type="dxa"/>
            <w:vAlign w:val="center"/>
            <w:textDirection w:val="lrTb"/>
            <w:noWrap w:val="false"/>
          </w:tcPr>
          <w:p>
            <w:pPr>
              <w:pStyle w:val="1151"/>
              <w:spacing w:line="312" w:lineRule="exact"/>
              <w:rPr>
                <w:rFonts w:ascii="宋体" w:hAnsi="宋体"/>
              </w:rPr>
            </w:pPr>
            <w:r>
              <w:rPr>
                <w:rFonts w:ascii="宋体" w:hAnsi="宋体"/>
              </w:rPr>
              <w:t xml:space="preserve">5.0In</w:t>
            </w:r>
            <w:r>
              <w:rPr>
                <w:rFonts w:ascii="宋体" w:hAnsi="宋体"/>
              </w:rPr>
            </w:r>
            <w:r/>
          </w:p>
        </w:tc>
        <w:tc>
          <w:tcPr>
            <w:tcW w:w="1228" w:type="dxa"/>
            <w:vAlign w:val="center"/>
            <w:textDirection w:val="lrTb"/>
            <w:noWrap w:val="false"/>
          </w:tcPr>
          <w:p>
            <w:pPr>
              <w:pStyle w:val="1151"/>
              <w:spacing w:line="312" w:lineRule="exact"/>
              <w:rPr>
                <w:rFonts w:ascii="宋体" w:hAnsi="宋体"/>
              </w:rPr>
            </w:pPr>
            <w:r>
              <w:rPr>
                <w:rFonts w:ascii="宋体" w:hAnsi="宋体"/>
              </w:rPr>
              <w:t xml:space="preserve">10In</w:t>
            </w:r>
            <w:r>
              <w:rPr>
                <w:rFonts w:ascii="宋体" w:hAnsi="宋体"/>
              </w:rPr>
            </w:r>
            <w:r/>
          </w:p>
        </w:tc>
      </w:tr>
      <w:tr>
        <w:trPr>
          <w:trHeight w:val="397"/>
        </w:trPr>
        <w:tc>
          <w:tcPr>
            <w:tcW w:w="1668" w:type="dxa"/>
            <w:vAlign w:val="center"/>
            <w:textDirection w:val="lrTb"/>
            <w:noWrap w:val="false"/>
          </w:tcPr>
          <w:p>
            <w:pPr>
              <w:pStyle w:val="1151"/>
              <w:spacing w:line="312" w:lineRule="exact"/>
              <w:rPr>
                <w:rFonts w:ascii="宋体" w:hAnsi="宋体"/>
              </w:rPr>
            </w:pPr>
            <w:r>
              <w:rPr>
                <w:rFonts w:ascii="宋体" w:hAnsi="宋体"/>
              </w:rPr>
              <w:t xml:space="preserve">幅值相对误差</w:t>
            </w:r>
            <w:r>
              <w:rPr>
                <w:rFonts w:ascii="宋体" w:hAnsi="宋体"/>
              </w:rPr>
            </w:r>
            <w:r/>
          </w:p>
        </w:tc>
        <w:tc>
          <w:tcPr>
            <w:tcW w:w="1280" w:type="dxa"/>
            <w:vAlign w:val="center"/>
            <w:textDirection w:val="lrTb"/>
            <w:noWrap w:val="false"/>
          </w:tcPr>
          <w:p>
            <w:pPr>
              <w:pStyle w:val="1151"/>
              <w:spacing w:line="312" w:lineRule="exact"/>
              <w:rPr>
                <w:rFonts w:ascii="宋体" w:hAnsi="宋体"/>
              </w:rPr>
            </w:pPr>
            <w:r>
              <w:rPr>
                <w:rFonts w:ascii="宋体" w:hAnsi="宋体"/>
              </w:rPr>
              <w:t xml:space="preserve">≤5.0%</w:t>
            </w:r>
            <w:r>
              <w:rPr>
                <w:rFonts w:ascii="宋体" w:hAnsi="宋体"/>
              </w:rPr>
            </w:r>
            <w:r/>
          </w:p>
        </w:tc>
        <w:tc>
          <w:tcPr>
            <w:tcW w:w="1280" w:type="dxa"/>
            <w:vAlign w:val="center"/>
            <w:textDirection w:val="lrTb"/>
            <w:noWrap w:val="false"/>
          </w:tcPr>
          <w:p>
            <w:pPr>
              <w:pStyle w:val="1151"/>
              <w:spacing w:line="312" w:lineRule="exact"/>
              <w:rPr>
                <w:rFonts w:ascii="宋体" w:hAnsi="宋体"/>
              </w:rPr>
            </w:pPr>
            <w:r>
              <w:rPr>
                <w:rFonts w:ascii="宋体" w:hAnsi="宋体"/>
              </w:rPr>
              <w:t xml:space="preserve">≤2.5%</w:t>
            </w:r>
            <w:r>
              <w:rPr>
                <w:rFonts w:ascii="宋体" w:hAnsi="宋体"/>
              </w:rPr>
            </w:r>
            <w:r/>
          </w:p>
        </w:tc>
        <w:tc>
          <w:tcPr>
            <w:tcW w:w="1280" w:type="dxa"/>
            <w:vAlign w:val="center"/>
            <w:textDirection w:val="lrTb"/>
            <w:noWrap w:val="false"/>
          </w:tcPr>
          <w:p>
            <w:pPr>
              <w:pStyle w:val="1151"/>
              <w:spacing w:line="312" w:lineRule="exact"/>
              <w:rPr>
                <w:rFonts w:ascii="宋体" w:hAnsi="宋体"/>
              </w:rPr>
            </w:pPr>
            <w:r>
              <w:rPr>
                <w:rFonts w:ascii="宋体" w:hAnsi="宋体"/>
              </w:rPr>
              <w:t xml:space="preserve">≤1.0%</w:t>
            </w:r>
            <w:r>
              <w:rPr>
                <w:rFonts w:ascii="宋体" w:hAnsi="宋体"/>
              </w:rPr>
            </w:r>
            <w:r/>
          </w:p>
        </w:tc>
        <w:tc>
          <w:tcPr>
            <w:tcW w:w="1280" w:type="dxa"/>
            <w:vAlign w:val="center"/>
            <w:textDirection w:val="lrTb"/>
            <w:noWrap w:val="false"/>
          </w:tcPr>
          <w:p>
            <w:pPr>
              <w:pStyle w:val="1151"/>
              <w:spacing w:line="312" w:lineRule="exact"/>
              <w:rPr>
                <w:rFonts w:ascii="宋体" w:hAnsi="宋体"/>
              </w:rPr>
            </w:pPr>
            <w:r>
              <w:rPr>
                <w:rFonts w:ascii="宋体" w:hAnsi="宋体"/>
              </w:rPr>
              <w:t xml:space="preserve">≤0.5%</w:t>
            </w:r>
            <w:r>
              <w:rPr>
                <w:rFonts w:ascii="宋体" w:hAnsi="宋体"/>
              </w:rPr>
            </w:r>
            <w:r/>
          </w:p>
        </w:tc>
        <w:tc>
          <w:tcPr>
            <w:tcW w:w="1280" w:type="dxa"/>
            <w:vAlign w:val="center"/>
            <w:textDirection w:val="lrTb"/>
            <w:noWrap w:val="false"/>
          </w:tcPr>
          <w:p>
            <w:pPr>
              <w:pStyle w:val="1151"/>
              <w:spacing w:line="312" w:lineRule="exact"/>
              <w:rPr>
                <w:rFonts w:ascii="宋体" w:hAnsi="宋体"/>
              </w:rPr>
            </w:pPr>
            <w:r>
              <w:rPr>
                <w:rFonts w:ascii="宋体" w:hAnsi="宋体"/>
              </w:rPr>
              <w:t xml:space="preserve">≤1.0%</w:t>
            </w:r>
            <w:r>
              <w:rPr>
                <w:rFonts w:ascii="宋体" w:hAnsi="宋体"/>
              </w:rPr>
            </w:r>
            <w:r/>
          </w:p>
        </w:tc>
        <w:tc>
          <w:tcPr>
            <w:tcW w:w="1228" w:type="dxa"/>
            <w:vAlign w:val="center"/>
            <w:textDirection w:val="lrTb"/>
            <w:noWrap w:val="false"/>
          </w:tcPr>
          <w:p>
            <w:pPr>
              <w:pStyle w:val="1151"/>
              <w:spacing w:line="312" w:lineRule="exact"/>
              <w:rPr>
                <w:rFonts w:ascii="宋体" w:hAnsi="宋体"/>
              </w:rPr>
            </w:pPr>
            <w:r>
              <w:rPr>
                <w:rFonts w:ascii="宋体" w:hAnsi="宋体"/>
              </w:rPr>
              <w:t xml:space="preserve">≤2.5%</w:t>
            </w:r>
            <w:r>
              <w:rPr>
                <w:rFonts w:ascii="宋体" w:hAnsi="宋体"/>
              </w:rPr>
            </w:r>
            <w:r/>
          </w:p>
        </w:tc>
      </w:tr>
    </w:tbl>
    <w:p>
      <w:pPr>
        <w:pStyle w:val="1151"/>
        <w:numPr>
          <w:ilvl w:val="0"/>
          <w:numId w:val="42"/>
        </w:numPr>
        <w:spacing w:line="312" w:lineRule="exact"/>
        <w:rPr>
          <w:rFonts w:ascii="宋体" w:hAnsi="宋体"/>
        </w:rPr>
      </w:pPr>
      <w:r>
        <w:rPr>
          <w:rFonts w:ascii="宋体" w:hAnsi="宋体"/>
        </w:rPr>
        <w:t xml:space="preserve">暂态性能中最大峰值瞬时误差εˆ应不大于10%。</w:t>
      </w:r>
      <w:r>
        <w:rPr>
          <w:rFonts w:ascii="宋体" w:hAnsi="宋体"/>
        </w:rPr>
      </w:r>
      <w:r/>
    </w:p>
    <w:p>
      <w:pPr>
        <w:pStyle w:val="1151"/>
      </w:pPr>
      <w:r>
        <w:rPr>
          <w:rFonts w:hint="eastAsia" w:ascii="宋体" w:hAnsi="宋体" w:eastAsia="宋体"/>
          <w:szCs w:val="21"/>
        </w:rPr>
        <w:t xml:space="preserve">5</w:t>
      </w:r>
      <w:r>
        <w:rPr>
          <w:rFonts w:ascii="宋体" w:hAnsi="宋体" w:eastAsia="宋体"/>
          <w:szCs w:val="21"/>
        </w:rPr>
        <w:t xml:space="preserve">.</w:t>
      </w:r>
      <w:r>
        <w:rPr>
          <w:rFonts w:hint="eastAsia" w:ascii="宋体" w:hAnsi="宋体" w:eastAsia="宋体"/>
          <w:szCs w:val="21"/>
        </w:rPr>
        <w:t xml:space="preserve">3</w:t>
      </w:r>
      <w:r>
        <w:rPr>
          <w:rFonts w:ascii="宋体" w:hAnsi="宋体" w:eastAsia="宋体"/>
          <w:szCs w:val="21"/>
        </w:rPr>
        <w:t xml:space="preserve">.6.2</w:t>
      </w:r>
      <w:r>
        <w:rPr>
          <w:rFonts w:hint="eastAsia"/>
        </w:rPr>
        <w:t xml:space="preserve">线损测量准确度要求</w:t>
      </w:r>
      <w:bookmarkEnd w:id="255"/>
      <w:r/>
      <w:r/>
    </w:p>
    <w:p>
      <w:pPr>
        <w:pStyle w:val="1151"/>
        <w:numPr>
          <w:ilvl w:val="0"/>
          <w:numId w:val="43"/>
        </w:numPr>
        <w:spacing w:line="312" w:lineRule="exact"/>
        <w:rPr>
          <w:rFonts w:ascii="宋体"/>
          <w:szCs w:val="22"/>
          <w:lang w:val="zh-CN"/>
        </w:rPr>
      </w:pPr>
      <w:r>
        <w:rPr>
          <w:rFonts w:hint="eastAsia" w:ascii="宋体"/>
          <w:szCs w:val="22"/>
        </w:rPr>
        <w:t xml:space="preserve">基本误差限值</w:t>
      </w:r>
      <w:r>
        <w:rPr>
          <w:rFonts w:ascii="宋体"/>
          <w:szCs w:val="22"/>
          <w:lang w:val="zh-CN"/>
        </w:rPr>
      </w:r>
      <w:r/>
    </w:p>
    <w:p>
      <w:pPr>
        <w:pStyle w:val="1151"/>
        <w:ind w:firstLine="840"/>
        <w:spacing w:line="312" w:lineRule="exact"/>
        <w:rPr>
          <w:szCs w:val="21"/>
        </w:rPr>
      </w:pPr>
      <w:r>
        <w:rPr>
          <w:rFonts w:hint="eastAsia"/>
          <w:szCs w:val="21"/>
        </w:rPr>
        <w:t xml:space="preserve">线损</w:t>
      </w:r>
      <w:r>
        <w:rPr>
          <w:szCs w:val="21"/>
        </w:rPr>
        <w:t xml:space="preserve">测量有功</w:t>
      </w:r>
      <w:r>
        <w:rPr>
          <w:rFonts w:hint="eastAsia"/>
          <w:szCs w:val="21"/>
        </w:rPr>
        <w:t xml:space="preserve">电能</w:t>
      </w:r>
      <w:r>
        <w:rPr>
          <w:szCs w:val="21"/>
        </w:rPr>
        <w:t xml:space="preserve">和无功</w:t>
      </w:r>
      <w:r>
        <w:rPr>
          <w:rFonts w:hint="eastAsia"/>
          <w:szCs w:val="21"/>
        </w:rPr>
        <w:t xml:space="preserve">电能基本</w:t>
      </w:r>
      <w:r>
        <w:rPr>
          <w:szCs w:val="21"/>
        </w:rPr>
        <w:t xml:space="preserve">误差应满足表</w:t>
      </w:r>
      <w:r>
        <w:rPr>
          <w:rFonts w:hint="eastAsia"/>
          <w:szCs w:val="21"/>
        </w:rPr>
        <w:t xml:space="preserve">13和</w:t>
      </w:r>
      <w:r>
        <w:rPr>
          <w:szCs w:val="21"/>
        </w:rPr>
        <w:t xml:space="preserve">表</w:t>
      </w:r>
      <w:r>
        <w:rPr>
          <w:rFonts w:hint="eastAsia"/>
          <w:szCs w:val="21"/>
        </w:rPr>
        <w:t xml:space="preserve">14的</w:t>
      </w:r>
      <w:r>
        <w:rPr>
          <w:szCs w:val="21"/>
        </w:rPr>
        <w:t xml:space="preserve">规定</w:t>
      </w:r>
      <w:r>
        <w:rPr>
          <w:szCs w:val="21"/>
        </w:rPr>
      </w:r>
      <w:r/>
    </w:p>
    <w:p>
      <w:pPr>
        <w:pStyle w:val="1151"/>
        <w:ind w:firstLine="480"/>
        <w:jc w:val="center"/>
      </w:pPr>
      <w:r>
        <w:rPr>
          <w:rFonts w:hint="eastAsia"/>
        </w:rPr>
        <w:t xml:space="preserve">表13　平衡</w:t>
      </w:r>
      <w:r>
        <w:t xml:space="preserve">负载时线损</w:t>
      </w:r>
      <w:r>
        <w:rPr>
          <w:rFonts w:hint="eastAsia"/>
        </w:rPr>
        <w:t xml:space="preserve">测量</w:t>
      </w:r>
      <w:r>
        <w:t xml:space="preserve">的</w:t>
      </w:r>
      <w:r>
        <w:rPr>
          <w:rFonts w:hint="eastAsia"/>
        </w:rPr>
        <w:t xml:space="preserve">基本</w:t>
      </w:r>
      <w:r>
        <w:t xml:space="preserve">误差限</w:t>
      </w:r>
      <w:r>
        <w:rPr>
          <w:rFonts w:hint="eastAsia"/>
        </w:rPr>
        <w:t xml:space="preserve">值</w:t>
      </w:r>
      <w:r/>
    </w:p>
    <w:tbl>
      <w:tblPr>
        <w:tblW w:w="463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2270"/>
        <w:gridCol w:w="1049"/>
        <w:gridCol w:w="1149"/>
        <w:gridCol w:w="1191"/>
        <w:gridCol w:w="1316"/>
      </w:tblGrid>
      <w:tr>
        <w:trPr>
          <w:trHeight w:val="227"/>
        </w:trPr>
        <w:tc>
          <w:tcPr>
            <w:tcW w:w="1075" w:type="dxa"/>
            <w:vAlign w:val="center"/>
            <w:vMerge w:val="restart"/>
            <w:textDirection w:val="lrTb"/>
            <w:noWrap w:val="false"/>
          </w:tcPr>
          <w:p>
            <w:pPr>
              <w:pStyle w:val="1151"/>
              <w:jc w:val="center"/>
            </w:pPr>
            <w:r>
              <w:rPr>
                <w:rFonts w:hint="eastAsia"/>
              </w:rPr>
              <w:t xml:space="preserve">类别</w:t>
            </w:r>
            <w:r/>
          </w:p>
        </w:tc>
        <w:tc>
          <w:tcPr>
            <w:tcW w:w="2515" w:type="dxa"/>
            <w:vAlign w:val="center"/>
            <w:vMerge w:val="restart"/>
            <w:textDirection w:val="lrTb"/>
            <w:noWrap w:val="false"/>
          </w:tcPr>
          <w:p>
            <w:pPr>
              <w:pStyle w:val="1151"/>
              <w:jc w:val="center"/>
            </w:pPr>
            <w:r>
              <w:rPr>
                <w:rFonts w:hint="eastAsia"/>
              </w:rPr>
              <w:t xml:space="preserve">电流值</w:t>
            </w:r>
            <w:r/>
          </w:p>
        </w:tc>
        <w:tc>
          <w:tcPr>
            <w:gridSpan w:val="2"/>
            <w:tcW w:w="2470" w:type="dxa"/>
            <w:vAlign w:val="center"/>
            <w:vMerge w:val="restart"/>
            <w:textDirection w:val="lrTb"/>
            <w:noWrap w:val="false"/>
          </w:tcPr>
          <w:p>
            <w:pPr>
              <w:pStyle w:val="1151"/>
              <w:jc w:val="center"/>
            </w:pPr>
            <w:r>
              <w:t xml:space="preserve">c</w:t>
            </w:r>
            <w:r>
              <w:rPr>
                <w:rFonts w:hint="eastAsia"/>
              </w:rPr>
              <w:t xml:space="preserve">os</w:t>
            </w:r>
            <w:r>
              <w:t xml:space="preserve">φ/sinφ</w:t>
            </w:r>
            <w:r>
              <w:rPr>
                <w:rFonts w:hint="eastAsia"/>
              </w:rPr>
              <w:t xml:space="preserve">a</w:t>
            </w:r>
            <w:r/>
          </w:p>
        </w:tc>
        <w:tc>
          <w:tcPr>
            <w:gridSpan w:val="2"/>
            <w:tcW w:w="2861" w:type="dxa"/>
            <w:vAlign w:val="center"/>
            <w:textDirection w:val="lrTb"/>
            <w:noWrap w:val="false"/>
          </w:tcPr>
          <w:p>
            <w:pPr>
              <w:pStyle w:val="1151"/>
              <w:jc w:val="center"/>
            </w:pPr>
            <w:r>
              <w:rPr>
                <w:rFonts w:hint="eastAsia"/>
              </w:rPr>
              <w:t xml:space="preserve">线损测量</w:t>
            </w:r>
            <w:r>
              <w:t xml:space="preserve">准确度等级</w:t>
            </w:r>
            <w:r/>
          </w:p>
        </w:tc>
      </w:tr>
      <w:tr>
        <w:trPr>
          <w:trHeight w:val="227"/>
        </w:trPr>
        <w:tc>
          <w:tcPr>
            <w:tcW w:w="1075" w:type="dxa"/>
            <w:vAlign w:val="top"/>
            <w:vMerge w:val="continue"/>
            <w:textDirection w:val="lrTb"/>
            <w:noWrap w:val="false"/>
          </w:tcPr>
          <w:p>
            <w:pPr>
              <w:pStyle w:val="1151"/>
              <w:jc w:val="center"/>
            </w:pPr>
            <w:r/>
            <w:r/>
          </w:p>
        </w:tc>
        <w:tc>
          <w:tcPr>
            <w:tcW w:w="2515" w:type="dxa"/>
            <w:vAlign w:val="center"/>
            <w:vMerge w:val="continue"/>
            <w:textDirection w:val="lrTb"/>
            <w:noWrap w:val="false"/>
          </w:tcPr>
          <w:p>
            <w:pPr>
              <w:pStyle w:val="1151"/>
              <w:jc w:val="center"/>
            </w:pPr>
            <w:r/>
            <w:r/>
          </w:p>
        </w:tc>
        <w:tc>
          <w:tcPr>
            <w:gridSpan w:val="2"/>
            <w:tcW w:w="2470" w:type="dxa"/>
            <w:vAlign w:val="top"/>
            <w:vMerge w:val="continue"/>
            <w:textDirection w:val="lrTb"/>
            <w:noWrap w:val="false"/>
          </w:tcPr>
          <w:p>
            <w:pPr>
              <w:pStyle w:val="1151"/>
              <w:jc w:val="center"/>
            </w:pPr>
            <w:r/>
            <w:r/>
          </w:p>
        </w:tc>
        <w:tc>
          <w:tcPr>
            <w:tcW w:w="1348" w:type="dxa"/>
            <w:vAlign w:val="center"/>
            <w:textDirection w:val="lrTb"/>
            <w:noWrap w:val="false"/>
          </w:tcPr>
          <w:p>
            <w:pPr>
              <w:pStyle w:val="1151"/>
              <w:jc w:val="center"/>
            </w:pPr>
            <w:r>
              <w:rPr>
                <w:rFonts w:hint="eastAsia"/>
              </w:rPr>
              <w:t xml:space="preserve">0.5</w:t>
            </w:r>
            <w:r>
              <w:t xml:space="preserve">S</w:t>
            </w:r>
            <w:r/>
          </w:p>
        </w:tc>
        <w:tc>
          <w:tcPr>
            <w:tcW w:w="1513" w:type="dxa"/>
            <w:vAlign w:val="top"/>
            <w:textDirection w:val="lrTb"/>
            <w:noWrap w:val="false"/>
          </w:tcPr>
          <w:p>
            <w:pPr>
              <w:pStyle w:val="1151"/>
              <w:jc w:val="center"/>
            </w:pPr>
            <w:r>
              <w:rPr>
                <w:rFonts w:hint="eastAsia"/>
              </w:rPr>
              <w:t xml:space="preserve">2</w:t>
            </w:r>
            <w:r/>
          </w:p>
        </w:tc>
      </w:tr>
      <w:tr>
        <w:trPr>
          <w:trHeight w:val="227"/>
        </w:trPr>
        <w:tc>
          <w:tcPr>
            <w:tcW w:w="1075" w:type="dxa"/>
            <w:vAlign w:val="top"/>
            <w:vMerge w:val="continue"/>
            <w:textDirection w:val="lrTb"/>
            <w:noWrap w:val="false"/>
          </w:tcPr>
          <w:p>
            <w:pPr>
              <w:pStyle w:val="1151"/>
              <w:jc w:val="center"/>
            </w:pPr>
            <w:r/>
            <w:r/>
          </w:p>
        </w:tc>
        <w:tc>
          <w:tcPr>
            <w:tcW w:w="2515" w:type="dxa"/>
            <w:vAlign w:val="center"/>
            <w:vMerge w:val="continue"/>
            <w:textDirection w:val="lrTb"/>
            <w:noWrap w:val="false"/>
          </w:tcPr>
          <w:p>
            <w:pPr>
              <w:pStyle w:val="1151"/>
              <w:jc w:val="center"/>
            </w:pPr>
            <w:r/>
            <w:r/>
          </w:p>
        </w:tc>
        <w:tc>
          <w:tcPr>
            <w:gridSpan w:val="2"/>
            <w:tcW w:w="2470" w:type="dxa"/>
            <w:vAlign w:val="top"/>
            <w:vMerge w:val="continue"/>
            <w:textDirection w:val="lrTb"/>
            <w:noWrap w:val="false"/>
          </w:tcPr>
          <w:p>
            <w:pPr>
              <w:pStyle w:val="1151"/>
              <w:jc w:val="center"/>
            </w:pPr>
            <w:r/>
            <w:r/>
          </w:p>
        </w:tc>
        <w:tc>
          <w:tcPr>
            <w:gridSpan w:val="2"/>
            <w:tcW w:w="2861" w:type="dxa"/>
            <w:vAlign w:val="center"/>
            <w:textDirection w:val="lrTb"/>
            <w:noWrap w:val="false"/>
          </w:tcPr>
          <w:p>
            <w:pPr>
              <w:pStyle w:val="1151"/>
              <w:jc w:val="center"/>
            </w:pPr>
            <w:r>
              <w:rPr>
                <w:rFonts w:hint="eastAsia"/>
              </w:rPr>
              <w:t xml:space="preserve">基本</w:t>
            </w:r>
            <w:r>
              <w:t xml:space="preserve">误差限</w:t>
            </w:r>
            <w:r>
              <w:rPr>
                <w:rFonts w:hint="eastAsia"/>
              </w:rPr>
              <w:t xml:space="preserve">值（%）</w:t>
            </w:r>
            <w:r/>
          </w:p>
        </w:tc>
      </w:tr>
      <w:tr>
        <w:trPr>
          <w:trHeight w:val="227"/>
        </w:trPr>
        <w:tc>
          <w:tcPr>
            <w:tcW w:w="1075" w:type="dxa"/>
            <w:vAlign w:val="center"/>
            <w:vMerge w:val="restart"/>
            <w:textDirection w:val="lrTb"/>
            <w:noWrap w:val="false"/>
          </w:tcPr>
          <w:p>
            <w:pPr>
              <w:pStyle w:val="1151"/>
              <w:jc w:val="center"/>
            </w:pPr>
            <w:r>
              <w:rPr>
                <w:rFonts w:hint="eastAsia"/>
              </w:rPr>
              <w:t xml:space="preserve">有</w:t>
            </w:r>
            <w:r>
              <w:t xml:space="preserve">功</w:t>
            </w:r>
            <w:r/>
          </w:p>
          <w:p>
            <w:pPr>
              <w:pStyle w:val="1151"/>
              <w:jc w:val="center"/>
            </w:pPr>
            <w:r>
              <w:t xml:space="preserve">电能</w:t>
            </w:r>
            <w:r/>
          </w:p>
        </w:tc>
        <w:tc>
          <w:tcPr>
            <w:tcW w:w="2515" w:type="dxa"/>
            <w:vAlign w:val="center"/>
            <w:textDirection w:val="lrTb"/>
            <w:noWrap w:val="false"/>
          </w:tcPr>
          <w:p>
            <w:pPr>
              <w:pStyle w:val="1151"/>
              <w:jc w:val="center"/>
            </w:pPr>
            <w:r>
              <w:rPr>
                <w:rFonts w:hint="eastAsia"/>
              </w:rPr>
              <w:t xml:space="preserve">0.01</w:t>
            </w:r>
            <w:r>
              <w:t xml:space="preserve">In≤I＜</w:t>
            </w:r>
            <w:r>
              <w:rPr>
                <w:rFonts w:hint="eastAsia"/>
              </w:rPr>
              <w:t xml:space="preserve">0.05</w:t>
            </w:r>
            <w:r>
              <w:t xml:space="preserve">In</w:t>
            </w:r>
            <w:r/>
          </w:p>
        </w:tc>
        <w:tc>
          <w:tcPr>
            <w:tcW w:w="1184" w:type="dxa"/>
            <w:vAlign w:val="center"/>
            <w:vMerge w:val="restart"/>
            <w:textDirection w:val="lrTb"/>
            <w:noWrap w:val="false"/>
          </w:tcPr>
          <w:p>
            <w:pPr>
              <w:pStyle w:val="1151"/>
              <w:jc w:val="center"/>
            </w:pPr>
            <w:r>
              <w:t xml:space="preserve">c</w:t>
            </w:r>
            <w:r>
              <w:rPr>
                <w:rFonts w:hint="eastAsia"/>
              </w:rPr>
              <w:t xml:space="preserve">os</w:t>
            </w:r>
            <w:r>
              <w:t xml:space="preserve">φ</w:t>
            </w:r>
            <w:r/>
          </w:p>
        </w:tc>
        <w:tc>
          <w:tcPr>
            <w:tcW w:w="1286" w:type="dxa"/>
            <w:vAlign w:val="center"/>
            <w:textDirection w:val="lrTb"/>
            <w:noWrap w:val="false"/>
          </w:tcPr>
          <w:p>
            <w:pPr>
              <w:pStyle w:val="1151"/>
              <w:jc w:val="center"/>
            </w:pPr>
            <w:r>
              <w:rPr>
                <w:rFonts w:hint="eastAsia"/>
              </w:rPr>
              <w:t xml:space="preserve">1</w:t>
            </w:r>
            <w:r/>
          </w:p>
        </w:tc>
        <w:tc>
          <w:tcPr>
            <w:tcW w:w="1348" w:type="dxa"/>
            <w:vAlign w:val="center"/>
            <w:textDirection w:val="lrTb"/>
            <w:noWrap w:val="false"/>
          </w:tcPr>
          <w:p>
            <w:pPr>
              <w:pStyle w:val="1151"/>
              <w:jc w:val="center"/>
            </w:pPr>
            <w:r>
              <w:rPr>
                <w:rFonts w:hint="eastAsia"/>
              </w:rPr>
              <w:t xml:space="preserve">±1.0</w:t>
            </w:r>
            <w:r/>
          </w:p>
        </w:tc>
        <w:tc>
          <w:tcPr>
            <w:tcW w:w="1513" w:type="dxa"/>
            <w:vAlign w:val="top"/>
            <w:textDirection w:val="lrTb"/>
            <w:noWrap w:val="false"/>
          </w:tcPr>
          <w:p>
            <w:pPr>
              <w:pStyle w:val="1151"/>
              <w:jc w:val="center"/>
            </w:pPr>
            <w:r>
              <w:t xml:space="preserve">——</w:t>
            </w:r>
            <w:r/>
          </w:p>
        </w:tc>
      </w:tr>
      <w:tr>
        <w:trPr>
          <w:trHeight w:val="227"/>
        </w:trPr>
        <w:tc>
          <w:tcPr>
            <w:tcW w:w="1075" w:type="dxa"/>
            <w:vAlign w:val="top"/>
            <w:vMerge w:val="continue"/>
            <w:textDirection w:val="lrTb"/>
            <w:noWrap w:val="false"/>
          </w:tcPr>
          <w:p>
            <w:pPr>
              <w:pStyle w:val="1151"/>
              <w:jc w:val="center"/>
            </w:pPr>
            <w:r/>
            <w:r/>
          </w:p>
        </w:tc>
        <w:tc>
          <w:tcPr>
            <w:tcW w:w="2515" w:type="dxa"/>
            <w:vAlign w:val="center"/>
            <w:textDirection w:val="lrTb"/>
            <w:noWrap w:val="false"/>
          </w:tcPr>
          <w:p>
            <w:pPr>
              <w:pStyle w:val="1151"/>
              <w:jc w:val="center"/>
            </w:pPr>
            <w:r>
              <w:rPr>
                <w:rFonts w:hint="eastAsia"/>
              </w:rPr>
              <w:t xml:space="preserve">0.05</w:t>
            </w:r>
            <w:r>
              <w:t xml:space="preserve">In≤I≤Imax</w:t>
            </w:r>
            <w:r/>
          </w:p>
        </w:tc>
        <w:tc>
          <w:tcPr>
            <w:tcW w:w="1184" w:type="dxa"/>
            <w:vAlign w:val="top"/>
            <w:vMerge w:val="continue"/>
            <w:textDirection w:val="lrTb"/>
            <w:noWrap w:val="false"/>
          </w:tcPr>
          <w:p>
            <w:pPr>
              <w:pStyle w:val="1151"/>
              <w:jc w:val="center"/>
            </w:pPr>
            <w:r/>
            <w:r/>
          </w:p>
        </w:tc>
        <w:tc>
          <w:tcPr>
            <w:tcW w:w="1286" w:type="dxa"/>
            <w:vAlign w:val="center"/>
            <w:textDirection w:val="lrTb"/>
            <w:noWrap w:val="false"/>
          </w:tcPr>
          <w:p>
            <w:pPr>
              <w:pStyle w:val="1151"/>
              <w:jc w:val="center"/>
            </w:pPr>
            <w:r>
              <w:rPr>
                <w:rFonts w:hint="eastAsia"/>
              </w:rPr>
              <w:t xml:space="preserve">1</w:t>
            </w:r>
            <w:r/>
          </w:p>
        </w:tc>
        <w:tc>
          <w:tcPr>
            <w:tcW w:w="1348" w:type="dxa"/>
            <w:vAlign w:val="center"/>
            <w:textDirection w:val="lrTb"/>
            <w:noWrap w:val="false"/>
          </w:tcPr>
          <w:p>
            <w:pPr>
              <w:pStyle w:val="1151"/>
              <w:jc w:val="center"/>
            </w:pPr>
            <w:r>
              <w:rPr>
                <w:rFonts w:hint="eastAsia"/>
              </w:rPr>
              <w:t xml:space="preserve">±0.5</w:t>
            </w:r>
            <w:r/>
          </w:p>
        </w:tc>
        <w:tc>
          <w:tcPr>
            <w:tcW w:w="1513" w:type="dxa"/>
            <w:vAlign w:val="center"/>
            <w:textDirection w:val="lrTb"/>
            <w:noWrap w:val="false"/>
          </w:tcPr>
          <w:p>
            <w:pPr>
              <w:pStyle w:val="1151"/>
              <w:jc w:val="center"/>
            </w:pPr>
            <w:r>
              <w:t xml:space="preserve">——</w:t>
            </w:r>
            <w:r/>
          </w:p>
        </w:tc>
      </w:tr>
      <w:tr>
        <w:trPr>
          <w:trHeight w:val="227"/>
        </w:trPr>
        <w:tc>
          <w:tcPr>
            <w:tcW w:w="1075" w:type="dxa"/>
            <w:vAlign w:val="center"/>
            <w:vMerge w:val="continue"/>
            <w:textDirection w:val="lrTb"/>
            <w:noWrap w:val="false"/>
          </w:tcPr>
          <w:p>
            <w:pPr>
              <w:pStyle w:val="1151"/>
              <w:jc w:val="center"/>
            </w:pPr>
            <w:r/>
            <w:r/>
          </w:p>
        </w:tc>
        <w:tc>
          <w:tcPr>
            <w:tcW w:w="2515" w:type="dxa"/>
            <w:vAlign w:val="center"/>
            <w:vMerge w:val="restart"/>
            <w:textDirection w:val="lrTb"/>
            <w:noWrap w:val="false"/>
          </w:tcPr>
          <w:p>
            <w:pPr>
              <w:pStyle w:val="1151"/>
              <w:jc w:val="center"/>
            </w:pPr>
            <w:r>
              <w:rPr>
                <w:rFonts w:hint="eastAsia"/>
              </w:rPr>
              <w:t xml:space="preserve">0.02</w:t>
            </w:r>
            <w:r>
              <w:t xml:space="preserve">In≤I＜</w:t>
            </w:r>
            <w:r>
              <w:rPr>
                <w:rFonts w:hint="eastAsia"/>
              </w:rPr>
              <w:t xml:space="preserve">0.1</w:t>
            </w:r>
            <w:r>
              <w:t xml:space="preserve">In</w:t>
            </w:r>
            <w:r/>
          </w:p>
        </w:tc>
        <w:tc>
          <w:tcPr>
            <w:tcW w:w="1184" w:type="dxa"/>
            <w:vAlign w:val="center"/>
            <w:vMerge w:val="restart"/>
            <w:textDirection w:val="lrTb"/>
            <w:noWrap w:val="false"/>
          </w:tcPr>
          <w:p>
            <w:pPr>
              <w:pStyle w:val="1151"/>
              <w:jc w:val="center"/>
            </w:pPr>
            <w:r>
              <w:t xml:space="preserve">c</w:t>
            </w:r>
            <w:r>
              <w:rPr>
                <w:rFonts w:hint="eastAsia"/>
              </w:rPr>
              <w:t xml:space="preserve">os</w:t>
            </w:r>
            <w:r>
              <w:t xml:space="preserve">φ</w:t>
            </w:r>
            <w:r/>
          </w:p>
        </w:tc>
        <w:tc>
          <w:tcPr>
            <w:tcW w:w="1286" w:type="dxa"/>
            <w:vAlign w:val="center"/>
            <w:textDirection w:val="lrTb"/>
            <w:noWrap w:val="false"/>
          </w:tcPr>
          <w:p>
            <w:pPr>
              <w:pStyle w:val="1151"/>
              <w:jc w:val="center"/>
            </w:pPr>
            <w:r>
              <w:rPr>
                <w:rFonts w:hint="eastAsia"/>
              </w:rPr>
              <w:t xml:space="preserve">0.5</w:t>
            </w:r>
            <w:r>
              <w:t xml:space="preserve">L</w:t>
            </w:r>
            <w:r/>
          </w:p>
        </w:tc>
        <w:tc>
          <w:tcPr>
            <w:tcW w:w="1348" w:type="dxa"/>
            <w:vAlign w:val="center"/>
            <w:textDirection w:val="lrTb"/>
            <w:noWrap w:val="false"/>
          </w:tcPr>
          <w:p>
            <w:pPr>
              <w:pStyle w:val="1151"/>
              <w:jc w:val="center"/>
            </w:pPr>
            <w:r>
              <w:rPr>
                <w:rFonts w:hint="eastAsia"/>
              </w:rPr>
              <w:t xml:space="preserve">±</w:t>
            </w:r>
            <w:r>
              <w:t xml:space="preserve">1.0</w:t>
            </w:r>
            <w:r/>
          </w:p>
        </w:tc>
        <w:tc>
          <w:tcPr>
            <w:tcW w:w="1513" w:type="dxa"/>
            <w:vAlign w:val="center"/>
            <w:textDirection w:val="lrTb"/>
            <w:noWrap w:val="false"/>
          </w:tcPr>
          <w:p>
            <w:pPr>
              <w:pStyle w:val="1151"/>
              <w:jc w:val="center"/>
            </w:pPr>
            <w:r>
              <w:t xml:space="preserve">——</w:t>
            </w:r>
            <w:r/>
          </w:p>
        </w:tc>
      </w:tr>
      <w:tr>
        <w:trPr>
          <w:trHeight w:val="227"/>
        </w:trPr>
        <w:tc>
          <w:tcPr>
            <w:tcW w:w="1075" w:type="dxa"/>
            <w:vAlign w:val="top"/>
            <w:vMerge w:val="continue"/>
            <w:textDirection w:val="lrTb"/>
            <w:noWrap w:val="false"/>
          </w:tcPr>
          <w:p>
            <w:pPr>
              <w:pStyle w:val="1151"/>
              <w:jc w:val="center"/>
            </w:pPr>
            <w:r/>
            <w:r/>
          </w:p>
        </w:tc>
        <w:tc>
          <w:tcPr>
            <w:tcW w:w="2515" w:type="dxa"/>
            <w:vAlign w:val="center"/>
            <w:vMerge w:val="continue"/>
            <w:textDirection w:val="lrTb"/>
            <w:noWrap w:val="false"/>
          </w:tcPr>
          <w:p>
            <w:pPr>
              <w:pStyle w:val="1151"/>
              <w:jc w:val="center"/>
            </w:pPr>
            <w:r/>
            <w:r/>
          </w:p>
        </w:tc>
        <w:tc>
          <w:tcPr>
            <w:tcW w:w="1184" w:type="dxa"/>
            <w:vAlign w:val="top"/>
            <w:vMerge w:val="continue"/>
            <w:textDirection w:val="lrTb"/>
            <w:noWrap w:val="false"/>
          </w:tcPr>
          <w:p>
            <w:pPr>
              <w:pStyle w:val="1151"/>
              <w:jc w:val="center"/>
            </w:pPr>
            <w:r/>
            <w:r/>
          </w:p>
        </w:tc>
        <w:tc>
          <w:tcPr>
            <w:tcW w:w="1286" w:type="dxa"/>
            <w:vAlign w:val="center"/>
            <w:textDirection w:val="lrTb"/>
            <w:noWrap w:val="false"/>
          </w:tcPr>
          <w:p>
            <w:pPr>
              <w:pStyle w:val="1151"/>
              <w:jc w:val="center"/>
            </w:pPr>
            <w:r>
              <w:t xml:space="preserve">0.8C</w:t>
            </w:r>
            <w:r/>
          </w:p>
        </w:tc>
        <w:tc>
          <w:tcPr>
            <w:tcW w:w="1348" w:type="dxa"/>
            <w:vAlign w:val="center"/>
            <w:textDirection w:val="lrTb"/>
            <w:noWrap w:val="false"/>
          </w:tcPr>
          <w:p>
            <w:pPr>
              <w:pStyle w:val="1151"/>
              <w:jc w:val="center"/>
            </w:pPr>
            <w:r>
              <w:rPr>
                <w:rFonts w:hint="eastAsia"/>
              </w:rPr>
              <w:t xml:space="preserve">±</w:t>
            </w:r>
            <w:r>
              <w:t xml:space="preserve">1.0</w:t>
            </w:r>
            <w:r/>
          </w:p>
        </w:tc>
        <w:tc>
          <w:tcPr>
            <w:tcW w:w="1513" w:type="dxa"/>
            <w:vAlign w:val="center"/>
            <w:textDirection w:val="lrTb"/>
            <w:noWrap w:val="false"/>
          </w:tcPr>
          <w:p>
            <w:pPr>
              <w:pStyle w:val="1151"/>
              <w:jc w:val="center"/>
            </w:pPr>
            <w:r>
              <w:t xml:space="preserve">——</w:t>
            </w:r>
            <w:r/>
          </w:p>
        </w:tc>
      </w:tr>
      <w:tr>
        <w:trPr>
          <w:trHeight w:val="227"/>
        </w:trPr>
        <w:tc>
          <w:tcPr>
            <w:tcW w:w="1075" w:type="dxa"/>
            <w:vAlign w:val="top"/>
            <w:vMerge w:val="continue"/>
            <w:textDirection w:val="lrTb"/>
            <w:noWrap w:val="false"/>
          </w:tcPr>
          <w:p>
            <w:pPr>
              <w:pStyle w:val="1151"/>
              <w:jc w:val="center"/>
            </w:pPr>
            <w:r/>
            <w:r/>
          </w:p>
        </w:tc>
        <w:tc>
          <w:tcPr>
            <w:tcW w:w="2515" w:type="dxa"/>
            <w:vAlign w:val="center"/>
            <w:vMerge w:val="restart"/>
            <w:textDirection w:val="lrTb"/>
            <w:noWrap w:val="false"/>
          </w:tcPr>
          <w:p>
            <w:pPr>
              <w:pStyle w:val="1151"/>
              <w:jc w:val="center"/>
            </w:pPr>
            <w:r>
              <w:rPr>
                <w:rFonts w:hint="eastAsia"/>
              </w:rPr>
              <w:t xml:space="preserve">0.1</w:t>
            </w:r>
            <w:r>
              <w:t xml:space="preserve">In≤I≤Imax</w:t>
            </w:r>
            <w:r/>
          </w:p>
        </w:tc>
        <w:tc>
          <w:tcPr>
            <w:tcW w:w="1184" w:type="dxa"/>
            <w:vAlign w:val="top"/>
            <w:vMerge w:val="continue"/>
            <w:textDirection w:val="lrTb"/>
            <w:noWrap w:val="false"/>
          </w:tcPr>
          <w:p>
            <w:pPr>
              <w:pStyle w:val="1151"/>
              <w:jc w:val="center"/>
            </w:pPr>
            <w:r/>
            <w:r/>
          </w:p>
        </w:tc>
        <w:tc>
          <w:tcPr>
            <w:tcW w:w="1286" w:type="dxa"/>
            <w:vAlign w:val="center"/>
            <w:textDirection w:val="lrTb"/>
            <w:noWrap w:val="false"/>
          </w:tcPr>
          <w:p>
            <w:pPr>
              <w:pStyle w:val="1151"/>
              <w:jc w:val="center"/>
            </w:pPr>
            <w:r>
              <w:rPr>
                <w:rFonts w:hint="eastAsia"/>
              </w:rPr>
              <w:t xml:space="preserve">0.5</w:t>
            </w:r>
            <w:r>
              <w:t xml:space="preserve">L</w:t>
            </w:r>
            <w:r/>
          </w:p>
        </w:tc>
        <w:tc>
          <w:tcPr>
            <w:tcW w:w="1348" w:type="dxa"/>
            <w:vAlign w:val="center"/>
            <w:textDirection w:val="lrTb"/>
            <w:noWrap w:val="false"/>
          </w:tcPr>
          <w:p>
            <w:pPr>
              <w:pStyle w:val="1151"/>
              <w:jc w:val="center"/>
            </w:pPr>
            <w:r>
              <w:rPr>
                <w:rFonts w:hint="eastAsia"/>
              </w:rPr>
              <w:t xml:space="preserve">±0.</w:t>
            </w:r>
            <w:r>
              <w:t xml:space="preserve">6</w:t>
            </w:r>
            <w:r/>
          </w:p>
        </w:tc>
        <w:tc>
          <w:tcPr>
            <w:tcW w:w="1513" w:type="dxa"/>
            <w:vAlign w:val="center"/>
            <w:vMerge w:val="restart"/>
            <w:textDirection w:val="lrTb"/>
            <w:noWrap w:val="false"/>
          </w:tcPr>
          <w:p>
            <w:pPr>
              <w:pStyle w:val="1151"/>
              <w:jc w:val="center"/>
            </w:pPr>
            <w:r>
              <w:t xml:space="preserve">——</w:t>
            </w:r>
            <w:r/>
          </w:p>
        </w:tc>
      </w:tr>
      <w:tr>
        <w:trPr>
          <w:trHeight w:val="227"/>
        </w:trPr>
        <w:tc>
          <w:tcPr>
            <w:tcW w:w="1075" w:type="dxa"/>
            <w:vAlign w:val="top"/>
            <w:vMerge w:val="continue"/>
            <w:textDirection w:val="lrTb"/>
            <w:noWrap w:val="false"/>
          </w:tcPr>
          <w:p>
            <w:pPr>
              <w:pStyle w:val="1151"/>
              <w:jc w:val="center"/>
            </w:pPr>
            <w:r/>
            <w:r/>
          </w:p>
        </w:tc>
        <w:tc>
          <w:tcPr>
            <w:tcW w:w="2515" w:type="dxa"/>
            <w:vAlign w:val="center"/>
            <w:vMerge w:val="continue"/>
            <w:textDirection w:val="lrTb"/>
            <w:noWrap w:val="false"/>
          </w:tcPr>
          <w:p>
            <w:pPr>
              <w:pStyle w:val="1151"/>
              <w:jc w:val="center"/>
            </w:pPr>
            <w:r/>
            <w:r/>
          </w:p>
        </w:tc>
        <w:tc>
          <w:tcPr>
            <w:tcW w:w="1184" w:type="dxa"/>
            <w:vAlign w:val="top"/>
            <w:vMerge w:val="continue"/>
            <w:textDirection w:val="lrTb"/>
            <w:noWrap w:val="false"/>
          </w:tcPr>
          <w:p>
            <w:pPr>
              <w:pStyle w:val="1151"/>
              <w:jc w:val="center"/>
            </w:pPr>
            <w:r/>
            <w:r/>
          </w:p>
        </w:tc>
        <w:tc>
          <w:tcPr>
            <w:tcW w:w="1286" w:type="dxa"/>
            <w:vAlign w:val="center"/>
            <w:textDirection w:val="lrTb"/>
            <w:noWrap w:val="false"/>
          </w:tcPr>
          <w:p>
            <w:pPr>
              <w:pStyle w:val="1151"/>
              <w:jc w:val="center"/>
            </w:pPr>
            <w:r>
              <w:t xml:space="preserve">0.8C</w:t>
            </w:r>
            <w:r/>
          </w:p>
        </w:tc>
        <w:tc>
          <w:tcPr>
            <w:tcW w:w="1348" w:type="dxa"/>
            <w:vAlign w:val="center"/>
            <w:textDirection w:val="lrTb"/>
            <w:noWrap w:val="false"/>
          </w:tcPr>
          <w:p>
            <w:pPr>
              <w:pStyle w:val="1151"/>
              <w:jc w:val="center"/>
            </w:pPr>
            <w:r>
              <w:rPr>
                <w:rFonts w:hint="eastAsia"/>
              </w:rPr>
              <w:t xml:space="preserve">±0.</w:t>
            </w:r>
            <w:r>
              <w:t xml:space="preserve">6</w:t>
            </w:r>
            <w:r/>
          </w:p>
        </w:tc>
        <w:tc>
          <w:tcPr>
            <w:tcW w:w="1513" w:type="dxa"/>
            <w:vAlign w:val="center"/>
            <w:vMerge w:val="continue"/>
            <w:textDirection w:val="lrTb"/>
            <w:noWrap w:val="false"/>
          </w:tcPr>
          <w:p>
            <w:pPr>
              <w:pStyle w:val="1151"/>
              <w:jc w:val="center"/>
            </w:pPr>
            <w:r/>
            <w:r/>
          </w:p>
        </w:tc>
      </w:tr>
      <w:tr>
        <w:trPr>
          <w:trHeight w:val="227"/>
        </w:trPr>
        <w:tc>
          <w:tcPr>
            <w:tcW w:w="1075" w:type="dxa"/>
            <w:vAlign w:val="top"/>
            <w:vMerge w:val="continue"/>
            <w:textDirection w:val="lrTb"/>
            <w:noWrap w:val="false"/>
          </w:tcPr>
          <w:p>
            <w:pPr>
              <w:pStyle w:val="1151"/>
              <w:jc w:val="center"/>
            </w:pPr>
            <w:r/>
            <w:r/>
          </w:p>
        </w:tc>
        <w:tc>
          <w:tcPr>
            <w:tcW w:w="2515" w:type="dxa"/>
            <w:vAlign w:val="center"/>
            <w:vMerge w:val="restart"/>
            <w:textDirection w:val="lrTb"/>
            <w:noWrap w:val="false"/>
          </w:tcPr>
          <w:p>
            <w:pPr>
              <w:pStyle w:val="1151"/>
              <w:jc w:val="center"/>
            </w:pPr>
            <w:r>
              <w:rPr>
                <w:rFonts w:hint="eastAsia"/>
              </w:rPr>
              <w:t xml:space="preserve">用户</w:t>
            </w:r>
            <w:r>
              <w:t xml:space="preserve">特殊要求时：</w:t>
            </w:r>
            <w:r/>
          </w:p>
          <w:p>
            <w:pPr>
              <w:pStyle w:val="1151"/>
              <w:jc w:val="center"/>
            </w:pPr>
            <w:r>
              <w:rPr>
                <w:rFonts w:hint="eastAsia"/>
              </w:rPr>
              <w:t xml:space="preserve">0.1</w:t>
            </w:r>
            <w:r>
              <w:t xml:space="preserve">In≤I≤Imax</w:t>
            </w:r>
            <w:r/>
          </w:p>
        </w:tc>
        <w:tc>
          <w:tcPr>
            <w:tcW w:w="1184" w:type="dxa"/>
            <w:vAlign w:val="top"/>
            <w:vMerge w:val="continue"/>
            <w:textDirection w:val="lrTb"/>
            <w:noWrap w:val="false"/>
          </w:tcPr>
          <w:p>
            <w:pPr>
              <w:pStyle w:val="1151"/>
              <w:jc w:val="center"/>
            </w:pPr>
            <w:r/>
            <w:r/>
          </w:p>
        </w:tc>
        <w:tc>
          <w:tcPr>
            <w:tcW w:w="1286" w:type="dxa"/>
            <w:vAlign w:val="center"/>
            <w:textDirection w:val="lrTb"/>
            <w:noWrap w:val="false"/>
          </w:tcPr>
          <w:p>
            <w:pPr>
              <w:pStyle w:val="1151"/>
              <w:jc w:val="center"/>
            </w:pPr>
            <w:r>
              <w:rPr>
                <w:rFonts w:hint="eastAsia"/>
              </w:rPr>
              <w:t xml:space="preserve">0.25</w:t>
            </w:r>
            <w:r>
              <w:t xml:space="preserve">L</w:t>
            </w:r>
            <w:r/>
          </w:p>
        </w:tc>
        <w:tc>
          <w:tcPr>
            <w:tcW w:w="1348" w:type="dxa"/>
            <w:vAlign w:val="center"/>
            <w:textDirection w:val="lrTb"/>
            <w:noWrap w:val="false"/>
          </w:tcPr>
          <w:p>
            <w:pPr>
              <w:pStyle w:val="1151"/>
              <w:jc w:val="center"/>
            </w:pPr>
            <w:r>
              <w:rPr>
                <w:rFonts w:hint="eastAsia"/>
              </w:rPr>
              <w:t xml:space="preserve">±</w:t>
            </w:r>
            <w:r>
              <w:t xml:space="preserve">1.0</w:t>
            </w:r>
            <w:r/>
          </w:p>
        </w:tc>
        <w:tc>
          <w:tcPr>
            <w:tcW w:w="1513" w:type="dxa"/>
            <w:vAlign w:val="center"/>
            <w:vMerge w:val="restart"/>
            <w:textDirection w:val="lrTb"/>
            <w:noWrap w:val="false"/>
          </w:tcPr>
          <w:p>
            <w:pPr>
              <w:pStyle w:val="1151"/>
              <w:jc w:val="center"/>
            </w:pPr>
            <w:r>
              <w:t xml:space="preserve">——</w:t>
            </w:r>
            <w:r/>
          </w:p>
        </w:tc>
      </w:tr>
      <w:tr>
        <w:trPr>
          <w:trHeight w:val="227"/>
        </w:trPr>
        <w:tc>
          <w:tcPr>
            <w:tcW w:w="1075" w:type="dxa"/>
            <w:vAlign w:val="top"/>
            <w:vMerge w:val="continue"/>
            <w:textDirection w:val="lrTb"/>
            <w:noWrap w:val="false"/>
          </w:tcPr>
          <w:p>
            <w:pPr>
              <w:pStyle w:val="1151"/>
              <w:jc w:val="center"/>
            </w:pPr>
            <w:r/>
            <w:r/>
          </w:p>
        </w:tc>
        <w:tc>
          <w:tcPr>
            <w:tcW w:w="2515" w:type="dxa"/>
            <w:vAlign w:val="center"/>
            <w:vMerge w:val="continue"/>
            <w:textDirection w:val="lrTb"/>
            <w:noWrap w:val="false"/>
          </w:tcPr>
          <w:p>
            <w:pPr>
              <w:pStyle w:val="1151"/>
              <w:jc w:val="center"/>
            </w:pPr>
            <w:r/>
            <w:r/>
          </w:p>
        </w:tc>
        <w:tc>
          <w:tcPr>
            <w:tcW w:w="1184" w:type="dxa"/>
            <w:vAlign w:val="top"/>
            <w:vMerge w:val="continue"/>
            <w:textDirection w:val="lrTb"/>
            <w:noWrap w:val="false"/>
          </w:tcPr>
          <w:p>
            <w:pPr>
              <w:pStyle w:val="1151"/>
              <w:jc w:val="center"/>
            </w:pPr>
            <w:r/>
            <w:r/>
          </w:p>
        </w:tc>
        <w:tc>
          <w:tcPr>
            <w:tcW w:w="1286" w:type="dxa"/>
            <w:vAlign w:val="center"/>
            <w:textDirection w:val="lrTb"/>
            <w:noWrap w:val="false"/>
          </w:tcPr>
          <w:p>
            <w:pPr>
              <w:pStyle w:val="1151"/>
              <w:jc w:val="center"/>
            </w:pPr>
            <w:r>
              <w:t xml:space="preserve">0.5C</w:t>
            </w:r>
            <w:r/>
          </w:p>
        </w:tc>
        <w:tc>
          <w:tcPr>
            <w:tcW w:w="1348" w:type="dxa"/>
            <w:vAlign w:val="center"/>
            <w:textDirection w:val="lrTb"/>
            <w:noWrap w:val="false"/>
          </w:tcPr>
          <w:p>
            <w:pPr>
              <w:pStyle w:val="1151"/>
              <w:jc w:val="center"/>
            </w:pPr>
            <w:r>
              <w:rPr>
                <w:rFonts w:hint="eastAsia"/>
              </w:rPr>
              <w:t xml:space="preserve">±1.0</w:t>
            </w:r>
            <w:r/>
          </w:p>
        </w:tc>
        <w:tc>
          <w:tcPr>
            <w:tcW w:w="1513" w:type="dxa"/>
            <w:vAlign w:val="top"/>
            <w:vMerge w:val="continue"/>
            <w:textDirection w:val="lrTb"/>
            <w:noWrap w:val="false"/>
          </w:tcPr>
          <w:p>
            <w:pPr>
              <w:pStyle w:val="1151"/>
              <w:jc w:val="center"/>
            </w:pPr>
            <w:r/>
            <w:r/>
          </w:p>
        </w:tc>
      </w:tr>
      <w:tr>
        <w:trPr>
          <w:trHeight w:val="227"/>
        </w:trPr>
        <w:tc>
          <w:tcPr>
            <w:tcW w:w="1075" w:type="dxa"/>
            <w:vAlign w:val="center"/>
            <w:vMerge w:val="restart"/>
            <w:textDirection w:val="lrTb"/>
            <w:noWrap w:val="false"/>
          </w:tcPr>
          <w:p>
            <w:pPr>
              <w:pStyle w:val="1151"/>
              <w:jc w:val="center"/>
            </w:pPr>
            <w:r>
              <w:rPr>
                <w:rFonts w:hint="eastAsia"/>
              </w:rPr>
              <w:t xml:space="preserve">无</w:t>
            </w:r>
            <w:r>
              <w:t xml:space="preserve">功</w:t>
            </w:r>
            <w:r/>
          </w:p>
          <w:p>
            <w:pPr>
              <w:pStyle w:val="1151"/>
              <w:jc w:val="center"/>
            </w:pPr>
            <w:r>
              <w:t xml:space="preserve">电能</w:t>
            </w:r>
            <w:r/>
          </w:p>
        </w:tc>
        <w:tc>
          <w:tcPr>
            <w:tcW w:w="2515" w:type="dxa"/>
            <w:vAlign w:val="center"/>
            <w:textDirection w:val="lrTb"/>
            <w:noWrap w:val="false"/>
          </w:tcPr>
          <w:p>
            <w:pPr>
              <w:pStyle w:val="1151"/>
              <w:jc w:val="center"/>
            </w:pPr>
            <w:r>
              <w:rPr>
                <w:rFonts w:hint="eastAsia"/>
              </w:rPr>
              <w:t xml:space="preserve">0.0</w:t>
            </w:r>
            <w:r>
              <w:t xml:space="preserve">2In≤I＜</w:t>
            </w:r>
            <w:r>
              <w:rPr>
                <w:rFonts w:hint="eastAsia"/>
              </w:rPr>
              <w:t xml:space="preserve">0.05</w:t>
            </w:r>
            <w:r>
              <w:t xml:space="preserve">In</w:t>
            </w:r>
            <w:r/>
          </w:p>
        </w:tc>
        <w:tc>
          <w:tcPr>
            <w:tcW w:w="1184" w:type="dxa"/>
            <w:vAlign w:val="center"/>
            <w:vMerge w:val="restart"/>
            <w:textDirection w:val="lrTb"/>
            <w:noWrap w:val="false"/>
          </w:tcPr>
          <w:p>
            <w:pPr>
              <w:pStyle w:val="1151"/>
              <w:jc w:val="center"/>
            </w:pPr>
            <w:r>
              <w:t xml:space="preserve">sinφ</w:t>
            </w:r>
            <w:r/>
          </w:p>
          <w:p>
            <w:pPr>
              <w:pStyle w:val="1151"/>
              <w:jc w:val="center"/>
            </w:pPr>
            <w:r>
              <w:rPr>
                <w:rFonts w:hint="eastAsia"/>
              </w:rPr>
              <w:t xml:space="preserve">（</w:t>
            </w:r>
            <w:r>
              <w:t xml:space="preserve">L或C）</w:t>
            </w:r>
            <w:r/>
          </w:p>
        </w:tc>
        <w:tc>
          <w:tcPr>
            <w:tcW w:w="1286" w:type="dxa"/>
            <w:vAlign w:val="center"/>
            <w:textDirection w:val="lrTb"/>
            <w:noWrap w:val="false"/>
          </w:tcPr>
          <w:p>
            <w:pPr>
              <w:pStyle w:val="1151"/>
              <w:jc w:val="center"/>
            </w:pPr>
            <w:r>
              <w:rPr>
                <w:rFonts w:hint="eastAsia"/>
              </w:rPr>
              <w:t xml:space="preserve">1</w:t>
            </w:r>
            <w:r/>
          </w:p>
        </w:tc>
        <w:tc>
          <w:tcPr>
            <w:tcW w:w="1348" w:type="dxa"/>
            <w:vAlign w:val="top"/>
            <w:textDirection w:val="lrTb"/>
            <w:noWrap w:val="false"/>
          </w:tcPr>
          <w:p>
            <w:pPr>
              <w:pStyle w:val="1151"/>
              <w:jc w:val="center"/>
            </w:pPr>
            <w:r>
              <w:t xml:space="preserve">——</w:t>
            </w:r>
            <w:r/>
          </w:p>
        </w:tc>
        <w:tc>
          <w:tcPr>
            <w:tcW w:w="1513" w:type="dxa"/>
            <w:vAlign w:val="top"/>
            <w:textDirection w:val="lrTb"/>
            <w:noWrap w:val="false"/>
          </w:tcPr>
          <w:p>
            <w:pPr>
              <w:pStyle w:val="1151"/>
              <w:jc w:val="center"/>
            </w:pPr>
            <w:r>
              <w:rPr>
                <w:rFonts w:hint="eastAsia"/>
              </w:rPr>
              <w:t xml:space="preserve">±2.5</w:t>
            </w:r>
            <w:r/>
          </w:p>
        </w:tc>
      </w:tr>
      <w:tr>
        <w:trPr>
          <w:trHeight w:val="227"/>
        </w:trPr>
        <w:tc>
          <w:tcPr>
            <w:tcW w:w="1075" w:type="dxa"/>
            <w:vAlign w:val="top"/>
            <w:vMerge w:val="continue"/>
            <w:textDirection w:val="lrTb"/>
            <w:noWrap w:val="false"/>
          </w:tcPr>
          <w:p>
            <w:pPr>
              <w:pStyle w:val="1151"/>
              <w:jc w:val="center"/>
            </w:pPr>
            <w:r/>
            <w:r/>
          </w:p>
        </w:tc>
        <w:tc>
          <w:tcPr>
            <w:tcW w:w="2515" w:type="dxa"/>
            <w:vAlign w:val="center"/>
            <w:textDirection w:val="lrTb"/>
            <w:noWrap w:val="false"/>
          </w:tcPr>
          <w:p>
            <w:pPr>
              <w:pStyle w:val="1151"/>
              <w:jc w:val="center"/>
            </w:pPr>
            <w:r>
              <w:rPr>
                <w:rFonts w:hint="eastAsia"/>
              </w:rPr>
              <w:t xml:space="preserve">0.05</w:t>
            </w:r>
            <w:r>
              <w:t xml:space="preserve">In≤I≤Imax</w:t>
            </w:r>
            <w:r/>
          </w:p>
        </w:tc>
        <w:tc>
          <w:tcPr>
            <w:tcW w:w="1184" w:type="dxa"/>
            <w:vAlign w:val="top"/>
            <w:vMerge w:val="continue"/>
            <w:textDirection w:val="lrTb"/>
            <w:noWrap w:val="false"/>
          </w:tcPr>
          <w:p>
            <w:pPr>
              <w:pStyle w:val="1151"/>
              <w:jc w:val="center"/>
            </w:pPr>
            <w:r/>
            <w:r/>
          </w:p>
        </w:tc>
        <w:tc>
          <w:tcPr>
            <w:tcW w:w="1286" w:type="dxa"/>
            <w:vAlign w:val="center"/>
            <w:textDirection w:val="lrTb"/>
            <w:noWrap w:val="false"/>
          </w:tcPr>
          <w:p>
            <w:pPr>
              <w:pStyle w:val="1151"/>
              <w:jc w:val="center"/>
            </w:pPr>
            <w:r>
              <w:rPr>
                <w:rFonts w:hint="eastAsia"/>
              </w:rPr>
              <w:t xml:space="preserve">1</w:t>
            </w:r>
            <w:r/>
          </w:p>
        </w:tc>
        <w:tc>
          <w:tcPr>
            <w:tcW w:w="1348" w:type="dxa"/>
            <w:vAlign w:val="top"/>
            <w:textDirection w:val="lrTb"/>
            <w:noWrap w:val="false"/>
          </w:tcPr>
          <w:p>
            <w:pPr>
              <w:pStyle w:val="1151"/>
              <w:jc w:val="center"/>
            </w:pPr>
            <w:r>
              <w:t xml:space="preserve">——</w:t>
            </w:r>
            <w:r/>
          </w:p>
        </w:tc>
        <w:tc>
          <w:tcPr>
            <w:tcW w:w="1513" w:type="dxa"/>
            <w:vAlign w:val="center"/>
            <w:textDirection w:val="lrTb"/>
            <w:noWrap w:val="false"/>
          </w:tcPr>
          <w:p>
            <w:pPr>
              <w:pStyle w:val="1151"/>
              <w:jc w:val="center"/>
            </w:pPr>
            <w:r>
              <w:rPr>
                <w:rFonts w:hint="eastAsia"/>
              </w:rPr>
              <w:t xml:space="preserve">±</w:t>
            </w:r>
            <w:r>
              <w:t xml:space="preserve">2</w:t>
            </w:r>
            <w:r>
              <w:rPr>
                <w:rFonts w:hint="eastAsia"/>
              </w:rPr>
              <w:t xml:space="preserve">.0</w:t>
            </w:r>
            <w:r/>
          </w:p>
        </w:tc>
      </w:tr>
      <w:tr>
        <w:trPr>
          <w:trHeight w:val="227"/>
        </w:trPr>
        <w:tc>
          <w:tcPr>
            <w:tcW w:w="1075" w:type="dxa"/>
            <w:vAlign w:val="top"/>
            <w:vMerge w:val="continue"/>
            <w:textDirection w:val="lrTb"/>
            <w:noWrap w:val="false"/>
          </w:tcPr>
          <w:p>
            <w:pPr>
              <w:pStyle w:val="1151"/>
              <w:jc w:val="center"/>
            </w:pPr>
            <w:r/>
            <w:r/>
          </w:p>
        </w:tc>
        <w:tc>
          <w:tcPr>
            <w:tcW w:w="2515" w:type="dxa"/>
            <w:vAlign w:val="center"/>
            <w:textDirection w:val="lrTb"/>
            <w:noWrap w:val="false"/>
          </w:tcPr>
          <w:p>
            <w:pPr>
              <w:pStyle w:val="1151"/>
              <w:jc w:val="center"/>
            </w:pPr>
            <w:r>
              <w:rPr>
                <w:rFonts w:hint="eastAsia"/>
              </w:rPr>
              <w:t xml:space="preserve">0.0</w:t>
            </w:r>
            <w:r>
              <w:t xml:space="preserve">5In≤I</w:t>
            </w:r>
            <w:r>
              <w:rPr>
                <w:rFonts w:hint="eastAsia"/>
              </w:rPr>
              <w:t xml:space="preserve">＜</w:t>
            </w:r>
            <w:r>
              <w:t xml:space="preserve">0.1In</w:t>
            </w:r>
            <w:r/>
          </w:p>
        </w:tc>
        <w:tc>
          <w:tcPr>
            <w:tcW w:w="1184" w:type="dxa"/>
            <w:vAlign w:val="top"/>
            <w:vMerge w:val="continue"/>
            <w:textDirection w:val="lrTb"/>
            <w:noWrap w:val="false"/>
          </w:tcPr>
          <w:p>
            <w:pPr>
              <w:pStyle w:val="1151"/>
              <w:jc w:val="center"/>
            </w:pPr>
            <w:r/>
            <w:r/>
          </w:p>
        </w:tc>
        <w:tc>
          <w:tcPr>
            <w:tcW w:w="1286" w:type="dxa"/>
            <w:vAlign w:val="center"/>
            <w:textDirection w:val="lrTb"/>
            <w:noWrap w:val="false"/>
          </w:tcPr>
          <w:p>
            <w:pPr>
              <w:pStyle w:val="1151"/>
              <w:jc w:val="center"/>
            </w:pPr>
            <w:r>
              <w:rPr>
                <w:rFonts w:hint="eastAsia"/>
              </w:rPr>
              <w:t xml:space="preserve">0.5</w:t>
            </w:r>
            <w:r/>
          </w:p>
        </w:tc>
        <w:tc>
          <w:tcPr>
            <w:tcW w:w="1348" w:type="dxa"/>
            <w:vAlign w:val="top"/>
            <w:textDirection w:val="lrTb"/>
            <w:noWrap w:val="false"/>
          </w:tcPr>
          <w:p>
            <w:pPr>
              <w:pStyle w:val="1151"/>
              <w:jc w:val="center"/>
            </w:pPr>
            <w:r>
              <w:t xml:space="preserve">——</w:t>
            </w:r>
            <w:r/>
          </w:p>
        </w:tc>
        <w:tc>
          <w:tcPr>
            <w:tcW w:w="1513" w:type="dxa"/>
            <w:vAlign w:val="top"/>
            <w:textDirection w:val="lrTb"/>
            <w:noWrap w:val="false"/>
          </w:tcPr>
          <w:p>
            <w:pPr>
              <w:pStyle w:val="1151"/>
              <w:jc w:val="center"/>
            </w:pPr>
            <w:r>
              <w:rPr>
                <w:rFonts w:hint="eastAsia"/>
              </w:rPr>
              <w:t xml:space="preserve">±2.5</w:t>
            </w:r>
            <w:r/>
          </w:p>
        </w:tc>
      </w:tr>
      <w:tr>
        <w:trPr>
          <w:trHeight w:val="227"/>
        </w:trPr>
        <w:tc>
          <w:tcPr>
            <w:tcW w:w="1075" w:type="dxa"/>
            <w:vAlign w:val="top"/>
            <w:vMerge w:val="continue"/>
            <w:textDirection w:val="lrTb"/>
            <w:noWrap w:val="false"/>
          </w:tcPr>
          <w:p>
            <w:pPr>
              <w:pStyle w:val="1151"/>
              <w:jc w:val="center"/>
            </w:pPr>
            <w:r/>
            <w:r/>
          </w:p>
        </w:tc>
        <w:tc>
          <w:tcPr>
            <w:tcW w:w="2515" w:type="dxa"/>
            <w:vAlign w:val="center"/>
            <w:textDirection w:val="lrTb"/>
            <w:noWrap w:val="false"/>
          </w:tcPr>
          <w:p>
            <w:pPr>
              <w:pStyle w:val="1151"/>
              <w:jc w:val="center"/>
            </w:pPr>
            <w:r>
              <w:rPr>
                <w:rFonts w:hint="eastAsia"/>
              </w:rPr>
              <w:t xml:space="preserve">0.1</w:t>
            </w:r>
            <w:r>
              <w:t xml:space="preserve">In≤I≤Imax</w:t>
            </w:r>
            <w:r/>
          </w:p>
        </w:tc>
        <w:tc>
          <w:tcPr>
            <w:tcW w:w="1184" w:type="dxa"/>
            <w:vAlign w:val="top"/>
            <w:vMerge w:val="continue"/>
            <w:textDirection w:val="lrTb"/>
            <w:noWrap w:val="false"/>
          </w:tcPr>
          <w:p>
            <w:pPr>
              <w:pStyle w:val="1151"/>
              <w:jc w:val="center"/>
            </w:pPr>
            <w:r/>
            <w:r/>
          </w:p>
        </w:tc>
        <w:tc>
          <w:tcPr>
            <w:tcW w:w="1286" w:type="dxa"/>
            <w:vAlign w:val="center"/>
            <w:textDirection w:val="lrTb"/>
            <w:noWrap w:val="false"/>
          </w:tcPr>
          <w:p>
            <w:pPr>
              <w:pStyle w:val="1151"/>
              <w:jc w:val="center"/>
            </w:pPr>
            <w:r>
              <w:rPr>
                <w:rFonts w:hint="eastAsia"/>
              </w:rPr>
              <w:t xml:space="preserve">0.5</w:t>
            </w:r>
            <w:r/>
          </w:p>
        </w:tc>
        <w:tc>
          <w:tcPr>
            <w:tcW w:w="1348" w:type="dxa"/>
            <w:vAlign w:val="top"/>
            <w:textDirection w:val="lrTb"/>
            <w:noWrap w:val="false"/>
          </w:tcPr>
          <w:p>
            <w:pPr>
              <w:pStyle w:val="1151"/>
              <w:jc w:val="center"/>
            </w:pPr>
            <w:r>
              <w:t xml:space="preserve">——</w:t>
            </w:r>
            <w:r/>
          </w:p>
        </w:tc>
        <w:tc>
          <w:tcPr>
            <w:tcW w:w="1513" w:type="dxa"/>
            <w:vAlign w:val="center"/>
            <w:textDirection w:val="lrTb"/>
            <w:noWrap w:val="false"/>
          </w:tcPr>
          <w:p>
            <w:pPr>
              <w:pStyle w:val="1151"/>
              <w:jc w:val="center"/>
            </w:pPr>
            <w:r>
              <w:rPr>
                <w:rFonts w:hint="eastAsia"/>
              </w:rPr>
              <w:t xml:space="preserve">±</w:t>
            </w:r>
            <w:r>
              <w:t xml:space="preserve">2</w:t>
            </w:r>
            <w:r>
              <w:rPr>
                <w:rFonts w:hint="eastAsia"/>
              </w:rPr>
              <w:t xml:space="preserve">.0</w:t>
            </w:r>
            <w:r/>
          </w:p>
        </w:tc>
      </w:tr>
      <w:tr>
        <w:trPr>
          <w:trHeight w:val="227"/>
        </w:trPr>
        <w:tc>
          <w:tcPr>
            <w:tcW w:w="1075" w:type="dxa"/>
            <w:vAlign w:val="top"/>
            <w:vMerge w:val="continue"/>
            <w:textDirection w:val="lrTb"/>
            <w:noWrap w:val="false"/>
          </w:tcPr>
          <w:p>
            <w:pPr>
              <w:pStyle w:val="1151"/>
              <w:jc w:val="center"/>
            </w:pPr>
            <w:r/>
            <w:r/>
          </w:p>
        </w:tc>
        <w:tc>
          <w:tcPr>
            <w:tcW w:w="2515" w:type="dxa"/>
            <w:vAlign w:val="center"/>
            <w:textDirection w:val="lrTb"/>
            <w:noWrap w:val="false"/>
          </w:tcPr>
          <w:p>
            <w:pPr>
              <w:pStyle w:val="1151"/>
              <w:jc w:val="center"/>
            </w:pPr>
            <w:r>
              <w:rPr>
                <w:rFonts w:hint="eastAsia"/>
              </w:rPr>
              <w:t xml:space="preserve">0.1</w:t>
            </w:r>
            <w:r>
              <w:t xml:space="preserve">In≤I≤Imax</w:t>
            </w:r>
            <w:r/>
          </w:p>
        </w:tc>
        <w:tc>
          <w:tcPr>
            <w:tcW w:w="1184" w:type="dxa"/>
            <w:vAlign w:val="top"/>
            <w:vMerge w:val="continue"/>
            <w:textDirection w:val="lrTb"/>
            <w:noWrap w:val="false"/>
          </w:tcPr>
          <w:p>
            <w:pPr>
              <w:pStyle w:val="1151"/>
              <w:jc w:val="center"/>
            </w:pPr>
            <w:r/>
            <w:r/>
          </w:p>
        </w:tc>
        <w:tc>
          <w:tcPr>
            <w:tcW w:w="1286" w:type="dxa"/>
            <w:vAlign w:val="center"/>
            <w:textDirection w:val="lrTb"/>
            <w:noWrap w:val="false"/>
          </w:tcPr>
          <w:p>
            <w:pPr>
              <w:pStyle w:val="1151"/>
              <w:jc w:val="center"/>
            </w:pPr>
            <w:r>
              <w:rPr>
                <w:rFonts w:hint="eastAsia"/>
              </w:rPr>
              <w:t xml:space="preserve">0.25</w:t>
            </w:r>
            <w:r/>
          </w:p>
        </w:tc>
        <w:tc>
          <w:tcPr>
            <w:tcW w:w="1348" w:type="dxa"/>
            <w:vAlign w:val="top"/>
            <w:textDirection w:val="lrTb"/>
            <w:noWrap w:val="false"/>
          </w:tcPr>
          <w:p>
            <w:pPr>
              <w:pStyle w:val="1151"/>
              <w:jc w:val="center"/>
            </w:pPr>
            <w:r>
              <w:t xml:space="preserve">——</w:t>
            </w:r>
            <w:r/>
          </w:p>
        </w:tc>
        <w:tc>
          <w:tcPr>
            <w:tcW w:w="1513" w:type="dxa"/>
            <w:vAlign w:val="top"/>
            <w:textDirection w:val="lrTb"/>
            <w:noWrap w:val="false"/>
          </w:tcPr>
          <w:p>
            <w:pPr>
              <w:pStyle w:val="1151"/>
              <w:jc w:val="center"/>
            </w:pPr>
            <w:r>
              <w:rPr>
                <w:rFonts w:hint="eastAsia"/>
              </w:rPr>
              <w:t xml:space="preserve">±2.5</w:t>
            </w:r>
            <w:r/>
          </w:p>
        </w:tc>
      </w:tr>
      <w:tr>
        <w:trPr>
          <w:trHeight w:val="227"/>
        </w:trPr>
        <w:tc>
          <w:tcPr>
            <w:gridSpan w:val="6"/>
            <w:tcW w:w="8921" w:type="dxa"/>
            <w:vAlign w:val="top"/>
            <w:textDirection w:val="lrTb"/>
            <w:noWrap w:val="false"/>
          </w:tcPr>
          <w:p>
            <w:pPr>
              <w:pStyle w:val="1151"/>
              <w:rPr>
                <w:sz w:val="18"/>
                <w:szCs w:val="18"/>
              </w:rPr>
            </w:pPr>
            <w:r>
              <w:rPr>
                <w:rFonts w:hint="eastAsia"/>
                <w:szCs w:val="18"/>
              </w:rPr>
              <w:t xml:space="preserve">注：</w:t>
            </w:r>
            <w:r>
              <w:rPr>
                <w:szCs w:val="18"/>
              </w:rPr>
              <w:t xml:space="preserve">a</w:t>
            </w:r>
            <w:r>
              <w:rPr>
                <w:rFonts w:hint="eastAsia"/>
                <w:szCs w:val="18"/>
              </w:rPr>
              <w:t xml:space="preserve">　角</w:t>
            </w:r>
            <w:r>
              <w:rPr>
                <w:szCs w:val="18"/>
              </w:rPr>
              <w:t xml:space="preserve">φ</w:t>
            </w:r>
            <w:r>
              <w:rPr>
                <w:rFonts w:hint="eastAsia"/>
                <w:szCs w:val="18"/>
              </w:rPr>
              <w:t xml:space="preserve">是星形负载支路相电压与相电流间的相位差；</w:t>
            </w:r>
            <w:r>
              <w:rPr>
                <w:szCs w:val="18"/>
              </w:rPr>
              <w:t xml:space="preserve">L-</w:t>
            </w:r>
            <w:r>
              <w:rPr>
                <w:rFonts w:hint="eastAsia"/>
                <w:szCs w:val="18"/>
              </w:rPr>
              <w:t xml:space="preserve">感性负载，</w:t>
            </w:r>
            <w:r>
              <w:rPr>
                <w:szCs w:val="18"/>
              </w:rPr>
              <w:t xml:space="preserve">C-</w:t>
            </w:r>
            <w:r>
              <w:rPr>
                <w:rFonts w:hint="eastAsia"/>
                <w:szCs w:val="18"/>
              </w:rPr>
              <w:t xml:space="preserve">容性负载。</w:t>
            </w:r>
            <w:r>
              <w:rPr>
                <w:sz w:val="18"/>
                <w:szCs w:val="18"/>
              </w:rPr>
            </w:r>
            <w:r/>
          </w:p>
        </w:tc>
      </w:tr>
    </w:tbl>
    <w:p>
      <w:pPr>
        <w:pStyle w:val="1151"/>
        <w:ind w:firstLine="480"/>
        <w:jc w:val="center"/>
      </w:pPr>
      <w:r>
        <w:rPr>
          <w:rFonts w:hint="eastAsia"/>
        </w:rPr>
        <w:t xml:space="preserve">表14　不平衡</w:t>
      </w:r>
      <w:r>
        <w:t xml:space="preserve">负载时线损</w:t>
      </w:r>
      <w:r>
        <w:rPr>
          <w:rFonts w:hint="eastAsia"/>
        </w:rPr>
        <w:t xml:space="preserve">测量</w:t>
      </w:r>
      <w:r>
        <w:t xml:space="preserve">的</w:t>
      </w:r>
      <w:r>
        <w:rPr>
          <w:rFonts w:hint="eastAsia"/>
        </w:rPr>
        <w:t xml:space="preserve">基本</w:t>
      </w:r>
      <w:r>
        <w:t xml:space="preserve">误差限</w:t>
      </w:r>
      <w:r>
        <w:rPr>
          <w:rFonts w:hint="eastAsia"/>
        </w:rPr>
        <w:t xml:space="preserve">值</w:t>
      </w:r>
      <w:r/>
    </w:p>
    <w:tbl>
      <w:tblPr>
        <w:tblW w:w="454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8"/>
        <w:gridCol w:w="1574"/>
        <w:gridCol w:w="2211"/>
        <w:gridCol w:w="2045"/>
      </w:tblGrid>
      <w:tr>
        <w:trPr>
          <w:trHeight w:val="227"/>
        </w:trPr>
        <w:tc>
          <w:tcPr>
            <w:tcW w:w="2009" w:type="dxa"/>
            <w:vAlign w:val="center"/>
            <w:vMerge w:val="restart"/>
            <w:textDirection w:val="lrTb"/>
            <w:noWrap w:val="false"/>
          </w:tcPr>
          <w:p>
            <w:pPr>
              <w:pStyle w:val="1151"/>
              <w:jc w:val="center"/>
            </w:pPr>
            <w:r>
              <w:rPr>
                <w:rFonts w:hint="eastAsia"/>
              </w:rPr>
              <w:t xml:space="preserve">负载电流</w:t>
            </w:r>
            <w:r/>
          </w:p>
        </w:tc>
        <w:tc>
          <w:tcPr>
            <w:tcW w:w="1675" w:type="dxa"/>
            <w:vAlign w:val="center"/>
            <w:vMerge w:val="restart"/>
            <w:textDirection w:val="lrTb"/>
            <w:noWrap w:val="false"/>
          </w:tcPr>
          <w:p>
            <w:pPr>
              <w:pStyle w:val="1151"/>
              <w:jc w:val="center"/>
            </w:pPr>
            <w:r>
              <w:t xml:space="preserve">cosθ</w:t>
            </w:r>
            <w:r>
              <w:rPr>
                <w:rFonts w:hint="eastAsia"/>
              </w:rPr>
              <w:t xml:space="preserve">/</w:t>
            </w:r>
            <w:r>
              <w:t xml:space="preserve">sinθ</w:t>
            </w:r>
            <w:r>
              <w:rPr>
                <w:rFonts w:hint="eastAsia"/>
              </w:rPr>
              <w:t xml:space="preserve">a</w:t>
            </w:r>
            <w:r/>
          </w:p>
        </w:tc>
        <w:tc>
          <w:tcPr>
            <w:tcW w:w="2533" w:type="dxa"/>
            <w:vAlign w:val="center"/>
            <w:textDirection w:val="lrTb"/>
            <w:noWrap w:val="false"/>
          </w:tcPr>
          <w:p>
            <w:pPr>
              <w:pStyle w:val="1151"/>
              <w:jc w:val="center"/>
            </w:pPr>
            <w:r>
              <w:rPr>
                <w:rFonts w:hint="eastAsia"/>
              </w:rPr>
              <w:t xml:space="preserve">有功电能准确</w:t>
            </w:r>
            <w:r>
              <w:t xml:space="preserve">度等级</w:t>
            </w:r>
            <w:r/>
          </w:p>
        </w:tc>
        <w:tc>
          <w:tcPr>
            <w:tcW w:w="2332" w:type="dxa"/>
            <w:vAlign w:val="center"/>
            <w:textDirection w:val="lrTb"/>
            <w:noWrap w:val="false"/>
          </w:tcPr>
          <w:p>
            <w:pPr>
              <w:pStyle w:val="1151"/>
              <w:jc w:val="center"/>
            </w:pPr>
            <w:r>
              <w:rPr>
                <w:rFonts w:hint="eastAsia"/>
              </w:rPr>
              <w:t xml:space="preserve">无功电能准确</w:t>
            </w:r>
            <w:r>
              <w:t xml:space="preserve">度等级</w:t>
            </w:r>
            <w:r/>
          </w:p>
        </w:tc>
      </w:tr>
      <w:tr>
        <w:trPr>
          <w:trHeight w:val="227"/>
        </w:trPr>
        <w:tc>
          <w:tcPr>
            <w:tcW w:w="2009" w:type="dxa"/>
            <w:vAlign w:val="center"/>
            <w:vMerge w:val="continue"/>
            <w:textDirection w:val="lrTb"/>
            <w:noWrap w:val="false"/>
          </w:tcPr>
          <w:p>
            <w:pPr>
              <w:pStyle w:val="1151"/>
              <w:jc w:val="center"/>
            </w:pPr>
            <w:r/>
            <w:r/>
          </w:p>
        </w:tc>
        <w:tc>
          <w:tcPr>
            <w:tcW w:w="1675" w:type="dxa"/>
            <w:vAlign w:val="center"/>
            <w:vMerge w:val="continue"/>
            <w:textDirection w:val="lrTb"/>
            <w:noWrap w:val="false"/>
          </w:tcPr>
          <w:p>
            <w:pPr>
              <w:pStyle w:val="1151"/>
              <w:jc w:val="center"/>
            </w:pPr>
            <w:r/>
            <w:r/>
          </w:p>
        </w:tc>
        <w:tc>
          <w:tcPr>
            <w:tcW w:w="2533" w:type="dxa"/>
            <w:vAlign w:val="center"/>
            <w:textDirection w:val="lrTb"/>
            <w:noWrap w:val="false"/>
          </w:tcPr>
          <w:p>
            <w:pPr>
              <w:pStyle w:val="1151"/>
              <w:jc w:val="center"/>
            </w:pPr>
            <w:r>
              <w:rPr>
                <w:rFonts w:hint="eastAsia"/>
              </w:rPr>
              <w:t xml:space="preserve">0.5</w:t>
            </w:r>
            <w:r>
              <w:t xml:space="preserve">S</w:t>
            </w:r>
            <w:r/>
          </w:p>
        </w:tc>
        <w:tc>
          <w:tcPr>
            <w:tcW w:w="2332" w:type="dxa"/>
            <w:vAlign w:val="top"/>
            <w:textDirection w:val="lrTb"/>
            <w:noWrap w:val="false"/>
          </w:tcPr>
          <w:p>
            <w:pPr>
              <w:pStyle w:val="1151"/>
              <w:jc w:val="center"/>
            </w:pPr>
            <w:r>
              <w:rPr>
                <w:rFonts w:hint="eastAsia"/>
              </w:rPr>
              <w:t xml:space="preserve">2</w:t>
            </w:r>
            <w:r/>
          </w:p>
        </w:tc>
      </w:tr>
      <w:tr>
        <w:trPr>
          <w:trHeight w:val="227"/>
        </w:trPr>
        <w:tc>
          <w:tcPr>
            <w:tcW w:w="2009" w:type="dxa"/>
            <w:vAlign w:val="center"/>
            <w:vMerge w:val="continue"/>
            <w:textDirection w:val="lrTb"/>
            <w:noWrap w:val="false"/>
          </w:tcPr>
          <w:p>
            <w:pPr>
              <w:pStyle w:val="1151"/>
              <w:jc w:val="center"/>
            </w:pPr>
            <w:r/>
            <w:r/>
          </w:p>
        </w:tc>
        <w:tc>
          <w:tcPr>
            <w:tcW w:w="1675" w:type="dxa"/>
            <w:vAlign w:val="center"/>
            <w:vMerge w:val="continue"/>
            <w:textDirection w:val="lrTb"/>
            <w:noWrap w:val="false"/>
          </w:tcPr>
          <w:p>
            <w:pPr>
              <w:pStyle w:val="1151"/>
              <w:jc w:val="center"/>
            </w:pPr>
            <w:r/>
            <w:r/>
          </w:p>
        </w:tc>
        <w:tc>
          <w:tcPr>
            <w:gridSpan w:val="2"/>
            <w:tcW w:w="4865" w:type="dxa"/>
            <w:vAlign w:val="center"/>
            <w:textDirection w:val="lrTb"/>
            <w:noWrap w:val="false"/>
          </w:tcPr>
          <w:p>
            <w:pPr>
              <w:pStyle w:val="1151"/>
              <w:jc w:val="center"/>
            </w:pPr>
            <w:r>
              <w:rPr>
                <w:rFonts w:hint="eastAsia"/>
              </w:rPr>
              <w:t xml:space="preserve">基本</w:t>
            </w:r>
            <w:r>
              <w:t xml:space="preserve">误差限</w:t>
            </w:r>
            <w:r>
              <w:rPr>
                <w:rFonts w:hint="eastAsia"/>
              </w:rPr>
              <w:t xml:space="preserve">值（%）</w:t>
            </w:r>
            <w:r/>
          </w:p>
        </w:tc>
      </w:tr>
      <w:tr>
        <w:trPr>
          <w:trHeight w:val="227"/>
        </w:trPr>
        <w:tc>
          <w:tcPr>
            <w:tcW w:w="2009" w:type="dxa"/>
            <w:vAlign w:val="center"/>
            <w:textDirection w:val="lrTb"/>
            <w:noWrap w:val="false"/>
          </w:tcPr>
          <w:p>
            <w:pPr>
              <w:pStyle w:val="1151"/>
              <w:jc w:val="center"/>
            </w:pPr>
            <w:r>
              <w:rPr>
                <w:rFonts w:hint="eastAsia"/>
              </w:rPr>
              <w:t xml:space="preserve">0.05</w:t>
            </w:r>
            <w:r>
              <w:t xml:space="preserve">In≤I≤Imax</w:t>
            </w:r>
            <w:r/>
          </w:p>
        </w:tc>
        <w:tc>
          <w:tcPr>
            <w:tcW w:w="1675" w:type="dxa"/>
            <w:vAlign w:val="center"/>
            <w:textDirection w:val="lrTb"/>
            <w:noWrap w:val="false"/>
          </w:tcPr>
          <w:p>
            <w:pPr>
              <w:pStyle w:val="1151"/>
              <w:jc w:val="center"/>
            </w:pPr>
            <w:r>
              <w:rPr>
                <w:rFonts w:hint="eastAsia"/>
              </w:rPr>
              <w:t xml:space="preserve">1</w:t>
            </w:r>
            <w:r/>
          </w:p>
        </w:tc>
        <w:tc>
          <w:tcPr>
            <w:tcW w:w="2533" w:type="dxa"/>
            <w:vAlign w:val="center"/>
            <w:textDirection w:val="lrTb"/>
            <w:noWrap w:val="false"/>
          </w:tcPr>
          <w:p>
            <w:pPr>
              <w:pStyle w:val="1151"/>
              <w:jc w:val="center"/>
            </w:pPr>
            <w:r>
              <w:rPr>
                <w:rFonts w:hint="eastAsia"/>
              </w:rPr>
              <w:t xml:space="preserve">±</w:t>
            </w:r>
            <w:r>
              <w:t xml:space="preserve">0.6</w:t>
            </w:r>
            <w:r/>
          </w:p>
        </w:tc>
        <w:tc>
          <w:tcPr>
            <w:tcW w:w="2332" w:type="dxa"/>
            <w:vAlign w:val="top"/>
            <w:textDirection w:val="lrTb"/>
            <w:noWrap w:val="false"/>
          </w:tcPr>
          <w:p>
            <w:pPr>
              <w:pStyle w:val="1151"/>
              <w:jc w:val="center"/>
            </w:pPr>
            <w:r>
              <w:t xml:space="preserve">——</w:t>
            </w:r>
            <w:r/>
          </w:p>
        </w:tc>
      </w:tr>
      <w:tr>
        <w:trPr>
          <w:trHeight w:val="227"/>
        </w:trPr>
        <w:tc>
          <w:tcPr>
            <w:tcW w:w="2009" w:type="dxa"/>
            <w:vAlign w:val="center"/>
            <w:textDirection w:val="lrTb"/>
            <w:noWrap w:val="false"/>
          </w:tcPr>
          <w:p>
            <w:pPr>
              <w:pStyle w:val="1151"/>
              <w:jc w:val="center"/>
            </w:pPr>
            <w:r>
              <w:rPr>
                <w:rFonts w:hint="eastAsia"/>
              </w:rPr>
              <w:t xml:space="preserve">0.1</w:t>
            </w:r>
            <w:r>
              <w:t xml:space="preserve">In≤I≤Imax</w:t>
            </w:r>
            <w:r/>
          </w:p>
        </w:tc>
        <w:tc>
          <w:tcPr>
            <w:tcW w:w="1675" w:type="dxa"/>
            <w:vAlign w:val="center"/>
            <w:textDirection w:val="lrTb"/>
            <w:noWrap w:val="false"/>
          </w:tcPr>
          <w:p>
            <w:pPr>
              <w:pStyle w:val="1151"/>
              <w:jc w:val="center"/>
            </w:pPr>
            <w:r>
              <w:rPr>
                <w:rFonts w:hint="eastAsia"/>
              </w:rPr>
              <w:t xml:space="preserve">0.5</w:t>
            </w:r>
            <w:r>
              <w:t xml:space="preserve">L</w:t>
            </w:r>
            <w:r/>
          </w:p>
        </w:tc>
        <w:tc>
          <w:tcPr>
            <w:tcW w:w="2533" w:type="dxa"/>
            <w:vAlign w:val="center"/>
            <w:textDirection w:val="lrTb"/>
            <w:noWrap w:val="false"/>
          </w:tcPr>
          <w:p>
            <w:pPr>
              <w:pStyle w:val="1151"/>
              <w:jc w:val="center"/>
            </w:pPr>
            <w:r>
              <w:rPr>
                <w:rFonts w:hint="eastAsia"/>
              </w:rPr>
              <w:t xml:space="preserve">±</w:t>
            </w:r>
            <w:r>
              <w:t xml:space="preserve">1.0</w:t>
            </w:r>
            <w:r/>
          </w:p>
        </w:tc>
        <w:tc>
          <w:tcPr>
            <w:tcW w:w="2332" w:type="dxa"/>
            <w:vAlign w:val="top"/>
            <w:textDirection w:val="lrTb"/>
            <w:noWrap w:val="false"/>
          </w:tcPr>
          <w:p>
            <w:pPr>
              <w:pStyle w:val="1151"/>
              <w:jc w:val="center"/>
            </w:pPr>
            <w:r>
              <w:t xml:space="preserve">——</w:t>
            </w:r>
            <w:r/>
          </w:p>
        </w:tc>
      </w:tr>
      <w:tr>
        <w:trPr>
          <w:trHeight w:val="227"/>
        </w:trPr>
        <w:tc>
          <w:tcPr>
            <w:tcW w:w="2009" w:type="dxa"/>
            <w:vAlign w:val="center"/>
            <w:textDirection w:val="lrTb"/>
            <w:noWrap w:val="false"/>
          </w:tcPr>
          <w:p>
            <w:pPr>
              <w:pStyle w:val="1151"/>
              <w:jc w:val="center"/>
            </w:pPr>
            <w:r>
              <w:rPr>
                <w:rFonts w:hint="eastAsia"/>
              </w:rPr>
              <w:t xml:space="preserve">0.05</w:t>
            </w:r>
            <w:r>
              <w:t xml:space="preserve">In≤I≤Imax</w:t>
            </w:r>
            <w:r/>
          </w:p>
        </w:tc>
        <w:tc>
          <w:tcPr>
            <w:tcW w:w="1675" w:type="dxa"/>
            <w:vAlign w:val="center"/>
            <w:textDirection w:val="lrTb"/>
            <w:noWrap w:val="false"/>
          </w:tcPr>
          <w:p>
            <w:pPr>
              <w:pStyle w:val="1151"/>
              <w:jc w:val="center"/>
            </w:pPr>
            <w:r>
              <w:rPr>
                <w:rFonts w:hint="eastAsia"/>
              </w:rPr>
              <w:t xml:space="preserve">1（</w:t>
            </w:r>
            <w:r>
              <w:t xml:space="preserve">L或C）</w:t>
            </w:r>
            <w:r/>
          </w:p>
        </w:tc>
        <w:tc>
          <w:tcPr>
            <w:tcW w:w="2533" w:type="dxa"/>
            <w:vAlign w:val="top"/>
            <w:textDirection w:val="lrTb"/>
            <w:noWrap w:val="false"/>
          </w:tcPr>
          <w:p>
            <w:pPr>
              <w:pStyle w:val="1151"/>
              <w:jc w:val="center"/>
            </w:pPr>
            <w:r>
              <w:t xml:space="preserve">——</w:t>
            </w:r>
            <w:r/>
          </w:p>
        </w:tc>
        <w:tc>
          <w:tcPr>
            <w:tcW w:w="2332" w:type="dxa"/>
            <w:vAlign w:val="top"/>
            <w:textDirection w:val="lrTb"/>
            <w:noWrap w:val="false"/>
          </w:tcPr>
          <w:p>
            <w:pPr>
              <w:pStyle w:val="1151"/>
              <w:jc w:val="center"/>
            </w:pPr>
            <w:r>
              <w:rPr>
                <w:rFonts w:hint="eastAsia"/>
              </w:rPr>
              <w:t xml:space="preserve">±</w:t>
            </w:r>
            <w:r>
              <w:t xml:space="preserve">3.0</w:t>
            </w:r>
            <w:r/>
          </w:p>
        </w:tc>
      </w:tr>
      <w:tr>
        <w:trPr>
          <w:trHeight w:val="227"/>
        </w:trPr>
        <w:tc>
          <w:tcPr>
            <w:tcW w:w="2009" w:type="dxa"/>
            <w:vAlign w:val="center"/>
            <w:textDirection w:val="lrTb"/>
            <w:noWrap w:val="false"/>
          </w:tcPr>
          <w:p>
            <w:pPr>
              <w:pStyle w:val="1151"/>
              <w:jc w:val="center"/>
            </w:pPr>
            <w:r>
              <w:rPr>
                <w:rFonts w:hint="eastAsia"/>
              </w:rPr>
              <w:t xml:space="preserve">0.1</w:t>
            </w:r>
            <w:r>
              <w:t xml:space="preserve">In≤I≤Imax</w:t>
            </w:r>
            <w:r/>
          </w:p>
        </w:tc>
        <w:tc>
          <w:tcPr>
            <w:tcW w:w="1675" w:type="dxa"/>
            <w:vAlign w:val="center"/>
            <w:textDirection w:val="lrTb"/>
            <w:noWrap w:val="false"/>
          </w:tcPr>
          <w:p>
            <w:pPr>
              <w:pStyle w:val="1151"/>
              <w:jc w:val="center"/>
            </w:pPr>
            <w:r>
              <w:t xml:space="preserve">0.5</w:t>
            </w:r>
            <w:r>
              <w:rPr>
                <w:rFonts w:hint="eastAsia"/>
              </w:rPr>
              <w:t xml:space="preserve">（</w:t>
            </w:r>
            <w:r>
              <w:t xml:space="preserve">L或C）</w:t>
            </w:r>
            <w:r/>
          </w:p>
        </w:tc>
        <w:tc>
          <w:tcPr>
            <w:tcW w:w="2533" w:type="dxa"/>
            <w:vAlign w:val="top"/>
            <w:textDirection w:val="lrTb"/>
            <w:noWrap w:val="false"/>
          </w:tcPr>
          <w:p>
            <w:pPr>
              <w:pStyle w:val="1151"/>
              <w:jc w:val="center"/>
            </w:pPr>
            <w:r>
              <w:t xml:space="preserve">——</w:t>
            </w:r>
            <w:r/>
          </w:p>
        </w:tc>
        <w:tc>
          <w:tcPr>
            <w:tcW w:w="2332" w:type="dxa"/>
            <w:vAlign w:val="top"/>
            <w:textDirection w:val="lrTb"/>
            <w:noWrap w:val="false"/>
          </w:tcPr>
          <w:p>
            <w:pPr>
              <w:pStyle w:val="1151"/>
              <w:jc w:val="center"/>
            </w:pPr>
            <w:r>
              <w:rPr>
                <w:rFonts w:hint="eastAsia"/>
              </w:rPr>
              <w:t xml:space="preserve">±</w:t>
            </w:r>
            <w:r>
              <w:t xml:space="preserve">3.0</w:t>
            </w:r>
            <w:r/>
          </w:p>
        </w:tc>
      </w:tr>
      <w:tr>
        <w:trPr>
          <w:trHeight w:val="227"/>
        </w:trPr>
        <w:tc>
          <w:tcPr>
            <w:tcW w:w="2009" w:type="dxa"/>
            <w:vAlign w:val="center"/>
            <w:vMerge w:val="restart"/>
            <w:textDirection w:val="lrTb"/>
            <w:noWrap w:val="false"/>
          </w:tcPr>
          <w:p>
            <w:pPr>
              <w:pStyle w:val="1151"/>
              <w:jc w:val="center"/>
            </w:pPr>
            <w:r>
              <w:t xml:space="preserve">In</w:t>
            </w:r>
            <w:r/>
          </w:p>
        </w:tc>
        <w:tc>
          <w:tcPr>
            <w:tcW w:w="1675" w:type="dxa"/>
            <w:vAlign w:val="center"/>
            <w:vMerge w:val="restart"/>
            <w:textDirection w:val="lrTb"/>
            <w:noWrap w:val="false"/>
          </w:tcPr>
          <w:p>
            <w:pPr>
              <w:pStyle w:val="1151"/>
              <w:jc w:val="center"/>
            </w:pPr>
            <w:r>
              <w:rPr>
                <w:rFonts w:hint="eastAsia"/>
              </w:rPr>
              <w:t xml:space="preserve">1</w:t>
            </w:r>
            <w:r/>
          </w:p>
        </w:tc>
        <w:tc>
          <w:tcPr>
            <w:gridSpan w:val="2"/>
            <w:tcW w:w="4865" w:type="dxa"/>
            <w:vAlign w:val="top"/>
            <w:textDirection w:val="lrTb"/>
            <w:noWrap w:val="false"/>
          </w:tcPr>
          <w:p>
            <w:pPr>
              <w:pStyle w:val="1151"/>
              <w:jc w:val="center"/>
            </w:pPr>
            <w:r>
              <w:rPr>
                <w:rFonts w:hint="eastAsia"/>
              </w:rPr>
              <w:t xml:space="preserve">不平衡</w:t>
            </w:r>
            <w:r>
              <w:t xml:space="preserve">负载</w:t>
            </w:r>
            <w:r>
              <w:rPr>
                <w:rFonts w:hint="eastAsia"/>
              </w:rPr>
              <w:t xml:space="preserve">b</w:t>
            </w:r>
            <w:r>
              <w:t xml:space="preserve">与平衡负载时的误差之差不超过</w:t>
            </w:r>
            <w:r>
              <w:rPr>
                <w:rFonts w:hint="eastAsia"/>
              </w:rPr>
              <w:t xml:space="preserve">（%）</w:t>
            </w:r>
            <w:r/>
          </w:p>
        </w:tc>
      </w:tr>
      <w:tr>
        <w:trPr>
          <w:trHeight w:val="227"/>
        </w:trPr>
        <w:tc>
          <w:tcPr>
            <w:tcW w:w="2009" w:type="dxa"/>
            <w:vAlign w:val="center"/>
            <w:vMerge w:val="continue"/>
            <w:textDirection w:val="lrTb"/>
            <w:noWrap w:val="false"/>
          </w:tcPr>
          <w:p>
            <w:pPr>
              <w:pStyle w:val="1151"/>
              <w:jc w:val="center"/>
            </w:pPr>
            <w:r/>
            <w:r/>
          </w:p>
        </w:tc>
        <w:tc>
          <w:tcPr>
            <w:tcW w:w="1675" w:type="dxa"/>
            <w:vAlign w:val="center"/>
            <w:vMerge w:val="continue"/>
            <w:textDirection w:val="lrTb"/>
            <w:noWrap w:val="false"/>
          </w:tcPr>
          <w:p>
            <w:pPr>
              <w:pStyle w:val="1151"/>
              <w:jc w:val="center"/>
            </w:pPr>
            <w:r/>
            <w:r/>
          </w:p>
        </w:tc>
        <w:tc>
          <w:tcPr>
            <w:tcW w:w="2533" w:type="dxa"/>
            <w:vAlign w:val="center"/>
            <w:textDirection w:val="lrTb"/>
            <w:noWrap w:val="false"/>
          </w:tcPr>
          <w:p>
            <w:pPr>
              <w:pStyle w:val="1151"/>
              <w:jc w:val="center"/>
            </w:pPr>
            <w:r>
              <w:rPr>
                <w:rFonts w:hint="eastAsia"/>
              </w:rPr>
              <w:t xml:space="preserve">±</w:t>
            </w:r>
            <w:r>
              <w:t xml:space="preserve">1.0</w:t>
            </w:r>
            <w:r/>
          </w:p>
        </w:tc>
        <w:tc>
          <w:tcPr>
            <w:tcW w:w="2332" w:type="dxa"/>
            <w:vAlign w:val="top"/>
            <w:textDirection w:val="lrTb"/>
            <w:noWrap w:val="false"/>
          </w:tcPr>
          <w:p>
            <w:pPr>
              <w:pStyle w:val="1151"/>
              <w:jc w:val="center"/>
            </w:pPr>
            <w:r>
              <w:rPr>
                <w:rFonts w:hint="eastAsia"/>
              </w:rPr>
              <w:t xml:space="preserve">±</w:t>
            </w:r>
            <w:r>
              <w:t xml:space="preserve">2.5</w:t>
            </w:r>
            <w:r/>
          </w:p>
        </w:tc>
      </w:tr>
      <w:tr>
        <w:trPr>
          <w:trHeight w:val="227"/>
        </w:trPr>
        <w:tc>
          <w:tcPr>
            <w:gridSpan w:val="4"/>
            <w:tcW w:w="8549" w:type="dxa"/>
            <w:vAlign w:val="center"/>
            <w:textDirection w:val="lrTb"/>
            <w:noWrap w:val="false"/>
          </w:tcPr>
          <w:p>
            <w:pPr>
              <w:pStyle w:val="1151"/>
              <w:jc w:val="left"/>
            </w:pPr>
            <w:r>
              <w:rPr>
                <w:rFonts w:hint="eastAsia"/>
              </w:rPr>
              <w:t xml:space="preserve">注：</w:t>
            </w:r>
            <w:r/>
          </w:p>
          <w:p>
            <w:pPr>
              <w:pStyle w:val="1151"/>
              <w:jc w:val="left"/>
            </w:pPr>
            <w:r>
              <w:rPr>
                <w:rFonts w:hint="eastAsia"/>
              </w:rPr>
              <w:t xml:space="preserve">a　角</w:t>
            </w:r>
            <w:r>
              <w:t xml:space="preserve">θ</w:t>
            </w:r>
            <w:r>
              <w:rPr>
                <w:rFonts w:hint="eastAsia"/>
              </w:rPr>
              <w:t xml:space="preserve">是指加在</w:t>
            </w:r>
            <w:r>
              <w:t xml:space="preserve">同一组驱动元件的</w:t>
            </w:r>
            <w:r>
              <w:rPr>
                <w:rFonts w:hint="eastAsia"/>
              </w:rPr>
              <w:t xml:space="preserve">相</w:t>
            </w:r>
            <w:r>
              <w:t xml:space="preserve">（线）电压与电流间的相位差。</w:t>
            </w:r>
            <w:r/>
          </w:p>
          <w:p>
            <w:pPr>
              <w:pStyle w:val="1151"/>
              <w:jc w:val="left"/>
            </w:pPr>
            <w:r>
              <w:t xml:space="preserve">b</w:t>
            </w:r>
            <w:r>
              <w:rPr>
                <w:rFonts w:hint="eastAsia"/>
              </w:rPr>
              <w:t xml:space="preserve">　不平衡</w:t>
            </w:r>
            <w:r>
              <w:t xml:space="preserve">负载是</w:t>
            </w:r>
            <w:r>
              <w:rPr>
                <w:rFonts w:hint="eastAsia"/>
              </w:rPr>
              <w:t xml:space="preserve">指</w:t>
            </w:r>
            <w:r>
              <w:t xml:space="preserve">电压线路加对称三相</w:t>
            </w:r>
            <w:r>
              <w:rPr>
                <w:rFonts w:hint="eastAsia"/>
              </w:rPr>
              <w:t xml:space="preserve">参比</w:t>
            </w:r>
            <w:r>
              <w:t xml:space="preserve">电压，任一</w:t>
            </w:r>
            <w:r>
              <w:rPr>
                <w:rFonts w:hint="eastAsia"/>
              </w:rPr>
              <w:t xml:space="preserve">相</w:t>
            </w:r>
            <w:r>
              <w:t xml:space="preserve">电流线路通电流，其余各相电流线路无电流。</w:t>
            </w:r>
            <w:r/>
          </w:p>
        </w:tc>
      </w:tr>
    </w:tbl>
    <w:p>
      <w:pPr>
        <w:pStyle w:val="1151"/>
        <w:numPr>
          <w:ilvl w:val="0"/>
          <w:numId w:val="43"/>
        </w:numPr>
        <w:spacing w:line="312" w:lineRule="exact"/>
        <w:rPr>
          <w:rFonts w:ascii="宋体"/>
          <w:szCs w:val="22"/>
          <w:lang w:val="zh-CN"/>
        </w:rPr>
      </w:pPr>
      <w:r>
        <w:rPr>
          <w:rFonts w:hint="eastAsia" w:ascii="宋体"/>
          <w:szCs w:val="22"/>
        </w:rPr>
        <w:t xml:space="preserve">线损测量</w:t>
      </w:r>
      <w:r>
        <w:rPr>
          <w:rFonts w:ascii="宋体"/>
          <w:szCs w:val="22"/>
          <w:lang w:val="zh-CN"/>
        </w:rPr>
      </w:r>
      <w:r/>
    </w:p>
    <w:p>
      <w:pPr>
        <w:pStyle w:val="1151"/>
        <w:ind w:firstLine="420"/>
        <w:rPr>
          <w:bCs/>
          <w:szCs w:val="21"/>
        </w:rPr>
      </w:pPr>
      <w:r>
        <w:rPr>
          <w:bCs/>
          <w:szCs w:val="21"/>
        </w:rPr>
        <w:t xml:space="preserve">在</w:t>
      </w:r>
      <w:r>
        <w:rPr>
          <w:rFonts w:hint="eastAsia"/>
          <w:bCs/>
          <w:szCs w:val="21"/>
        </w:rPr>
        <w:t xml:space="preserve">起动</w:t>
      </w:r>
      <w:r>
        <w:rPr>
          <w:bCs/>
          <w:szCs w:val="21"/>
        </w:rPr>
        <w:t xml:space="preserve">电流条件下，</w:t>
      </w:r>
      <w:r>
        <w:rPr>
          <w:rFonts w:hint="eastAsia"/>
          <w:bCs/>
          <w:szCs w:val="21"/>
        </w:rPr>
        <w:t xml:space="preserve">线损测量功能</w:t>
      </w:r>
      <w:r>
        <w:rPr>
          <w:bCs/>
          <w:szCs w:val="21"/>
        </w:rPr>
        <w:t xml:space="preserve">应能</w:t>
      </w:r>
      <w:r>
        <w:rPr>
          <w:rFonts w:hint="eastAsia"/>
          <w:bCs/>
          <w:szCs w:val="21"/>
        </w:rPr>
        <w:t xml:space="preserve">起</w:t>
      </w:r>
      <w:r>
        <w:rPr>
          <w:bCs/>
          <w:szCs w:val="21"/>
        </w:rPr>
        <w:t xml:space="preserve">动并连续记录。应对每个计量方向进行试验。</w:t>
      </w:r>
      <w:r>
        <w:rPr>
          <w:bCs/>
          <w:szCs w:val="21"/>
        </w:rPr>
      </w:r>
      <w:r/>
    </w:p>
    <w:p>
      <w:pPr>
        <w:pStyle w:val="1151"/>
        <w:ind w:firstLine="420"/>
        <w:rPr>
          <w:bCs/>
          <w:szCs w:val="21"/>
        </w:rPr>
      </w:pPr>
      <w:r>
        <w:rPr>
          <w:rFonts w:hint="eastAsia"/>
          <w:bCs/>
          <w:szCs w:val="21"/>
        </w:rPr>
        <w:t xml:space="preserve">有功电能准确度应满足0.5S级，无功电能准确度应满足2级。</w:t>
      </w:r>
      <w:r>
        <w:rPr>
          <w:bCs/>
          <w:szCs w:val="21"/>
        </w:rPr>
      </w:r>
      <w:r/>
    </w:p>
    <w:p>
      <w:pPr>
        <w:pStyle w:val="1151"/>
        <w:numPr>
          <w:ilvl w:val="0"/>
          <w:numId w:val="43"/>
        </w:numPr>
        <w:spacing w:line="312" w:lineRule="exact"/>
        <w:rPr>
          <w:rFonts w:ascii="宋体"/>
          <w:szCs w:val="22"/>
        </w:rPr>
      </w:pPr>
      <w:r>
        <w:rPr>
          <w:rFonts w:hint="eastAsia" w:ascii="宋体"/>
          <w:szCs w:val="22"/>
        </w:rPr>
        <w:t xml:space="preserve">潜动及回路间潜动</w:t>
      </w:r>
      <w:r>
        <w:rPr>
          <w:rFonts w:ascii="宋体"/>
          <w:szCs w:val="22"/>
        </w:rPr>
      </w:r>
      <w:r/>
    </w:p>
    <w:p>
      <w:pPr>
        <w:pStyle w:val="1151"/>
        <w:ind w:firstLine="420"/>
        <w:rPr>
          <w:rFonts w:ascii="宋体"/>
          <w:b/>
        </w:rPr>
      </w:pPr>
      <w:r>
        <w:rPr>
          <w:rFonts w:hint="eastAsia"/>
          <w:szCs w:val="21"/>
        </w:rPr>
        <w:t xml:space="preserve">当被测间隔</w:t>
      </w:r>
      <w:r>
        <w:rPr>
          <w:szCs w:val="21"/>
        </w:rPr>
        <w:t xml:space="preserve">的</w:t>
      </w:r>
      <w:r>
        <w:rPr>
          <w:rFonts w:hint="eastAsia"/>
          <w:szCs w:val="21"/>
        </w:rPr>
        <w:t xml:space="preserve">电压回路施加电压而电流回路无负载电流时，无论其他回路是否施加电压和电流，被测间隔的测试输出在</w:t>
      </w:r>
      <w:r>
        <w:rPr>
          <w:szCs w:val="21"/>
        </w:rPr>
        <w:t xml:space="preserve">规定时限内</w:t>
      </w:r>
      <w:r>
        <w:rPr>
          <w:rFonts w:hint="eastAsia"/>
          <w:szCs w:val="21"/>
        </w:rPr>
        <w:t xml:space="preserve">不应产生多于一个的脉冲。</w:t>
      </w:r>
      <w:r>
        <w:rPr>
          <w:rFonts w:ascii="宋体"/>
          <w:b/>
        </w:rPr>
      </w:r>
      <w:r/>
    </w:p>
    <w:p>
      <w:pPr>
        <w:pStyle w:val="1151"/>
      </w:pPr>
      <w:r>
        <w:rPr>
          <w:rFonts w:hint="eastAsia" w:ascii="宋体" w:hAnsi="宋体" w:eastAsia="宋体"/>
          <w:szCs w:val="21"/>
        </w:rPr>
        <w:t xml:space="preserve">5</w:t>
      </w:r>
      <w:r>
        <w:rPr>
          <w:rFonts w:ascii="宋体" w:hAnsi="宋体" w:eastAsia="宋体"/>
          <w:szCs w:val="21"/>
        </w:rPr>
        <w:t xml:space="preserve">.</w:t>
      </w:r>
      <w:r>
        <w:rPr>
          <w:rFonts w:hint="eastAsia" w:ascii="宋体" w:hAnsi="宋体" w:eastAsia="宋体"/>
          <w:szCs w:val="21"/>
        </w:rPr>
        <w:t xml:space="preserve">3</w:t>
      </w:r>
      <w:r>
        <w:rPr>
          <w:rFonts w:ascii="宋体" w:hAnsi="宋体" w:eastAsia="宋体"/>
          <w:szCs w:val="21"/>
        </w:rPr>
        <w:t xml:space="preserve">.6.3</w:t>
      </w:r>
      <w:r>
        <w:rPr>
          <w:rFonts w:hint="eastAsia"/>
        </w:rPr>
        <w:t xml:space="preserve">分布式馈线自动化性能要求</w:t>
      </w:r>
      <w:r/>
    </w:p>
    <w:p>
      <w:pPr>
        <w:pStyle w:val="1151"/>
        <w:numPr>
          <w:ilvl w:val="0"/>
          <w:numId w:val="0"/>
        </w:numPr>
        <w:ind w:left="425"/>
        <w:spacing w:line="312" w:lineRule="exact"/>
        <w:rPr>
          <w:rFonts w:ascii="宋体"/>
        </w:rPr>
      </w:pPr>
      <w:r/>
      <w:bookmarkStart w:id="256" w:name="_Toc35386108"/>
      <w:r>
        <w:rPr>
          <w:rFonts w:hint="eastAsia" w:ascii="宋体"/>
        </w:rPr>
        <w:t xml:space="preserve">速动型分布式馈线自动化</w:t>
      </w:r>
      <w:r>
        <w:rPr>
          <w:rFonts w:ascii="宋体"/>
        </w:rPr>
      </w:r>
      <w:r/>
    </w:p>
    <w:p>
      <w:pPr>
        <w:pStyle w:val="1151"/>
        <w:numPr>
          <w:ilvl w:val="0"/>
          <w:numId w:val="44"/>
        </w:numPr>
        <w:spacing w:line="312" w:lineRule="exact"/>
        <w:rPr>
          <w:rFonts w:ascii="宋体" w:hAnsi="宋体"/>
        </w:rPr>
      </w:pPr>
      <w:r>
        <w:rPr>
          <w:rStyle w:val="1246"/>
          <w:rFonts w:hint="eastAsia" w:ascii="宋体"/>
        </w:rPr>
        <w:t xml:space="preserve">故障上游侧开关隔离完成时间≤</w:t>
      </w:r>
      <w:r>
        <w:rPr>
          <w:rStyle w:val="1246"/>
          <w:rFonts w:ascii="宋体"/>
        </w:rPr>
        <w:t xml:space="preserve">150</w:t>
      </w:r>
      <w:r>
        <w:rPr>
          <w:rStyle w:val="1246"/>
          <w:rFonts w:hint="eastAsia" w:ascii="宋体"/>
        </w:rPr>
        <w:t xml:space="preserve">ms（不含通道传输延时，含开关动作时间）</w:t>
      </w:r>
      <w:r>
        <w:rPr>
          <w:rFonts w:hint="eastAsia" w:ascii="宋体" w:hAnsi="宋体"/>
        </w:rPr>
        <w:t xml:space="preserve">。</w:t>
      </w:r>
      <w:r>
        <w:rPr>
          <w:rFonts w:ascii="宋体" w:hAnsi="宋体"/>
        </w:rPr>
      </w:r>
      <w:r/>
    </w:p>
    <w:p>
      <w:pPr>
        <w:pStyle w:val="1151"/>
        <w:numPr>
          <w:ilvl w:val="0"/>
          <w:numId w:val="44"/>
        </w:numPr>
        <w:spacing w:line="312" w:lineRule="exact"/>
        <w:rPr>
          <w:rFonts w:ascii="宋体" w:hAnsi="宋体"/>
        </w:rPr>
      </w:pPr>
      <w:r>
        <w:rPr>
          <w:rFonts w:hint="eastAsia" w:ascii="宋体" w:hAnsi="宋体"/>
        </w:rPr>
        <w:t xml:space="preserve">非故障区域恢复时间≤</w:t>
      </w:r>
      <w:r>
        <w:rPr>
          <w:rFonts w:ascii="宋体" w:hAnsi="宋体"/>
        </w:rPr>
        <w:t xml:space="preserve">5s</w:t>
      </w:r>
      <w:r>
        <w:rPr>
          <w:rFonts w:hint="eastAsia" w:ascii="宋体" w:hAnsi="宋体"/>
        </w:rPr>
        <w:t xml:space="preserve">。</w:t>
      </w:r>
      <w:r>
        <w:rPr>
          <w:rFonts w:ascii="宋体" w:hAnsi="宋体"/>
        </w:rPr>
      </w:r>
      <w:r/>
    </w:p>
    <w:p>
      <w:pPr>
        <w:pStyle w:val="1151"/>
      </w:pPr>
      <w:r>
        <w:rPr>
          <w:rFonts w:hint="eastAsia" w:ascii="宋体" w:hAnsi="宋体" w:eastAsia="宋体"/>
          <w:szCs w:val="21"/>
        </w:rPr>
        <w:t xml:space="preserve">5</w:t>
      </w:r>
      <w:r>
        <w:rPr>
          <w:rFonts w:ascii="宋体" w:hAnsi="宋体" w:eastAsia="宋体"/>
          <w:szCs w:val="21"/>
        </w:rPr>
        <w:t xml:space="preserve">.</w:t>
      </w:r>
      <w:r>
        <w:rPr>
          <w:rFonts w:hint="eastAsia" w:ascii="宋体" w:hAnsi="宋体" w:eastAsia="宋体"/>
          <w:szCs w:val="21"/>
        </w:rPr>
        <w:t xml:space="preserve">3</w:t>
      </w:r>
      <w:r>
        <w:rPr>
          <w:rFonts w:ascii="宋体" w:hAnsi="宋体" w:eastAsia="宋体"/>
          <w:szCs w:val="21"/>
        </w:rPr>
        <w:t xml:space="preserve">.6.4</w:t>
      </w:r>
      <w:r>
        <w:rPr>
          <w:rFonts w:hint="eastAsia"/>
        </w:rPr>
        <w:t xml:space="preserve">保护性能要求</w:t>
      </w:r>
      <w:bookmarkEnd w:id="256"/>
      <w:r/>
      <w:r/>
    </w:p>
    <w:p>
      <w:pPr>
        <w:pStyle w:val="1151"/>
        <w:numPr>
          <w:ilvl w:val="0"/>
          <w:numId w:val="45"/>
        </w:numPr>
        <w:spacing w:line="312" w:lineRule="exact"/>
        <w:rPr>
          <w:rFonts w:ascii="宋体"/>
          <w:szCs w:val="22"/>
        </w:rPr>
      </w:pPr>
      <w:r/>
      <w:bookmarkStart w:id="257" w:name="_Toc34988241"/>
      <w:r>
        <w:rPr>
          <w:rFonts w:hint="eastAsia" w:ascii="宋体"/>
          <w:szCs w:val="22"/>
        </w:rPr>
        <w:t xml:space="preserve">交流电</w:t>
      </w:r>
      <w:r>
        <w:rPr>
          <w:rStyle w:val="1246"/>
          <w:rFonts w:ascii="宋体" w:hAnsi="宋体" w:eastAsia="宋体"/>
        </w:rPr>
        <w:t xml:space="preserve">流在</w:t>
      </w:r>
      <w:r>
        <w:rPr>
          <w:rStyle w:val="1246"/>
          <w:rFonts w:hint="eastAsia" w:ascii="宋体" w:hAnsi="宋体" w:eastAsia="宋体"/>
        </w:rPr>
        <w:t xml:space="preserve">0.05In~</w:t>
      </w:r>
      <w:r>
        <w:rPr>
          <w:rStyle w:val="1246"/>
          <w:rFonts w:ascii="宋体" w:hAnsi="宋体" w:eastAsia="宋体"/>
        </w:rPr>
        <w:t xml:space="preserve">1.2In测量范围内</w:t>
      </w:r>
      <w:r>
        <w:rPr>
          <w:rStyle w:val="1246"/>
          <w:rFonts w:hint="eastAsia" w:ascii="宋体" w:hAnsi="宋体" w:eastAsia="宋体"/>
        </w:rPr>
        <w:t xml:space="preserve">，</w:t>
      </w:r>
      <w:r>
        <w:rPr>
          <w:rStyle w:val="1246"/>
          <w:rFonts w:ascii="宋体" w:hAnsi="宋体" w:eastAsia="宋体"/>
        </w:rPr>
        <w:t xml:space="preserve">绝对误差不大于</w:t>
      </w:r>
      <w:r>
        <w:rPr>
          <w:rStyle w:val="1246"/>
          <w:rFonts w:hint="eastAsia" w:ascii="宋体" w:hAnsi="宋体" w:eastAsia="宋体"/>
        </w:rPr>
        <w:t xml:space="preserve">0</w:t>
      </w:r>
      <w:r>
        <w:rPr>
          <w:rStyle w:val="1246"/>
          <w:rFonts w:ascii="宋体" w:hAnsi="宋体" w:eastAsia="宋体"/>
        </w:rPr>
        <w:t xml:space="preserve">.02In</w:t>
      </w:r>
      <w:r>
        <w:rPr>
          <w:rStyle w:val="1246"/>
          <w:rFonts w:hint="eastAsia" w:ascii="宋体" w:hAnsi="宋体" w:eastAsia="宋体"/>
        </w:rPr>
        <w:t xml:space="preserve">；</w:t>
      </w:r>
      <w:r>
        <w:rPr>
          <w:rStyle w:val="1246"/>
          <w:rFonts w:ascii="宋体" w:hAnsi="宋体" w:eastAsia="宋体"/>
        </w:rPr>
        <w:t xml:space="preserve">在</w:t>
      </w:r>
      <w:r>
        <w:rPr>
          <w:rStyle w:val="1246"/>
          <w:rFonts w:hint="eastAsia" w:ascii="宋体" w:hAnsi="宋体" w:eastAsia="宋体"/>
        </w:rPr>
        <w:t xml:space="preserve">1</w:t>
      </w:r>
      <w:r>
        <w:rPr>
          <w:rStyle w:val="1246"/>
          <w:rFonts w:ascii="宋体" w:hAnsi="宋体" w:eastAsia="宋体"/>
        </w:rPr>
        <w:t xml:space="preserve">.2In</w:t>
      </w:r>
      <w:r>
        <w:rPr>
          <w:rStyle w:val="1246"/>
          <w:rFonts w:hint="eastAsia" w:ascii="宋体" w:hAnsi="宋体" w:eastAsia="宋体"/>
        </w:rPr>
        <w:t xml:space="preserve">~</w:t>
      </w:r>
      <w:r>
        <w:rPr>
          <w:rStyle w:val="1246"/>
          <w:rFonts w:ascii="宋体" w:hAnsi="宋体" w:eastAsia="宋体"/>
        </w:rPr>
        <w:t xml:space="preserve">20In范围内</w:t>
      </w:r>
      <w:r>
        <w:rPr>
          <w:rStyle w:val="1246"/>
          <w:rFonts w:hint="eastAsia" w:ascii="宋体" w:hAnsi="宋体" w:eastAsia="宋体"/>
        </w:rPr>
        <w:t xml:space="preserve">，</w:t>
      </w:r>
      <w:r>
        <w:rPr>
          <w:rStyle w:val="1246"/>
          <w:rFonts w:ascii="宋体" w:hAnsi="宋体" w:eastAsia="宋体"/>
        </w:rPr>
        <w:t xml:space="preserve">相对误差不大于</w:t>
      </w:r>
      <w:r>
        <w:rPr>
          <w:rStyle w:val="1246"/>
          <w:rFonts w:hint="eastAsia" w:ascii="宋体" w:hAnsi="宋体" w:eastAsia="宋体"/>
        </w:rPr>
        <w:t xml:space="preserve">5%；</w:t>
      </w:r>
      <w:r>
        <w:rPr>
          <w:rFonts w:ascii="宋体"/>
          <w:szCs w:val="22"/>
        </w:rPr>
      </w:r>
      <w:r/>
    </w:p>
    <w:p>
      <w:pPr>
        <w:pStyle w:val="1151"/>
        <w:numPr>
          <w:ilvl w:val="0"/>
          <w:numId w:val="45"/>
        </w:numPr>
        <w:spacing w:line="312" w:lineRule="exact"/>
        <w:rPr>
          <w:rFonts w:ascii="宋体"/>
          <w:szCs w:val="22"/>
        </w:rPr>
      </w:pPr>
      <w:r>
        <w:rPr>
          <w:rFonts w:hint="eastAsia" w:ascii="宋体"/>
          <w:szCs w:val="22"/>
        </w:rPr>
        <w:t xml:space="preserve">交流电压</w:t>
      </w:r>
      <w:r>
        <w:rPr>
          <w:rStyle w:val="1246"/>
          <w:rFonts w:ascii="宋体" w:hAnsi="宋体" w:eastAsia="宋体"/>
        </w:rPr>
        <w:t xml:space="preserve">在</w:t>
      </w:r>
      <w:r>
        <w:rPr>
          <w:rStyle w:val="1246"/>
          <w:rFonts w:hint="eastAsia" w:ascii="宋体" w:hAnsi="宋体" w:eastAsia="宋体"/>
        </w:rPr>
        <w:t xml:space="preserve">0.05</w:t>
      </w:r>
      <w:r>
        <w:rPr>
          <w:rStyle w:val="1246"/>
          <w:rFonts w:ascii="宋体" w:hAnsi="宋体" w:eastAsia="宋体"/>
        </w:rPr>
        <w:t xml:space="preserve">U</w:t>
      </w:r>
      <w:r>
        <w:rPr>
          <w:rStyle w:val="1246"/>
          <w:rFonts w:hint="eastAsia" w:ascii="宋体" w:hAnsi="宋体" w:eastAsia="宋体"/>
        </w:rPr>
        <w:t xml:space="preserve">n~</w:t>
      </w:r>
      <w:r>
        <w:rPr>
          <w:rStyle w:val="1246"/>
          <w:rFonts w:ascii="宋体" w:hAnsi="宋体" w:eastAsia="宋体"/>
        </w:rPr>
        <w:t xml:space="preserve">1.5Un测量范围内</w:t>
      </w:r>
      <w:r>
        <w:rPr>
          <w:rStyle w:val="1246"/>
          <w:rFonts w:hint="eastAsia" w:ascii="宋体" w:hAnsi="宋体" w:eastAsia="宋体"/>
        </w:rPr>
        <w:t xml:space="preserve">，</w:t>
      </w:r>
      <w:r>
        <w:rPr>
          <w:rStyle w:val="1246"/>
          <w:rFonts w:ascii="宋体" w:hAnsi="宋体" w:eastAsia="宋体"/>
        </w:rPr>
        <w:t xml:space="preserve">绝对误差不大于</w:t>
      </w:r>
      <w:r>
        <w:rPr>
          <w:rStyle w:val="1246"/>
          <w:rFonts w:hint="eastAsia" w:ascii="宋体" w:hAnsi="宋体" w:eastAsia="宋体"/>
        </w:rPr>
        <w:t xml:space="preserve">0</w:t>
      </w:r>
      <w:r>
        <w:rPr>
          <w:rStyle w:val="1246"/>
          <w:rFonts w:ascii="宋体" w:hAnsi="宋体" w:eastAsia="宋体"/>
        </w:rPr>
        <w:t xml:space="preserve">.01Un</w:t>
      </w:r>
      <w:r>
        <w:rPr>
          <w:rStyle w:val="1246"/>
          <w:rFonts w:hint="eastAsia" w:ascii="宋体" w:hAnsi="宋体" w:eastAsia="宋体"/>
        </w:rPr>
        <w:t xml:space="preserve">；</w:t>
      </w:r>
      <w:r>
        <w:rPr>
          <w:rFonts w:ascii="宋体"/>
          <w:szCs w:val="22"/>
        </w:rPr>
      </w:r>
      <w:r/>
    </w:p>
    <w:p>
      <w:pPr>
        <w:pStyle w:val="1151"/>
        <w:numPr>
          <w:ilvl w:val="0"/>
          <w:numId w:val="45"/>
        </w:numPr>
        <w:spacing w:line="312" w:lineRule="exact"/>
        <w:rPr>
          <w:rFonts w:ascii="宋体"/>
          <w:szCs w:val="22"/>
        </w:rPr>
      </w:pPr>
      <w:r>
        <w:rPr>
          <w:rFonts w:hint="eastAsia" w:ascii="宋体"/>
          <w:szCs w:val="22"/>
        </w:rPr>
        <w:t xml:space="preserve">角度绝对误差不大于±3°；</w:t>
      </w:r>
      <w:r>
        <w:rPr>
          <w:rFonts w:ascii="宋体"/>
          <w:szCs w:val="22"/>
        </w:rPr>
      </w:r>
      <w:r/>
    </w:p>
    <w:p>
      <w:pPr>
        <w:pStyle w:val="1151"/>
        <w:numPr>
          <w:ilvl w:val="0"/>
          <w:numId w:val="45"/>
        </w:numPr>
        <w:spacing w:line="312" w:lineRule="exact"/>
        <w:rPr>
          <w:rFonts w:ascii="宋体"/>
          <w:szCs w:val="22"/>
        </w:rPr>
      </w:pPr>
      <w:r>
        <w:rPr>
          <w:rFonts w:hint="eastAsia" w:ascii="宋体"/>
          <w:szCs w:val="22"/>
        </w:rPr>
        <w:t xml:space="preserve">1</w:t>
      </w:r>
      <w:r>
        <w:rPr>
          <w:rFonts w:ascii="宋体"/>
          <w:szCs w:val="22"/>
        </w:rPr>
        <w:t xml:space="preserve">.2</w:t>
      </w:r>
      <w:r>
        <w:rPr>
          <w:rFonts w:hint="eastAsia" w:ascii="宋体"/>
          <w:szCs w:val="22"/>
        </w:rPr>
        <w:t xml:space="preserve">倍整定值时，延时误差不大于1%或40ms。（小电流接地故障检测不适用）</w:t>
      </w:r>
      <w:r>
        <w:rPr>
          <w:rFonts w:ascii="宋体"/>
          <w:szCs w:val="22"/>
        </w:rPr>
      </w:r>
      <w:r/>
    </w:p>
    <w:p>
      <w:pPr>
        <w:pStyle w:val="1151"/>
        <w:spacing w:line="312" w:lineRule="exact"/>
        <w:rPr>
          <w:rFonts w:eastAsia="黑体"/>
          <w:szCs w:val="21"/>
        </w:rPr>
        <w:outlineLvl w:val="2"/>
      </w:pPr>
      <w:r>
        <w:rPr>
          <w:rFonts w:hint="eastAsia" w:eastAsia="黑体"/>
          <w:szCs w:val="21"/>
        </w:rPr>
        <w:t xml:space="preserve">5</w:t>
      </w:r>
      <w:r>
        <w:rPr>
          <w:rFonts w:eastAsia="黑体"/>
          <w:szCs w:val="21"/>
        </w:rPr>
        <w:t xml:space="preserve">.</w:t>
      </w:r>
      <w:r>
        <w:rPr>
          <w:rFonts w:hint="eastAsia" w:eastAsia="黑体"/>
          <w:szCs w:val="21"/>
        </w:rPr>
        <w:t xml:space="preserve">3</w:t>
      </w:r>
      <w:r>
        <w:rPr>
          <w:rFonts w:eastAsia="黑体"/>
          <w:szCs w:val="21"/>
        </w:rPr>
        <w:t xml:space="preserve">.7 </w:t>
      </w:r>
      <w:r>
        <w:rPr>
          <w:rFonts w:hint="eastAsia" w:eastAsia="黑体"/>
          <w:szCs w:val="21"/>
        </w:rPr>
        <w:t xml:space="preserve">绝缘耐压性能要求</w:t>
      </w:r>
      <w:bookmarkEnd w:id="257"/>
      <w:r>
        <w:rPr>
          <w:rFonts w:eastAsia="黑体"/>
          <w:szCs w:val="21"/>
        </w:rPr>
      </w:r>
      <w:r/>
    </w:p>
    <w:p>
      <w:pPr>
        <w:pStyle w:val="1245"/>
        <w:numPr>
          <w:ilvl w:val="1"/>
          <w:numId w:val="46"/>
        </w:numPr>
        <w:rPr>
          <w:rStyle w:val="1246"/>
          <w:rFonts w:ascii="宋体" w:hAnsi="宋体"/>
          <w:b/>
        </w:rPr>
      </w:pPr>
      <w:r>
        <w:rPr>
          <w:rStyle w:val="1246"/>
          <w:rFonts w:ascii="宋体" w:hAnsi="宋体"/>
        </w:rPr>
        <w:t xml:space="preserve">绝缘电阻</w:t>
      </w:r>
      <w:r>
        <w:rPr>
          <w:rStyle w:val="1246"/>
          <w:rFonts w:ascii="宋体" w:hAnsi="宋体"/>
          <w:b/>
        </w:rPr>
      </w:r>
      <w:r/>
    </w:p>
    <w:p>
      <w:pPr>
        <w:pStyle w:val="1201"/>
        <w:ind w:left="420"/>
        <w:spacing w:line="360" w:lineRule="auto"/>
        <w:tabs>
          <w:tab w:val="center" w:pos="4201" w:leader="none"/>
          <w:tab w:val="right" w:pos="9298" w:leader="dot"/>
        </w:tabs>
        <w:rPr>
          <w:rStyle w:val="1246"/>
          <w:rFonts w:ascii="Times New Roman" w:hAnsi="宋体" w:cs="宋体"/>
          <w:szCs w:val="24"/>
        </w:rPr>
      </w:pPr>
      <w:r>
        <w:rPr>
          <w:rStyle w:val="1246"/>
          <w:rFonts w:hint="eastAsia" w:hAnsi="宋体" w:cs="宋体"/>
        </w:rPr>
        <w:t xml:space="preserve">在正常和湿热试验条件下，终端设备端子</w:t>
      </w:r>
      <w:r>
        <w:rPr>
          <w:rStyle w:val="1246"/>
          <w:rFonts w:hAnsi="宋体" w:cs="宋体"/>
        </w:rPr>
        <w:t xml:space="preserve">处各电</w:t>
      </w:r>
      <w:r>
        <w:rPr>
          <w:rStyle w:val="1246"/>
          <w:rFonts w:hint="eastAsia" w:hAnsi="宋体" w:cs="宋体"/>
        </w:rPr>
        <w:t xml:space="preserve">气回路</w:t>
      </w:r>
      <w:r>
        <w:rPr>
          <w:rStyle w:val="1246"/>
          <w:rFonts w:hAnsi="宋体" w:cs="宋体"/>
        </w:rPr>
        <w:t xml:space="preserve">对地和各电气回路间的绝缘电阻</w:t>
      </w:r>
      <w:r>
        <w:rPr>
          <w:rStyle w:val="1246"/>
          <w:rFonts w:hint="eastAsia" w:hAnsi="宋体" w:cs="宋体"/>
        </w:rPr>
        <w:t xml:space="preserve">应符合</w:t>
      </w:r>
      <w:r>
        <w:rPr>
          <w:rStyle w:val="1246"/>
          <w:rFonts w:hAnsi="宋体" w:cs="宋体"/>
        </w:rPr>
        <w:t xml:space="preserve">要求</w:t>
      </w:r>
      <w:r>
        <w:rPr>
          <w:rStyle w:val="1246"/>
          <w:rFonts w:hint="eastAsia" w:hAnsi="宋体" w:cs="宋体"/>
        </w:rPr>
        <w:t xml:space="preserve">表15、表16。具体回路包括：</w:t>
      </w:r>
      <w:r>
        <w:rPr>
          <w:rStyle w:val="1246"/>
          <w:rFonts w:ascii="Times New Roman" w:hAnsi="宋体" w:cs="宋体"/>
          <w:szCs w:val="24"/>
        </w:rPr>
      </w:r>
      <w:r/>
    </w:p>
    <w:p>
      <w:pPr>
        <w:pStyle w:val="1201"/>
        <w:ind w:left="422" w:firstLine="0"/>
        <w:spacing w:line="360" w:lineRule="auto"/>
        <w:tabs>
          <w:tab w:val="center" w:pos="4201" w:leader="none"/>
          <w:tab w:val="right" w:pos="9298" w:leader="dot"/>
        </w:tabs>
        <w:rPr>
          <w:rStyle w:val="1246"/>
          <w:rFonts w:ascii="Times New Roman" w:hAnsi="宋体" w:cs="宋体"/>
          <w:szCs w:val="24"/>
        </w:rPr>
      </w:pPr>
      <w:r>
        <w:rPr>
          <w:rStyle w:val="1246"/>
          <w:rFonts w:hint="eastAsia" w:hAnsi="宋体" w:cs="宋体"/>
        </w:rPr>
        <w:t xml:space="preserve">1）电源回路对地</w:t>
      </w:r>
      <w:r>
        <w:rPr>
          <w:rStyle w:val="1246"/>
          <w:rFonts w:ascii="Times New Roman" w:hAnsi="宋体" w:cs="宋体"/>
          <w:szCs w:val="24"/>
        </w:rPr>
      </w:r>
      <w:r/>
    </w:p>
    <w:p>
      <w:pPr>
        <w:pStyle w:val="1201"/>
        <w:ind w:left="422" w:firstLine="0"/>
        <w:spacing w:line="360" w:lineRule="auto"/>
        <w:tabs>
          <w:tab w:val="center" w:pos="4201" w:leader="none"/>
          <w:tab w:val="right" w:pos="9298" w:leader="dot"/>
        </w:tabs>
        <w:rPr>
          <w:rStyle w:val="1246"/>
          <w:rFonts w:ascii="Times New Roman" w:hAnsi="宋体" w:cs="宋体"/>
          <w:szCs w:val="24"/>
        </w:rPr>
      </w:pPr>
      <w:r>
        <w:rPr>
          <w:rStyle w:val="1246"/>
          <w:rFonts w:hint="eastAsia" w:hAnsi="宋体" w:cs="宋体"/>
        </w:rPr>
        <w:t xml:space="preserve">2）控制输出回路对地</w:t>
      </w:r>
      <w:r>
        <w:rPr>
          <w:rStyle w:val="1246"/>
          <w:rFonts w:ascii="Times New Roman" w:hAnsi="宋体" w:cs="宋体"/>
          <w:szCs w:val="24"/>
        </w:rPr>
      </w:r>
      <w:r/>
    </w:p>
    <w:p>
      <w:pPr>
        <w:pStyle w:val="1201"/>
        <w:ind w:left="422" w:firstLine="0"/>
        <w:spacing w:line="360" w:lineRule="auto"/>
        <w:tabs>
          <w:tab w:val="center" w:pos="4201" w:leader="none"/>
          <w:tab w:val="right" w:pos="9298" w:leader="dot"/>
        </w:tabs>
        <w:rPr>
          <w:rStyle w:val="1246"/>
          <w:rFonts w:ascii="Times New Roman" w:hAnsi="宋体" w:cs="宋体"/>
          <w:szCs w:val="24"/>
        </w:rPr>
      </w:pPr>
      <w:r>
        <w:rPr>
          <w:rStyle w:val="1246"/>
          <w:rFonts w:hint="eastAsia" w:hAnsi="宋体" w:cs="宋体"/>
        </w:rPr>
        <w:t xml:space="preserve">3）状态输入回路对地</w:t>
      </w:r>
      <w:r>
        <w:rPr>
          <w:rStyle w:val="1246"/>
          <w:rFonts w:ascii="Times New Roman" w:hAnsi="宋体" w:cs="宋体"/>
          <w:szCs w:val="24"/>
        </w:rPr>
      </w:r>
      <w:r/>
    </w:p>
    <w:p>
      <w:pPr>
        <w:pStyle w:val="1201"/>
        <w:ind w:left="422" w:firstLine="0"/>
        <w:spacing w:line="360" w:lineRule="auto"/>
        <w:tabs>
          <w:tab w:val="center" w:pos="4201" w:leader="none"/>
          <w:tab w:val="right" w:pos="9298" w:leader="dot"/>
        </w:tabs>
        <w:rPr>
          <w:rStyle w:val="1246"/>
          <w:rFonts w:ascii="Times New Roman" w:hAnsi="宋体" w:cs="宋体"/>
          <w:szCs w:val="24"/>
        </w:rPr>
      </w:pPr>
      <w:r>
        <w:rPr>
          <w:rStyle w:val="1246"/>
          <w:rFonts w:hint="eastAsia" w:hAnsi="宋体" w:cs="宋体"/>
        </w:rPr>
        <w:t xml:space="preserve">4）交流工频电流输入回路对地</w:t>
      </w:r>
      <w:r>
        <w:rPr>
          <w:rStyle w:val="1246"/>
          <w:rFonts w:ascii="Times New Roman" w:hAnsi="宋体" w:cs="宋体"/>
          <w:szCs w:val="24"/>
        </w:rPr>
      </w:r>
      <w:r/>
    </w:p>
    <w:p>
      <w:pPr>
        <w:pStyle w:val="1201"/>
        <w:ind w:left="422" w:firstLine="0"/>
        <w:spacing w:line="360" w:lineRule="auto"/>
        <w:tabs>
          <w:tab w:val="center" w:pos="4201" w:leader="none"/>
          <w:tab w:val="right" w:pos="9298" w:leader="dot"/>
        </w:tabs>
        <w:rPr>
          <w:rStyle w:val="1246"/>
          <w:rFonts w:ascii="Times New Roman" w:hAnsi="宋体" w:cs="宋体"/>
          <w:szCs w:val="24"/>
        </w:rPr>
      </w:pPr>
      <w:r>
        <w:rPr>
          <w:rStyle w:val="1246"/>
          <w:rFonts w:hint="eastAsia" w:hAnsi="宋体" w:cs="宋体"/>
        </w:rPr>
        <w:t xml:space="preserve">5）交流工频电压输入回路对地</w:t>
      </w:r>
      <w:r>
        <w:rPr>
          <w:rStyle w:val="1246"/>
          <w:rFonts w:ascii="Times New Roman" w:hAnsi="宋体" w:cs="宋体"/>
          <w:szCs w:val="24"/>
        </w:rPr>
      </w:r>
      <w:r/>
    </w:p>
    <w:p>
      <w:pPr>
        <w:pStyle w:val="1201"/>
        <w:ind w:left="422" w:firstLine="0"/>
        <w:spacing w:line="360" w:lineRule="auto"/>
        <w:tabs>
          <w:tab w:val="center" w:pos="4201" w:leader="none"/>
          <w:tab w:val="right" w:pos="9298" w:leader="dot"/>
        </w:tabs>
        <w:rPr>
          <w:rStyle w:val="1246"/>
          <w:rFonts w:hAnsi="宋体" w:eastAsia="黑体" w:cs="宋体"/>
          <w:color w:val="000000"/>
          <w:szCs w:val="21"/>
        </w:rPr>
      </w:pPr>
      <w:r>
        <w:rPr>
          <w:rStyle w:val="1246"/>
          <w:rFonts w:hint="eastAsia" w:hAnsi="宋体" w:cs="宋体"/>
        </w:rPr>
        <w:t xml:space="preserve">6）交流工频电流输入回路与交流工频电压输入回路之间</w:t>
      </w:r>
      <w:r>
        <w:rPr>
          <w:rStyle w:val="1246"/>
          <w:rFonts w:hAnsi="宋体" w:eastAsia="黑体" w:cs="宋体"/>
          <w:color w:val="000000"/>
          <w:szCs w:val="21"/>
        </w:rPr>
      </w:r>
      <w:r/>
    </w:p>
    <w:p>
      <w:pPr>
        <w:pStyle w:val="1245"/>
        <w:ind w:firstLine="420"/>
        <w:rPr>
          <w:rStyle w:val="1246"/>
          <w:rFonts w:ascii="宋体" w:hAnsi="宋体"/>
        </w:rPr>
      </w:pPr>
      <w:r>
        <w:rPr>
          <w:rStyle w:val="1246"/>
          <w:rFonts w:ascii="宋体" w:hAnsi="宋体"/>
        </w:rPr>
        <w:t xml:space="preserve">正常大气条件下绝缘电阻的要求见表5.25</w:t>
      </w:r>
      <w:r>
        <w:rPr>
          <w:rStyle w:val="1246"/>
          <w:rFonts w:hint="eastAsia" w:ascii="宋体" w:hAnsi="宋体"/>
        </w:rPr>
        <w:t xml:space="preserve">-</w:t>
      </w:r>
      <w:r>
        <w:rPr>
          <w:rStyle w:val="1246"/>
          <w:rFonts w:ascii="宋体" w:hAnsi="宋体"/>
        </w:rPr>
        <w:t xml:space="preserve">8；</w:t>
      </w:r>
      <w:r>
        <w:rPr>
          <w:rStyle w:val="1246"/>
          <w:rFonts w:ascii="宋体" w:hAnsi="宋体"/>
        </w:rPr>
      </w:r>
      <w:r/>
    </w:p>
    <w:p>
      <w:pPr>
        <w:pStyle w:val="1245"/>
        <w:ind w:firstLine="420"/>
        <w:jc w:val="center"/>
        <w:rPr>
          <w:rStyle w:val="1246"/>
          <w:rFonts w:ascii="宋体" w:hAnsi="宋体"/>
        </w:rPr>
      </w:pPr>
      <w:r>
        <w:rPr>
          <w:rStyle w:val="1246"/>
          <w:rFonts w:ascii="宋体" w:hAnsi="宋体"/>
        </w:rPr>
        <w:t xml:space="preserve">表</w:t>
      </w:r>
      <w:r>
        <w:rPr>
          <w:rStyle w:val="1246"/>
          <w:rFonts w:hint="eastAsia" w:ascii="宋体" w:hAnsi="宋体"/>
        </w:rPr>
        <w:t xml:space="preserve">15</w:t>
      </w:r>
      <w:r>
        <w:rPr>
          <w:rStyle w:val="1246"/>
          <w:rFonts w:ascii="宋体" w:hAnsi="宋体"/>
        </w:rPr>
        <w:t xml:space="preserve">正常条件绝缘电阻</w:t>
      </w:r>
      <w:r>
        <w:rPr>
          <w:rStyle w:val="1246"/>
          <w:rFonts w:ascii="宋体" w:hAnsi="宋体"/>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247"/>
        <w:gridCol w:w="4247"/>
      </w:tblGrid>
      <w:tr>
        <w:trPr>
          <w:trHeight w:val="397"/>
        </w:trPr>
        <w:tc>
          <w:tcPr>
            <w:tcW w:w="4247" w:type="dxa"/>
            <w:vAlign w:val="center"/>
            <w:textDirection w:val="lrTb"/>
            <w:noWrap/>
          </w:tcPr>
          <w:p>
            <w:pPr>
              <w:pStyle w:val="1245"/>
              <w:jc w:val="center"/>
              <w:rPr>
                <w:rStyle w:val="1246"/>
                <w:rFonts w:ascii="宋体" w:hAnsi="宋体"/>
              </w:rPr>
            </w:pPr>
            <w:r>
              <w:rPr>
                <w:rStyle w:val="1246"/>
                <w:rFonts w:ascii="宋体" w:hAnsi="宋体"/>
              </w:rPr>
              <w:t xml:space="preserve">额定绝缘电压Ui（V）</w:t>
            </w:r>
            <w:r>
              <w:rPr>
                <w:rStyle w:val="1246"/>
                <w:rFonts w:ascii="宋体" w:hAnsi="宋体"/>
              </w:rPr>
            </w:r>
            <w:r/>
          </w:p>
        </w:tc>
        <w:tc>
          <w:tcPr>
            <w:tcW w:w="4247" w:type="dxa"/>
            <w:vAlign w:val="center"/>
            <w:textDirection w:val="lrTb"/>
            <w:noWrap/>
          </w:tcPr>
          <w:p>
            <w:pPr>
              <w:pStyle w:val="1245"/>
              <w:jc w:val="center"/>
              <w:rPr>
                <w:rStyle w:val="1246"/>
                <w:rFonts w:ascii="宋体" w:hAnsi="宋体"/>
              </w:rPr>
            </w:pPr>
            <w:r>
              <w:rPr>
                <w:rStyle w:val="1246"/>
                <w:rFonts w:ascii="宋体" w:hAnsi="宋体"/>
              </w:rPr>
              <w:t xml:space="preserve">绝缘电阻要求（MΩ）</w:t>
            </w:r>
            <w:r>
              <w:rPr>
                <w:rStyle w:val="1246"/>
                <w:rFonts w:ascii="宋体" w:hAnsi="宋体"/>
              </w:rPr>
            </w:r>
            <w:r/>
          </w:p>
        </w:tc>
      </w:tr>
      <w:tr>
        <w:trPr>
          <w:trHeight w:val="397"/>
        </w:trPr>
        <w:tc>
          <w:tcPr>
            <w:tcW w:w="4247" w:type="dxa"/>
            <w:vAlign w:val="center"/>
            <w:textDirection w:val="lrTb"/>
            <w:noWrap/>
          </w:tcPr>
          <w:p>
            <w:pPr>
              <w:pStyle w:val="1245"/>
              <w:jc w:val="center"/>
              <w:rPr>
                <w:rStyle w:val="1246"/>
                <w:rFonts w:ascii="宋体" w:hAnsi="宋体"/>
              </w:rPr>
            </w:pPr>
            <w:r>
              <w:rPr>
                <w:rStyle w:val="1246"/>
                <w:rFonts w:ascii="宋体" w:hAnsi="宋体"/>
              </w:rPr>
              <w:t xml:space="preserve">Ui</w:t>
            </w:r>
            <w:r>
              <w:rPr>
                <w:rStyle w:val="1246"/>
                <w:rFonts w:hint="eastAsia" w:ascii="宋体" w:hAnsi="宋体"/>
              </w:rPr>
              <w:t xml:space="preserve">≤</w:t>
            </w:r>
            <w:r>
              <w:rPr>
                <w:rStyle w:val="1246"/>
                <w:rFonts w:ascii="宋体" w:hAnsi="宋体"/>
              </w:rPr>
              <w:t xml:space="preserve">60</w:t>
            </w:r>
            <w:r>
              <w:rPr>
                <w:rStyle w:val="1246"/>
                <w:rFonts w:ascii="宋体" w:hAnsi="宋体"/>
              </w:rPr>
            </w:r>
            <w:r/>
          </w:p>
        </w:tc>
        <w:tc>
          <w:tcPr>
            <w:tcW w:w="4247" w:type="dxa"/>
            <w:vAlign w:val="center"/>
            <w:textDirection w:val="lrTb"/>
            <w:noWrap/>
          </w:tcPr>
          <w:p>
            <w:pPr>
              <w:pStyle w:val="1245"/>
              <w:jc w:val="center"/>
              <w:rPr>
                <w:rStyle w:val="1246"/>
                <w:rFonts w:ascii="宋体" w:hAnsi="宋体"/>
              </w:rPr>
            </w:pPr>
            <w:r>
              <w:rPr>
                <w:rStyle w:val="1246"/>
                <w:rFonts w:hint="eastAsia" w:ascii="宋体" w:hAnsi="宋体"/>
              </w:rPr>
              <w:t xml:space="preserve">≥</w:t>
            </w:r>
            <w:r>
              <w:rPr>
                <w:rStyle w:val="1246"/>
                <w:rFonts w:ascii="宋体" w:hAnsi="宋体"/>
              </w:rPr>
              <w:t xml:space="preserve">5（用250V兆欧表）</w:t>
            </w:r>
            <w:r>
              <w:rPr>
                <w:rStyle w:val="1246"/>
                <w:rFonts w:ascii="宋体" w:hAnsi="宋体"/>
              </w:rPr>
            </w:r>
            <w:r/>
          </w:p>
        </w:tc>
      </w:tr>
      <w:tr>
        <w:trPr>
          <w:trHeight w:val="397"/>
        </w:trPr>
        <w:tc>
          <w:tcPr>
            <w:tcW w:w="4247" w:type="dxa"/>
            <w:vAlign w:val="center"/>
            <w:textDirection w:val="lrTb"/>
            <w:noWrap/>
          </w:tcPr>
          <w:p>
            <w:pPr>
              <w:pStyle w:val="1245"/>
              <w:jc w:val="center"/>
              <w:rPr>
                <w:rStyle w:val="1246"/>
                <w:rFonts w:ascii="宋体" w:hAnsi="宋体"/>
              </w:rPr>
            </w:pPr>
            <w:r>
              <w:rPr>
                <w:rStyle w:val="1246"/>
                <w:rFonts w:ascii="宋体" w:hAnsi="宋体"/>
              </w:rPr>
              <w:t xml:space="preserve">Ui＞60</w:t>
            </w:r>
            <w:r>
              <w:rPr>
                <w:rStyle w:val="1246"/>
                <w:rFonts w:ascii="宋体" w:hAnsi="宋体"/>
              </w:rPr>
            </w:r>
            <w:r/>
          </w:p>
        </w:tc>
        <w:tc>
          <w:tcPr>
            <w:tcW w:w="4247" w:type="dxa"/>
            <w:vAlign w:val="center"/>
            <w:textDirection w:val="lrTb"/>
            <w:noWrap/>
          </w:tcPr>
          <w:p>
            <w:pPr>
              <w:pStyle w:val="1245"/>
              <w:jc w:val="center"/>
              <w:rPr>
                <w:rStyle w:val="1246"/>
                <w:rFonts w:ascii="宋体" w:hAnsi="宋体"/>
              </w:rPr>
            </w:pPr>
            <w:r>
              <w:rPr>
                <w:rStyle w:val="1246"/>
                <w:rFonts w:hint="eastAsia" w:ascii="宋体" w:hAnsi="宋体"/>
              </w:rPr>
              <w:t xml:space="preserve">≥</w:t>
            </w:r>
            <w:r>
              <w:rPr>
                <w:rStyle w:val="1246"/>
                <w:rFonts w:ascii="宋体" w:hAnsi="宋体"/>
              </w:rPr>
              <w:t xml:space="preserve">5（用500V兆欧表）</w:t>
            </w:r>
            <w:r>
              <w:rPr>
                <w:rStyle w:val="1246"/>
                <w:rFonts w:ascii="宋体" w:hAnsi="宋体"/>
              </w:rPr>
            </w:r>
            <w:r/>
          </w:p>
        </w:tc>
      </w:tr>
    </w:tbl>
    <w:p>
      <w:pPr>
        <w:pStyle w:val="1245"/>
        <w:ind w:firstLine="420"/>
        <w:rPr>
          <w:rStyle w:val="1246"/>
          <w:rFonts w:ascii="宋体" w:hAnsi="宋体"/>
        </w:rPr>
      </w:pPr>
      <w:r>
        <w:rPr>
          <w:rStyle w:val="1246"/>
          <w:rFonts w:ascii="宋体" w:hAnsi="宋体"/>
        </w:rPr>
      </w:r>
      <w:r/>
    </w:p>
    <w:p>
      <w:pPr>
        <w:pStyle w:val="1245"/>
        <w:ind w:firstLine="420"/>
        <w:rPr>
          <w:rStyle w:val="1246"/>
          <w:rFonts w:ascii="宋体" w:hAnsi="宋体"/>
        </w:rPr>
      </w:pPr>
      <w:r>
        <w:rPr>
          <w:rStyle w:val="1246"/>
          <w:rFonts w:ascii="宋体" w:hAnsi="宋体"/>
        </w:rPr>
        <w:t xml:space="preserve">湿热条件：在温度40</w:t>
      </w:r>
      <w:r>
        <w:rPr>
          <w:rStyle w:val="1246"/>
          <w:rFonts w:hint="eastAsia" w:ascii="宋体" w:hAnsi="宋体"/>
        </w:rPr>
        <w:t xml:space="preserve">±</w:t>
      </w:r>
      <w:r>
        <w:rPr>
          <w:rStyle w:val="1246"/>
          <w:rFonts w:ascii="宋体" w:hAnsi="宋体"/>
        </w:rPr>
        <w:t xml:space="preserve">2℃，相对湿度90%～95%的恒定湿热条件下绝缘电阻的要求见表5.25</w:t>
      </w:r>
      <w:r>
        <w:rPr>
          <w:rStyle w:val="1246"/>
          <w:rFonts w:hint="eastAsia" w:ascii="宋体" w:hAnsi="宋体"/>
        </w:rPr>
        <w:t xml:space="preserve">-</w:t>
      </w:r>
      <w:r>
        <w:rPr>
          <w:rStyle w:val="1246"/>
          <w:rFonts w:ascii="宋体" w:hAnsi="宋体"/>
        </w:rPr>
        <w:t xml:space="preserve">9。</w:t>
      </w:r>
      <w:r>
        <w:rPr>
          <w:rStyle w:val="1246"/>
          <w:rFonts w:ascii="宋体" w:hAnsi="宋体"/>
        </w:rPr>
      </w:r>
      <w:r/>
    </w:p>
    <w:p>
      <w:pPr>
        <w:pStyle w:val="1245"/>
        <w:ind w:firstLine="420"/>
        <w:jc w:val="center"/>
        <w:rPr>
          <w:rStyle w:val="1246"/>
          <w:rFonts w:ascii="宋体" w:hAnsi="宋体"/>
        </w:rPr>
      </w:pPr>
      <w:r>
        <w:rPr>
          <w:rStyle w:val="1246"/>
          <w:rFonts w:hint="eastAsia" w:ascii="宋体" w:hAnsi="宋体"/>
        </w:rPr>
        <w:t xml:space="preserve">表16  湿热条件绝缘电阻</w:t>
      </w:r>
      <w:r>
        <w:rPr>
          <w:rStyle w:val="1246"/>
          <w:rFonts w:ascii="宋体" w:hAnsi="宋体"/>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247"/>
        <w:gridCol w:w="4247"/>
      </w:tblGrid>
      <w:tr>
        <w:trPr/>
        <w:tc>
          <w:tcPr>
            <w:tcW w:w="4247" w:type="dxa"/>
            <w:vAlign w:val="top"/>
            <w:textDirection w:val="lrTb"/>
            <w:noWrap/>
          </w:tcPr>
          <w:p>
            <w:pPr>
              <w:pStyle w:val="1245"/>
              <w:jc w:val="center"/>
              <w:rPr>
                <w:rStyle w:val="1246"/>
                <w:rFonts w:ascii="宋体" w:hAnsi="宋体"/>
              </w:rPr>
            </w:pPr>
            <w:r>
              <w:rPr>
                <w:rStyle w:val="1246"/>
                <w:rFonts w:ascii="宋体" w:hAnsi="宋体"/>
              </w:rPr>
              <w:t xml:space="preserve">额定绝缘电压Ui（V）</w:t>
            </w:r>
            <w:r>
              <w:rPr>
                <w:rStyle w:val="1246"/>
                <w:rFonts w:ascii="宋体" w:hAnsi="宋体"/>
              </w:rPr>
            </w:r>
            <w:r/>
          </w:p>
        </w:tc>
        <w:tc>
          <w:tcPr>
            <w:tcW w:w="4247" w:type="dxa"/>
            <w:vAlign w:val="top"/>
            <w:textDirection w:val="lrTb"/>
            <w:noWrap/>
          </w:tcPr>
          <w:p>
            <w:pPr>
              <w:pStyle w:val="1245"/>
              <w:jc w:val="center"/>
              <w:rPr>
                <w:rStyle w:val="1246"/>
                <w:rFonts w:ascii="宋体" w:hAnsi="宋体"/>
              </w:rPr>
            </w:pPr>
            <w:r>
              <w:rPr>
                <w:rStyle w:val="1246"/>
                <w:rFonts w:ascii="宋体" w:hAnsi="宋体"/>
              </w:rPr>
              <w:t xml:space="preserve">绝缘电阻要求（MΩ）</w:t>
            </w:r>
            <w:r>
              <w:rPr>
                <w:rStyle w:val="1246"/>
                <w:rFonts w:ascii="宋体" w:hAnsi="宋体"/>
              </w:rPr>
            </w:r>
            <w:r/>
          </w:p>
        </w:tc>
      </w:tr>
      <w:tr>
        <w:trPr/>
        <w:tc>
          <w:tcPr>
            <w:tcW w:w="4247" w:type="dxa"/>
            <w:vAlign w:val="top"/>
            <w:textDirection w:val="lrTb"/>
            <w:noWrap/>
          </w:tcPr>
          <w:p>
            <w:pPr>
              <w:pStyle w:val="1245"/>
              <w:jc w:val="center"/>
              <w:rPr>
                <w:rStyle w:val="1246"/>
                <w:rFonts w:ascii="宋体" w:hAnsi="宋体"/>
              </w:rPr>
            </w:pPr>
            <w:r>
              <w:rPr>
                <w:rStyle w:val="1246"/>
                <w:rFonts w:ascii="宋体" w:hAnsi="宋体"/>
              </w:rPr>
              <w:t xml:space="preserve">Ui</w:t>
            </w:r>
            <w:r>
              <w:rPr>
                <w:rStyle w:val="1246"/>
                <w:rFonts w:hint="eastAsia" w:ascii="宋体" w:hAnsi="宋体"/>
              </w:rPr>
              <w:t xml:space="preserve">≤</w:t>
            </w:r>
            <w:r>
              <w:rPr>
                <w:rStyle w:val="1246"/>
                <w:rFonts w:ascii="宋体" w:hAnsi="宋体"/>
              </w:rPr>
              <w:t xml:space="preserve">60</w:t>
            </w:r>
            <w:r>
              <w:rPr>
                <w:rStyle w:val="1246"/>
                <w:rFonts w:ascii="宋体" w:hAnsi="宋体"/>
              </w:rPr>
            </w:r>
            <w:r/>
          </w:p>
        </w:tc>
        <w:tc>
          <w:tcPr>
            <w:tcW w:w="4247" w:type="dxa"/>
            <w:vAlign w:val="top"/>
            <w:textDirection w:val="lrTb"/>
            <w:noWrap/>
          </w:tcPr>
          <w:p>
            <w:pPr>
              <w:pStyle w:val="1245"/>
              <w:jc w:val="center"/>
              <w:rPr>
                <w:rStyle w:val="1246"/>
                <w:rFonts w:ascii="宋体" w:hAnsi="宋体"/>
              </w:rPr>
            </w:pPr>
            <w:r>
              <w:rPr>
                <w:rStyle w:val="1246"/>
                <w:rFonts w:hint="eastAsia" w:ascii="宋体" w:hAnsi="宋体"/>
              </w:rPr>
              <w:t xml:space="preserve">≥</w:t>
            </w:r>
            <w:r>
              <w:rPr>
                <w:rStyle w:val="1246"/>
                <w:rFonts w:ascii="宋体" w:hAnsi="宋体"/>
              </w:rPr>
              <w:t xml:space="preserve">1（用250V兆欧表）</w:t>
            </w:r>
            <w:r>
              <w:rPr>
                <w:rStyle w:val="1246"/>
                <w:rFonts w:ascii="宋体" w:hAnsi="宋体"/>
              </w:rPr>
            </w:r>
            <w:r/>
          </w:p>
        </w:tc>
      </w:tr>
      <w:tr>
        <w:trPr/>
        <w:tc>
          <w:tcPr>
            <w:tcW w:w="4247" w:type="dxa"/>
            <w:vAlign w:val="top"/>
            <w:textDirection w:val="lrTb"/>
            <w:noWrap/>
          </w:tcPr>
          <w:p>
            <w:pPr>
              <w:pStyle w:val="1245"/>
              <w:jc w:val="center"/>
              <w:rPr>
                <w:rStyle w:val="1246"/>
                <w:rFonts w:ascii="宋体" w:hAnsi="宋体"/>
              </w:rPr>
            </w:pPr>
            <w:r>
              <w:rPr>
                <w:rStyle w:val="1246"/>
                <w:rFonts w:ascii="宋体" w:hAnsi="宋体"/>
              </w:rPr>
              <w:t xml:space="preserve">Ui＞60</w:t>
            </w:r>
            <w:r>
              <w:rPr>
                <w:rStyle w:val="1246"/>
                <w:rFonts w:ascii="宋体" w:hAnsi="宋体"/>
              </w:rPr>
            </w:r>
            <w:r/>
          </w:p>
        </w:tc>
        <w:tc>
          <w:tcPr>
            <w:tcW w:w="4247" w:type="dxa"/>
            <w:vAlign w:val="top"/>
            <w:textDirection w:val="lrTb"/>
            <w:noWrap/>
          </w:tcPr>
          <w:p>
            <w:pPr>
              <w:pStyle w:val="1245"/>
              <w:jc w:val="center"/>
              <w:rPr>
                <w:rStyle w:val="1246"/>
                <w:rFonts w:ascii="宋体" w:hAnsi="宋体"/>
              </w:rPr>
            </w:pPr>
            <w:r>
              <w:rPr>
                <w:rStyle w:val="1246"/>
                <w:rFonts w:hint="eastAsia" w:ascii="宋体" w:hAnsi="宋体"/>
              </w:rPr>
              <w:t xml:space="preserve">≥</w:t>
            </w:r>
            <w:r>
              <w:rPr>
                <w:rStyle w:val="1246"/>
                <w:rFonts w:ascii="宋体" w:hAnsi="宋体"/>
              </w:rPr>
              <w:t xml:space="preserve">1（用500V兆欧表）</w:t>
            </w:r>
            <w:r>
              <w:rPr>
                <w:rStyle w:val="1246"/>
                <w:rFonts w:ascii="宋体" w:hAnsi="宋体"/>
              </w:rPr>
            </w:r>
            <w:r/>
          </w:p>
        </w:tc>
      </w:tr>
    </w:tbl>
    <w:p>
      <w:pPr>
        <w:pStyle w:val="1151"/>
      </w:pPr>
      <w:r/>
      <w:r/>
    </w:p>
    <w:p>
      <w:pPr>
        <w:pStyle w:val="1245"/>
        <w:numPr>
          <w:ilvl w:val="1"/>
          <w:numId w:val="46"/>
        </w:numPr>
        <w:rPr>
          <w:rStyle w:val="1246"/>
          <w:rFonts w:ascii="宋体" w:hAnsi="宋体"/>
          <w:b/>
        </w:rPr>
      </w:pPr>
      <w:r>
        <w:rPr>
          <w:rStyle w:val="1246"/>
          <w:rFonts w:ascii="宋体" w:hAnsi="宋体"/>
        </w:rPr>
        <w:t xml:space="preserve">绝缘强度</w:t>
      </w:r>
      <w:r>
        <w:rPr>
          <w:rStyle w:val="1246"/>
          <w:rFonts w:ascii="宋体" w:hAnsi="宋体"/>
          <w:b/>
        </w:rPr>
      </w:r>
      <w:r/>
    </w:p>
    <w:p>
      <w:pPr>
        <w:pStyle w:val="1201"/>
        <w:ind w:left="422" w:firstLine="0"/>
        <w:spacing w:line="360" w:lineRule="auto"/>
        <w:tabs>
          <w:tab w:val="center" w:pos="4201" w:leader="none"/>
          <w:tab w:val="right" w:pos="9298" w:leader="dot"/>
        </w:tabs>
        <w:rPr>
          <w:rStyle w:val="1246"/>
          <w:rFonts w:ascii="Times New Roman" w:hAnsi="宋体" w:cs="宋体"/>
          <w:szCs w:val="24"/>
        </w:rPr>
      </w:pPr>
      <w:r>
        <w:rPr>
          <w:rStyle w:val="1246"/>
          <w:rFonts w:hAnsi="宋体" w:cs="宋体"/>
        </w:rPr>
        <w:tab/>
      </w:r>
      <w:r>
        <w:rPr>
          <w:rStyle w:val="1246"/>
          <w:rFonts w:hint="eastAsia" w:hAnsi="宋体" w:cs="宋体"/>
        </w:rPr>
        <w:t xml:space="preserve">在正常试验大气条件下，终端设备非电气连接的两个独立回路之间，各带电回路与金属外壳之间应能承受表17要求的50Hz交流试验电压1min的绝缘强度试验，无击穿、无闪络现象。具体回路包括：</w:t>
      </w:r>
      <w:r>
        <w:rPr>
          <w:rStyle w:val="1246"/>
          <w:rFonts w:ascii="Times New Roman" w:hAnsi="宋体" w:cs="宋体"/>
          <w:szCs w:val="24"/>
        </w:rPr>
      </w:r>
      <w:r/>
    </w:p>
    <w:p>
      <w:pPr>
        <w:pStyle w:val="1201"/>
        <w:ind w:left="422" w:firstLine="0"/>
        <w:spacing w:line="360" w:lineRule="auto"/>
        <w:tabs>
          <w:tab w:val="center" w:pos="4201" w:leader="none"/>
          <w:tab w:val="right" w:pos="9298" w:leader="dot"/>
        </w:tabs>
        <w:rPr>
          <w:rStyle w:val="1246"/>
          <w:rFonts w:ascii="Times New Roman" w:hAnsi="宋体" w:cs="宋体"/>
          <w:szCs w:val="24"/>
        </w:rPr>
      </w:pPr>
      <w:r>
        <w:rPr>
          <w:rStyle w:val="1246"/>
          <w:rFonts w:hint="eastAsia" w:hAnsi="宋体" w:cs="宋体"/>
        </w:rPr>
        <w:t xml:space="preserve">1）电源回路对地；</w:t>
      </w:r>
      <w:r>
        <w:rPr>
          <w:rStyle w:val="1246"/>
          <w:rFonts w:ascii="Times New Roman" w:hAnsi="宋体" w:cs="宋体"/>
          <w:szCs w:val="24"/>
        </w:rPr>
      </w:r>
      <w:r/>
    </w:p>
    <w:p>
      <w:pPr>
        <w:pStyle w:val="1201"/>
        <w:ind w:left="422" w:firstLine="0"/>
        <w:spacing w:line="360" w:lineRule="auto"/>
        <w:tabs>
          <w:tab w:val="center" w:pos="4201" w:leader="none"/>
          <w:tab w:val="right" w:pos="9298" w:leader="dot"/>
        </w:tabs>
        <w:rPr>
          <w:rStyle w:val="1246"/>
          <w:rFonts w:ascii="Times New Roman" w:hAnsi="宋体" w:cs="宋体"/>
          <w:szCs w:val="24"/>
        </w:rPr>
      </w:pPr>
      <w:r>
        <w:rPr>
          <w:rStyle w:val="1246"/>
          <w:rFonts w:hint="eastAsia" w:hAnsi="宋体" w:cs="宋体"/>
        </w:rPr>
        <w:t xml:space="preserve">2）控制输出回路对地；</w:t>
      </w:r>
      <w:r>
        <w:rPr>
          <w:rStyle w:val="1246"/>
          <w:rFonts w:ascii="Times New Roman" w:hAnsi="宋体" w:cs="宋体"/>
          <w:szCs w:val="24"/>
        </w:rPr>
      </w:r>
      <w:r/>
    </w:p>
    <w:p>
      <w:pPr>
        <w:pStyle w:val="1201"/>
        <w:ind w:left="422" w:firstLine="0"/>
        <w:spacing w:line="360" w:lineRule="auto"/>
        <w:tabs>
          <w:tab w:val="center" w:pos="4201" w:leader="none"/>
          <w:tab w:val="right" w:pos="9298" w:leader="dot"/>
        </w:tabs>
        <w:rPr>
          <w:rStyle w:val="1246"/>
          <w:rFonts w:ascii="Times New Roman" w:hAnsi="宋体" w:cs="宋体"/>
          <w:szCs w:val="24"/>
        </w:rPr>
      </w:pPr>
      <w:r>
        <w:rPr>
          <w:rStyle w:val="1246"/>
          <w:rFonts w:hint="eastAsia" w:hAnsi="宋体" w:cs="宋体"/>
        </w:rPr>
        <w:t xml:space="preserve">3）状态输入回路对地；</w:t>
      </w:r>
      <w:r>
        <w:rPr>
          <w:rStyle w:val="1246"/>
          <w:rFonts w:ascii="Times New Roman" w:hAnsi="宋体" w:cs="宋体"/>
          <w:szCs w:val="24"/>
        </w:rPr>
      </w:r>
      <w:r/>
    </w:p>
    <w:p>
      <w:pPr>
        <w:pStyle w:val="1201"/>
        <w:ind w:left="422" w:firstLine="0"/>
        <w:spacing w:line="360" w:lineRule="auto"/>
        <w:tabs>
          <w:tab w:val="center" w:pos="4201" w:leader="none"/>
          <w:tab w:val="right" w:pos="9298" w:leader="dot"/>
        </w:tabs>
        <w:rPr>
          <w:rStyle w:val="1246"/>
          <w:rFonts w:ascii="Times New Roman" w:hAnsi="宋体" w:cs="宋体"/>
          <w:szCs w:val="24"/>
        </w:rPr>
      </w:pPr>
      <w:r>
        <w:rPr>
          <w:rStyle w:val="1246"/>
          <w:rFonts w:hint="eastAsia" w:hAnsi="宋体" w:cs="宋体"/>
        </w:rPr>
        <w:t xml:space="preserve">4）交流工频电流输入回路对地；</w:t>
      </w:r>
      <w:r>
        <w:rPr>
          <w:rStyle w:val="1246"/>
          <w:rFonts w:ascii="Times New Roman" w:hAnsi="宋体" w:cs="宋体"/>
          <w:szCs w:val="24"/>
        </w:rPr>
      </w:r>
      <w:r/>
    </w:p>
    <w:p>
      <w:pPr>
        <w:pStyle w:val="1201"/>
        <w:ind w:left="422" w:firstLine="0"/>
        <w:spacing w:line="360" w:lineRule="auto"/>
        <w:tabs>
          <w:tab w:val="center" w:pos="4201" w:leader="none"/>
          <w:tab w:val="right" w:pos="9298" w:leader="dot"/>
        </w:tabs>
        <w:rPr>
          <w:rStyle w:val="1246"/>
          <w:rFonts w:ascii="Times New Roman" w:hAnsi="宋体" w:cs="宋体"/>
          <w:szCs w:val="24"/>
        </w:rPr>
      </w:pPr>
      <w:r>
        <w:rPr>
          <w:rStyle w:val="1246"/>
          <w:rFonts w:hint="eastAsia" w:hAnsi="宋体" w:cs="宋体"/>
        </w:rPr>
        <w:t xml:space="preserve">5）交流工频电压输入回路对地；</w:t>
      </w:r>
      <w:r>
        <w:rPr>
          <w:rStyle w:val="1246"/>
          <w:rFonts w:ascii="Times New Roman" w:hAnsi="宋体" w:cs="宋体"/>
          <w:szCs w:val="24"/>
        </w:rPr>
      </w:r>
      <w:r/>
    </w:p>
    <w:p>
      <w:pPr>
        <w:pStyle w:val="1201"/>
        <w:ind w:left="422" w:firstLine="0"/>
        <w:spacing w:line="360" w:lineRule="auto"/>
        <w:tabs>
          <w:tab w:val="center" w:pos="4201" w:leader="none"/>
          <w:tab w:val="right" w:pos="9298" w:leader="dot"/>
        </w:tabs>
        <w:rPr>
          <w:rStyle w:val="1246"/>
          <w:rFonts w:ascii="Times New Roman" w:hAnsi="宋体" w:cs="宋体"/>
          <w:b/>
          <w:szCs w:val="24"/>
        </w:rPr>
      </w:pPr>
      <w:r>
        <w:rPr>
          <w:rStyle w:val="1246"/>
          <w:rFonts w:hint="eastAsia" w:hAnsi="宋体" w:cs="宋体"/>
        </w:rPr>
        <w:t xml:space="preserve">6）交流工频电流输入回路与交流工频电压输入回路之间。</w:t>
      </w:r>
      <w:r>
        <w:rPr>
          <w:rStyle w:val="1246"/>
          <w:rFonts w:ascii="Times New Roman" w:hAnsi="宋体" w:cs="宋体"/>
          <w:b/>
          <w:szCs w:val="24"/>
        </w:rPr>
      </w:r>
      <w:r/>
    </w:p>
    <w:p>
      <w:pPr>
        <w:pStyle w:val="1245"/>
        <w:ind w:firstLine="420"/>
        <w:jc w:val="center"/>
        <w:rPr>
          <w:rStyle w:val="1246"/>
          <w:rFonts w:ascii="宋体" w:hAnsi="宋体"/>
        </w:rPr>
      </w:pPr>
      <w:r>
        <w:rPr>
          <w:rStyle w:val="1246"/>
          <w:rFonts w:hint="eastAsia" w:ascii="宋体" w:hAnsi="宋体"/>
        </w:rPr>
        <w:t xml:space="preserve">表17  绝缘强度</w:t>
      </w:r>
      <w:r>
        <w:rPr>
          <w:rStyle w:val="1246"/>
          <w:rFonts w:ascii="宋体" w:hAnsi="宋体"/>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247"/>
        <w:gridCol w:w="4247"/>
      </w:tblGrid>
      <w:tr>
        <w:trPr>
          <w:trHeight w:val="397"/>
        </w:trPr>
        <w:tc>
          <w:tcPr>
            <w:tcW w:w="4247" w:type="dxa"/>
            <w:vAlign w:val="center"/>
            <w:textDirection w:val="lrTb"/>
            <w:noWrap/>
          </w:tcPr>
          <w:p>
            <w:pPr>
              <w:pStyle w:val="1245"/>
              <w:jc w:val="center"/>
              <w:rPr>
                <w:rStyle w:val="1246"/>
                <w:rFonts w:ascii="宋体" w:hAnsi="宋体"/>
              </w:rPr>
            </w:pPr>
            <w:r>
              <w:rPr>
                <w:rStyle w:val="1246"/>
                <w:rFonts w:ascii="宋体" w:hAnsi="宋体"/>
              </w:rPr>
              <w:t xml:space="preserve">额定绝缘电压Ui（V）</w:t>
            </w:r>
            <w:r>
              <w:rPr>
                <w:rStyle w:val="1246"/>
                <w:rFonts w:ascii="宋体" w:hAnsi="宋体"/>
              </w:rPr>
            </w:r>
            <w:r/>
          </w:p>
        </w:tc>
        <w:tc>
          <w:tcPr>
            <w:tcW w:w="4247" w:type="dxa"/>
            <w:vAlign w:val="center"/>
            <w:textDirection w:val="lrTb"/>
            <w:noWrap/>
          </w:tcPr>
          <w:p>
            <w:pPr>
              <w:pStyle w:val="1245"/>
              <w:jc w:val="center"/>
              <w:rPr>
                <w:rStyle w:val="1246"/>
                <w:rFonts w:ascii="宋体" w:hAnsi="宋体"/>
              </w:rPr>
            </w:pPr>
            <w:r>
              <w:rPr>
                <w:rStyle w:val="1246"/>
                <w:rFonts w:ascii="宋体" w:hAnsi="宋体"/>
              </w:rPr>
              <w:t xml:space="preserve">试验电压有效值（V）</w:t>
            </w:r>
            <w:r>
              <w:rPr>
                <w:rStyle w:val="1246"/>
                <w:rFonts w:ascii="宋体" w:hAnsi="宋体"/>
              </w:rPr>
            </w:r>
            <w:r/>
          </w:p>
        </w:tc>
      </w:tr>
      <w:tr>
        <w:trPr>
          <w:trHeight w:val="397"/>
        </w:trPr>
        <w:tc>
          <w:tcPr>
            <w:tcW w:w="4247" w:type="dxa"/>
            <w:vAlign w:val="center"/>
            <w:textDirection w:val="lrTb"/>
            <w:noWrap/>
          </w:tcPr>
          <w:p>
            <w:pPr>
              <w:pStyle w:val="1245"/>
              <w:jc w:val="center"/>
              <w:rPr>
                <w:rStyle w:val="1246"/>
                <w:rFonts w:ascii="宋体" w:hAnsi="宋体"/>
              </w:rPr>
            </w:pPr>
            <w:r>
              <w:rPr>
                <w:rStyle w:val="1246"/>
                <w:rFonts w:ascii="宋体" w:hAnsi="宋体"/>
              </w:rPr>
              <w:t xml:space="preserve">Ui</w:t>
            </w:r>
            <w:r>
              <w:rPr>
                <w:rStyle w:val="1246"/>
                <w:rFonts w:hint="eastAsia" w:ascii="宋体" w:hAnsi="宋体"/>
              </w:rPr>
              <w:t xml:space="preserve">≤</w:t>
            </w:r>
            <w:r>
              <w:rPr>
                <w:rStyle w:val="1246"/>
                <w:rFonts w:ascii="宋体" w:hAnsi="宋体"/>
              </w:rPr>
              <w:t xml:space="preserve">60</w:t>
            </w:r>
            <w:r>
              <w:rPr>
                <w:rStyle w:val="1246"/>
                <w:rFonts w:ascii="宋体" w:hAnsi="宋体"/>
              </w:rPr>
            </w:r>
            <w:r/>
          </w:p>
        </w:tc>
        <w:tc>
          <w:tcPr>
            <w:tcW w:w="4247" w:type="dxa"/>
            <w:vAlign w:val="center"/>
            <w:textDirection w:val="lrTb"/>
            <w:noWrap/>
          </w:tcPr>
          <w:p>
            <w:pPr>
              <w:pStyle w:val="1245"/>
              <w:jc w:val="center"/>
              <w:rPr>
                <w:rStyle w:val="1246"/>
                <w:rFonts w:ascii="宋体" w:hAnsi="宋体"/>
              </w:rPr>
            </w:pPr>
            <w:r>
              <w:rPr>
                <w:rStyle w:val="1246"/>
                <w:rFonts w:ascii="宋体" w:hAnsi="宋体"/>
              </w:rPr>
              <w:t xml:space="preserve">500</w:t>
            </w:r>
            <w:r>
              <w:rPr>
                <w:rStyle w:val="1246"/>
                <w:rFonts w:ascii="宋体" w:hAnsi="宋体"/>
              </w:rPr>
            </w:r>
            <w:r/>
          </w:p>
        </w:tc>
      </w:tr>
      <w:tr>
        <w:trPr>
          <w:trHeight w:val="397"/>
        </w:trPr>
        <w:tc>
          <w:tcPr>
            <w:tcW w:w="4247" w:type="dxa"/>
            <w:vAlign w:val="center"/>
            <w:textDirection w:val="lrTb"/>
            <w:noWrap/>
          </w:tcPr>
          <w:p>
            <w:pPr>
              <w:pStyle w:val="1245"/>
              <w:jc w:val="center"/>
              <w:rPr>
                <w:rStyle w:val="1246"/>
                <w:rFonts w:ascii="宋体" w:hAnsi="宋体"/>
              </w:rPr>
            </w:pPr>
            <w:r>
              <w:rPr>
                <w:rStyle w:val="1246"/>
                <w:rFonts w:ascii="宋体" w:hAnsi="宋体"/>
              </w:rPr>
              <w:t xml:space="preserve">60＜Ui</w:t>
            </w:r>
            <w:r>
              <w:rPr>
                <w:rStyle w:val="1246"/>
                <w:rFonts w:hint="eastAsia" w:ascii="宋体" w:hAnsi="宋体"/>
              </w:rPr>
              <w:t xml:space="preserve">≤</w:t>
            </w:r>
            <w:r>
              <w:rPr>
                <w:rStyle w:val="1246"/>
                <w:rFonts w:ascii="宋体" w:hAnsi="宋体"/>
              </w:rPr>
              <w:t xml:space="preserve">125</w:t>
            </w:r>
            <w:r>
              <w:rPr>
                <w:rStyle w:val="1246"/>
                <w:rFonts w:ascii="宋体" w:hAnsi="宋体"/>
              </w:rPr>
            </w:r>
            <w:r/>
          </w:p>
        </w:tc>
        <w:tc>
          <w:tcPr>
            <w:tcW w:w="4247" w:type="dxa"/>
            <w:vAlign w:val="center"/>
            <w:textDirection w:val="lrTb"/>
            <w:noWrap/>
          </w:tcPr>
          <w:p>
            <w:pPr>
              <w:pStyle w:val="1245"/>
              <w:jc w:val="center"/>
              <w:rPr>
                <w:rStyle w:val="1246"/>
                <w:rFonts w:ascii="宋体" w:hAnsi="宋体"/>
              </w:rPr>
            </w:pPr>
            <w:r>
              <w:rPr>
                <w:rStyle w:val="1246"/>
                <w:rFonts w:ascii="宋体" w:hAnsi="宋体"/>
              </w:rPr>
              <w:t xml:space="preserve">1000</w:t>
            </w:r>
            <w:r>
              <w:rPr>
                <w:rStyle w:val="1246"/>
                <w:rFonts w:ascii="宋体" w:hAnsi="宋体"/>
              </w:rPr>
            </w:r>
            <w:r/>
          </w:p>
        </w:tc>
      </w:tr>
      <w:tr>
        <w:trPr>
          <w:trHeight w:val="397"/>
        </w:trPr>
        <w:tc>
          <w:tcPr>
            <w:tcW w:w="4247" w:type="dxa"/>
            <w:vAlign w:val="center"/>
            <w:textDirection w:val="lrTb"/>
            <w:noWrap/>
          </w:tcPr>
          <w:p>
            <w:pPr>
              <w:pStyle w:val="1245"/>
              <w:jc w:val="center"/>
              <w:rPr>
                <w:rStyle w:val="1246"/>
                <w:rFonts w:ascii="宋体" w:hAnsi="宋体"/>
              </w:rPr>
            </w:pPr>
            <w:r>
              <w:rPr>
                <w:rStyle w:val="1246"/>
                <w:rFonts w:ascii="宋体" w:hAnsi="宋体"/>
              </w:rPr>
              <w:t xml:space="preserve">125＜Ui</w:t>
            </w:r>
            <w:r>
              <w:rPr>
                <w:rStyle w:val="1246"/>
                <w:rFonts w:hint="eastAsia" w:ascii="宋体" w:hAnsi="宋体"/>
              </w:rPr>
              <w:t xml:space="preserve">≤</w:t>
            </w:r>
            <w:r>
              <w:rPr>
                <w:rStyle w:val="1246"/>
                <w:rFonts w:ascii="宋体" w:hAnsi="宋体"/>
              </w:rPr>
              <w:t xml:space="preserve">250</w:t>
            </w:r>
            <w:r>
              <w:rPr>
                <w:rStyle w:val="1246"/>
                <w:rFonts w:ascii="宋体" w:hAnsi="宋体"/>
              </w:rPr>
            </w:r>
            <w:r/>
          </w:p>
        </w:tc>
        <w:tc>
          <w:tcPr>
            <w:tcW w:w="4247" w:type="dxa"/>
            <w:vAlign w:val="center"/>
            <w:textDirection w:val="lrTb"/>
            <w:noWrap/>
          </w:tcPr>
          <w:p>
            <w:pPr>
              <w:pStyle w:val="1245"/>
              <w:jc w:val="center"/>
              <w:rPr>
                <w:rStyle w:val="1246"/>
                <w:rFonts w:ascii="宋体" w:hAnsi="宋体"/>
              </w:rPr>
            </w:pPr>
            <w:r>
              <w:rPr>
                <w:rStyle w:val="1246"/>
                <w:rFonts w:ascii="宋体" w:hAnsi="宋体"/>
              </w:rPr>
              <w:t xml:space="preserve">2500</w:t>
            </w:r>
            <w:r>
              <w:rPr>
                <w:rStyle w:val="1246"/>
                <w:rFonts w:ascii="宋体" w:hAnsi="宋体"/>
              </w:rPr>
            </w:r>
            <w:r/>
          </w:p>
        </w:tc>
      </w:tr>
    </w:tbl>
    <w:p>
      <w:pPr>
        <w:pStyle w:val="1245"/>
        <w:numPr>
          <w:ilvl w:val="1"/>
          <w:numId w:val="46"/>
        </w:numPr>
        <w:rPr>
          <w:rStyle w:val="1246"/>
          <w:rFonts w:ascii="宋体" w:hAnsi="宋体"/>
          <w:b/>
        </w:rPr>
      </w:pPr>
      <w:r>
        <w:rPr>
          <w:rStyle w:val="1246"/>
          <w:rFonts w:ascii="宋体" w:hAnsi="宋体"/>
        </w:rPr>
        <w:t xml:space="preserve">冲击电压</w:t>
      </w:r>
      <w:r>
        <w:rPr>
          <w:rStyle w:val="1246"/>
          <w:rFonts w:ascii="宋体" w:hAnsi="宋体"/>
          <w:b/>
        </w:rPr>
      </w:r>
      <w:r/>
    </w:p>
    <w:p>
      <w:pPr>
        <w:pStyle w:val="1201"/>
        <w:spacing w:line="360" w:lineRule="auto"/>
        <w:tabs>
          <w:tab w:val="center" w:pos="4201" w:leader="none"/>
          <w:tab w:val="right" w:pos="9298" w:leader="dot"/>
        </w:tabs>
        <w:rPr>
          <w:rStyle w:val="1246"/>
          <w:rFonts w:hAnsi="宋体" w:cs="宋体"/>
        </w:rPr>
      </w:pPr>
      <w:r>
        <w:rPr>
          <w:rStyle w:val="1246"/>
          <w:rFonts w:hint="eastAsia" w:hAnsi="宋体" w:cs="宋体"/>
        </w:rPr>
        <w:t xml:space="preserve">在正常试验大气条件下，终端设备非电气连接的两个独立回路之间，各带电回路与金属外壳之间应能承受表18要求的冲击电压，冲击电压脉冲波形为1.2/50μs，正负极性下各施加5次，两个脉冲之间间隔不小于5s。具体回路包括：</w:t>
      </w:r>
      <w:r>
        <w:rPr>
          <w:rStyle w:val="1246"/>
          <w:rFonts w:hAnsi="宋体" w:cs="宋体"/>
        </w:rPr>
      </w:r>
      <w:r/>
    </w:p>
    <w:p>
      <w:pPr>
        <w:pStyle w:val="1201"/>
        <w:spacing w:line="360" w:lineRule="auto"/>
        <w:tabs>
          <w:tab w:val="center" w:pos="4201" w:leader="none"/>
          <w:tab w:val="right" w:pos="9298" w:leader="dot"/>
        </w:tabs>
        <w:rPr>
          <w:rFonts w:hAnsi="宋体" w:cs="宋体"/>
          <w:szCs w:val="21"/>
        </w:rPr>
      </w:pPr>
      <w:r>
        <w:rPr>
          <w:rFonts w:hAnsi="宋体" w:cs="宋体"/>
          <w:szCs w:val="21"/>
        </w:rPr>
        <w:t xml:space="preserve">1）电源回路对地</w:t>
      </w:r>
      <w:r>
        <w:rPr>
          <w:rFonts w:hint="eastAsia" w:hAnsi="宋体" w:cs="宋体"/>
          <w:szCs w:val="21"/>
        </w:rPr>
        <w:t xml:space="preserve">；</w:t>
      </w:r>
      <w:r>
        <w:rPr>
          <w:rFonts w:hAnsi="宋体" w:cs="宋体"/>
          <w:szCs w:val="21"/>
        </w:rPr>
      </w:r>
      <w:r/>
    </w:p>
    <w:p>
      <w:pPr>
        <w:pStyle w:val="1201"/>
        <w:spacing w:line="360" w:lineRule="auto"/>
        <w:tabs>
          <w:tab w:val="center" w:pos="4201" w:leader="none"/>
          <w:tab w:val="right" w:pos="9298" w:leader="dot"/>
        </w:tabs>
        <w:rPr>
          <w:rFonts w:hAnsi="宋体" w:cs="宋体"/>
          <w:b/>
          <w:szCs w:val="21"/>
        </w:rPr>
      </w:pPr>
      <w:r>
        <w:rPr>
          <w:rFonts w:hAnsi="宋体" w:cs="宋体"/>
          <w:szCs w:val="21"/>
        </w:rPr>
        <w:t xml:space="preserve">2）控制输出回路对地</w:t>
      </w:r>
      <w:r>
        <w:rPr>
          <w:rFonts w:hint="eastAsia" w:hAnsi="宋体" w:cs="宋体"/>
          <w:szCs w:val="21"/>
        </w:rPr>
        <w:t xml:space="preserve">；</w:t>
      </w:r>
      <w:r>
        <w:rPr>
          <w:rFonts w:hAnsi="宋体" w:cs="宋体"/>
          <w:b/>
          <w:szCs w:val="21"/>
        </w:rPr>
      </w:r>
      <w:r/>
    </w:p>
    <w:p>
      <w:pPr>
        <w:pStyle w:val="1201"/>
        <w:spacing w:line="360" w:lineRule="auto"/>
        <w:tabs>
          <w:tab w:val="center" w:pos="4201" w:leader="none"/>
          <w:tab w:val="right" w:pos="9298" w:leader="dot"/>
        </w:tabs>
        <w:rPr>
          <w:rFonts w:hAnsi="宋体" w:cs="宋体"/>
          <w:b/>
          <w:szCs w:val="21"/>
        </w:rPr>
      </w:pPr>
      <w:r>
        <w:rPr>
          <w:rFonts w:hAnsi="宋体" w:cs="宋体"/>
          <w:szCs w:val="21"/>
        </w:rPr>
        <w:t xml:space="preserve">3）状态输入回路对地</w:t>
      </w:r>
      <w:r>
        <w:rPr>
          <w:rFonts w:hint="eastAsia" w:hAnsi="宋体" w:cs="宋体"/>
          <w:szCs w:val="21"/>
        </w:rPr>
        <w:t xml:space="preserve">；</w:t>
      </w:r>
      <w:r>
        <w:rPr>
          <w:rFonts w:hAnsi="宋体" w:cs="宋体"/>
          <w:b/>
          <w:szCs w:val="21"/>
        </w:rPr>
      </w:r>
      <w:r/>
    </w:p>
    <w:p>
      <w:pPr>
        <w:pStyle w:val="1201"/>
        <w:spacing w:line="360" w:lineRule="auto"/>
        <w:tabs>
          <w:tab w:val="center" w:pos="4201" w:leader="none"/>
          <w:tab w:val="right" w:pos="9298" w:leader="dot"/>
        </w:tabs>
        <w:rPr>
          <w:rFonts w:hAnsi="宋体" w:cs="宋体"/>
          <w:szCs w:val="21"/>
        </w:rPr>
      </w:pPr>
      <w:r>
        <w:rPr>
          <w:rFonts w:hAnsi="宋体" w:cs="宋体"/>
          <w:szCs w:val="21"/>
        </w:rPr>
        <w:t xml:space="preserve">4）交流工频电流输入回路对地</w:t>
      </w:r>
      <w:r>
        <w:rPr>
          <w:rFonts w:hint="eastAsia" w:hAnsi="宋体" w:cs="宋体"/>
          <w:szCs w:val="21"/>
        </w:rPr>
        <w:t xml:space="preserve">；</w:t>
      </w:r>
      <w:r>
        <w:rPr>
          <w:rFonts w:hAnsi="宋体" w:cs="宋体"/>
          <w:szCs w:val="21"/>
        </w:rPr>
      </w:r>
      <w:r/>
    </w:p>
    <w:p>
      <w:pPr>
        <w:pStyle w:val="1201"/>
        <w:spacing w:line="360" w:lineRule="auto"/>
        <w:tabs>
          <w:tab w:val="center" w:pos="4201" w:leader="none"/>
          <w:tab w:val="right" w:pos="9298" w:leader="dot"/>
        </w:tabs>
        <w:rPr>
          <w:rFonts w:hAnsi="宋体" w:cs="宋体"/>
          <w:szCs w:val="21"/>
        </w:rPr>
      </w:pPr>
      <w:r>
        <w:rPr>
          <w:rFonts w:hAnsi="宋体" w:cs="宋体"/>
          <w:szCs w:val="21"/>
        </w:rPr>
        <w:t xml:space="preserve">5）交流工频电压输入回路对地</w:t>
      </w:r>
      <w:r>
        <w:rPr>
          <w:rFonts w:hint="eastAsia" w:hAnsi="宋体" w:cs="宋体"/>
          <w:szCs w:val="21"/>
        </w:rPr>
        <w:t xml:space="preserve">；</w:t>
      </w:r>
      <w:r>
        <w:rPr>
          <w:rFonts w:hAnsi="宋体" w:cs="宋体"/>
          <w:szCs w:val="21"/>
        </w:rPr>
      </w:r>
      <w:r/>
    </w:p>
    <w:p>
      <w:pPr>
        <w:pStyle w:val="1201"/>
        <w:spacing w:line="360" w:lineRule="auto"/>
        <w:tabs>
          <w:tab w:val="center" w:pos="4201" w:leader="none"/>
          <w:tab w:val="right" w:pos="9298" w:leader="dot"/>
        </w:tabs>
        <w:rPr>
          <w:rFonts w:hAnsi="宋体" w:cs="宋体"/>
          <w:szCs w:val="21"/>
        </w:rPr>
      </w:pPr>
      <w:r>
        <w:rPr>
          <w:rFonts w:hAnsi="宋体" w:cs="宋体"/>
          <w:szCs w:val="21"/>
        </w:rPr>
        <w:t xml:space="preserve">6）交流工频电流输入回路与交流工频电压输入回路之间</w:t>
      </w:r>
      <w:r>
        <w:rPr>
          <w:rFonts w:hint="eastAsia" w:hAnsi="宋体" w:cs="宋体"/>
          <w:szCs w:val="21"/>
        </w:rPr>
        <w:t xml:space="preserve">。</w:t>
      </w:r>
      <w:r>
        <w:rPr>
          <w:rFonts w:hAnsi="宋体" w:cs="宋体"/>
          <w:szCs w:val="21"/>
        </w:rPr>
      </w:r>
      <w:r/>
    </w:p>
    <w:p>
      <w:pPr>
        <w:pStyle w:val="1151"/>
        <w:jc w:val="center"/>
        <w:widowControl/>
        <w:tabs>
          <w:tab w:val="left" w:pos="360" w:leader="none"/>
        </w:tabs>
        <w:rPr>
          <w:rFonts w:ascii="宋体" w:hAnsi="宋体" w:cs="宋体"/>
          <w:szCs w:val="21"/>
        </w:rPr>
      </w:pPr>
      <w:r>
        <w:rPr>
          <w:rFonts w:hint="eastAsia" w:ascii="宋体" w:hAnsi="宋体" w:cs="宋体"/>
          <w:szCs w:val="21"/>
        </w:rPr>
        <w:t xml:space="preserve">表18 冲击试验电压</w:t>
      </w:r>
      <w:r>
        <w:rPr>
          <w:rFonts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19"/>
        <w:gridCol w:w="2019"/>
        <w:gridCol w:w="2019"/>
        <w:gridCol w:w="2019"/>
      </w:tblGrid>
      <w:tr>
        <w:trPr>
          <w:trHeight w:val="397"/>
        </w:trPr>
        <w:tc>
          <w:tcPr>
            <w:tcW w:w="2019" w:type="dxa"/>
            <w:vAlign w:val="center"/>
            <w:textDirection w:val="lrTb"/>
            <w:noWrap w:val="false"/>
          </w:tcPr>
          <w:p>
            <w:pPr>
              <w:pStyle w:val="1201"/>
              <w:ind w:firstLine="0"/>
              <w:jc w:val="center"/>
              <w:tabs>
                <w:tab w:val="center" w:pos="4201" w:leader="none"/>
                <w:tab w:val="right" w:pos="9298" w:leader="dot"/>
              </w:tabs>
              <w:rPr>
                <w:rFonts w:hAnsi="宋体" w:cs="宋体"/>
                <w:szCs w:val="21"/>
              </w:rPr>
            </w:pPr>
            <w:r>
              <w:rPr>
                <w:rFonts w:hint="eastAsia" w:hAnsi="宋体" w:cs="宋体"/>
                <w:szCs w:val="21"/>
              </w:rPr>
              <w:t xml:space="preserve">额定</w:t>
            </w:r>
            <w:r>
              <w:rPr>
                <w:rFonts w:hAnsi="宋体" w:cs="宋体"/>
                <w:szCs w:val="21"/>
              </w:rPr>
              <w:t xml:space="preserve">绝缘电压</w:t>
            </w:r>
            <w:r>
              <w:rPr>
                <w:rFonts w:hint="eastAsia" w:hAnsi="宋体" w:cs="宋体"/>
                <w:szCs w:val="21"/>
              </w:rPr>
              <w:t xml:space="preserve">（V）</w:t>
            </w:r>
            <w:r>
              <w:rPr>
                <w:rFonts w:hAnsi="宋体" w:cs="宋体"/>
                <w:szCs w:val="21"/>
              </w:rPr>
            </w:r>
            <w:r/>
          </w:p>
        </w:tc>
        <w:tc>
          <w:tcPr>
            <w:tcW w:w="2019" w:type="dxa"/>
            <w:vAlign w:val="center"/>
            <w:textDirection w:val="lrTb"/>
            <w:noWrap w:val="false"/>
          </w:tcPr>
          <w:p>
            <w:pPr>
              <w:pStyle w:val="1201"/>
              <w:ind w:firstLine="0"/>
              <w:jc w:val="center"/>
              <w:tabs>
                <w:tab w:val="center" w:pos="4201" w:leader="none"/>
                <w:tab w:val="right" w:pos="9298" w:leader="dot"/>
              </w:tabs>
              <w:rPr>
                <w:rFonts w:hAnsi="宋体" w:cs="宋体"/>
                <w:szCs w:val="21"/>
              </w:rPr>
            </w:pPr>
            <w:r>
              <w:rPr>
                <w:rFonts w:hint="eastAsia" w:hAnsi="宋体" w:cs="宋体"/>
                <w:szCs w:val="21"/>
              </w:rPr>
              <w:t xml:space="preserve">试验</w:t>
            </w:r>
            <w:r>
              <w:rPr>
                <w:rFonts w:hAnsi="宋体" w:cs="宋体"/>
                <w:szCs w:val="21"/>
              </w:rPr>
              <w:t xml:space="preserve">电压有效值</w:t>
            </w:r>
            <w:r>
              <w:rPr>
                <w:rStyle w:val="1246"/>
                <w:rFonts w:hint="eastAsia" w:hAnsi="宋体" w:cs="宋体"/>
              </w:rPr>
              <w:t xml:space="preserve">（V）</w:t>
            </w:r>
            <w:r>
              <w:rPr>
                <w:rFonts w:hAnsi="宋体" w:cs="宋体"/>
                <w:szCs w:val="21"/>
              </w:rPr>
            </w:r>
            <w:r/>
          </w:p>
        </w:tc>
        <w:tc>
          <w:tcPr>
            <w:tcW w:w="2019" w:type="dxa"/>
            <w:vAlign w:val="center"/>
            <w:textDirection w:val="lrTb"/>
            <w:noWrap w:val="false"/>
          </w:tcPr>
          <w:p>
            <w:pPr>
              <w:pStyle w:val="1201"/>
              <w:ind w:firstLine="0"/>
              <w:jc w:val="center"/>
              <w:tabs>
                <w:tab w:val="center" w:pos="4201" w:leader="none"/>
                <w:tab w:val="right" w:pos="9298" w:leader="dot"/>
              </w:tabs>
              <w:rPr>
                <w:rFonts w:hAnsi="宋体" w:cs="宋体"/>
                <w:szCs w:val="21"/>
              </w:rPr>
            </w:pPr>
            <w:r>
              <w:rPr>
                <w:rFonts w:hint="eastAsia" w:hAnsi="宋体" w:cs="宋体"/>
                <w:szCs w:val="21"/>
              </w:rPr>
              <w:t xml:space="preserve">额定</w:t>
            </w:r>
            <w:r>
              <w:rPr>
                <w:rFonts w:hAnsi="宋体" w:cs="宋体"/>
                <w:szCs w:val="21"/>
              </w:rPr>
              <w:t xml:space="preserve">绝缘电压</w:t>
            </w:r>
            <w:r>
              <w:rPr>
                <w:rStyle w:val="1246"/>
                <w:rFonts w:hint="eastAsia" w:hAnsi="宋体" w:cs="宋体"/>
              </w:rPr>
              <w:t xml:space="preserve">（V）</w:t>
            </w:r>
            <w:r>
              <w:rPr>
                <w:rFonts w:hAnsi="宋体" w:cs="宋体"/>
                <w:szCs w:val="21"/>
              </w:rPr>
            </w:r>
            <w:r/>
          </w:p>
        </w:tc>
        <w:tc>
          <w:tcPr>
            <w:tcW w:w="2019" w:type="dxa"/>
            <w:vAlign w:val="center"/>
            <w:textDirection w:val="lrTb"/>
            <w:noWrap w:val="false"/>
          </w:tcPr>
          <w:p>
            <w:pPr>
              <w:pStyle w:val="1201"/>
              <w:ind w:firstLine="0"/>
              <w:jc w:val="center"/>
              <w:tabs>
                <w:tab w:val="center" w:pos="4201" w:leader="none"/>
                <w:tab w:val="right" w:pos="9298" w:leader="dot"/>
              </w:tabs>
              <w:rPr>
                <w:rFonts w:hAnsi="宋体" w:cs="宋体"/>
                <w:szCs w:val="21"/>
              </w:rPr>
            </w:pPr>
            <w:r>
              <w:rPr>
                <w:rFonts w:hint="eastAsia" w:hAnsi="宋体" w:cs="宋体"/>
                <w:szCs w:val="21"/>
              </w:rPr>
              <w:t xml:space="preserve">试验</w:t>
            </w:r>
            <w:r>
              <w:rPr>
                <w:rFonts w:hAnsi="宋体" w:cs="宋体"/>
                <w:szCs w:val="21"/>
              </w:rPr>
              <w:t xml:space="preserve">电压有效值</w:t>
            </w:r>
            <w:r>
              <w:rPr>
                <w:rStyle w:val="1246"/>
                <w:rFonts w:hint="eastAsia" w:hAnsi="宋体" w:cs="宋体"/>
              </w:rPr>
              <w:t xml:space="preserve">（V）</w:t>
            </w:r>
            <w:r>
              <w:rPr>
                <w:rFonts w:hAnsi="宋体" w:cs="宋体"/>
                <w:szCs w:val="21"/>
              </w:rPr>
            </w:r>
            <w:r/>
          </w:p>
        </w:tc>
      </w:tr>
      <w:tr>
        <w:trPr>
          <w:trHeight w:val="397"/>
        </w:trPr>
        <w:tc>
          <w:tcPr>
            <w:tcW w:w="2019" w:type="dxa"/>
            <w:vAlign w:val="center"/>
            <w:textDirection w:val="lrTb"/>
            <w:noWrap w:val="false"/>
          </w:tcPr>
          <w:p>
            <w:pPr>
              <w:pStyle w:val="1201"/>
              <w:ind w:firstLine="0"/>
              <w:jc w:val="center"/>
              <w:tabs>
                <w:tab w:val="center" w:pos="4201" w:leader="none"/>
                <w:tab w:val="right" w:pos="9298" w:leader="dot"/>
              </w:tabs>
              <w:rPr>
                <w:rFonts w:hAnsi="宋体" w:cs="宋体"/>
                <w:szCs w:val="21"/>
              </w:rPr>
            </w:pPr>
            <w:r>
              <w:rPr>
                <w:rFonts w:hAnsi="宋体" w:cs="宋体"/>
                <w:szCs w:val="21"/>
              </w:rPr>
              <w:t xml:space="preserve">U≤60</w:t>
            </w:r>
            <w:r>
              <w:rPr>
                <w:rFonts w:hAnsi="宋体" w:cs="宋体"/>
                <w:szCs w:val="21"/>
              </w:rPr>
            </w:r>
            <w:r/>
          </w:p>
        </w:tc>
        <w:tc>
          <w:tcPr>
            <w:tcW w:w="2019" w:type="dxa"/>
            <w:vAlign w:val="center"/>
            <w:textDirection w:val="lrTb"/>
            <w:noWrap w:val="false"/>
          </w:tcPr>
          <w:p>
            <w:pPr>
              <w:pStyle w:val="1201"/>
              <w:ind w:firstLine="0"/>
              <w:jc w:val="center"/>
              <w:tabs>
                <w:tab w:val="center" w:pos="4201" w:leader="none"/>
                <w:tab w:val="right" w:pos="9298" w:leader="dot"/>
              </w:tabs>
              <w:rPr>
                <w:rFonts w:hAnsi="宋体" w:cs="宋体"/>
                <w:szCs w:val="21"/>
              </w:rPr>
            </w:pPr>
            <w:r>
              <w:rPr>
                <w:rFonts w:hAnsi="宋体" w:cs="宋体"/>
                <w:szCs w:val="21"/>
              </w:rPr>
              <w:t xml:space="preserve">1000</w:t>
            </w:r>
            <w:r>
              <w:rPr>
                <w:rFonts w:hAnsi="宋体" w:cs="宋体"/>
                <w:szCs w:val="21"/>
              </w:rPr>
            </w:r>
            <w:r/>
          </w:p>
        </w:tc>
        <w:tc>
          <w:tcPr>
            <w:tcW w:w="2019" w:type="dxa"/>
            <w:vAlign w:val="center"/>
            <w:textDirection w:val="lrTb"/>
            <w:noWrap w:val="false"/>
          </w:tcPr>
          <w:p>
            <w:pPr>
              <w:pStyle w:val="1201"/>
              <w:ind w:firstLine="0"/>
              <w:jc w:val="center"/>
              <w:tabs>
                <w:tab w:val="center" w:pos="4201" w:leader="none"/>
                <w:tab w:val="right" w:pos="9298" w:leader="dot"/>
              </w:tabs>
              <w:rPr>
                <w:rFonts w:hAnsi="宋体" w:cs="宋体"/>
                <w:szCs w:val="21"/>
              </w:rPr>
            </w:pPr>
            <w:r>
              <w:rPr>
                <w:rFonts w:hAnsi="宋体" w:cs="宋体"/>
                <w:szCs w:val="21"/>
              </w:rPr>
              <w:t xml:space="preserve">125</w:t>
            </w:r>
            <w:r>
              <w:rPr>
                <w:rFonts w:hint="eastAsia" w:hAnsi="宋体" w:cs="宋体"/>
                <w:szCs w:val="21"/>
              </w:rPr>
              <w:t xml:space="preserve">＜</w:t>
            </w:r>
            <w:r>
              <w:rPr>
                <w:rFonts w:hAnsi="宋体" w:cs="宋体"/>
                <w:szCs w:val="21"/>
              </w:rPr>
              <w:t xml:space="preserve">U≤250</w:t>
            </w:r>
            <w:r>
              <w:rPr>
                <w:rFonts w:hAnsi="宋体" w:cs="宋体"/>
                <w:szCs w:val="21"/>
              </w:rPr>
            </w:r>
            <w:r/>
          </w:p>
        </w:tc>
        <w:tc>
          <w:tcPr>
            <w:tcW w:w="2019" w:type="dxa"/>
            <w:vAlign w:val="center"/>
            <w:textDirection w:val="lrTb"/>
            <w:noWrap w:val="false"/>
          </w:tcPr>
          <w:p>
            <w:pPr>
              <w:pStyle w:val="1201"/>
              <w:ind w:firstLine="0"/>
              <w:jc w:val="center"/>
              <w:tabs>
                <w:tab w:val="center" w:pos="4201" w:leader="none"/>
                <w:tab w:val="right" w:pos="9298" w:leader="dot"/>
              </w:tabs>
              <w:rPr>
                <w:rFonts w:hAnsi="宋体" w:cs="宋体"/>
                <w:szCs w:val="21"/>
              </w:rPr>
            </w:pPr>
            <w:r>
              <w:rPr>
                <w:rFonts w:hAnsi="宋体" w:cs="宋体"/>
                <w:szCs w:val="21"/>
              </w:rPr>
              <w:t xml:space="preserve">5000</w:t>
            </w:r>
            <w:r>
              <w:rPr>
                <w:rFonts w:hAnsi="宋体" w:cs="宋体"/>
                <w:szCs w:val="21"/>
              </w:rPr>
            </w:r>
            <w:r/>
          </w:p>
        </w:tc>
      </w:tr>
      <w:tr>
        <w:trPr>
          <w:trHeight w:val="397"/>
        </w:trPr>
        <w:tc>
          <w:tcPr>
            <w:tcW w:w="2019" w:type="dxa"/>
            <w:vAlign w:val="center"/>
            <w:textDirection w:val="lrTb"/>
            <w:noWrap w:val="false"/>
          </w:tcPr>
          <w:p>
            <w:pPr>
              <w:pStyle w:val="1201"/>
              <w:ind w:firstLine="0"/>
              <w:jc w:val="center"/>
              <w:tabs>
                <w:tab w:val="center" w:pos="4201" w:leader="none"/>
                <w:tab w:val="right" w:pos="9298" w:leader="dot"/>
              </w:tabs>
              <w:rPr>
                <w:rFonts w:hAnsi="宋体" w:cs="宋体"/>
                <w:szCs w:val="21"/>
              </w:rPr>
            </w:pPr>
            <w:r>
              <w:rPr>
                <w:rFonts w:hAnsi="宋体" w:cs="宋体"/>
                <w:szCs w:val="21"/>
              </w:rPr>
              <w:t xml:space="preserve">60＜U≤125</w:t>
            </w:r>
            <w:r>
              <w:rPr>
                <w:rFonts w:hAnsi="宋体" w:cs="宋体"/>
                <w:szCs w:val="21"/>
              </w:rPr>
            </w:r>
            <w:r/>
          </w:p>
        </w:tc>
        <w:tc>
          <w:tcPr>
            <w:tcW w:w="2019" w:type="dxa"/>
            <w:vAlign w:val="center"/>
            <w:textDirection w:val="lrTb"/>
            <w:noWrap w:val="false"/>
          </w:tcPr>
          <w:p>
            <w:pPr>
              <w:pStyle w:val="1201"/>
              <w:ind w:firstLine="0"/>
              <w:jc w:val="center"/>
              <w:tabs>
                <w:tab w:val="center" w:pos="4201" w:leader="none"/>
                <w:tab w:val="right" w:pos="9298" w:leader="dot"/>
              </w:tabs>
              <w:rPr>
                <w:rFonts w:hAnsi="宋体" w:cs="宋体"/>
                <w:szCs w:val="21"/>
              </w:rPr>
            </w:pPr>
            <w:r>
              <w:rPr>
                <w:rFonts w:hAnsi="宋体" w:cs="宋体"/>
                <w:szCs w:val="21"/>
              </w:rPr>
              <w:t xml:space="preserve">5000</w:t>
            </w:r>
            <w:r>
              <w:rPr>
                <w:rFonts w:hAnsi="宋体" w:cs="宋体"/>
                <w:szCs w:val="21"/>
              </w:rPr>
            </w:r>
            <w:r/>
          </w:p>
        </w:tc>
        <w:tc>
          <w:tcPr>
            <w:tcW w:w="2019" w:type="dxa"/>
            <w:vAlign w:val="center"/>
            <w:textDirection w:val="lrTb"/>
            <w:noWrap w:val="false"/>
          </w:tcPr>
          <w:p>
            <w:pPr>
              <w:pStyle w:val="1201"/>
              <w:ind w:firstLine="0"/>
              <w:jc w:val="center"/>
              <w:tabs>
                <w:tab w:val="center" w:pos="4201" w:leader="none"/>
                <w:tab w:val="right" w:pos="9298" w:leader="dot"/>
              </w:tabs>
              <w:rPr>
                <w:rFonts w:hAnsi="宋体" w:cs="宋体"/>
                <w:szCs w:val="21"/>
              </w:rPr>
            </w:pPr>
            <w:r>
              <w:rPr>
                <w:rFonts w:hAnsi="宋体" w:cs="宋体"/>
                <w:szCs w:val="21"/>
              </w:rPr>
              <w:t xml:space="preserve">250</w:t>
            </w:r>
            <w:r>
              <w:rPr>
                <w:rFonts w:hint="eastAsia" w:hAnsi="宋体" w:cs="宋体"/>
                <w:szCs w:val="21"/>
              </w:rPr>
              <w:t xml:space="preserve">＜</w:t>
            </w:r>
            <w:r>
              <w:rPr>
                <w:rFonts w:hAnsi="宋体" w:cs="宋体"/>
                <w:szCs w:val="21"/>
              </w:rPr>
              <w:t xml:space="preserve">U≤400</w:t>
            </w:r>
            <w:r>
              <w:rPr>
                <w:rFonts w:hAnsi="宋体" w:cs="宋体"/>
                <w:szCs w:val="21"/>
              </w:rPr>
            </w:r>
            <w:r/>
          </w:p>
        </w:tc>
        <w:tc>
          <w:tcPr>
            <w:tcW w:w="2019" w:type="dxa"/>
            <w:vAlign w:val="center"/>
            <w:textDirection w:val="lrTb"/>
            <w:noWrap w:val="false"/>
          </w:tcPr>
          <w:p>
            <w:pPr>
              <w:pStyle w:val="1201"/>
              <w:ind w:firstLine="0"/>
              <w:jc w:val="center"/>
              <w:tabs>
                <w:tab w:val="center" w:pos="4201" w:leader="none"/>
                <w:tab w:val="right" w:pos="9298" w:leader="dot"/>
              </w:tabs>
              <w:rPr>
                <w:rFonts w:hAnsi="宋体" w:cs="宋体"/>
                <w:szCs w:val="21"/>
              </w:rPr>
            </w:pPr>
            <w:r>
              <w:rPr>
                <w:rFonts w:hAnsi="宋体" w:cs="宋体"/>
                <w:szCs w:val="21"/>
              </w:rPr>
              <w:t xml:space="preserve">6000</w:t>
            </w:r>
            <w:r>
              <w:rPr>
                <w:rFonts w:hAnsi="宋体" w:cs="宋体"/>
                <w:szCs w:val="21"/>
              </w:rPr>
            </w:r>
            <w:r/>
          </w:p>
        </w:tc>
      </w:tr>
    </w:tbl>
    <w:p>
      <w:pPr>
        <w:pStyle w:val="1245"/>
        <w:ind w:firstLine="420"/>
        <w:rPr>
          <w:rStyle w:val="1246"/>
          <w:rFonts w:hAnsi="宋体"/>
        </w:rPr>
      </w:pPr>
      <w:r>
        <w:rPr>
          <w:rFonts w:hint="eastAsia" w:hAnsi="宋体" w:cs="宋体"/>
          <w:szCs w:val="21"/>
        </w:rPr>
        <w:t xml:space="preserve">冲击试验后，终端</w:t>
      </w:r>
      <w:r>
        <w:rPr>
          <w:rFonts w:hAnsi="宋体" w:cs="宋体"/>
          <w:szCs w:val="21"/>
        </w:rPr>
        <w:t xml:space="preserve">各项</w:t>
      </w:r>
      <w:r>
        <w:rPr>
          <w:rFonts w:hint="eastAsia" w:hAnsi="宋体" w:cs="宋体"/>
          <w:szCs w:val="21"/>
        </w:rPr>
        <w:t xml:space="preserve">功能</w:t>
      </w:r>
      <w:r>
        <w:rPr>
          <w:rFonts w:hAnsi="宋体" w:cs="宋体"/>
          <w:szCs w:val="21"/>
        </w:rPr>
        <w:t xml:space="preserve">、性能指标满足</w:t>
      </w:r>
      <w:r>
        <w:rPr>
          <w:rFonts w:hint="eastAsia" w:hAnsi="宋体" w:cs="宋体"/>
          <w:szCs w:val="21"/>
        </w:rPr>
        <w:t xml:space="preserve">相关</w:t>
      </w:r>
      <w:r>
        <w:rPr>
          <w:rFonts w:hAnsi="宋体" w:cs="宋体"/>
          <w:szCs w:val="21"/>
        </w:rPr>
        <w:t xml:space="preserve">要求</w:t>
      </w:r>
      <w:r>
        <w:rPr>
          <w:rFonts w:hint="eastAsia" w:hAnsi="宋体" w:cs="宋体"/>
          <w:szCs w:val="21"/>
        </w:rPr>
        <w:t xml:space="preserve">，</w:t>
      </w:r>
      <w:r>
        <w:rPr>
          <w:rFonts w:hint="eastAsia" w:hAnsi="宋体" w:cs="宋体"/>
          <w:szCs w:val="21"/>
        </w:rPr>
        <w:t xml:space="preserve">交流工频电量测量的基本误差应满足其等级指标要求。</w:t>
      </w:r>
      <w:r>
        <w:rPr>
          <w:rStyle w:val="1246"/>
          <w:rFonts w:hAnsi="宋体"/>
        </w:rPr>
      </w:r>
      <w:r/>
    </w:p>
    <w:p>
      <w:pPr>
        <w:pStyle w:val="1151"/>
        <w:spacing w:line="312" w:lineRule="exact"/>
        <w:rPr>
          <w:rFonts w:eastAsia="黑体"/>
          <w:szCs w:val="21"/>
        </w:rPr>
        <w:outlineLvl w:val="2"/>
      </w:pPr>
      <w:r>
        <w:rPr>
          <w:rFonts w:hint="eastAsia" w:eastAsia="黑体"/>
          <w:szCs w:val="21"/>
        </w:rPr>
        <w:t xml:space="preserve">5</w:t>
      </w:r>
      <w:r>
        <w:rPr>
          <w:rFonts w:eastAsia="黑体"/>
          <w:szCs w:val="21"/>
        </w:rPr>
        <w:t xml:space="preserve">.</w:t>
      </w:r>
      <w:r>
        <w:rPr>
          <w:rFonts w:hint="eastAsia" w:eastAsia="黑体"/>
          <w:szCs w:val="21"/>
        </w:rPr>
        <w:t xml:space="preserve">3</w:t>
      </w:r>
      <w:r>
        <w:rPr>
          <w:rFonts w:eastAsia="黑体"/>
          <w:szCs w:val="21"/>
        </w:rPr>
        <w:t xml:space="preserve">.8 </w:t>
      </w:r>
      <w:r>
        <w:rPr>
          <w:rFonts w:hint="eastAsia" w:eastAsia="黑体"/>
          <w:szCs w:val="21"/>
        </w:rPr>
        <w:t xml:space="preserve">电磁兼容性</w:t>
      </w:r>
      <w:r>
        <w:rPr>
          <w:rFonts w:eastAsia="黑体"/>
          <w:szCs w:val="21"/>
        </w:rPr>
      </w:r>
      <w:r/>
    </w:p>
    <w:p>
      <w:pPr>
        <w:pStyle w:val="1245"/>
        <w:numPr>
          <w:ilvl w:val="0"/>
          <w:numId w:val="47"/>
        </w:numPr>
        <w:rPr>
          <w:rStyle w:val="1246"/>
          <w:rFonts w:ascii="宋体" w:hAnsi="宋体"/>
          <w:b/>
        </w:rPr>
      </w:pPr>
      <w:r/>
      <w:bookmarkStart w:id="258" w:name="_Toc34988242"/>
      <w:r>
        <w:rPr>
          <w:rStyle w:val="1246"/>
          <w:rFonts w:ascii="宋体" w:hAnsi="宋体"/>
        </w:rPr>
        <w:t xml:space="preserve">电压突降和电压中断适应能力</w:t>
      </w:r>
      <w:r>
        <w:rPr>
          <w:rStyle w:val="1246"/>
          <w:rFonts w:hint="eastAsia" w:ascii="宋体" w:hAnsi="宋体"/>
        </w:rPr>
        <w:t xml:space="preserve">要求</w:t>
      </w:r>
      <w:r>
        <w:rPr>
          <w:rStyle w:val="1246"/>
          <w:rFonts w:ascii="宋体" w:hAnsi="宋体"/>
          <w:b/>
        </w:rPr>
      </w:r>
      <w:r/>
    </w:p>
    <w:p>
      <w:pPr>
        <w:pStyle w:val="1201"/>
        <w:jc w:val="left"/>
        <w:spacing w:line="360" w:lineRule="auto"/>
        <w:tabs>
          <w:tab w:val="center" w:pos="4201" w:leader="none"/>
          <w:tab w:val="right" w:pos="9298" w:leader="dot"/>
        </w:tabs>
        <w:rPr>
          <w:rStyle w:val="1246"/>
          <w:rFonts w:hAnsi="宋体" w:cs="宋体"/>
        </w:rPr>
      </w:pPr>
      <w:r>
        <w:rPr>
          <w:rStyle w:val="1246"/>
          <w:rFonts w:hint="eastAsia" w:hAnsi="宋体" w:cs="宋体"/>
        </w:rPr>
        <w:t xml:space="preserve">测试时断开终端后备电源，按GB/T 17626.11中的有关规定执行。</w:t>
      </w:r>
      <w:r>
        <w:rPr>
          <w:rStyle w:val="1246"/>
          <w:rFonts w:hAnsi="宋体" w:cs="宋体"/>
        </w:rPr>
      </w:r>
      <w:r/>
    </w:p>
    <w:p>
      <w:pPr>
        <w:pStyle w:val="1201"/>
        <w:numPr>
          <w:ilvl w:val="0"/>
          <w:numId w:val="48"/>
        </w:numPr>
        <w:ind w:left="0" w:firstLine="420"/>
        <w:jc w:val="left"/>
        <w:spacing w:line="360" w:lineRule="auto"/>
        <w:widowControl w:val="off"/>
        <w:rPr>
          <w:rStyle w:val="1246"/>
          <w:rFonts w:hAnsi="宋体" w:cs="宋体"/>
        </w:rPr>
      </w:pPr>
      <w:r>
        <w:rPr>
          <w:rStyle w:val="1246"/>
          <w:rFonts w:hint="eastAsia" w:hAnsi="宋体" w:cs="宋体"/>
        </w:rPr>
        <w:t xml:space="preserve">电压试验等级0% UT：</w:t>
      </w:r>
      <w:r>
        <w:rPr>
          <w:rStyle w:val="1246"/>
          <w:rFonts w:hAnsi="宋体" w:cs="宋体"/>
        </w:rPr>
      </w:r>
      <w:r/>
    </w:p>
    <w:p>
      <w:pPr>
        <w:pStyle w:val="1201"/>
        <w:numPr>
          <w:ilvl w:val="0"/>
          <w:numId w:val="48"/>
        </w:numPr>
        <w:ind w:left="0" w:firstLine="420"/>
        <w:jc w:val="left"/>
        <w:spacing w:line="360" w:lineRule="auto"/>
        <w:widowControl w:val="off"/>
        <w:rPr>
          <w:rStyle w:val="1246"/>
          <w:rFonts w:hAnsi="宋体" w:cs="宋体"/>
        </w:rPr>
      </w:pPr>
      <w:r>
        <w:rPr>
          <w:rStyle w:val="1246"/>
          <w:rFonts w:hint="eastAsia" w:hAnsi="宋体" w:cs="宋体"/>
        </w:rPr>
        <w:t xml:space="preserve">从额定电压暂降100%；</w:t>
      </w:r>
      <w:r>
        <w:rPr>
          <w:rStyle w:val="1246"/>
          <w:rFonts w:hAnsi="宋体" w:cs="宋体"/>
        </w:rPr>
      </w:r>
      <w:r/>
    </w:p>
    <w:p>
      <w:pPr>
        <w:pStyle w:val="1201"/>
        <w:numPr>
          <w:ilvl w:val="0"/>
          <w:numId w:val="48"/>
        </w:numPr>
        <w:ind w:left="0" w:firstLine="420"/>
        <w:jc w:val="left"/>
        <w:spacing w:line="360" w:lineRule="auto"/>
        <w:widowControl w:val="off"/>
        <w:rPr>
          <w:rStyle w:val="1246"/>
          <w:rFonts w:hAnsi="宋体" w:cs="宋体"/>
        </w:rPr>
      </w:pPr>
      <w:r>
        <w:rPr>
          <w:rStyle w:val="1246"/>
          <w:rFonts w:hint="eastAsia" w:hAnsi="宋体" w:cs="宋体"/>
        </w:rPr>
        <w:t xml:space="preserve">持续时间：0.5s，25个周期；</w:t>
      </w:r>
      <w:r>
        <w:rPr>
          <w:rStyle w:val="1246"/>
          <w:rFonts w:hAnsi="宋体" w:cs="宋体"/>
        </w:rPr>
      </w:r>
      <w:r/>
    </w:p>
    <w:p>
      <w:pPr>
        <w:pStyle w:val="1201"/>
        <w:numPr>
          <w:ilvl w:val="0"/>
          <w:numId w:val="48"/>
        </w:numPr>
        <w:ind w:left="0" w:firstLine="420"/>
        <w:jc w:val="left"/>
        <w:spacing w:line="360" w:lineRule="auto"/>
        <w:widowControl w:val="off"/>
        <w:rPr>
          <w:rStyle w:val="1246"/>
          <w:rFonts w:hAnsi="宋体" w:cs="宋体"/>
        </w:rPr>
      </w:pPr>
      <w:r>
        <w:rPr>
          <w:rStyle w:val="1246"/>
          <w:rFonts w:hint="eastAsia" w:hAnsi="宋体" w:cs="宋体"/>
        </w:rPr>
        <w:t xml:space="preserve">中断次数：3次，各次中断之间的恢复时间为</w:t>
      </w:r>
      <w:r>
        <w:rPr>
          <w:rStyle w:val="1246"/>
          <w:rFonts w:hAnsi="宋体" w:cs="宋体"/>
        </w:rPr>
        <w:t xml:space="preserve">10s</w:t>
      </w:r>
      <w:r>
        <w:rPr>
          <w:rStyle w:val="1246"/>
          <w:rFonts w:hint="eastAsia" w:hAnsi="宋体" w:cs="宋体"/>
        </w:rPr>
        <w:t xml:space="preserve">。</w:t>
      </w:r>
      <w:r>
        <w:rPr>
          <w:rStyle w:val="1246"/>
          <w:rFonts w:hAnsi="宋体" w:cs="宋体"/>
        </w:rPr>
      </w:r>
      <w:r/>
    </w:p>
    <w:p>
      <w:pPr>
        <w:pStyle w:val="1201"/>
        <w:jc w:val="left"/>
        <w:spacing w:line="360" w:lineRule="auto"/>
        <w:tabs>
          <w:tab w:val="center" w:pos="4201" w:leader="none"/>
          <w:tab w:val="right" w:pos="9298" w:leader="dot"/>
        </w:tabs>
        <w:rPr>
          <w:rStyle w:val="1246"/>
          <w:rFonts w:hAnsi="宋体" w:cs="宋体"/>
        </w:rPr>
      </w:pPr>
      <w:r>
        <w:rPr>
          <w:rStyle w:val="1246"/>
          <w:rFonts w:hint="eastAsia" w:hAnsi="宋体" w:cs="宋体"/>
        </w:rPr>
        <w:t xml:space="preserve">以上电源电压的突变发生在电压过零处。</w:t>
      </w:r>
      <w:r>
        <w:rPr>
          <w:rStyle w:val="1246"/>
          <w:rFonts w:hAnsi="宋体" w:cs="宋体"/>
        </w:rPr>
      </w:r>
      <w:r/>
    </w:p>
    <w:p>
      <w:pPr>
        <w:pStyle w:val="1245"/>
        <w:ind w:firstLine="420"/>
        <w:rPr>
          <w:rStyle w:val="1246"/>
          <w:rFonts w:hAnsi="宋体"/>
        </w:rPr>
      </w:pPr>
      <w:r>
        <w:rPr>
          <w:rStyle w:val="1246"/>
          <w:rFonts w:hint="eastAsia" w:hAnsi="宋体" w:cs="宋体"/>
        </w:rPr>
        <w:t xml:space="preserve">试验时设备应能正常工作，各项功能、性能指标满足相关要求，交流电压、电流输入回路测量误差的改变量应不大于等级指数200%。</w:t>
      </w:r>
      <w:r>
        <w:rPr>
          <w:rStyle w:val="1246"/>
          <w:rFonts w:hAnsi="宋体"/>
        </w:rPr>
      </w:r>
      <w:r/>
    </w:p>
    <w:p>
      <w:pPr>
        <w:pStyle w:val="1245"/>
        <w:numPr>
          <w:ilvl w:val="0"/>
          <w:numId w:val="47"/>
        </w:numPr>
        <w:rPr>
          <w:rStyle w:val="1246"/>
          <w:rFonts w:ascii="宋体" w:hAnsi="宋体"/>
        </w:rPr>
      </w:pPr>
      <w:r>
        <w:rPr>
          <w:rStyle w:val="1246"/>
          <w:rFonts w:hint="eastAsia" w:ascii="宋体" w:hAnsi="宋体"/>
        </w:rPr>
        <w:t xml:space="preserve">震荡波抗扰度能力</w:t>
      </w:r>
      <w:r>
        <w:rPr>
          <w:rStyle w:val="1246"/>
          <w:rFonts w:ascii="宋体" w:hAnsi="宋体"/>
        </w:rPr>
      </w:r>
      <w:r/>
    </w:p>
    <w:p>
      <w:pPr>
        <w:pStyle w:val="1201"/>
        <w:spacing w:line="360" w:lineRule="auto"/>
        <w:tabs>
          <w:tab w:val="center" w:pos="4201" w:leader="none"/>
          <w:tab w:val="right" w:pos="9298" w:leader="dot"/>
        </w:tabs>
        <w:rPr>
          <w:rStyle w:val="1246"/>
          <w:rFonts w:hAnsi="宋体" w:cs="宋体"/>
        </w:rPr>
      </w:pPr>
      <w:r>
        <w:rPr>
          <w:rStyle w:val="1246"/>
          <w:rFonts w:hint="eastAsia" w:hAnsi="宋体" w:cs="宋体"/>
        </w:rPr>
        <w:t xml:space="preserve">按GB/T 17626.18中的有关规定执行。</w:t>
      </w:r>
      <w:r>
        <w:rPr>
          <w:rStyle w:val="1246"/>
          <w:rFonts w:hAnsi="宋体" w:cs="宋体"/>
        </w:rPr>
      </w:r>
      <w:r/>
    </w:p>
    <w:p>
      <w:pPr>
        <w:pStyle w:val="1201"/>
        <w:spacing w:line="360" w:lineRule="auto"/>
        <w:tabs>
          <w:tab w:val="center" w:pos="4201" w:leader="none"/>
          <w:tab w:val="right" w:pos="9298" w:leader="dot"/>
        </w:tabs>
        <w:rPr>
          <w:rStyle w:val="1246"/>
          <w:rFonts w:hAnsi="宋体" w:cs="宋体"/>
        </w:rPr>
      </w:pPr>
      <w:r>
        <w:rPr>
          <w:rStyle w:val="1246"/>
          <w:rFonts w:hint="eastAsia" w:hAnsi="宋体" w:cs="宋体"/>
        </w:rPr>
        <w:t xml:space="preserve">施加表19规定的振荡波干扰电压，试验时设备应能正常工作，各项功能、性能指标满足相关要求，交流电压、电流输入回路测量误差的改变量应不大于等级指数200%。</w:t>
      </w:r>
      <w:r>
        <w:rPr>
          <w:rStyle w:val="1246"/>
          <w:rFonts w:hAnsi="宋体" w:cs="宋体"/>
        </w:rPr>
      </w:r>
      <w:r/>
    </w:p>
    <w:p>
      <w:pPr>
        <w:pStyle w:val="1201"/>
        <w:numPr>
          <w:ilvl w:val="0"/>
          <w:numId w:val="49"/>
        </w:numPr>
        <w:ind w:left="0" w:firstLine="420"/>
        <w:spacing w:line="360" w:lineRule="auto"/>
        <w:widowControl w:val="off"/>
        <w:rPr>
          <w:rStyle w:val="1246"/>
          <w:rFonts w:hAnsi="宋体" w:cs="宋体"/>
        </w:rPr>
      </w:pPr>
      <w:r>
        <w:rPr>
          <w:rStyle w:val="1246"/>
          <w:rFonts w:hint="eastAsia" w:hAnsi="宋体" w:cs="宋体"/>
        </w:rPr>
        <w:t xml:space="preserve">电压上升时间（第一峰）：75×（1±20%）ns；</w:t>
      </w:r>
      <w:r>
        <w:rPr>
          <w:rStyle w:val="1246"/>
          <w:rFonts w:hAnsi="宋体" w:cs="宋体"/>
        </w:rPr>
      </w:r>
      <w:r/>
    </w:p>
    <w:p>
      <w:pPr>
        <w:pStyle w:val="1201"/>
        <w:numPr>
          <w:ilvl w:val="0"/>
          <w:numId w:val="49"/>
        </w:numPr>
        <w:ind w:left="0" w:firstLine="420"/>
        <w:spacing w:line="360" w:lineRule="auto"/>
        <w:widowControl w:val="off"/>
        <w:rPr>
          <w:rStyle w:val="1246"/>
          <w:rFonts w:hAnsi="宋体" w:cs="宋体"/>
        </w:rPr>
      </w:pPr>
      <w:r>
        <w:rPr>
          <w:rStyle w:val="1246"/>
          <w:rFonts w:hint="eastAsia" w:hAnsi="宋体" w:cs="宋体"/>
        </w:rPr>
        <w:t xml:space="preserve">振荡频率：1×（1±10%）MHz；</w:t>
      </w:r>
      <w:r>
        <w:rPr>
          <w:rStyle w:val="1246"/>
          <w:rFonts w:hAnsi="宋体" w:cs="宋体"/>
        </w:rPr>
      </w:r>
      <w:r/>
    </w:p>
    <w:p>
      <w:pPr>
        <w:pStyle w:val="1201"/>
        <w:numPr>
          <w:ilvl w:val="0"/>
          <w:numId w:val="49"/>
        </w:numPr>
        <w:ind w:left="0" w:firstLine="420"/>
        <w:spacing w:line="360" w:lineRule="auto"/>
        <w:widowControl w:val="off"/>
        <w:rPr>
          <w:rStyle w:val="1246"/>
          <w:rFonts w:hAnsi="宋体" w:cs="宋体"/>
        </w:rPr>
      </w:pPr>
      <w:r>
        <w:rPr>
          <w:rStyle w:val="1246"/>
          <w:rFonts w:hint="eastAsia" w:hAnsi="宋体" w:cs="宋体"/>
        </w:rPr>
        <w:t xml:space="preserve">重复率：至少400/s；</w:t>
      </w:r>
      <w:r>
        <w:rPr>
          <w:rStyle w:val="1246"/>
          <w:rFonts w:hAnsi="宋体" w:cs="宋体"/>
        </w:rPr>
      </w:r>
      <w:r/>
    </w:p>
    <w:p>
      <w:pPr>
        <w:pStyle w:val="1201"/>
        <w:numPr>
          <w:ilvl w:val="0"/>
          <w:numId w:val="49"/>
        </w:numPr>
        <w:ind w:left="0" w:firstLine="420"/>
        <w:spacing w:line="360" w:lineRule="auto"/>
        <w:widowControl w:val="off"/>
        <w:rPr>
          <w:rStyle w:val="1246"/>
          <w:rFonts w:hAnsi="宋体" w:cs="宋体"/>
        </w:rPr>
      </w:pPr>
      <w:r>
        <w:rPr>
          <w:rStyle w:val="1246"/>
          <w:rFonts w:hint="eastAsia" w:hAnsi="宋体" w:cs="宋体"/>
        </w:rPr>
        <w:t xml:space="preserve">衰减：第三周期和第六周期之间减至峰值的50%；</w:t>
      </w:r>
      <w:r>
        <w:rPr>
          <w:rStyle w:val="1246"/>
          <w:rFonts w:hAnsi="宋体" w:cs="宋体"/>
        </w:rPr>
      </w:r>
      <w:r/>
    </w:p>
    <w:p>
      <w:pPr>
        <w:pStyle w:val="1201"/>
        <w:numPr>
          <w:ilvl w:val="0"/>
          <w:numId w:val="49"/>
        </w:numPr>
        <w:ind w:left="0" w:firstLine="420"/>
        <w:spacing w:line="360" w:lineRule="auto"/>
        <w:widowControl w:val="off"/>
        <w:rPr>
          <w:rStyle w:val="1246"/>
          <w:rFonts w:hAnsi="宋体" w:cs="宋体"/>
        </w:rPr>
      </w:pPr>
      <w:r>
        <w:rPr>
          <w:rStyle w:val="1246"/>
          <w:rFonts w:hint="eastAsia" w:hAnsi="宋体" w:cs="宋体"/>
        </w:rPr>
        <w:t xml:space="preserve">脉冲持续时间：不小于2s；</w:t>
      </w:r>
      <w:r>
        <w:rPr>
          <w:rStyle w:val="1246"/>
          <w:rFonts w:hAnsi="宋体" w:cs="宋体"/>
        </w:rPr>
      </w:r>
      <w:r/>
    </w:p>
    <w:p>
      <w:pPr>
        <w:pStyle w:val="1201"/>
        <w:numPr>
          <w:ilvl w:val="0"/>
          <w:numId w:val="49"/>
        </w:numPr>
        <w:ind w:left="0" w:firstLine="420"/>
        <w:spacing w:line="360" w:lineRule="auto"/>
        <w:widowControl w:val="off"/>
        <w:rPr>
          <w:rStyle w:val="1246"/>
          <w:rFonts w:hAnsi="宋体" w:cs="宋体"/>
        </w:rPr>
      </w:pPr>
      <w:r>
        <w:rPr>
          <w:rStyle w:val="1246"/>
          <w:rFonts w:hint="eastAsia" w:hAnsi="宋体" w:cs="宋体"/>
        </w:rPr>
        <w:t xml:space="preserve">输出阻抗：200×（1±20%）；</w:t>
      </w:r>
      <w:r>
        <w:rPr>
          <w:rStyle w:val="1246"/>
          <w:rFonts w:hAnsi="宋体" w:cs="宋体"/>
        </w:rPr>
      </w:r>
      <w:r/>
    </w:p>
    <w:p>
      <w:pPr>
        <w:pStyle w:val="1201"/>
        <w:numPr>
          <w:ilvl w:val="0"/>
          <w:numId w:val="49"/>
        </w:numPr>
        <w:ind w:left="0" w:firstLine="420"/>
        <w:spacing w:line="360" w:lineRule="auto"/>
        <w:widowControl w:val="off"/>
        <w:rPr>
          <w:rStyle w:val="1246"/>
          <w:rFonts w:hAnsi="宋体" w:cs="宋体"/>
        </w:rPr>
      </w:pPr>
      <w:r>
        <w:rPr>
          <w:rStyle w:val="1246"/>
          <w:rFonts w:hint="eastAsia" w:hAnsi="宋体" w:cs="宋体"/>
        </w:rPr>
        <w:t xml:space="preserve">试验次数：正负极性各3次；</w:t>
      </w:r>
      <w:r>
        <w:rPr>
          <w:rStyle w:val="1246"/>
          <w:rFonts w:hAnsi="宋体" w:cs="宋体"/>
        </w:rPr>
      </w:r>
      <w:r/>
    </w:p>
    <w:p>
      <w:pPr>
        <w:pStyle w:val="1151"/>
        <w:numPr>
          <w:ilvl w:val="0"/>
          <w:numId w:val="49"/>
        </w:numPr>
        <w:ind w:left="0" w:firstLine="420"/>
        <w:spacing w:line="360" w:lineRule="auto"/>
        <w:rPr>
          <w:rStyle w:val="1246"/>
          <w:rFonts w:ascii="宋体" w:hAnsi="宋体" w:cs="宋体"/>
          <w:szCs w:val="20"/>
        </w:rPr>
      </w:pPr>
      <w:r>
        <w:rPr>
          <w:rStyle w:val="1246"/>
          <w:rFonts w:hint="eastAsia" w:hAnsi="宋体" w:cs="宋体"/>
        </w:rPr>
        <w:t xml:space="preserve">测试时间：60s。</w:t>
      </w:r>
      <w:r>
        <w:rPr>
          <w:rStyle w:val="1246"/>
          <w:rFonts w:ascii="宋体" w:hAnsi="宋体" w:cs="宋体"/>
          <w:szCs w:val="20"/>
        </w:rPr>
      </w:r>
      <w:r/>
    </w:p>
    <w:p>
      <w:pPr>
        <w:pStyle w:val="1245"/>
        <w:numPr>
          <w:ilvl w:val="0"/>
          <w:numId w:val="47"/>
        </w:numPr>
        <w:rPr>
          <w:rStyle w:val="1246"/>
          <w:rFonts w:ascii="宋体" w:hAnsi="宋体"/>
          <w:b/>
        </w:rPr>
      </w:pPr>
      <w:r>
        <w:rPr>
          <w:rStyle w:val="1246"/>
          <w:rFonts w:ascii="宋体" w:hAnsi="宋体"/>
        </w:rPr>
        <w:t xml:space="preserve">抗快速瞬变脉冲群干扰的</w:t>
      </w:r>
      <w:r>
        <w:rPr>
          <w:rStyle w:val="1246"/>
          <w:rFonts w:hint="eastAsia" w:ascii="宋体" w:hAnsi="宋体"/>
        </w:rPr>
        <w:t xml:space="preserve">要求</w:t>
      </w:r>
      <w:r>
        <w:rPr>
          <w:rStyle w:val="1246"/>
          <w:rFonts w:ascii="宋体" w:hAnsi="宋体"/>
          <w:b/>
        </w:rPr>
      </w:r>
      <w:r/>
    </w:p>
    <w:p>
      <w:pPr>
        <w:pStyle w:val="1245"/>
        <w:ind w:firstLine="420"/>
        <w:rPr>
          <w:rStyle w:val="1246"/>
          <w:rFonts w:ascii="宋体" w:hAnsi="宋体"/>
        </w:rPr>
      </w:pPr>
      <w:r>
        <w:rPr>
          <w:rStyle w:val="1246"/>
          <w:rFonts w:ascii="宋体" w:hAnsi="宋体"/>
        </w:rPr>
        <w:t xml:space="preserve">按GB/T 17626.4中的有关规定执行。</w:t>
      </w:r>
      <w:r>
        <w:rPr>
          <w:rStyle w:val="1246"/>
          <w:rFonts w:ascii="宋体" w:hAnsi="宋体"/>
        </w:rPr>
      </w:r>
      <w:r/>
    </w:p>
    <w:p>
      <w:pPr>
        <w:pStyle w:val="1201"/>
        <w:jc w:val="left"/>
        <w:spacing w:line="360" w:lineRule="auto"/>
        <w:tabs>
          <w:tab w:val="center" w:pos="4201" w:leader="none"/>
          <w:tab w:val="right" w:pos="9298" w:leader="dot"/>
        </w:tabs>
        <w:rPr>
          <w:rStyle w:val="1246"/>
          <w:rFonts w:hAnsi="宋体" w:cs="宋体"/>
        </w:rPr>
      </w:pPr>
      <w:r>
        <w:rPr>
          <w:rStyle w:val="1246"/>
          <w:rFonts w:hAnsi="宋体"/>
        </w:rPr>
        <w:t xml:space="preserve">在施加如表</w:t>
      </w:r>
      <w:r>
        <w:rPr>
          <w:rStyle w:val="1246"/>
          <w:rFonts w:hint="eastAsia" w:hAnsi="宋体"/>
        </w:rPr>
        <w:t xml:space="preserve">19</w:t>
      </w:r>
      <w:r>
        <w:rPr>
          <w:rStyle w:val="1246"/>
          <w:rFonts w:hAnsi="宋体"/>
        </w:rPr>
        <w:t xml:space="preserve">规定的快速瞬变脉冲群干扰电压的情况下，设备应能正常工作，</w:t>
      </w:r>
      <w:r>
        <w:rPr>
          <w:rStyle w:val="1246"/>
          <w:rFonts w:hAnsi="宋体" w:cs="宋体"/>
        </w:rPr>
      </w:r>
      <w:r/>
    </w:p>
    <w:p>
      <w:pPr>
        <w:pStyle w:val="1201"/>
        <w:jc w:val="left"/>
        <w:spacing w:line="360" w:lineRule="auto"/>
        <w:tabs>
          <w:tab w:val="center" w:pos="4201" w:leader="none"/>
          <w:tab w:val="right" w:pos="9298" w:leader="dot"/>
        </w:tabs>
        <w:rPr>
          <w:rStyle w:val="1246"/>
          <w:rFonts w:hAnsi="宋体" w:cs="宋体"/>
        </w:rPr>
      </w:pPr>
      <w:r>
        <w:rPr>
          <w:rStyle w:val="1246"/>
          <w:rFonts w:hint="eastAsia" w:hAnsi="宋体" w:cs="宋体"/>
        </w:rPr>
        <w:t xml:space="preserve">其各项功能、性能指标应符合基本性能的要求，交流电压、电流输入回路测量误差的改变量应不大于等级指数200%。</w:t>
      </w:r>
      <w:r>
        <w:rPr>
          <w:rStyle w:val="1246"/>
          <w:rFonts w:hAnsi="宋体" w:cs="宋体"/>
        </w:rPr>
      </w:r>
      <w:r/>
    </w:p>
    <w:p>
      <w:pPr>
        <w:pStyle w:val="1201"/>
        <w:numPr>
          <w:ilvl w:val="0"/>
          <w:numId w:val="50"/>
        </w:numPr>
        <w:ind w:left="0" w:firstLine="420"/>
        <w:jc w:val="left"/>
        <w:spacing w:line="360" w:lineRule="auto"/>
        <w:widowControl w:val="off"/>
        <w:rPr>
          <w:rStyle w:val="1246"/>
          <w:rFonts w:hAnsi="宋体" w:cs="宋体"/>
        </w:rPr>
      </w:pPr>
      <w:r>
        <w:rPr>
          <w:rStyle w:val="1246"/>
          <w:rFonts w:hint="eastAsia" w:hAnsi="宋体" w:cs="宋体"/>
        </w:rPr>
        <w:t xml:space="preserve">严酷等级：4；</w:t>
      </w:r>
      <w:r>
        <w:rPr>
          <w:rStyle w:val="1246"/>
          <w:rFonts w:hAnsi="宋体" w:cs="宋体"/>
        </w:rPr>
      </w:r>
      <w:r/>
    </w:p>
    <w:p>
      <w:pPr>
        <w:pStyle w:val="1201"/>
        <w:numPr>
          <w:ilvl w:val="0"/>
          <w:numId w:val="50"/>
        </w:numPr>
        <w:ind w:left="0" w:firstLine="420"/>
        <w:jc w:val="left"/>
        <w:spacing w:line="360" w:lineRule="auto"/>
        <w:widowControl w:val="off"/>
        <w:rPr>
          <w:rStyle w:val="1246"/>
          <w:rFonts w:hAnsi="宋体" w:cs="宋体"/>
        </w:rPr>
      </w:pPr>
      <w:r>
        <w:rPr>
          <w:rStyle w:val="1246"/>
          <w:rFonts w:hint="eastAsia" w:hAnsi="宋体" w:cs="宋体"/>
        </w:rPr>
        <w:t xml:space="preserve">试验电压：见表5</w:t>
      </w:r>
      <w:r>
        <w:rPr>
          <w:rStyle w:val="1246"/>
          <w:rFonts w:hAnsi="宋体" w:cs="宋体"/>
        </w:rPr>
        <w:t xml:space="preserve">.25</w:t>
      </w:r>
      <w:r>
        <w:rPr>
          <w:rStyle w:val="1246"/>
          <w:rFonts w:hint="eastAsia" w:hAnsi="宋体" w:cs="宋体"/>
        </w:rPr>
        <w:t xml:space="preserve">-1</w:t>
      </w:r>
      <w:r>
        <w:rPr>
          <w:rStyle w:val="1246"/>
          <w:rFonts w:hAnsi="宋体" w:cs="宋体"/>
        </w:rPr>
        <w:t xml:space="preserve">2</w:t>
      </w:r>
      <w:r>
        <w:rPr>
          <w:rStyle w:val="1246"/>
          <w:rFonts w:hint="eastAsia" w:hAnsi="宋体" w:cs="宋体"/>
        </w:rPr>
        <w:t xml:space="preserve">；</w:t>
      </w:r>
      <w:r>
        <w:rPr>
          <w:rStyle w:val="1246"/>
          <w:rFonts w:hAnsi="宋体" w:cs="宋体"/>
        </w:rPr>
      </w:r>
      <w:r/>
    </w:p>
    <w:p>
      <w:pPr>
        <w:pStyle w:val="1201"/>
        <w:numPr>
          <w:ilvl w:val="0"/>
          <w:numId w:val="50"/>
        </w:numPr>
        <w:ind w:left="0" w:firstLine="420"/>
        <w:jc w:val="left"/>
        <w:spacing w:line="360" w:lineRule="auto"/>
        <w:widowControl w:val="off"/>
        <w:rPr>
          <w:rStyle w:val="1246"/>
          <w:rFonts w:hAnsi="宋体" w:cs="宋体"/>
        </w:rPr>
      </w:pPr>
      <w:r>
        <w:rPr>
          <w:rStyle w:val="1246"/>
          <w:rFonts w:hint="eastAsia" w:hAnsi="宋体" w:cs="宋体"/>
        </w:rPr>
        <w:t xml:space="preserve">重复频率：5kHz或100kHz；</w:t>
      </w:r>
      <w:r>
        <w:rPr>
          <w:rStyle w:val="1246"/>
          <w:rFonts w:hAnsi="宋体" w:cs="宋体"/>
        </w:rPr>
      </w:r>
      <w:r/>
    </w:p>
    <w:p>
      <w:pPr>
        <w:pStyle w:val="1201"/>
        <w:numPr>
          <w:ilvl w:val="0"/>
          <w:numId w:val="50"/>
        </w:numPr>
        <w:ind w:left="0" w:firstLine="420"/>
        <w:jc w:val="left"/>
        <w:spacing w:line="360" w:lineRule="auto"/>
        <w:widowControl w:val="off"/>
        <w:rPr>
          <w:rStyle w:val="1246"/>
          <w:rFonts w:hAnsi="宋体" w:cs="宋体"/>
        </w:rPr>
      </w:pPr>
      <w:r>
        <w:rPr>
          <w:rStyle w:val="1246"/>
          <w:rFonts w:hint="eastAsia" w:hAnsi="宋体" w:cs="宋体"/>
        </w:rPr>
        <w:t xml:space="preserve">试验时间：1min/次；</w:t>
      </w:r>
      <w:r>
        <w:rPr>
          <w:rStyle w:val="1246"/>
          <w:rFonts w:hAnsi="宋体" w:cs="宋体"/>
        </w:rPr>
      </w:r>
      <w:r/>
    </w:p>
    <w:p>
      <w:pPr>
        <w:pStyle w:val="1201"/>
        <w:numPr>
          <w:ilvl w:val="0"/>
          <w:numId w:val="50"/>
        </w:numPr>
        <w:ind w:left="0" w:firstLine="420"/>
        <w:jc w:val="left"/>
        <w:spacing w:line="360" w:lineRule="auto"/>
        <w:widowControl w:val="off"/>
        <w:rPr>
          <w:rStyle w:val="1246"/>
          <w:rFonts w:hAnsi="宋体" w:cs="宋体"/>
        </w:rPr>
      </w:pPr>
      <w:r>
        <w:rPr>
          <w:rStyle w:val="1246"/>
          <w:rFonts w:hint="eastAsia" w:hAnsi="宋体" w:cs="宋体"/>
        </w:rPr>
        <w:t xml:space="preserve">试验电压施加次数：正负极性各3次。</w:t>
      </w:r>
      <w:r>
        <w:rPr>
          <w:rStyle w:val="1246"/>
          <w:rFonts w:hAnsi="宋体" w:cs="宋体"/>
        </w:rPr>
      </w:r>
      <w:r/>
    </w:p>
    <w:p>
      <w:pPr>
        <w:pStyle w:val="1245"/>
        <w:numPr>
          <w:ilvl w:val="0"/>
          <w:numId w:val="47"/>
        </w:numPr>
        <w:rPr>
          <w:rStyle w:val="1246"/>
          <w:rFonts w:ascii="宋体" w:hAnsi="宋体"/>
          <w:b/>
        </w:rPr>
      </w:pPr>
      <w:r>
        <w:rPr>
          <w:rStyle w:val="1246"/>
          <w:rFonts w:ascii="宋体" w:hAnsi="宋体"/>
        </w:rPr>
        <w:t xml:space="preserve">抗浪涌干扰的</w:t>
      </w:r>
      <w:r>
        <w:rPr>
          <w:rStyle w:val="1246"/>
          <w:rFonts w:hint="eastAsia" w:ascii="宋体" w:hAnsi="宋体"/>
        </w:rPr>
        <w:t xml:space="preserve">要求</w:t>
      </w:r>
      <w:r>
        <w:rPr>
          <w:rStyle w:val="1246"/>
          <w:rFonts w:ascii="宋体" w:hAnsi="宋体"/>
          <w:b/>
        </w:rPr>
      </w:r>
      <w:r/>
    </w:p>
    <w:p>
      <w:pPr>
        <w:pStyle w:val="1245"/>
        <w:ind w:firstLine="420"/>
        <w:rPr>
          <w:rStyle w:val="1246"/>
          <w:rFonts w:ascii="宋体" w:hAnsi="宋体"/>
        </w:rPr>
      </w:pPr>
      <w:r>
        <w:rPr>
          <w:rStyle w:val="1246"/>
          <w:rFonts w:ascii="宋体" w:hAnsi="宋体"/>
        </w:rPr>
        <w:t xml:space="preserve">按GB/T 15153.1中的有关规定执行。</w:t>
      </w:r>
      <w:r>
        <w:rPr>
          <w:rStyle w:val="1246"/>
          <w:rFonts w:ascii="宋体" w:hAnsi="宋体"/>
        </w:rPr>
      </w:r>
      <w:r/>
    </w:p>
    <w:p>
      <w:pPr>
        <w:pStyle w:val="1201"/>
        <w:spacing w:line="360" w:lineRule="auto"/>
        <w:tabs>
          <w:tab w:val="center" w:pos="4201" w:leader="none"/>
          <w:tab w:val="right" w:pos="9298" w:leader="dot"/>
        </w:tabs>
        <w:rPr>
          <w:rStyle w:val="1246"/>
          <w:rFonts w:hAnsi="宋体" w:cs="宋体"/>
        </w:rPr>
      </w:pPr>
      <w:r>
        <w:rPr>
          <w:rStyle w:val="1246"/>
          <w:rFonts w:hAnsi="宋体"/>
        </w:rPr>
        <w:t xml:space="preserve">在施加如表</w:t>
      </w:r>
      <w:r>
        <w:rPr>
          <w:rStyle w:val="1246"/>
          <w:rFonts w:hint="eastAsia" w:hAnsi="宋体"/>
        </w:rPr>
        <w:t xml:space="preserve">19</w:t>
      </w:r>
      <w:r>
        <w:rPr>
          <w:rStyle w:val="1246"/>
          <w:rFonts w:hAnsi="宋体"/>
        </w:rPr>
        <w:t xml:space="preserve">规定的浪涌干扰电压和1.2/50μs波形的情况下，</w:t>
      </w:r>
      <w:r>
        <w:rPr>
          <w:rStyle w:val="1246"/>
          <w:rFonts w:hAnsi="宋体" w:cs="宋体"/>
        </w:rPr>
      </w:r>
      <w:r/>
    </w:p>
    <w:p>
      <w:pPr>
        <w:pStyle w:val="1201"/>
        <w:spacing w:line="360" w:lineRule="auto"/>
        <w:tabs>
          <w:tab w:val="center" w:pos="4201" w:leader="none"/>
          <w:tab w:val="right" w:pos="9298" w:leader="dot"/>
        </w:tabs>
        <w:rPr>
          <w:rStyle w:val="1246"/>
          <w:rFonts w:hAnsi="宋体" w:cs="宋体"/>
        </w:rPr>
      </w:pPr>
      <w:r>
        <w:rPr>
          <w:rStyle w:val="1246"/>
          <w:rFonts w:hint="eastAsia" w:hAnsi="宋体" w:cs="宋体"/>
        </w:rPr>
        <w:t xml:space="preserve">各项功能、性能指标满足相关要求，交流电压、电流输入回路测量误差的改变量应不大于等级指数200%。</w:t>
      </w:r>
      <w:r>
        <w:rPr>
          <w:rStyle w:val="1246"/>
          <w:rFonts w:hAnsi="宋体" w:cs="宋体"/>
        </w:rPr>
      </w:r>
      <w:r/>
    </w:p>
    <w:p>
      <w:pPr>
        <w:pStyle w:val="1201"/>
        <w:numPr>
          <w:ilvl w:val="0"/>
          <w:numId w:val="51"/>
        </w:numPr>
        <w:ind w:left="0" w:firstLine="420"/>
        <w:spacing w:line="360" w:lineRule="auto"/>
        <w:widowControl w:val="off"/>
        <w:rPr>
          <w:rStyle w:val="1246"/>
          <w:rFonts w:hAnsi="宋体" w:cs="宋体"/>
        </w:rPr>
      </w:pPr>
      <w:r>
        <w:rPr>
          <w:rStyle w:val="1246"/>
          <w:rFonts w:hint="eastAsia" w:hAnsi="宋体" w:cs="宋体"/>
        </w:rPr>
        <w:t xml:space="preserve">严酷等级：4；</w:t>
      </w:r>
      <w:r>
        <w:rPr>
          <w:rStyle w:val="1246"/>
          <w:rFonts w:hAnsi="宋体" w:cs="宋体"/>
        </w:rPr>
      </w:r>
      <w:r/>
    </w:p>
    <w:p>
      <w:pPr>
        <w:pStyle w:val="1201"/>
        <w:numPr>
          <w:ilvl w:val="0"/>
          <w:numId w:val="51"/>
        </w:numPr>
        <w:ind w:left="0" w:firstLine="420"/>
        <w:spacing w:line="360" w:lineRule="auto"/>
        <w:widowControl w:val="off"/>
        <w:rPr>
          <w:rStyle w:val="1246"/>
          <w:rFonts w:hAnsi="宋体" w:cs="宋体"/>
        </w:rPr>
      </w:pPr>
      <w:r>
        <w:rPr>
          <w:rStyle w:val="1246"/>
          <w:rFonts w:hint="eastAsia" w:hAnsi="宋体" w:cs="宋体"/>
        </w:rPr>
        <w:t xml:space="preserve">试验电压：见表5</w:t>
      </w:r>
      <w:r>
        <w:rPr>
          <w:rStyle w:val="1246"/>
          <w:rFonts w:hAnsi="宋体" w:cs="宋体"/>
        </w:rPr>
        <w:t xml:space="preserve">.25</w:t>
      </w:r>
      <w:r>
        <w:rPr>
          <w:rStyle w:val="1246"/>
          <w:rFonts w:hint="eastAsia" w:hAnsi="宋体" w:cs="宋体"/>
        </w:rPr>
        <w:t xml:space="preserve">-1</w:t>
      </w:r>
      <w:r>
        <w:rPr>
          <w:rStyle w:val="1246"/>
          <w:rFonts w:hAnsi="宋体" w:cs="宋体"/>
        </w:rPr>
        <w:t xml:space="preserve">2</w:t>
      </w:r>
      <w:r>
        <w:rPr>
          <w:rStyle w:val="1246"/>
          <w:rFonts w:hint="eastAsia" w:hAnsi="宋体" w:cs="宋体"/>
        </w:rPr>
        <w:t xml:space="preserve">；</w:t>
      </w:r>
      <w:r>
        <w:rPr>
          <w:rStyle w:val="1246"/>
          <w:rFonts w:hAnsi="宋体" w:cs="宋体"/>
        </w:rPr>
      </w:r>
      <w:r/>
    </w:p>
    <w:p>
      <w:pPr>
        <w:pStyle w:val="1201"/>
        <w:numPr>
          <w:ilvl w:val="0"/>
          <w:numId w:val="51"/>
        </w:numPr>
        <w:ind w:left="0" w:firstLine="420"/>
        <w:spacing w:line="360" w:lineRule="auto"/>
        <w:widowControl w:val="off"/>
        <w:rPr>
          <w:rStyle w:val="1246"/>
          <w:rFonts w:hAnsi="宋体" w:cs="宋体"/>
        </w:rPr>
      </w:pPr>
      <w:r>
        <w:rPr>
          <w:rStyle w:val="1246"/>
          <w:rFonts w:hint="eastAsia" w:hAnsi="宋体" w:cs="宋体"/>
        </w:rPr>
        <w:t xml:space="preserve">波形：1.2/50 </w:t>
      </w:r>
      <w:r>
        <w:rPr>
          <w:rFonts w:hint="eastAsia" w:hAnsi="宋体" w:cs="宋体"/>
          <w:color w:val="333333"/>
          <w:szCs w:val="21"/>
          <w:shd w:val="clear" w:color="auto" w:fill="ffffff"/>
        </w:rPr>
        <w:t xml:space="preserve">μ</w:t>
      </w:r>
      <w:r>
        <w:rPr>
          <w:rStyle w:val="1246"/>
          <w:rFonts w:hint="eastAsia" w:hAnsi="宋体" w:cs="宋体"/>
        </w:rPr>
        <w:t xml:space="preserve">s；</w:t>
      </w:r>
      <w:r>
        <w:rPr>
          <w:rStyle w:val="1246"/>
          <w:rFonts w:hAnsi="宋体" w:cs="宋体"/>
        </w:rPr>
      </w:r>
      <w:r/>
    </w:p>
    <w:p>
      <w:pPr>
        <w:pStyle w:val="1201"/>
        <w:numPr>
          <w:ilvl w:val="0"/>
          <w:numId w:val="51"/>
        </w:numPr>
        <w:ind w:left="0" w:firstLine="420"/>
        <w:spacing w:line="360" w:lineRule="auto"/>
        <w:widowControl w:val="off"/>
        <w:rPr>
          <w:rStyle w:val="1246"/>
          <w:rFonts w:hAnsi="宋体" w:cs="宋体"/>
        </w:rPr>
      </w:pPr>
      <w:r>
        <w:rPr>
          <w:rStyle w:val="1246"/>
          <w:rFonts w:hint="eastAsia" w:hAnsi="宋体" w:cs="宋体"/>
        </w:rPr>
        <w:t xml:space="preserve">极性：正、负；</w:t>
      </w:r>
      <w:r>
        <w:rPr>
          <w:rStyle w:val="1246"/>
          <w:rFonts w:hAnsi="宋体" w:cs="宋体"/>
        </w:rPr>
      </w:r>
      <w:r/>
    </w:p>
    <w:p>
      <w:pPr>
        <w:pStyle w:val="1201"/>
        <w:numPr>
          <w:ilvl w:val="0"/>
          <w:numId w:val="51"/>
        </w:numPr>
        <w:ind w:left="0" w:firstLine="420"/>
        <w:spacing w:line="360" w:lineRule="auto"/>
        <w:widowControl w:val="off"/>
        <w:rPr>
          <w:rStyle w:val="1246"/>
          <w:rFonts w:hAnsi="宋体" w:cs="宋体"/>
        </w:rPr>
      </w:pPr>
      <w:r>
        <w:rPr>
          <w:rStyle w:val="1246"/>
          <w:rFonts w:hint="eastAsia" w:hAnsi="宋体" w:cs="宋体"/>
        </w:rPr>
        <w:t xml:space="preserve">试验次数：正负极性各5次；</w:t>
      </w:r>
      <w:r>
        <w:rPr>
          <w:rStyle w:val="1246"/>
          <w:rFonts w:hAnsi="宋体" w:cs="宋体"/>
        </w:rPr>
      </w:r>
      <w:r/>
    </w:p>
    <w:p>
      <w:pPr>
        <w:pStyle w:val="1201"/>
        <w:numPr>
          <w:ilvl w:val="0"/>
          <w:numId w:val="51"/>
        </w:numPr>
        <w:ind w:left="0" w:firstLine="420"/>
        <w:spacing w:line="360" w:lineRule="auto"/>
        <w:widowControl w:val="off"/>
        <w:rPr>
          <w:rStyle w:val="1246"/>
          <w:rFonts w:hAnsi="宋体" w:cs="宋体"/>
        </w:rPr>
      </w:pPr>
      <w:r>
        <w:rPr>
          <w:rStyle w:val="1246"/>
          <w:rFonts w:hint="eastAsia" w:hAnsi="宋体" w:cs="宋体"/>
        </w:rPr>
        <w:t xml:space="preserve">重复率：1次/min。</w:t>
      </w:r>
      <w:r>
        <w:rPr>
          <w:rStyle w:val="1246"/>
          <w:rFonts w:hAnsi="宋体" w:cs="宋体"/>
        </w:rPr>
      </w:r>
      <w:r/>
    </w:p>
    <w:p>
      <w:pPr>
        <w:pStyle w:val="1245"/>
        <w:ind w:firstLine="420"/>
        <w:rPr>
          <w:rStyle w:val="1246"/>
          <w:rFonts w:ascii="宋体" w:hAnsi="宋体"/>
        </w:rPr>
      </w:pPr>
      <w:r>
        <w:rPr>
          <w:rStyle w:val="1246"/>
          <w:rFonts w:ascii="宋体" w:hAnsi="宋体"/>
        </w:rPr>
      </w:r>
      <w:r/>
    </w:p>
    <w:p>
      <w:pPr>
        <w:pStyle w:val="1245"/>
        <w:ind w:firstLine="420"/>
        <w:jc w:val="center"/>
        <w:rPr>
          <w:rStyle w:val="1246"/>
          <w:rFonts w:ascii="宋体" w:hAnsi="宋体"/>
        </w:rPr>
      </w:pPr>
      <w:r>
        <w:rPr>
          <w:rStyle w:val="1246"/>
          <w:rFonts w:ascii="宋体" w:hAnsi="宋体"/>
        </w:rPr>
        <w:t xml:space="preserve">表</w:t>
      </w:r>
      <w:r>
        <w:rPr>
          <w:rStyle w:val="1246"/>
          <w:rFonts w:hint="eastAsia" w:ascii="宋体" w:hAnsi="宋体"/>
        </w:rPr>
        <w:t xml:space="preserve">19</w:t>
      </w:r>
      <w:r>
        <w:rPr>
          <w:rStyle w:val="1246"/>
          <w:rFonts w:ascii="宋体" w:hAnsi="宋体"/>
        </w:rPr>
        <w:t xml:space="preserve">高频干扰、快速瞬变和浪涌试验的主要参数</w:t>
      </w:r>
      <w:r>
        <w:rPr>
          <w:rStyle w:val="1246"/>
          <w:rFonts w:ascii="宋体" w:hAnsi="宋体"/>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90"/>
        <w:gridCol w:w="798"/>
        <w:gridCol w:w="2240"/>
        <w:gridCol w:w="3764"/>
      </w:tblGrid>
      <w:tr>
        <w:trPr>
          <w:trHeight w:val="397"/>
        </w:trPr>
        <w:tc>
          <w:tcPr>
            <w:tcW w:w="1690" w:type="dxa"/>
            <w:vAlign w:val="center"/>
            <w:textDirection w:val="lrTb"/>
            <w:noWrap/>
          </w:tcPr>
          <w:p>
            <w:pPr>
              <w:pStyle w:val="1245"/>
              <w:jc w:val="center"/>
              <w:rPr>
                <w:rStyle w:val="1246"/>
                <w:rFonts w:ascii="宋体" w:hAnsi="宋体"/>
              </w:rPr>
            </w:pPr>
            <w:r>
              <w:rPr>
                <w:rStyle w:val="1246"/>
                <w:rFonts w:ascii="宋体" w:hAnsi="宋体"/>
              </w:rPr>
              <w:t xml:space="preserve">试验项目</w:t>
            </w:r>
            <w:r>
              <w:rPr>
                <w:rStyle w:val="1246"/>
                <w:rFonts w:ascii="宋体" w:hAnsi="宋体"/>
              </w:rPr>
            </w:r>
            <w:r/>
          </w:p>
        </w:tc>
        <w:tc>
          <w:tcPr>
            <w:tcW w:w="798" w:type="dxa"/>
            <w:vAlign w:val="center"/>
            <w:textDirection w:val="lrTb"/>
            <w:noWrap/>
          </w:tcPr>
          <w:p>
            <w:pPr>
              <w:pStyle w:val="1245"/>
              <w:jc w:val="center"/>
              <w:rPr>
                <w:rStyle w:val="1246"/>
                <w:rFonts w:ascii="宋体" w:hAnsi="宋体"/>
              </w:rPr>
            </w:pPr>
            <w:r>
              <w:rPr>
                <w:rStyle w:val="1246"/>
                <w:rFonts w:ascii="宋体" w:hAnsi="宋体"/>
              </w:rPr>
              <w:t xml:space="preserve">级别</w:t>
            </w:r>
            <w:r>
              <w:rPr>
                <w:rStyle w:val="1246"/>
                <w:rFonts w:ascii="宋体" w:hAnsi="宋体"/>
              </w:rPr>
            </w:r>
            <w:r/>
          </w:p>
        </w:tc>
        <w:tc>
          <w:tcPr>
            <w:tcW w:w="2240" w:type="dxa"/>
            <w:vAlign w:val="center"/>
            <w:textDirection w:val="lrTb"/>
            <w:noWrap/>
          </w:tcPr>
          <w:p>
            <w:pPr>
              <w:pStyle w:val="1245"/>
              <w:jc w:val="center"/>
              <w:rPr>
                <w:rStyle w:val="1246"/>
                <w:rFonts w:ascii="宋体" w:hAnsi="宋体"/>
              </w:rPr>
            </w:pPr>
            <w:r>
              <w:rPr>
                <w:rStyle w:val="1246"/>
                <w:rFonts w:ascii="宋体" w:hAnsi="宋体"/>
              </w:rPr>
              <w:t xml:space="preserve">共模试验值 (*)</w:t>
            </w:r>
            <w:r>
              <w:rPr>
                <w:rStyle w:val="1246"/>
                <w:rFonts w:ascii="宋体" w:hAnsi="宋体"/>
              </w:rPr>
            </w:r>
            <w:r/>
          </w:p>
        </w:tc>
        <w:tc>
          <w:tcPr>
            <w:tcW w:w="3764" w:type="dxa"/>
            <w:vAlign w:val="center"/>
            <w:textDirection w:val="lrTb"/>
            <w:noWrap/>
          </w:tcPr>
          <w:p>
            <w:pPr>
              <w:pStyle w:val="1245"/>
              <w:jc w:val="center"/>
              <w:rPr>
                <w:rStyle w:val="1246"/>
                <w:rFonts w:ascii="宋体" w:hAnsi="宋体"/>
              </w:rPr>
            </w:pPr>
            <w:r>
              <w:rPr>
                <w:rStyle w:val="1246"/>
                <w:rFonts w:ascii="宋体" w:hAnsi="宋体"/>
              </w:rPr>
              <w:t xml:space="preserve">试验回路</w:t>
            </w:r>
            <w:r>
              <w:rPr>
                <w:rStyle w:val="1246"/>
                <w:rFonts w:ascii="宋体" w:hAnsi="宋体"/>
              </w:rPr>
            </w:r>
            <w:r/>
          </w:p>
        </w:tc>
      </w:tr>
      <w:tr>
        <w:trPr>
          <w:cantSplit/>
          <w:trHeight w:val="397"/>
        </w:trPr>
        <w:tc>
          <w:tcPr>
            <w:tcW w:w="1690" w:type="dxa"/>
            <w:vAlign w:val="center"/>
            <w:textDirection w:val="lrTb"/>
            <w:noWrap/>
          </w:tcPr>
          <w:p>
            <w:pPr>
              <w:pStyle w:val="1245"/>
              <w:jc w:val="center"/>
              <w:rPr>
                <w:rStyle w:val="1246"/>
                <w:rFonts w:ascii="宋体" w:hAnsi="宋体"/>
              </w:rPr>
            </w:pPr>
            <w:r>
              <w:rPr>
                <w:rFonts w:hint="eastAsia" w:ascii="宋体" w:hAnsi="宋体" w:cs="宋体"/>
                <w:szCs w:val="21"/>
              </w:rPr>
              <w:t xml:space="preserve">振荡波抗扰度</w:t>
            </w:r>
            <w:r>
              <w:rPr>
                <w:rStyle w:val="1246"/>
                <w:rFonts w:hint="eastAsia" w:hAnsi="宋体" w:cs="宋体"/>
              </w:rPr>
              <w:t xml:space="preserve">试验</w:t>
            </w:r>
            <w:r>
              <w:rPr>
                <w:rStyle w:val="1246"/>
                <w:rFonts w:ascii="宋体" w:hAnsi="宋体"/>
              </w:rPr>
            </w:r>
            <w:r/>
          </w:p>
        </w:tc>
        <w:tc>
          <w:tcPr>
            <w:tcW w:w="798" w:type="dxa"/>
            <w:vAlign w:val="center"/>
            <w:textDirection w:val="lrTb"/>
            <w:noWrap/>
          </w:tcPr>
          <w:p>
            <w:pPr>
              <w:pStyle w:val="1245"/>
              <w:jc w:val="center"/>
              <w:rPr>
                <w:rStyle w:val="1246"/>
                <w:rFonts w:ascii="宋体" w:hAnsi="宋体"/>
              </w:rPr>
            </w:pPr>
            <w:r>
              <w:rPr>
                <w:rStyle w:val="1246"/>
                <w:rFonts w:hAnsi="宋体" w:cs="宋体"/>
              </w:rPr>
              <w:t xml:space="preserve">4</w:t>
            </w:r>
            <w:r>
              <w:rPr>
                <w:rStyle w:val="1246"/>
                <w:rFonts w:ascii="宋体" w:hAnsi="宋体"/>
              </w:rPr>
            </w:r>
            <w:r/>
          </w:p>
        </w:tc>
        <w:tc>
          <w:tcPr>
            <w:tcW w:w="2240" w:type="dxa"/>
            <w:vAlign w:val="center"/>
            <w:textDirection w:val="lrTb"/>
            <w:noWrap/>
          </w:tcPr>
          <w:p>
            <w:pPr>
              <w:pStyle w:val="1245"/>
              <w:jc w:val="center"/>
              <w:rPr>
                <w:rStyle w:val="1246"/>
                <w:rFonts w:ascii="宋体" w:hAnsi="宋体"/>
              </w:rPr>
            </w:pPr>
            <w:r>
              <w:rPr>
                <w:rStyle w:val="1246"/>
                <w:rFonts w:hAnsi="宋体" w:cs="宋体"/>
              </w:rPr>
              <w:t xml:space="preserve">2.5kVP</w:t>
            </w:r>
            <w:r>
              <w:rPr>
                <w:rStyle w:val="1246"/>
                <w:rFonts w:ascii="宋体" w:hAnsi="宋体"/>
              </w:rPr>
            </w:r>
            <w:r/>
          </w:p>
        </w:tc>
        <w:tc>
          <w:tcPr>
            <w:tcW w:w="3764" w:type="dxa"/>
            <w:vAlign w:val="center"/>
            <w:textDirection w:val="lrTb"/>
            <w:noWrap/>
          </w:tcPr>
          <w:p>
            <w:pPr>
              <w:pStyle w:val="1245"/>
              <w:jc w:val="center"/>
              <w:rPr>
                <w:rStyle w:val="1246"/>
                <w:rFonts w:ascii="宋体" w:hAnsi="宋体"/>
              </w:rPr>
            </w:pPr>
            <w:r>
              <w:rPr>
                <w:rStyle w:val="1246"/>
                <w:rFonts w:hint="eastAsia" w:hAnsi="宋体" w:cs="宋体"/>
              </w:rPr>
              <w:t xml:space="preserve">信号输入、控制回路、电源回路、模拟量</w:t>
            </w:r>
            <w:r>
              <w:rPr>
                <w:rStyle w:val="1246"/>
                <w:rFonts w:hAnsi="宋体" w:cs="宋体"/>
              </w:rPr>
              <w:t xml:space="preserve">小信号输入回路</w:t>
            </w:r>
            <w:r>
              <w:rPr>
                <w:rStyle w:val="1246"/>
                <w:rFonts w:ascii="宋体" w:hAnsi="宋体"/>
              </w:rPr>
            </w:r>
            <w:r/>
          </w:p>
        </w:tc>
      </w:tr>
      <w:tr>
        <w:trPr>
          <w:cantSplit/>
          <w:trHeight w:val="397"/>
        </w:trPr>
        <w:tc>
          <w:tcPr>
            <w:tcW w:w="1690" w:type="dxa"/>
            <w:vAlign w:val="center"/>
            <w:vMerge w:val="restart"/>
            <w:textDirection w:val="lrTb"/>
            <w:noWrap/>
          </w:tcPr>
          <w:p>
            <w:pPr>
              <w:pStyle w:val="1245"/>
              <w:jc w:val="center"/>
              <w:rPr>
                <w:rStyle w:val="1246"/>
                <w:rFonts w:ascii="宋体" w:hAnsi="宋体"/>
              </w:rPr>
            </w:pPr>
            <w:r>
              <w:rPr>
                <w:rFonts w:hint="eastAsia" w:ascii="宋体" w:hAnsi="宋体" w:cs="宋体"/>
                <w:szCs w:val="21"/>
              </w:rPr>
              <w:t xml:space="preserve">电快速瞬变脉冲群抗扰度</w:t>
            </w:r>
            <w:r>
              <w:rPr>
                <w:rStyle w:val="1246"/>
                <w:rFonts w:ascii="宋体" w:hAnsi="宋体"/>
              </w:rPr>
            </w:r>
            <w:r/>
          </w:p>
        </w:tc>
        <w:tc>
          <w:tcPr>
            <w:tcW w:w="798" w:type="dxa"/>
            <w:vAlign w:val="center"/>
            <w:vMerge w:val="restart"/>
            <w:textDirection w:val="lrTb"/>
            <w:noWrap/>
          </w:tcPr>
          <w:p>
            <w:pPr>
              <w:pStyle w:val="1245"/>
              <w:jc w:val="center"/>
              <w:rPr>
                <w:rStyle w:val="1246"/>
                <w:rFonts w:ascii="宋体" w:hAnsi="宋体"/>
              </w:rPr>
            </w:pPr>
            <w:r>
              <w:rPr>
                <w:rStyle w:val="1246"/>
                <w:rFonts w:hAnsi="宋体" w:cs="宋体"/>
              </w:rPr>
              <w:t xml:space="preserve">4</w:t>
            </w:r>
            <w:r>
              <w:rPr>
                <w:rStyle w:val="1246"/>
                <w:rFonts w:ascii="宋体" w:hAnsi="宋体"/>
              </w:rPr>
            </w:r>
            <w:r/>
          </w:p>
        </w:tc>
        <w:tc>
          <w:tcPr>
            <w:tcW w:w="2240" w:type="dxa"/>
            <w:vAlign w:val="center"/>
            <w:textDirection w:val="lrTb"/>
            <w:noWrap/>
          </w:tcPr>
          <w:p>
            <w:pPr>
              <w:pStyle w:val="1245"/>
              <w:jc w:val="center"/>
              <w:rPr>
                <w:rStyle w:val="1246"/>
                <w:rFonts w:ascii="宋体" w:hAnsi="宋体"/>
              </w:rPr>
            </w:pPr>
            <w:r>
              <w:rPr>
                <w:rStyle w:val="1246"/>
                <w:rFonts w:hAnsi="宋体" w:cs="宋体"/>
              </w:rPr>
              <w:t xml:space="preserve">2.0kVP</w:t>
            </w:r>
            <w:r>
              <w:rPr>
                <w:rStyle w:val="1246"/>
                <w:rFonts w:ascii="宋体" w:hAnsi="宋体"/>
              </w:rPr>
            </w:r>
            <w:r/>
          </w:p>
        </w:tc>
        <w:tc>
          <w:tcPr>
            <w:tcW w:w="3764" w:type="dxa"/>
            <w:vAlign w:val="center"/>
            <w:textDirection w:val="lrTb"/>
            <w:noWrap/>
          </w:tcPr>
          <w:p>
            <w:pPr>
              <w:pStyle w:val="1245"/>
              <w:jc w:val="center"/>
              <w:rPr>
                <w:rStyle w:val="1246"/>
                <w:rFonts w:ascii="宋体" w:hAnsi="宋体"/>
              </w:rPr>
            </w:pPr>
            <w:r>
              <w:rPr>
                <w:rStyle w:val="1246"/>
                <w:rFonts w:hint="eastAsia" w:hAnsi="宋体" w:cs="宋体"/>
              </w:rPr>
              <w:t xml:space="preserve">信号输入回路、控制回路、模拟量</w:t>
            </w:r>
            <w:r>
              <w:rPr>
                <w:rStyle w:val="1246"/>
                <w:rFonts w:hAnsi="宋体" w:cs="宋体"/>
              </w:rPr>
              <w:t xml:space="preserve">小信号输入回路</w:t>
            </w:r>
            <w:r>
              <w:rPr>
                <w:rStyle w:val="1246"/>
                <w:rFonts w:ascii="宋体" w:hAnsi="宋体"/>
              </w:rPr>
            </w:r>
            <w:r/>
          </w:p>
        </w:tc>
      </w:tr>
      <w:tr>
        <w:trPr>
          <w:cantSplit/>
          <w:trHeight w:val="397"/>
        </w:trPr>
        <w:tc>
          <w:tcPr>
            <w:tcW w:w="1690" w:type="dxa"/>
            <w:vAlign w:val="center"/>
            <w:vMerge w:val="continue"/>
            <w:textDirection w:val="lrTb"/>
            <w:noWrap/>
          </w:tcPr>
          <w:p>
            <w:pPr>
              <w:pStyle w:val="1245"/>
              <w:jc w:val="center"/>
              <w:rPr>
                <w:rStyle w:val="1246"/>
                <w:rFonts w:ascii="宋体" w:hAnsi="宋体"/>
              </w:rPr>
            </w:pPr>
            <w:r>
              <w:rPr>
                <w:rStyle w:val="1246"/>
                <w:rFonts w:ascii="宋体" w:hAnsi="宋体"/>
              </w:rPr>
            </w:r>
            <w:r/>
          </w:p>
        </w:tc>
        <w:tc>
          <w:tcPr>
            <w:tcW w:w="798" w:type="dxa"/>
            <w:vAlign w:val="center"/>
            <w:vMerge w:val="continue"/>
            <w:textDirection w:val="lrTb"/>
            <w:noWrap/>
          </w:tcPr>
          <w:p>
            <w:pPr>
              <w:pStyle w:val="1245"/>
              <w:jc w:val="center"/>
              <w:rPr>
                <w:rStyle w:val="1246"/>
                <w:rFonts w:ascii="宋体" w:hAnsi="宋体"/>
              </w:rPr>
            </w:pPr>
            <w:r>
              <w:rPr>
                <w:rStyle w:val="1246"/>
                <w:rFonts w:ascii="宋体" w:hAnsi="宋体"/>
              </w:rPr>
            </w:r>
            <w:r/>
          </w:p>
        </w:tc>
        <w:tc>
          <w:tcPr>
            <w:tcW w:w="2240" w:type="dxa"/>
            <w:vAlign w:val="center"/>
            <w:textDirection w:val="lrTb"/>
            <w:noWrap/>
          </w:tcPr>
          <w:p>
            <w:pPr>
              <w:pStyle w:val="1245"/>
              <w:jc w:val="center"/>
              <w:rPr>
                <w:rStyle w:val="1246"/>
                <w:rFonts w:ascii="宋体" w:hAnsi="宋体"/>
              </w:rPr>
            </w:pPr>
            <w:r>
              <w:rPr>
                <w:rStyle w:val="1246"/>
                <w:rFonts w:hAnsi="宋体" w:cs="宋体"/>
              </w:rPr>
              <w:t xml:space="preserve">4.0kVP</w:t>
            </w:r>
            <w:r>
              <w:rPr>
                <w:rStyle w:val="1246"/>
                <w:rFonts w:ascii="宋体" w:hAnsi="宋体"/>
              </w:rPr>
            </w:r>
            <w:r/>
          </w:p>
        </w:tc>
        <w:tc>
          <w:tcPr>
            <w:tcW w:w="3764" w:type="dxa"/>
            <w:vAlign w:val="center"/>
            <w:textDirection w:val="lrTb"/>
            <w:noWrap/>
          </w:tcPr>
          <w:p>
            <w:pPr>
              <w:pStyle w:val="1245"/>
              <w:jc w:val="center"/>
              <w:rPr>
                <w:rStyle w:val="1246"/>
                <w:rFonts w:ascii="宋体" w:hAnsi="宋体"/>
              </w:rPr>
            </w:pPr>
            <w:r>
              <w:rPr>
                <w:rStyle w:val="1246"/>
                <w:rFonts w:hint="eastAsia" w:hAnsi="宋体" w:cs="宋体"/>
              </w:rPr>
              <w:t xml:space="preserve">电源回路</w:t>
            </w:r>
            <w:r>
              <w:rPr>
                <w:rStyle w:val="1246"/>
                <w:rFonts w:ascii="宋体" w:hAnsi="宋体"/>
              </w:rPr>
            </w:r>
            <w:r/>
          </w:p>
        </w:tc>
      </w:tr>
      <w:tr>
        <w:trPr>
          <w:cantSplit/>
          <w:trHeight w:val="824"/>
        </w:trPr>
        <w:tc>
          <w:tcPr>
            <w:tcW w:w="1690" w:type="dxa"/>
            <w:vAlign w:val="center"/>
            <w:textDirection w:val="lrTb"/>
            <w:noWrap/>
          </w:tcPr>
          <w:p>
            <w:pPr>
              <w:pStyle w:val="1245"/>
              <w:jc w:val="center"/>
              <w:rPr>
                <w:rStyle w:val="1246"/>
                <w:rFonts w:ascii="宋体" w:hAnsi="宋体"/>
              </w:rPr>
            </w:pPr>
            <w:r>
              <w:rPr>
                <w:rStyle w:val="1246"/>
                <w:rFonts w:hint="eastAsia" w:hAnsi="宋体" w:cs="宋体"/>
              </w:rPr>
              <w:t xml:space="preserve">浪涌（冲击）抗扰度</w:t>
            </w:r>
            <w:r>
              <w:rPr>
                <w:rStyle w:val="1246"/>
                <w:rFonts w:ascii="宋体" w:hAnsi="宋体"/>
              </w:rPr>
            </w:r>
            <w:r/>
          </w:p>
        </w:tc>
        <w:tc>
          <w:tcPr>
            <w:tcW w:w="798" w:type="dxa"/>
            <w:vAlign w:val="center"/>
            <w:textDirection w:val="lrTb"/>
            <w:noWrap/>
          </w:tcPr>
          <w:p>
            <w:pPr>
              <w:pStyle w:val="1245"/>
              <w:jc w:val="center"/>
              <w:rPr>
                <w:rStyle w:val="1246"/>
                <w:rFonts w:ascii="宋体" w:hAnsi="宋体"/>
              </w:rPr>
            </w:pPr>
            <w:r>
              <w:rPr>
                <w:rStyle w:val="1246"/>
                <w:rFonts w:hAnsi="宋体" w:cs="宋体"/>
              </w:rPr>
              <w:t xml:space="preserve">4</w:t>
            </w:r>
            <w:r>
              <w:rPr>
                <w:rStyle w:val="1246"/>
                <w:rFonts w:ascii="宋体" w:hAnsi="宋体"/>
              </w:rPr>
            </w:r>
            <w:r/>
          </w:p>
        </w:tc>
        <w:tc>
          <w:tcPr>
            <w:tcW w:w="2240" w:type="dxa"/>
            <w:vAlign w:val="center"/>
            <w:textDirection w:val="lrTb"/>
            <w:noWrap/>
          </w:tcPr>
          <w:p>
            <w:pPr>
              <w:pStyle w:val="1245"/>
              <w:jc w:val="center"/>
              <w:rPr>
                <w:rStyle w:val="1246"/>
                <w:rFonts w:ascii="宋体" w:hAnsi="宋体"/>
              </w:rPr>
            </w:pPr>
            <w:r>
              <w:rPr>
                <w:rStyle w:val="1246"/>
                <w:rFonts w:hAnsi="宋体" w:cs="宋体"/>
              </w:rPr>
              <w:t xml:space="preserve">4.0kVP</w:t>
            </w:r>
            <w:r>
              <w:rPr>
                <w:rStyle w:val="1246"/>
                <w:rFonts w:ascii="宋体" w:hAnsi="宋体"/>
              </w:rPr>
            </w:r>
            <w:r/>
          </w:p>
        </w:tc>
        <w:tc>
          <w:tcPr>
            <w:tcW w:w="3764" w:type="dxa"/>
            <w:vAlign w:val="center"/>
            <w:textDirection w:val="lrTb"/>
            <w:noWrap/>
          </w:tcPr>
          <w:p>
            <w:pPr>
              <w:pStyle w:val="1245"/>
              <w:jc w:val="center"/>
              <w:rPr>
                <w:rStyle w:val="1246"/>
                <w:rFonts w:ascii="宋体" w:hAnsi="宋体"/>
              </w:rPr>
            </w:pPr>
            <w:r>
              <w:rPr>
                <w:rStyle w:val="1246"/>
                <w:rFonts w:hint="eastAsia" w:hAnsi="宋体" w:cs="宋体"/>
              </w:rPr>
              <w:t xml:space="preserve">信号输入回路、控制回路、电源回路、</w:t>
            </w:r>
            <w:r>
              <w:rPr>
                <w:rStyle w:val="1246"/>
                <w:rFonts w:hAnsi="宋体" w:cs="宋体"/>
              </w:rPr>
              <w:t xml:space="preserve">模拟量小信号输入回路</w:t>
            </w:r>
            <w:r>
              <w:rPr>
                <w:rStyle w:val="1246"/>
                <w:rFonts w:ascii="宋体" w:hAnsi="宋体"/>
              </w:rPr>
            </w:r>
            <w:r/>
          </w:p>
        </w:tc>
      </w:tr>
      <w:tr>
        <w:trPr>
          <w:trHeight w:val="807"/>
        </w:trPr>
        <w:tc>
          <w:tcPr>
            <w:gridSpan w:val="4"/>
            <w:tcW w:w="8492" w:type="dxa"/>
            <w:vAlign w:val="center"/>
            <w:textDirection w:val="lrTb"/>
            <w:noWrap/>
          </w:tcPr>
          <w:p>
            <w:pPr>
              <w:pStyle w:val="1245"/>
              <w:spacing w:line="240" w:lineRule="auto"/>
              <w:rPr>
                <w:rStyle w:val="1246"/>
                <w:rFonts w:hAnsi="宋体" w:cs="宋体"/>
              </w:rPr>
            </w:pPr>
            <w:r>
              <w:rPr>
                <w:rStyle w:val="1246"/>
                <w:rFonts w:hint="eastAsia" w:hAnsi="宋体" w:cs="宋体"/>
              </w:rPr>
              <w:t xml:space="preserve">注</w:t>
            </w:r>
            <w:r>
              <w:rPr>
                <w:rStyle w:val="1246"/>
                <w:rFonts w:hAnsi="宋体" w:cs="宋体"/>
              </w:rPr>
              <w:t xml:space="preserve">1：*差模试验电压值为共模试验值的1/2。</w:t>
            </w:r>
            <w:r>
              <w:rPr>
                <w:rStyle w:val="1246"/>
                <w:rFonts w:hAnsi="宋体" w:cs="宋体"/>
              </w:rPr>
            </w:r>
            <w:r/>
          </w:p>
          <w:p>
            <w:pPr>
              <w:pStyle w:val="1245"/>
              <w:rPr>
                <w:rStyle w:val="1246"/>
                <w:rFonts w:ascii="宋体" w:hAnsi="宋体"/>
              </w:rPr>
            </w:pPr>
            <w:r>
              <w:rPr>
                <w:rStyle w:val="1246"/>
                <w:rFonts w:hint="eastAsia" w:hAnsi="宋体" w:cs="宋体"/>
              </w:rPr>
              <w:t xml:space="preserve">注</w:t>
            </w:r>
            <w:r>
              <w:rPr>
                <w:rStyle w:val="1246"/>
                <w:rFonts w:hAnsi="宋体" w:cs="宋体"/>
              </w:rPr>
              <w:t xml:space="preserve">2</w:t>
            </w:r>
            <w:r>
              <w:rPr>
                <w:rStyle w:val="1246"/>
                <w:rFonts w:hint="eastAsia" w:hAnsi="宋体" w:cs="宋体"/>
              </w:rPr>
              <w:t xml:space="preserve">：模拟量</w:t>
            </w:r>
            <w:r>
              <w:rPr>
                <w:rStyle w:val="1246"/>
                <w:rFonts w:hAnsi="宋体" w:cs="宋体"/>
              </w:rPr>
              <w:t xml:space="preserve">小信号输入回路</w:t>
            </w:r>
            <w:r>
              <w:rPr>
                <w:rStyle w:val="1246"/>
                <w:rFonts w:hint="eastAsia" w:hAnsi="宋体" w:cs="宋体"/>
              </w:rPr>
              <w:t xml:space="preserve">是指</w:t>
            </w:r>
            <w:r>
              <w:rPr>
                <w:rStyle w:val="1246"/>
                <w:rFonts w:hAnsi="宋体" w:cs="宋体"/>
              </w:rPr>
              <w:t xml:space="preserve">：与</w:t>
            </w:r>
            <w:r>
              <w:rPr>
                <w:rStyle w:val="1246"/>
                <w:rFonts w:hint="eastAsia" w:hAnsi="宋体" w:cs="宋体"/>
              </w:rPr>
              <w:t xml:space="preserve">低功率</w:t>
            </w:r>
            <w:r>
              <w:rPr>
                <w:rStyle w:val="1246"/>
                <w:rFonts w:hAnsi="宋体" w:cs="宋体"/>
              </w:rPr>
              <w:t xml:space="preserve">传感器配合</w:t>
            </w:r>
            <w:r>
              <w:rPr>
                <w:rStyle w:val="1246"/>
                <w:rFonts w:hint="eastAsia" w:hAnsi="宋体" w:cs="宋体"/>
              </w:rPr>
              <w:t xml:space="preserve">的</w:t>
            </w:r>
            <w:r>
              <w:rPr>
                <w:rStyle w:val="1246"/>
                <w:rFonts w:hAnsi="宋体" w:cs="宋体"/>
              </w:rPr>
              <w:t xml:space="preserve">采集信号输入回路。</w:t>
            </w:r>
            <w:r>
              <w:rPr>
                <w:rStyle w:val="1246"/>
                <w:rFonts w:ascii="宋体" w:hAnsi="宋体"/>
              </w:rPr>
            </w:r>
            <w:r/>
          </w:p>
        </w:tc>
      </w:tr>
    </w:tbl>
    <w:p>
      <w:pPr>
        <w:pStyle w:val="1245"/>
        <w:numPr>
          <w:ilvl w:val="0"/>
          <w:numId w:val="47"/>
        </w:numPr>
        <w:rPr>
          <w:rStyle w:val="1246"/>
          <w:rFonts w:ascii="宋体" w:hAnsi="宋体"/>
          <w:b/>
        </w:rPr>
      </w:pPr>
      <w:r>
        <w:rPr>
          <w:rStyle w:val="1246"/>
          <w:rFonts w:ascii="宋体" w:hAnsi="宋体"/>
        </w:rPr>
        <w:t xml:space="preserve">抗静电放电的</w:t>
      </w:r>
      <w:r>
        <w:rPr>
          <w:rStyle w:val="1246"/>
          <w:rFonts w:hint="eastAsia" w:ascii="宋体" w:hAnsi="宋体"/>
        </w:rPr>
        <w:t xml:space="preserve">要求</w:t>
      </w:r>
      <w:r>
        <w:rPr>
          <w:rStyle w:val="1246"/>
          <w:rFonts w:ascii="宋体" w:hAnsi="宋体"/>
          <w:b/>
        </w:rPr>
      </w:r>
      <w:r/>
    </w:p>
    <w:p>
      <w:pPr>
        <w:pStyle w:val="1201"/>
        <w:spacing w:line="360" w:lineRule="auto"/>
        <w:tabs>
          <w:tab w:val="center" w:pos="4201" w:leader="none"/>
          <w:tab w:val="right" w:pos="9298" w:leader="dot"/>
        </w:tabs>
        <w:rPr>
          <w:rStyle w:val="1246"/>
          <w:rFonts w:hAnsi="宋体" w:cs="宋体"/>
        </w:rPr>
      </w:pPr>
      <w:r>
        <w:rPr>
          <w:rStyle w:val="1246"/>
          <w:rFonts w:hint="eastAsia" w:hAnsi="宋体" w:cs="宋体"/>
        </w:rPr>
        <w:t xml:space="preserve">按GB/T 17626.2中的有关规定执行。</w:t>
      </w:r>
      <w:r>
        <w:rPr>
          <w:rStyle w:val="1246"/>
          <w:rFonts w:hAnsi="宋体" w:cs="宋体"/>
        </w:rPr>
      </w:r>
      <w:r/>
    </w:p>
    <w:p>
      <w:pPr>
        <w:pStyle w:val="1151"/>
        <w:spacing w:line="360" w:lineRule="auto"/>
        <w:rPr>
          <w:rStyle w:val="1246"/>
          <w:rFonts w:hAnsi="宋体"/>
        </w:rPr>
      </w:pPr>
      <w:r>
        <w:rPr>
          <w:rStyle w:val="1246"/>
          <w:rFonts w:hint="eastAsia" w:ascii="宋体" w:hAnsi="宋体" w:cs="宋体"/>
        </w:rPr>
        <w:t xml:space="preserve">在正常工作条件下，在操作人员通常可接触到的外壳和操作点上，按表</w:t>
      </w:r>
      <w:r>
        <w:rPr>
          <w:rStyle w:val="1246"/>
          <w:rFonts w:hint="eastAsia" w:hAnsi="宋体" w:cs="宋体"/>
        </w:rPr>
        <w:t xml:space="preserve">20</w:t>
      </w:r>
      <w:r>
        <w:rPr>
          <w:rStyle w:val="1246"/>
          <w:rFonts w:hint="eastAsia" w:ascii="宋体" w:hAnsi="宋体" w:cs="宋体"/>
        </w:rPr>
        <w:t xml:space="preserve">规定施加静电放电电压，正负极性放电各10次，每次放电间隔至少为1s。试验时设备应能正常工作，各项功能、性能指标满足相关要求，试验时允许出现短时通信中断和液晶显示瞬时闪屏。交流电压、电流输入回路测量误差的改变量应不大于等级指数200%。</w:t>
      </w:r>
      <w:r>
        <w:rPr>
          <w:rStyle w:val="1246"/>
          <w:rFonts w:hAnsi="宋体"/>
        </w:rPr>
      </w:r>
      <w:r/>
    </w:p>
    <w:p>
      <w:pPr>
        <w:pStyle w:val="1245"/>
        <w:ind w:firstLine="420"/>
        <w:jc w:val="center"/>
        <w:rPr>
          <w:rStyle w:val="1246"/>
          <w:rFonts w:ascii="宋体" w:hAnsi="宋体"/>
        </w:rPr>
      </w:pPr>
      <w:r>
        <w:rPr>
          <w:rStyle w:val="1246"/>
          <w:rFonts w:hint="eastAsia" w:ascii="宋体" w:hAnsi="宋体"/>
        </w:rPr>
        <w:t xml:space="preserve">表20  静电放</w:t>
      </w:r>
      <w:r>
        <w:rPr>
          <w:rStyle w:val="1246"/>
          <w:rFonts w:ascii="宋体" w:hAnsi="宋体"/>
        </w:rPr>
        <w:t xml:space="preserve">电</w:t>
      </w:r>
      <w:r>
        <w:rPr>
          <w:rStyle w:val="1246"/>
          <w:rFonts w:hint="eastAsia" w:ascii="宋体" w:hAnsi="宋体"/>
        </w:rPr>
        <w:t xml:space="preserve">抗扰度</w:t>
      </w:r>
      <w:r>
        <w:rPr>
          <w:rStyle w:val="1246"/>
          <w:rFonts w:ascii="宋体" w:hAnsi="宋体"/>
        </w:rPr>
        <w:t xml:space="preserve">试验的主要参数</w:t>
      </w:r>
      <w:r>
        <w:rPr>
          <w:rStyle w:val="1246"/>
          <w:rFonts w:ascii="宋体" w:hAnsi="宋体"/>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23"/>
        <w:gridCol w:w="1932"/>
        <w:gridCol w:w="2218"/>
        <w:gridCol w:w="2219"/>
      </w:tblGrid>
      <w:tr>
        <w:trPr>
          <w:cantSplit/>
          <w:trHeight w:val="397"/>
        </w:trPr>
        <w:tc>
          <w:tcPr>
            <w:tcW w:w="2123" w:type="dxa"/>
            <w:vAlign w:val="center"/>
            <w:vMerge w:val="restart"/>
            <w:textDirection w:val="lrTb"/>
            <w:noWrap/>
          </w:tcPr>
          <w:p>
            <w:pPr>
              <w:pStyle w:val="1245"/>
              <w:jc w:val="center"/>
              <w:rPr>
                <w:rStyle w:val="1246"/>
                <w:rFonts w:ascii="宋体" w:hAnsi="宋体"/>
              </w:rPr>
            </w:pPr>
            <w:r>
              <w:rPr>
                <w:rStyle w:val="1246"/>
                <w:rFonts w:ascii="宋体" w:hAnsi="宋体"/>
              </w:rPr>
              <w:t xml:space="preserve">试验项目</w:t>
            </w:r>
            <w:r>
              <w:rPr>
                <w:rStyle w:val="1246"/>
                <w:rFonts w:ascii="宋体" w:hAnsi="宋体"/>
              </w:rPr>
            </w:r>
            <w:r/>
          </w:p>
        </w:tc>
        <w:tc>
          <w:tcPr>
            <w:tcW w:w="1932" w:type="dxa"/>
            <w:vAlign w:val="center"/>
            <w:vMerge w:val="restart"/>
            <w:textDirection w:val="lrTb"/>
            <w:noWrap/>
          </w:tcPr>
          <w:p>
            <w:pPr>
              <w:pStyle w:val="1245"/>
              <w:jc w:val="center"/>
              <w:rPr>
                <w:rStyle w:val="1246"/>
                <w:rFonts w:ascii="宋体" w:hAnsi="宋体"/>
              </w:rPr>
            </w:pPr>
            <w:r>
              <w:rPr>
                <w:rStyle w:val="1246"/>
                <w:rFonts w:ascii="宋体" w:hAnsi="宋体"/>
              </w:rPr>
              <w:t xml:space="preserve">级别</w:t>
            </w:r>
            <w:r>
              <w:rPr>
                <w:rStyle w:val="1246"/>
                <w:rFonts w:ascii="宋体" w:hAnsi="宋体"/>
              </w:rPr>
            </w:r>
            <w:r/>
          </w:p>
        </w:tc>
        <w:tc>
          <w:tcPr>
            <w:gridSpan w:val="2"/>
            <w:tcW w:w="4437" w:type="dxa"/>
            <w:vAlign w:val="center"/>
            <w:textDirection w:val="lrTb"/>
            <w:noWrap/>
          </w:tcPr>
          <w:p>
            <w:pPr>
              <w:pStyle w:val="1245"/>
              <w:jc w:val="center"/>
              <w:rPr>
                <w:rStyle w:val="1246"/>
                <w:rFonts w:ascii="宋体" w:hAnsi="宋体"/>
              </w:rPr>
            </w:pPr>
            <w:r>
              <w:rPr>
                <w:rStyle w:val="1246"/>
                <w:rFonts w:ascii="宋体" w:hAnsi="宋体"/>
              </w:rPr>
              <w:t xml:space="preserve">试验值</w:t>
            </w:r>
            <w:r>
              <w:rPr>
                <w:rStyle w:val="1246"/>
                <w:rFonts w:ascii="宋体" w:hAnsi="宋体"/>
              </w:rPr>
            </w:r>
            <w:r/>
          </w:p>
        </w:tc>
      </w:tr>
      <w:tr>
        <w:trPr>
          <w:cantSplit/>
          <w:trHeight w:val="397"/>
        </w:trPr>
        <w:tc>
          <w:tcPr>
            <w:tcW w:w="2123" w:type="dxa"/>
            <w:vAlign w:val="center"/>
            <w:vMerge w:val="continue"/>
            <w:textDirection w:val="lrTb"/>
            <w:noWrap/>
          </w:tcPr>
          <w:p>
            <w:pPr>
              <w:pStyle w:val="1245"/>
              <w:jc w:val="center"/>
              <w:rPr>
                <w:rStyle w:val="1246"/>
                <w:rFonts w:ascii="宋体" w:hAnsi="宋体"/>
              </w:rPr>
            </w:pPr>
            <w:r>
              <w:rPr>
                <w:rStyle w:val="1246"/>
                <w:rFonts w:ascii="宋体" w:hAnsi="宋体"/>
              </w:rPr>
            </w:r>
            <w:r/>
          </w:p>
        </w:tc>
        <w:tc>
          <w:tcPr>
            <w:tcW w:w="1932" w:type="dxa"/>
            <w:vAlign w:val="center"/>
            <w:vMerge w:val="continue"/>
            <w:textDirection w:val="lrTb"/>
            <w:noWrap/>
          </w:tcPr>
          <w:p>
            <w:pPr>
              <w:pStyle w:val="1245"/>
              <w:jc w:val="center"/>
              <w:rPr>
                <w:rStyle w:val="1246"/>
                <w:rFonts w:ascii="宋体" w:hAnsi="宋体"/>
              </w:rPr>
            </w:pPr>
            <w:r>
              <w:rPr>
                <w:rStyle w:val="1246"/>
                <w:rFonts w:ascii="宋体" w:hAnsi="宋体"/>
              </w:rPr>
            </w:r>
            <w:r/>
          </w:p>
        </w:tc>
        <w:tc>
          <w:tcPr>
            <w:tcW w:w="2218" w:type="dxa"/>
            <w:vAlign w:val="center"/>
            <w:textDirection w:val="lrTb"/>
            <w:noWrap/>
          </w:tcPr>
          <w:p>
            <w:pPr>
              <w:pStyle w:val="1245"/>
              <w:jc w:val="center"/>
              <w:rPr>
                <w:rStyle w:val="1246"/>
                <w:rFonts w:ascii="宋体" w:hAnsi="宋体"/>
              </w:rPr>
            </w:pPr>
            <w:r>
              <w:rPr>
                <w:rStyle w:val="1246"/>
                <w:rFonts w:ascii="宋体" w:hAnsi="宋体"/>
              </w:rPr>
              <w:t xml:space="preserve">接触放电</w:t>
            </w:r>
            <w:r>
              <w:rPr>
                <w:rStyle w:val="1246"/>
                <w:rFonts w:ascii="宋体" w:hAnsi="宋体"/>
              </w:rPr>
            </w:r>
            <w:r/>
          </w:p>
        </w:tc>
        <w:tc>
          <w:tcPr>
            <w:tcW w:w="2219" w:type="dxa"/>
            <w:vAlign w:val="center"/>
            <w:textDirection w:val="lrTb"/>
            <w:noWrap/>
          </w:tcPr>
          <w:p>
            <w:pPr>
              <w:pStyle w:val="1245"/>
              <w:jc w:val="center"/>
              <w:rPr>
                <w:rStyle w:val="1246"/>
                <w:rFonts w:ascii="宋体" w:hAnsi="宋体"/>
              </w:rPr>
            </w:pPr>
            <w:r>
              <w:rPr>
                <w:rStyle w:val="1246"/>
                <w:rFonts w:ascii="宋体" w:hAnsi="宋体"/>
              </w:rPr>
              <w:t xml:space="preserve">空气放电</w:t>
            </w:r>
            <w:r>
              <w:rPr>
                <w:rStyle w:val="1246"/>
                <w:rFonts w:ascii="宋体" w:hAnsi="宋体"/>
              </w:rPr>
            </w:r>
            <w:r/>
          </w:p>
        </w:tc>
      </w:tr>
      <w:tr>
        <w:trPr>
          <w:cantSplit/>
          <w:trHeight w:val="397"/>
        </w:trPr>
        <w:tc>
          <w:tcPr>
            <w:tcW w:w="2123" w:type="dxa"/>
            <w:vAlign w:val="center"/>
            <w:textDirection w:val="lrTb"/>
            <w:noWrap/>
          </w:tcPr>
          <w:p>
            <w:pPr>
              <w:pStyle w:val="1245"/>
              <w:jc w:val="center"/>
              <w:rPr>
                <w:rStyle w:val="1246"/>
                <w:rFonts w:ascii="宋体" w:hAnsi="宋体"/>
              </w:rPr>
            </w:pPr>
            <w:r>
              <w:rPr>
                <w:rStyle w:val="1246"/>
                <w:rFonts w:ascii="宋体" w:hAnsi="宋体"/>
              </w:rPr>
              <w:t xml:space="preserve">静电放电</w:t>
            </w:r>
            <w:r>
              <w:rPr>
                <w:rStyle w:val="1246"/>
                <w:rFonts w:ascii="宋体" w:hAnsi="宋体"/>
              </w:rPr>
            </w:r>
            <w:r/>
          </w:p>
        </w:tc>
        <w:tc>
          <w:tcPr>
            <w:tcW w:w="1932" w:type="dxa"/>
            <w:vAlign w:val="center"/>
            <w:textDirection w:val="lrTb"/>
            <w:noWrap/>
          </w:tcPr>
          <w:p>
            <w:pPr>
              <w:pStyle w:val="1245"/>
              <w:jc w:val="center"/>
              <w:rPr>
                <w:rStyle w:val="1246"/>
                <w:rFonts w:ascii="宋体" w:hAnsi="宋体"/>
              </w:rPr>
            </w:pPr>
            <w:r>
              <w:rPr>
                <w:rStyle w:val="1246"/>
                <w:rFonts w:ascii="宋体" w:hAnsi="宋体"/>
              </w:rPr>
              <w:t xml:space="preserve">4</w:t>
            </w:r>
            <w:r>
              <w:rPr>
                <w:rStyle w:val="1246"/>
                <w:rFonts w:ascii="宋体" w:hAnsi="宋体"/>
              </w:rPr>
            </w:r>
            <w:r/>
          </w:p>
        </w:tc>
        <w:tc>
          <w:tcPr>
            <w:tcW w:w="2218" w:type="dxa"/>
            <w:vAlign w:val="center"/>
            <w:textDirection w:val="lrTb"/>
            <w:noWrap/>
          </w:tcPr>
          <w:p>
            <w:pPr>
              <w:pStyle w:val="1245"/>
              <w:jc w:val="center"/>
              <w:rPr>
                <w:rStyle w:val="1246"/>
                <w:rFonts w:ascii="宋体" w:hAnsi="宋体"/>
              </w:rPr>
            </w:pPr>
            <w:r>
              <w:rPr>
                <w:rStyle w:val="1246"/>
                <w:rFonts w:hint="eastAsia" w:ascii="宋体" w:hAnsi="宋体"/>
              </w:rPr>
              <w:t xml:space="preserve">±</w:t>
            </w:r>
            <w:r>
              <w:rPr>
                <w:rStyle w:val="1246"/>
                <w:rFonts w:ascii="宋体" w:hAnsi="宋体"/>
              </w:rPr>
              <w:t xml:space="preserve">8kV</w:t>
            </w:r>
            <w:r>
              <w:rPr>
                <w:rStyle w:val="1246"/>
                <w:rFonts w:ascii="宋体" w:hAnsi="宋体"/>
              </w:rPr>
            </w:r>
            <w:r/>
          </w:p>
        </w:tc>
        <w:tc>
          <w:tcPr>
            <w:tcW w:w="2219" w:type="dxa"/>
            <w:vAlign w:val="center"/>
            <w:textDirection w:val="lrTb"/>
            <w:noWrap/>
          </w:tcPr>
          <w:p>
            <w:pPr>
              <w:pStyle w:val="1245"/>
              <w:jc w:val="center"/>
              <w:rPr>
                <w:rStyle w:val="1246"/>
                <w:rFonts w:ascii="宋体" w:hAnsi="宋体"/>
              </w:rPr>
            </w:pPr>
            <w:r>
              <w:rPr>
                <w:rStyle w:val="1246"/>
                <w:rFonts w:hint="eastAsia" w:ascii="宋体" w:hAnsi="宋体"/>
              </w:rPr>
              <w:t xml:space="preserve">±</w:t>
            </w:r>
            <w:r>
              <w:rPr>
                <w:rStyle w:val="1246"/>
                <w:rFonts w:ascii="宋体" w:hAnsi="宋体"/>
              </w:rPr>
              <w:t xml:space="preserve">15kV</w:t>
            </w:r>
            <w:r>
              <w:rPr>
                <w:rStyle w:val="1246"/>
                <w:rFonts w:ascii="宋体" w:hAnsi="宋体"/>
              </w:rPr>
            </w:r>
            <w:r/>
          </w:p>
        </w:tc>
      </w:tr>
      <w:tr>
        <w:trPr>
          <w:cantSplit/>
          <w:trHeight w:val="433"/>
        </w:trPr>
        <w:tc>
          <w:tcPr>
            <w:gridSpan w:val="4"/>
            <w:tcW w:w="8492" w:type="dxa"/>
            <w:vAlign w:val="center"/>
            <w:textDirection w:val="lrTb"/>
            <w:noWrap/>
          </w:tcPr>
          <w:p>
            <w:pPr>
              <w:pStyle w:val="1245"/>
              <w:rPr>
                <w:rStyle w:val="1246"/>
                <w:rFonts w:ascii="宋体" w:hAnsi="宋体"/>
              </w:rPr>
            </w:pPr>
            <w:r>
              <w:rPr>
                <w:rStyle w:val="1246"/>
                <w:rFonts w:hint="eastAsia" w:ascii="宋体" w:hAnsi="宋体"/>
              </w:rPr>
              <w:t xml:space="preserve">DTU应满足4级要求</w:t>
            </w:r>
            <w:r>
              <w:rPr>
                <w:rStyle w:val="1246"/>
                <w:rFonts w:ascii="宋体" w:hAnsi="宋体"/>
              </w:rPr>
            </w:r>
            <w:r/>
          </w:p>
        </w:tc>
      </w:tr>
    </w:tbl>
    <w:p>
      <w:pPr>
        <w:pStyle w:val="1245"/>
        <w:numPr>
          <w:ilvl w:val="0"/>
          <w:numId w:val="47"/>
        </w:numPr>
        <w:rPr>
          <w:rStyle w:val="1246"/>
          <w:rFonts w:ascii="宋体" w:hAnsi="宋体"/>
        </w:rPr>
      </w:pPr>
      <w:r>
        <w:rPr>
          <w:rStyle w:val="1246"/>
          <w:rFonts w:ascii="宋体" w:hAnsi="宋体"/>
        </w:rPr>
        <w:t xml:space="preserve">工频磁场抗扰度</w:t>
      </w:r>
      <w:r>
        <w:rPr>
          <w:rStyle w:val="1246"/>
          <w:rFonts w:ascii="宋体" w:hAnsi="宋体"/>
        </w:rPr>
      </w:r>
      <w:r/>
    </w:p>
    <w:p>
      <w:pPr>
        <w:pStyle w:val="1151"/>
        <w:ind w:firstLine="420"/>
        <w:rPr>
          <w:rFonts w:ascii="宋体" w:hAnsi="宋体" w:cs="宋体"/>
          <w:szCs w:val="21"/>
        </w:rPr>
      </w:pPr>
      <w:r>
        <w:rPr>
          <w:rFonts w:hint="eastAsia" w:ascii="宋体" w:hAnsi="宋体" w:cs="宋体"/>
          <w:szCs w:val="21"/>
        </w:rPr>
        <w:t xml:space="preserve">按GB/T 17626.8中的有关规定执行。</w:t>
      </w:r>
      <w:r>
        <w:rPr>
          <w:rFonts w:ascii="宋体" w:hAnsi="宋体" w:cs="宋体"/>
          <w:szCs w:val="21"/>
        </w:rPr>
      </w:r>
      <w:r/>
    </w:p>
    <w:p>
      <w:pPr>
        <w:pStyle w:val="1151"/>
        <w:ind w:firstLine="420"/>
      </w:pPr>
      <w:r>
        <w:rPr>
          <w:rFonts w:hint="eastAsia" w:ascii="宋体" w:hAnsi="宋体" w:cs="宋体"/>
          <w:szCs w:val="21"/>
        </w:rPr>
        <w:t xml:space="preserve">施加表21 规定的工频磁场干扰，试验时设备应能正常工作，各项功能、性能指标满足相关要求，交流电压、电流输入回路测量误差的改变量应不大于等级指数100%。</w:t>
      </w:r>
      <w:r/>
    </w:p>
    <w:p>
      <w:pPr>
        <w:pStyle w:val="1245"/>
        <w:numPr>
          <w:ilvl w:val="0"/>
          <w:numId w:val="47"/>
        </w:numPr>
        <w:rPr>
          <w:rStyle w:val="1246"/>
          <w:rFonts w:ascii="宋体" w:hAnsi="宋体"/>
        </w:rPr>
      </w:pPr>
      <w:r>
        <w:rPr>
          <w:rStyle w:val="1246"/>
          <w:rFonts w:ascii="宋体" w:hAnsi="宋体"/>
        </w:rPr>
        <w:t xml:space="preserve">阻尼振荡磁场抗扰度能力</w:t>
      </w:r>
      <w:r>
        <w:rPr>
          <w:rStyle w:val="1246"/>
          <w:rFonts w:ascii="宋体" w:hAnsi="宋体"/>
        </w:rPr>
      </w:r>
      <w:r/>
    </w:p>
    <w:p>
      <w:pPr>
        <w:pStyle w:val="1151"/>
        <w:ind w:firstLine="420"/>
        <w:rPr>
          <w:rFonts w:ascii="宋体" w:hAnsi="宋体" w:cs="宋体"/>
          <w:szCs w:val="21"/>
        </w:rPr>
      </w:pPr>
      <w:r>
        <w:rPr>
          <w:rFonts w:hint="eastAsia" w:ascii="宋体" w:hAnsi="宋体" w:cs="宋体"/>
          <w:szCs w:val="21"/>
        </w:rPr>
        <w:t xml:space="preserve">按GB/T 17626.10中的有关规定执行。</w:t>
      </w:r>
      <w:r>
        <w:rPr>
          <w:rFonts w:ascii="宋体" w:hAnsi="宋体" w:cs="宋体"/>
          <w:szCs w:val="21"/>
        </w:rPr>
      </w:r>
      <w:r/>
    </w:p>
    <w:p>
      <w:pPr>
        <w:pStyle w:val="1151"/>
        <w:ind w:firstLine="420"/>
        <w:rPr>
          <w:rFonts w:ascii="宋体" w:hAnsi="宋体" w:cs="宋体"/>
          <w:szCs w:val="21"/>
        </w:rPr>
      </w:pPr>
      <w:r>
        <w:rPr>
          <w:rFonts w:hint="eastAsia" w:ascii="宋体" w:hAnsi="宋体" w:cs="宋体"/>
          <w:szCs w:val="21"/>
        </w:rPr>
        <w:t xml:space="preserve">施加表21 规定的阻尼振荡磁场干扰，试验时终端应能正常工作，各项功能、性能指标满足相关要求，交流电压、电流输入回路测量误差的改变量应不大于等级指数100%。</w:t>
      </w:r>
      <w:r>
        <w:rPr>
          <w:rFonts w:ascii="宋体" w:hAnsi="宋体" w:cs="宋体"/>
          <w:szCs w:val="21"/>
        </w:rPr>
      </w:r>
      <w:r/>
    </w:p>
    <w:p>
      <w:pPr>
        <w:pStyle w:val="1151"/>
        <w:jc w:val="center"/>
        <w:rPr>
          <w:rFonts w:ascii="宋体" w:hAnsi="宋体" w:cs="宋体"/>
          <w:szCs w:val="21"/>
        </w:rPr>
      </w:pPr>
      <w:r>
        <w:rPr>
          <w:rFonts w:hint="eastAsia" w:ascii="宋体" w:hAnsi="宋体" w:cs="宋体"/>
          <w:szCs w:val="21"/>
        </w:rPr>
        <w:t xml:space="preserve">表21 工频磁场和阻尼振荡磁场抗扰度试验主要参数</w:t>
      </w:r>
      <w:r>
        <w:rPr>
          <w:rFonts w:ascii="宋体" w:hAnsi="宋体" w:cs="宋体"/>
          <w:szCs w:val="21"/>
        </w:rPr>
      </w:r>
      <w:r/>
    </w:p>
    <w:tbl>
      <w:tblPr>
        <w:tblW w:w="82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9"/>
        <w:gridCol w:w="1555"/>
        <w:gridCol w:w="2730"/>
        <w:gridCol w:w="2084"/>
      </w:tblGrid>
      <w:tr>
        <w:trPr>
          <w:trHeight w:val="499" w:hRule="exact"/>
        </w:trPr>
        <w:tc>
          <w:tcPr>
            <w:tcW w:w="1849"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试验项目</w:t>
            </w:r>
            <w:r>
              <w:rPr>
                <w:rFonts w:ascii="宋体" w:hAnsi="宋体" w:cs="宋体"/>
                <w:szCs w:val="21"/>
              </w:rPr>
            </w:r>
            <w:r/>
          </w:p>
        </w:tc>
        <w:tc>
          <w:tcPr>
            <w:tcW w:w="1555"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级别</w:t>
            </w:r>
            <w:r>
              <w:rPr>
                <w:rFonts w:ascii="宋体" w:hAnsi="宋体" w:cs="宋体"/>
                <w:szCs w:val="21"/>
              </w:rPr>
            </w:r>
            <w:r/>
          </w:p>
        </w:tc>
        <w:tc>
          <w:tcPr>
            <w:tcW w:w="2730"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电压/电流波形</w:t>
            </w:r>
            <w:r>
              <w:rPr>
                <w:rFonts w:ascii="宋体" w:hAnsi="宋体" w:cs="宋体"/>
                <w:szCs w:val="21"/>
              </w:rPr>
            </w:r>
            <w:r/>
          </w:p>
        </w:tc>
        <w:tc>
          <w:tcPr>
            <w:tcW w:w="2084"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试验值（A/m）</w:t>
            </w:r>
            <w:r>
              <w:rPr>
                <w:rFonts w:ascii="宋体" w:hAnsi="宋体" w:cs="宋体"/>
                <w:szCs w:val="21"/>
              </w:rPr>
            </w:r>
            <w:r/>
          </w:p>
        </w:tc>
      </w:tr>
      <w:tr>
        <w:trPr>
          <w:trHeight w:val="499" w:hRule="exact"/>
        </w:trPr>
        <w:tc>
          <w:tcPr>
            <w:tcW w:w="1849" w:type="dxa"/>
            <w:vAlign w:val="center"/>
            <w:vMerge w:val="restart"/>
            <w:textDirection w:val="lrTb"/>
            <w:noWrap w:val="false"/>
          </w:tcPr>
          <w:p>
            <w:pPr>
              <w:pStyle w:val="1151"/>
              <w:jc w:val="center"/>
              <w:rPr>
                <w:rFonts w:ascii="宋体" w:hAnsi="宋体" w:cs="宋体"/>
                <w:szCs w:val="21"/>
              </w:rPr>
            </w:pPr>
            <w:r>
              <w:rPr>
                <w:rFonts w:hint="eastAsia" w:ascii="宋体" w:hAnsi="宋体" w:cs="宋体"/>
                <w:szCs w:val="21"/>
              </w:rPr>
              <w:t xml:space="preserve">工频磁场</w:t>
            </w:r>
            <w:r>
              <w:rPr>
                <w:rFonts w:ascii="宋体" w:hAnsi="宋体" w:cs="宋体"/>
                <w:szCs w:val="21"/>
              </w:rPr>
            </w:r>
            <w:r/>
          </w:p>
        </w:tc>
        <w:tc>
          <w:tcPr>
            <w:tcW w:w="1555"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730"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连续正弦波</w:t>
            </w:r>
            <w:r>
              <w:rPr>
                <w:rFonts w:ascii="宋体" w:hAnsi="宋体" w:cs="宋体"/>
                <w:szCs w:val="21"/>
              </w:rPr>
            </w:r>
            <w:r/>
          </w:p>
        </w:tc>
        <w:tc>
          <w:tcPr>
            <w:tcW w:w="2084"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100</w:t>
            </w:r>
            <w:r>
              <w:rPr>
                <w:rFonts w:ascii="宋体" w:hAnsi="宋体" w:cs="宋体"/>
                <w:szCs w:val="21"/>
              </w:rPr>
            </w:r>
            <w:r/>
          </w:p>
        </w:tc>
      </w:tr>
      <w:tr>
        <w:trPr>
          <w:trHeight w:val="499" w:hRule="exact"/>
        </w:trPr>
        <w:tc>
          <w:tcPr>
            <w:tcW w:w="1849" w:type="dxa"/>
            <w:vAlign w:val="center"/>
            <w:vMerge w:val="continue"/>
            <w:textDirection w:val="lrTb"/>
            <w:noWrap w:val="false"/>
          </w:tcPr>
          <w:p>
            <w:pPr>
              <w:pStyle w:val="1151"/>
              <w:jc w:val="center"/>
              <w:rPr>
                <w:rFonts w:ascii="宋体" w:hAnsi="宋体" w:cs="宋体"/>
                <w:szCs w:val="21"/>
              </w:rPr>
            </w:pPr>
            <w:r>
              <w:rPr>
                <w:rFonts w:ascii="宋体" w:hAnsi="宋体" w:cs="宋体"/>
                <w:szCs w:val="21"/>
              </w:rPr>
            </w:r>
            <w:r/>
          </w:p>
        </w:tc>
        <w:tc>
          <w:tcPr>
            <w:tcW w:w="1555"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特定</w:t>
            </w:r>
            <w:r>
              <w:rPr>
                <w:rFonts w:ascii="宋体" w:hAnsi="宋体" w:cs="宋体"/>
                <w:szCs w:val="21"/>
              </w:rPr>
            </w:r>
            <w:r/>
          </w:p>
        </w:tc>
        <w:tc>
          <w:tcPr>
            <w:tcW w:w="2730"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连续正弦波</w:t>
            </w:r>
            <w:r>
              <w:rPr>
                <w:rFonts w:ascii="宋体" w:hAnsi="宋体" w:cs="宋体"/>
                <w:szCs w:val="21"/>
              </w:rPr>
            </w:r>
            <w:r/>
          </w:p>
        </w:tc>
        <w:tc>
          <w:tcPr>
            <w:tcW w:w="2084"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与厂家协商确定</w:t>
            </w:r>
            <w:r>
              <w:rPr>
                <w:rFonts w:ascii="宋体" w:hAnsi="宋体" w:cs="宋体"/>
                <w:szCs w:val="21"/>
              </w:rPr>
            </w:r>
            <w:r/>
          </w:p>
        </w:tc>
      </w:tr>
      <w:tr>
        <w:trPr>
          <w:trHeight w:val="499" w:hRule="exact"/>
        </w:trPr>
        <w:tc>
          <w:tcPr>
            <w:tcW w:w="1849" w:type="dxa"/>
            <w:vAlign w:val="center"/>
            <w:vMerge w:val="restart"/>
            <w:textDirection w:val="lrTb"/>
            <w:noWrap w:val="false"/>
          </w:tcPr>
          <w:p>
            <w:pPr>
              <w:pStyle w:val="1151"/>
              <w:jc w:val="center"/>
              <w:rPr>
                <w:rFonts w:ascii="宋体" w:hAnsi="宋体" w:cs="宋体"/>
                <w:szCs w:val="21"/>
              </w:rPr>
            </w:pPr>
            <w:r>
              <w:rPr>
                <w:rFonts w:hint="eastAsia" w:ascii="宋体" w:hAnsi="宋体" w:cs="宋体"/>
                <w:szCs w:val="21"/>
              </w:rPr>
              <w:t xml:space="preserve">阻尼振荡磁场</w:t>
            </w:r>
            <w:r>
              <w:rPr>
                <w:rFonts w:ascii="宋体" w:hAnsi="宋体" w:cs="宋体"/>
                <w:szCs w:val="21"/>
              </w:rPr>
            </w:r>
            <w:r/>
          </w:p>
        </w:tc>
        <w:tc>
          <w:tcPr>
            <w:tcW w:w="1555"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730"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衰减振荡波</w:t>
            </w:r>
            <w:r>
              <w:rPr>
                <w:rFonts w:ascii="宋体" w:hAnsi="宋体" w:cs="宋体"/>
                <w:szCs w:val="21"/>
              </w:rPr>
            </w:r>
            <w:r/>
          </w:p>
        </w:tc>
        <w:tc>
          <w:tcPr>
            <w:tcW w:w="2084"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100</w:t>
            </w:r>
            <w:r>
              <w:rPr>
                <w:rFonts w:ascii="宋体" w:hAnsi="宋体" w:cs="宋体"/>
                <w:szCs w:val="21"/>
              </w:rPr>
            </w:r>
            <w:r/>
          </w:p>
        </w:tc>
      </w:tr>
      <w:tr>
        <w:trPr>
          <w:trHeight w:val="499" w:hRule="exact"/>
        </w:trPr>
        <w:tc>
          <w:tcPr>
            <w:tcW w:w="1849" w:type="dxa"/>
            <w:vAlign w:val="center"/>
            <w:vMerge w:val="continue"/>
            <w:textDirection w:val="lrTb"/>
            <w:noWrap w:val="false"/>
          </w:tcPr>
          <w:p>
            <w:pPr>
              <w:pStyle w:val="1151"/>
              <w:jc w:val="center"/>
              <w:rPr>
                <w:rFonts w:ascii="宋体" w:hAnsi="宋体" w:cs="宋体"/>
                <w:szCs w:val="21"/>
              </w:rPr>
            </w:pPr>
            <w:r>
              <w:rPr>
                <w:rFonts w:ascii="宋体" w:hAnsi="宋体" w:cs="宋体"/>
                <w:szCs w:val="21"/>
              </w:rPr>
            </w:r>
            <w:r/>
          </w:p>
        </w:tc>
        <w:tc>
          <w:tcPr>
            <w:tcW w:w="1555"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特定</w:t>
            </w:r>
            <w:r>
              <w:rPr>
                <w:rFonts w:ascii="宋体" w:hAnsi="宋体" w:cs="宋体"/>
                <w:szCs w:val="21"/>
              </w:rPr>
            </w:r>
            <w:r/>
          </w:p>
        </w:tc>
        <w:tc>
          <w:tcPr>
            <w:tcW w:w="2730"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衰减振荡波</w:t>
            </w:r>
            <w:r>
              <w:rPr>
                <w:rFonts w:ascii="宋体" w:hAnsi="宋体" w:cs="宋体"/>
                <w:szCs w:val="21"/>
              </w:rPr>
            </w:r>
            <w:r/>
          </w:p>
        </w:tc>
        <w:tc>
          <w:tcPr>
            <w:tcW w:w="2084"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与厂家协商确定</w:t>
            </w:r>
            <w:r>
              <w:rPr>
                <w:rFonts w:ascii="宋体" w:hAnsi="宋体" w:cs="宋体"/>
                <w:szCs w:val="21"/>
              </w:rPr>
            </w:r>
            <w:r/>
          </w:p>
        </w:tc>
      </w:tr>
      <w:tr>
        <w:trPr>
          <w:trHeight w:val="499" w:hRule="exact"/>
        </w:trPr>
        <w:tc>
          <w:tcPr>
            <w:gridSpan w:val="4"/>
            <w:tcW w:w="8218" w:type="dxa"/>
            <w:vAlign w:val="center"/>
            <w:textDirection w:val="lrTb"/>
            <w:noWrap w:val="false"/>
          </w:tcPr>
          <w:p>
            <w:pPr>
              <w:pStyle w:val="1151"/>
              <w:jc w:val="left"/>
              <w:rPr>
                <w:rFonts w:ascii="宋体" w:hAnsi="宋体" w:cs="宋体"/>
                <w:szCs w:val="21"/>
              </w:rPr>
            </w:pPr>
            <w:r>
              <w:rPr>
                <w:rFonts w:hint="eastAsia" w:ascii="宋体" w:hAnsi="宋体" w:cs="宋体"/>
                <w:szCs w:val="21"/>
              </w:rPr>
              <w:t xml:space="preserve">DTU应满足4级要求</w:t>
            </w:r>
            <w:r>
              <w:rPr>
                <w:rFonts w:ascii="宋体" w:hAnsi="宋体" w:cs="宋体"/>
                <w:szCs w:val="21"/>
              </w:rPr>
            </w:r>
            <w:r/>
          </w:p>
        </w:tc>
      </w:tr>
    </w:tbl>
    <w:p>
      <w:pPr>
        <w:pStyle w:val="1245"/>
        <w:numPr>
          <w:ilvl w:val="0"/>
          <w:numId w:val="47"/>
        </w:numPr>
        <w:rPr>
          <w:rStyle w:val="1246"/>
          <w:rFonts w:ascii="宋体" w:hAnsi="宋体"/>
        </w:rPr>
      </w:pPr>
      <w:r>
        <w:rPr>
          <w:rStyle w:val="1246"/>
          <w:rFonts w:hint="eastAsia" w:ascii="宋体" w:hAnsi="宋体"/>
        </w:rPr>
        <w:t xml:space="preserve">脉冲磁场抗扰度能力</w:t>
      </w:r>
      <w:r>
        <w:rPr>
          <w:rStyle w:val="1246"/>
          <w:rFonts w:ascii="宋体" w:hAnsi="宋体"/>
        </w:rPr>
      </w:r>
      <w:r/>
    </w:p>
    <w:p>
      <w:pPr>
        <w:pStyle w:val="1151"/>
        <w:ind w:firstLine="420"/>
        <w:rPr>
          <w:rFonts w:ascii="宋体" w:hAnsi="宋体" w:cs="宋体"/>
          <w:szCs w:val="21"/>
        </w:rPr>
      </w:pPr>
      <w:r>
        <w:rPr>
          <w:rFonts w:hint="eastAsia" w:ascii="宋体" w:hAnsi="宋体" w:cs="宋体"/>
          <w:szCs w:val="21"/>
        </w:rPr>
        <w:t xml:space="preserve">按GB/T 17626.9中的有关规定执行。</w:t>
      </w:r>
      <w:r>
        <w:rPr>
          <w:rFonts w:ascii="宋体" w:hAnsi="宋体" w:cs="宋体"/>
          <w:szCs w:val="21"/>
        </w:rPr>
      </w:r>
      <w:r/>
    </w:p>
    <w:p>
      <w:pPr>
        <w:pStyle w:val="1151"/>
        <w:ind w:firstLine="420"/>
        <w:rPr>
          <w:rFonts w:ascii="宋体" w:hAnsi="宋体" w:cs="宋体"/>
          <w:szCs w:val="21"/>
        </w:rPr>
      </w:pPr>
      <w:r>
        <w:rPr>
          <w:rFonts w:hint="eastAsia" w:ascii="宋体" w:hAnsi="宋体" w:cs="宋体"/>
          <w:szCs w:val="21"/>
        </w:rPr>
        <w:t xml:space="preserve">施加表22规定的脉冲磁场干扰，试验时设备应能正常工作，各项功能、性能指标满足相关要求，交流电压、电流输入回路测量误差的改变量应不大于等级指数100%。</w:t>
      </w:r>
      <w:r>
        <w:rPr>
          <w:rFonts w:ascii="宋体" w:hAnsi="宋体" w:cs="宋体"/>
          <w:szCs w:val="21"/>
        </w:rPr>
      </w:r>
      <w:r/>
    </w:p>
    <w:p>
      <w:pPr>
        <w:pStyle w:val="1151"/>
        <w:jc w:val="center"/>
        <w:rPr>
          <w:rFonts w:ascii="宋体" w:hAnsi="宋体" w:cs="宋体"/>
          <w:szCs w:val="21"/>
        </w:rPr>
      </w:pPr>
      <w:r>
        <w:rPr>
          <w:rFonts w:hint="eastAsia" w:ascii="宋体" w:hAnsi="宋体" w:cs="宋体"/>
          <w:szCs w:val="21"/>
        </w:rPr>
        <w:t xml:space="preserve">表22脉冲磁场抗扰度试验主要参数</w:t>
      </w:r>
      <w:r>
        <w:rPr>
          <w:rFonts w:ascii="宋体" w:hAnsi="宋体" w:cs="宋体"/>
          <w:szCs w:val="21"/>
        </w:rPr>
      </w:r>
      <w:r/>
    </w:p>
    <w:tbl>
      <w:tblPr>
        <w:tblW w:w="8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6"/>
        <w:gridCol w:w="1555"/>
        <w:gridCol w:w="4676"/>
      </w:tblGrid>
      <w:tr>
        <w:trPr>
          <w:trHeight w:val="499" w:hRule="exact"/>
          <w:tblHeader/>
        </w:trPr>
        <w:tc>
          <w:tcPr>
            <w:tcW w:w="1986"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试验项目</w:t>
            </w:r>
            <w:r>
              <w:rPr>
                <w:rFonts w:ascii="宋体" w:hAnsi="宋体" w:cs="宋体"/>
                <w:szCs w:val="21"/>
              </w:rPr>
            </w:r>
            <w:r/>
          </w:p>
        </w:tc>
        <w:tc>
          <w:tcPr>
            <w:tcW w:w="1555"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级别</w:t>
            </w:r>
            <w:r>
              <w:rPr>
                <w:rFonts w:ascii="宋体" w:hAnsi="宋体" w:cs="宋体"/>
                <w:szCs w:val="21"/>
              </w:rPr>
            </w:r>
            <w:r/>
          </w:p>
        </w:tc>
        <w:tc>
          <w:tcPr>
            <w:tcW w:w="4676"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试验值（A/m）</w:t>
            </w:r>
            <w:r>
              <w:rPr>
                <w:rFonts w:ascii="宋体" w:hAnsi="宋体" w:cs="宋体"/>
                <w:szCs w:val="21"/>
              </w:rPr>
            </w:r>
            <w:r/>
          </w:p>
        </w:tc>
      </w:tr>
      <w:tr>
        <w:trPr>
          <w:trHeight w:val="499" w:hRule="exact"/>
        </w:trPr>
        <w:tc>
          <w:tcPr>
            <w:tcW w:w="1986" w:type="dxa"/>
            <w:vAlign w:val="center"/>
            <w:vMerge w:val="restart"/>
            <w:textDirection w:val="lrTb"/>
            <w:noWrap w:val="false"/>
          </w:tcPr>
          <w:p>
            <w:pPr>
              <w:pStyle w:val="1151"/>
              <w:jc w:val="center"/>
              <w:rPr>
                <w:rFonts w:ascii="宋体" w:hAnsi="宋体" w:cs="宋体"/>
                <w:szCs w:val="21"/>
              </w:rPr>
            </w:pPr>
            <w:r>
              <w:rPr>
                <w:rFonts w:hint="eastAsia" w:ascii="宋体" w:hAnsi="宋体" w:cs="宋体"/>
                <w:szCs w:val="21"/>
              </w:rPr>
              <w:t xml:space="preserve">脉冲磁场</w:t>
            </w:r>
            <w:r>
              <w:rPr>
                <w:rFonts w:ascii="宋体" w:hAnsi="宋体" w:cs="宋体"/>
                <w:szCs w:val="21"/>
              </w:rPr>
            </w:r>
            <w:r/>
          </w:p>
        </w:tc>
        <w:tc>
          <w:tcPr>
            <w:tcW w:w="1555"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4676"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1000</w:t>
            </w:r>
            <w:r>
              <w:rPr>
                <w:rFonts w:ascii="宋体" w:hAnsi="宋体" w:cs="宋体"/>
                <w:szCs w:val="21"/>
              </w:rPr>
            </w:r>
            <w:r/>
          </w:p>
        </w:tc>
      </w:tr>
      <w:tr>
        <w:trPr>
          <w:trHeight w:val="499" w:hRule="exact"/>
        </w:trPr>
        <w:tc>
          <w:tcPr>
            <w:tcW w:w="1986" w:type="dxa"/>
            <w:vAlign w:val="center"/>
            <w:vMerge w:val="continue"/>
            <w:textDirection w:val="lrTb"/>
            <w:noWrap w:val="false"/>
          </w:tcPr>
          <w:p>
            <w:pPr>
              <w:pStyle w:val="1151"/>
              <w:jc w:val="center"/>
              <w:rPr>
                <w:rFonts w:ascii="宋体" w:hAnsi="宋体" w:cs="宋体"/>
                <w:szCs w:val="21"/>
              </w:rPr>
            </w:pPr>
            <w:r>
              <w:rPr>
                <w:rFonts w:ascii="宋体" w:hAnsi="宋体" w:cs="宋体"/>
                <w:szCs w:val="21"/>
              </w:rPr>
            </w:r>
            <w:r/>
          </w:p>
        </w:tc>
        <w:tc>
          <w:tcPr>
            <w:tcW w:w="1555"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特定</w:t>
            </w:r>
            <w:r>
              <w:rPr>
                <w:rFonts w:ascii="宋体" w:hAnsi="宋体" w:cs="宋体"/>
                <w:szCs w:val="21"/>
              </w:rPr>
            </w:r>
            <w:r/>
          </w:p>
        </w:tc>
        <w:tc>
          <w:tcPr>
            <w:tcW w:w="4676" w:type="dxa"/>
            <w:vAlign w:val="center"/>
            <w:textDirection w:val="lrTb"/>
            <w:noWrap w:val="false"/>
          </w:tcPr>
          <w:p>
            <w:pPr>
              <w:pStyle w:val="1151"/>
              <w:jc w:val="center"/>
              <w:rPr>
                <w:rFonts w:ascii="宋体" w:hAnsi="宋体" w:cs="宋体"/>
                <w:szCs w:val="21"/>
              </w:rPr>
            </w:pPr>
            <w:r>
              <w:rPr>
                <w:rFonts w:hint="eastAsia" w:ascii="宋体" w:hAnsi="宋体" w:cs="宋体"/>
                <w:szCs w:val="21"/>
              </w:rPr>
              <w:t xml:space="preserve">与厂家协商确定</w:t>
            </w:r>
            <w:r>
              <w:rPr>
                <w:rFonts w:ascii="宋体" w:hAnsi="宋体" w:cs="宋体"/>
                <w:szCs w:val="21"/>
              </w:rPr>
            </w:r>
            <w:r/>
          </w:p>
        </w:tc>
      </w:tr>
      <w:tr>
        <w:trPr>
          <w:trHeight w:val="499" w:hRule="exact"/>
        </w:trPr>
        <w:tc>
          <w:tcPr>
            <w:gridSpan w:val="3"/>
            <w:tcW w:w="8217" w:type="dxa"/>
            <w:vAlign w:val="center"/>
            <w:textDirection w:val="lrTb"/>
            <w:noWrap w:val="false"/>
          </w:tcPr>
          <w:p>
            <w:pPr>
              <w:pStyle w:val="1151"/>
              <w:jc w:val="left"/>
              <w:rPr>
                <w:rFonts w:ascii="宋体" w:hAnsi="宋体" w:cs="宋体"/>
                <w:szCs w:val="21"/>
              </w:rPr>
            </w:pPr>
            <w:r>
              <w:rPr>
                <w:rFonts w:hint="eastAsia" w:ascii="宋体" w:hAnsi="宋体" w:cs="宋体"/>
                <w:szCs w:val="21"/>
              </w:rPr>
              <w:t xml:space="preserve">DTU应满足5级要求。</w:t>
            </w:r>
            <w:r>
              <w:rPr>
                <w:rFonts w:ascii="宋体" w:hAnsi="宋体" w:cs="宋体"/>
                <w:szCs w:val="21"/>
              </w:rPr>
            </w:r>
            <w:r/>
          </w:p>
        </w:tc>
      </w:tr>
    </w:tbl>
    <w:p>
      <w:pPr>
        <w:pStyle w:val="1245"/>
        <w:numPr>
          <w:ilvl w:val="0"/>
          <w:numId w:val="47"/>
        </w:numPr>
        <w:rPr>
          <w:rStyle w:val="1246"/>
          <w:rFonts w:ascii="宋体" w:hAnsi="宋体"/>
        </w:rPr>
      </w:pPr>
      <w:r>
        <w:rPr>
          <w:rStyle w:val="1246"/>
          <w:rFonts w:hint="eastAsia" w:ascii="宋体" w:hAnsi="宋体"/>
        </w:rPr>
        <w:t xml:space="preserve">射频电磁场辐射抗扰度能力</w:t>
      </w:r>
      <w:r>
        <w:rPr>
          <w:rStyle w:val="1246"/>
          <w:rFonts w:ascii="宋体" w:hAnsi="宋体"/>
        </w:rPr>
      </w:r>
      <w:r/>
    </w:p>
    <w:p>
      <w:pPr>
        <w:pStyle w:val="1245"/>
        <w:ind w:firstLine="420"/>
        <w:rPr>
          <w:rStyle w:val="1246"/>
          <w:rFonts w:ascii="宋体" w:hAnsi="宋体"/>
        </w:rPr>
      </w:pPr>
      <w:r>
        <w:rPr>
          <w:rStyle w:val="1246"/>
          <w:rFonts w:ascii="宋体" w:hAnsi="宋体"/>
        </w:rPr>
        <w:t xml:space="preserve">按GB/T 17626.3中的有关规定执行。</w:t>
      </w:r>
      <w:r>
        <w:rPr>
          <w:rStyle w:val="1246"/>
          <w:rFonts w:ascii="宋体" w:hAnsi="宋体"/>
        </w:rPr>
      </w:r>
      <w:r/>
    </w:p>
    <w:p>
      <w:pPr>
        <w:pStyle w:val="1245"/>
        <w:ind w:firstLine="420"/>
        <w:rPr>
          <w:rFonts w:ascii="宋体" w:hAnsi="宋体" w:cs="宋体"/>
          <w:szCs w:val="21"/>
        </w:rPr>
      </w:pPr>
      <w:r>
        <w:rPr>
          <w:rStyle w:val="1246"/>
          <w:rFonts w:ascii="宋体" w:hAnsi="宋体"/>
        </w:rPr>
        <w:t xml:space="preserve">设备在表</w:t>
      </w:r>
      <w:r>
        <w:rPr>
          <w:rStyle w:val="1246"/>
          <w:rFonts w:hint="eastAsia" w:ascii="宋体" w:hAnsi="宋体"/>
        </w:rPr>
        <w:t xml:space="preserve">23</w:t>
      </w:r>
      <w:r>
        <w:rPr>
          <w:rStyle w:val="1246"/>
          <w:rFonts w:ascii="宋体" w:hAnsi="宋体"/>
        </w:rPr>
        <w:t xml:space="preserve">规定的辐射电磁场条件下应能正常工作，</w:t>
      </w:r>
      <w:r>
        <w:rPr>
          <w:rFonts w:hint="eastAsia" w:ascii="宋体" w:hAnsi="宋体" w:cs="宋体"/>
          <w:szCs w:val="21"/>
        </w:rPr>
        <w:t xml:space="preserve">各项功能、性能指标满足相关要求，交流电压、电流输入回路测量误差的改变量应不大于等级指数100%。</w:t>
      </w:r>
      <w:r>
        <w:rPr>
          <w:rFonts w:ascii="宋体" w:hAnsi="宋体" w:cs="宋体"/>
          <w:szCs w:val="21"/>
        </w:rPr>
      </w:r>
      <w:r/>
    </w:p>
    <w:p>
      <w:pPr>
        <w:pStyle w:val="1151"/>
        <w:ind w:firstLine="420"/>
        <w:rPr>
          <w:rFonts w:ascii="宋体" w:hAnsi="宋体" w:cs="宋体"/>
          <w:szCs w:val="21"/>
        </w:rPr>
      </w:pPr>
      <w:r>
        <w:rPr>
          <w:rFonts w:hint="eastAsia" w:ascii="宋体" w:hAnsi="宋体" w:cs="宋体"/>
          <w:szCs w:val="21"/>
        </w:rPr>
        <w:t xml:space="preserve">按照抵抗数字无线电话射频辐射的试验等级：</w:t>
      </w:r>
      <w:r>
        <w:rPr>
          <w:rFonts w:ascii="宋体" w:hAnsi="宋体" w:cs="宋体"/>
          <w:szCs w:val="21"/>
        </w:rPr>
      </w:r>
      <w:r/>
    </w:p>
    <w:p>
      <w:pPr>
        <w:pStyle w:val="1151"/>
        <w:ind w:firstLine="420"/>
        <w:rPr>
          <w:rFonts w:ascii="宋体" w:hAnsi="宋体" w:cs="宋体"/>
          <w:szCs w:val="21"/>
        </w:rPr>
      </w:pPr>
      <w:r>
        <w:rPr>
          <w:rFonts w:hint="eastAsia" w:ascii="宋体" w:hAnsi="宋体" w:cs="宋体"/>
          <w:szCs w:val="21"/>
        </w:rPr>
        <w:t xml:space="preserve">严酷等级：4；</w:t>
      </w:r>
      <w:r>
        <w:rPr>
          <w:rFonts w:ascii="宋体" w:hAnsi="宋体" w:cs="宋体"/>
          <w:szCs w:val="21"/>
        </w:rPr>
      </w:r>
      <w:r/>
    </w:p>
    <w:p>
      <w:pPr>
        <w:pStyle w:val="1151"/>
        <w:ind w:firstLine="420"/>
        <w:rPr>
          <w:rFonts w:ascii="宋体" w:hAnsi="宋体" w:cs="宋体"/>
          <w:szCs w:val="21"/>
        </w:rPr>
      </w:pPr>
      <w:r>
        <w:rPr>
          <w:rFonts w:hint="eastAsia" w:ascii="宋体" w:hAnsi="宋体" w:cs="宋体"/>
          <w:szCs w:val="21"/>
        </w:rPr>
        <w:t xml:space="preserve">频率范围：见表5</w:t>
      </w:r>
      <w:r>
        <w:rPr>
          <w:rFonts w:ascii="宋体" w:hAnsi="宋体" w:cs="宋体"/>
          <w:szCs w:val="21"/>
        </w:rPr>
        <w:t xml:space="preserve">.25</w:t>
      </w:r>
      <w:r>
        <w:rPr>
          <w:rFonts w:hint="eastAsia" w:ascii="宋体" w:hAnsi="宋体" w:cs="宋体"/>
          <w:szCs w:val="21"/>
        </w:rPr>
        <w:t xml:space="preserve">-1</w:t>
      </w:r>
      <w:r>
        <w:rPr>
          <w:rFonts w:ascii="宋体" w:hAnsi="宋体" w:cs="宋体"/>
          <w:szCs w:val="21"/>
        </w:rPr>
        <w:t xml:space="preserve">6</w:t>
      </w:r>
      <w:r>
        <w:rPr>
          <w:rFonts w:hint="eastAsia" w:ascii="宋体" w:hAnsi="宋体" w:cs="宋体"/>
          <w:szCs w:val="21"/>
        </w:rPr>
        <w:t xml:space="preserve">；</w:t>
      </w:r>
      <w:r>
        <w:rPr>
          <w:rFonts w:ascii="宋体" w:hAnsi="宋体" w:cs="宋体"/>
          <w:szCs w:val="21"/>
        </w:rPr>
      </w:r>
      <w:r/>
    </w:p>
    <w:p>
      <w:pPr>
        <w:pStyle w:val="1151"/>
        <w:ind w:firstLine="420"/>
        <w:rPr>
          <w:rFonts w:ascii="宋体" w:hAnsi="宋体" w:cs="宋体"/>
          <w:szCs w:val="21"/>
        </w:rPr>
      </w:pPr>
      <w:r>
        <w:rPr>
          <w:rFonts w:hint="eastAsia" w:ascii="宋体" w:hAnsi="宋体" w:cs="宋体"/>
          <w:szCs w:val="21"/>
        </w:rPr>
        <w:t xml:space="preserve">试验场强：30V/m（非调制）；</w:t>
      </w:r>
      <w:r>
        <w:rPr>
          <w:rFonts w:ascii="宋体" w:hAnsi="宋体" w:cs="宋体"/>
          <w:szCs w:val="21"/>
        </w:rPr>
      </w:r>
      <w:r/>
    </w:p>
    <w:p>
      <w:pPr>
        <w:pStyle w:val="1151"/>
        <w:ind w:firstLine="420"/>
        <w:rPr>
          <w:rStyle w:val="1246"/>
          <w:rFonts w:ascii="宋体" w:hAnsi="宋体"/>
        </w:rPr>
      </w:pPr>
      <w:r>
        <w:rPr>
          <w:rFonts w:hint="eastAsia" w:ascii="宋体" w:hAnsi="宋体" w:cs="宋体"/>
          <w:szCs w:val="21"/>
        </w:rPr>
        <w:t xml:space="preserve">正弦波1kHz，80%幅度调制。</w:t>
      </w:r>
      <w:r>
        <w:rPr>
          <w:rStyle w:val="1246"/>
          <w:rFonts w:ascii="宋体" w:hAnsi="宋体"/>
        </w:rPr>
      </w:r>
      <w:r/>
    </w:p>
    <w:p>
      <w:pPr>
        <w:pStyle w:val="1245"/>
        <w:ind w:firstLine="420"/>
        <w:jc w:val="center"/>
        <w:rPr>
          <w:rStyle w:val="1246"/>
          <w:rFonts w:ascii="宋体" w:hAnsi="宋体"/>
        </w:rPr>
      </w:pPr>
      <w:r>
        <w:rPr>
          <w:rStyle w:val="1246"/>
          <w:rFonts w:hint="eastAsia" w:ascii="宋体" w:hAnsi="宋体"/>
        </w:rPr>
        <w:t xml:space="preserve">表23</w:t>
      </w:r>
      <w:r>
        <w:rPr>
          <w:rStyle w:val="1246"/>
          <w:rFonts w:ascii="宋体" w:hAnsi="宋体"/>
        </w:rPr>
        <w:t xml:space="preserve">辐</w:t>
      </w:r>
      <w:r>
        <w:rPr>
          <w:rStyle w:val="1246"/>
          <w:rFonts w:hint="eastAsia" w:ascii="宋体" w:hAnsi="宋体"/>
        </w:rPr>
        <w:t xml:space="preserve">射电磁场试验主要参数</w:t>
      </w:r>
      <w:r>
        <w:rPr>
          <w:rStyle w:val="1246"/>
          <w:rFonts w:ascii="宋体" w:hAnsi="宋体"/>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23"/>
        <w:gridCol w:w="1555"/>
        <w:gridCol w:w="2730"/>
        <w:gridCol w:w="2084"/>
      </w:tblGrid>
      <w:tr>
        <w:trPr>
          <w:trHeight w:val="397"/>
        </w:trPr>
        <w:tc>
          <w:tcPr>
            <w:tcW w:w="2123" w:type="dxa"/>
            <w:vAlign w:val="center"/>
            <w:textDirection w:val="lrTb"/>
            <w:noWrap/>
          </w:tcPr>
          <w:p>
            <w:pPr>
              <w:pStyle w:val="1245"/>
              <w:jc w:val="center"/>
              <w:rPr>
                <w:rStyle w:val="1246"/>
                <w:rFonts w:ascii="宋体" w:hAnsi="宋体"/>
              </w:rPr>
            </w:pPr>
            <w:r>
              <w:rPr>
                <w:rStyle w:val="1246"/>
                <w:rFonts w:ascii="宋体" w:hAnsi="宋体"/>
              </w:rPr>
              <w:t xml:space="preserve">试验项目</w:t>
            </w:r>
            <w:r>
              <w:rPr>
                <w:rStyle w:val="1246"/>
                <w:rFonts w:ascii="宋体" w:hAnsi="宋体"/>
              </w:rPr>
            </w:r>
            <w:r/>
          </w:p>
        </w:tc>
        <w:tc>
          <w:tcPr>
            <w:tcW w:w="1555" w:type="dxa"/>
            <w:vAlign w:val="center"/>
            <w:textDirection w:val="lrTb"/>
            <w:noWrap/>
          </w:tcPr>
          <w:p>
            <w:pPr>
              <w:pStyle w:val="1245"/>
              <w:jc w:val="center"/>
              <w:rPr>
                <w:rStyle w:val="1246"/>
                <w:rFonts w:ascii="宋体" w:hAnsi="宋体"/>
              </w:rPr>
            </w:pPr>
            <w:r>
              <w:rPr>
                <w:rStyle w:val="1246"/>
                <w:rFonts w:ascii="宋体" w:hAnsi="宋体"/>
              </w:rPr>
              <w:t xml:space="preserve">级别</w:t>
            </w:r>
            <w:r>
              <w:rPr>
                <w:rStyle w:val="1246"/>
                <w:rFonts w:ascii="宋体" w:hAnsi="宋体"/>
              </w:rPr>
            </w:r>
            <w:r/>
          </w:p>
        </w:tc>
        <w:tc>
          <w:tcPr>
            <w:tcW w:w="2730" w:type="dxa"/>
            <w:vAlign w:val="center"/>
            <w:textDirection w:val="lrTb"/>
            <w:noWrap/>
          </w:tcPr>
          <w:p>
            <w:pPr>
              <w:pStyle w:val="1245"/>
              <w:jc w:val="center"/>
              <w:rPr>
                <w:rStyle w:val="1246"/>
                <w:rFonts w:ascii="宋体" w:hAnsi="宋体"/>
              </w:rPr>
            </w:pPr>
            <w:r>
              <w:rPr>
                <w:rStyle w:val="1246"/>
                <w:rFonts w:ascii="宋体" w:hAnsi="宋体"/>
              </w:rPr>
              <w:t xml:space="preserve">电压/电流波形</w:t>
            </w:r>
            <w:r>
              <w:rPr>
                <w:rStyle w:val="1246"/>
                <w:rFonts w:ascii="宋体" w:hAnsi="宋体"/>
              </w:rPr>
            </w:r>
            <w:r/>
          </w:p>
        </w:tc>
        <w:tc>
          <w:tcPr>
            <w:tcW w:w="2084" w:type="dxa"/>
            <w:vAlign w:val="center"/>
            <w:textDirection w:val="lrTb"/>
            <w:noWrap/>
          </w:tcPr>
          <w:p>
            <w:pPr>
              <w:pStyle w:val="1245"/>
              <w:jc w:val="center"/>
              <w:rPr>
                <w:rStyle w:val="1246"/>
                <w:rFonts w:ascii="宋体" w:hAnsi="宋体"/>
              </w:rPr>
            </w:pPr>
            <w:r>
              <w:rPr>
                <w:rStyle w:val="1246"/>
                <w:rFonts w:ascii="宋体" w:hAnsi="宋体"/>
              </w:rPr>
              <w:t xml:space="preserve">试验值</w:t>
            </w:r>
            <w:r>
              <w:rPr>
                <w:rStyle w:val="1246"/>
                <w:rFonts w:ascii="宋体" w:hAnsi="宋体"/>
              </w:rPr>
            </w:r>
            <w:r/>
          </w:p>
          <w:p>
            <w:pPr>
              <w:pStyle w:val="1245"/>
              <w:jc w:val="center"/>
              <w:rPr>
                <w:rStyle w:val="1246"/>
                <w:rFonts w:ascii="宋体" w:hAnsi="宋体"/>
              </w:rPr>
            </w:pPr>
            <w:r>
              <w:rPr>
                <w:rStyle w:val="1246"/>
                <w:rFonts w:ascii="宋体" w:hAnsi="宋体"/>
              </w:rPr>
              <w:t xml:space="preserve">V/m</w:t>
            </w:r>
            <w:r>
              <w:rPr>
                <w:rStyle w:val="1246"/>
                <w:rFonts w:ascii="宋体" w:hAnsi="宋体"/>
              </w:rPr>
            </w:r>
            <w:r/>
          </w:p>
        </w:tc>
      </w:tr>
      <w:tr>
        <w:trPr>
          <w:cantSplit/>
          <w:trHeight w:val="397"/>
        </w:trPr>
        <w:tc>
          <w:tcPr>
            <w:tcW w:w="2123" w:type="dxa"/>
            <w:vAlign w:val="center"/>
            <w:textDirection w:val="lrTb"/>
            <w:noWrap/>
          </w:tcPr>
          <w:p>
            <w:pPr>
              <w:pStyle w:val="1245"/>
              <w:jc w:val="center"/>
              <w:rPr>
                <w:rStyle w:val="1246"/>
                <w:rFonts w:ascii="宋体" w:hAnsi="宋体"/>
              </w:rPr>
            </w:pPr>
            <w:r>
              <w:rPr>
                <w:rStyle w:val="1246"/>
                <w:rFonts w:ascii="宋体" w:hAnsi="宋体"/>
              </w:rPr>
            </w:r>
            <w:r/>
          </w:p>
        </w:tc>
        <w:tc>
          <w:tcPr>
            <w:tcW w:w="1555" w:type="dxa"/>
            <w:vAlign w:val="center"/>
            <w:textDirection w:val="lrTb"/>
            <w:noWrap/>
          </w:tcPr>
          <w:p>
            <w:pPr>
              <w:pStyle w:val="1245"/>
              <w:jc w:val="center"/>
              <w:rPr>
                <w:rStyle w:val="1246"/>
                <w:rFonts w:ascii="宋体" w:hAnsi="宋体"/>
              </w:rPr>
            </w:pPr>
            <w:r>
              <w:rPr>
                <w:rStyle w:val="1246"/>
                <w:rFonts w:ascii="宋体" w:hAnsi="宋体"/>
              </w:rPr>
              <w:t xml:space="preserve">4</w:t>
            </w:r>
            <w:r>
              <w:rPr>
                <w:rStyle w:val="1246"/>
                <w:rFonts w:ascii="宋体" w:hAnsi="宋体"/>
              </w:rPr>
            </w:r>
            <w:r/>
          </w:p>
        </w:tc>
        <w:tc>
          <w:tcPr>
            <w:tcW w:w="2730" w:type="dxa"/>
            <w:vAlign w:val="center"/>
            <w:textDirection w:val="lrTb"/>
            <w:noWrap/>
          </w:tcPr>
          <w:p>
            <w:pPr>
              <w:pStyle w:val="1245"/>
              <w:jc w:val="center"/>
              <w:rPr>
                <w:rStyle w:val="1246"/>
                <w:rFonts w:ascii="宋体" w:hAnsi="宋体"/>
              </w:rPr>
            </w:pPr>
            <w:r>
              <w:rPr>
                <w:rStyle w:val="1246"/>
                <w:rFonts w:ascii="宋体" w:hAnsi="宋体"/>
              </w:rPr>
              <w:t xml:space="preserve">1.4GHz～2.0GHz连续波</w:t>
            </w:r>
            <w:r>
              <w:rPr>
                <w:rStyle w:val="1246"/>
                <w:rFonts w:ascii="宋体" w:hAnsi="宋体"/>
              </w:rPr>
            </w:r>
            <w:r/>
          </w:p>
        </w:tc>
        <w:tc>
          <w:tcPr>
            <w:tcW w:w="2084" w:type="dxa"/>
            <w:vAlign w:val="center"/>
            <w:textDirection w:val="lrTb"/>
            <w:noWrap/>
          </w:tcPr>
          <w:p>
            <w:pPr>
              <w:pStyle w:val="1245"/>
              <w:jc w:val="center"/>
              <w:rPr>
                <w:rStyle w:val="1246"/>
                <w:rFonts w:ascii="宋体" w:hAnsi="宋体"/>
              </w:rPr>
            </w:pPr>
            <w:r>
              <w:rPr>
                <w:rStyle w:val="1246"/>
                <w:rFonts w:ascii="宋体" w:hAnsi="宋体"/>
              </w:rPr>
              <w:t xml:space="preserve">30</w:t>
            </w:r>
            <w:r>
              <w:rPr>
                <w:rStyle w:val="1246"/>
                <w:rFonts w:ascii="宋体" w:hAnsi="宋体"/>
              </w:rPr>
            </w:r>
            <w:r/>
          </w:p>
        </w:tc>
      </w:tr>
      <w:tr>
        <w:trPr>
          <w:trHeight w:val="600"/>
        </w:trPr>
        <w:tc>
          <w:tcPr>
            <w:gridSpan w:val="4"/>
            <w:tcW w:w="8492" w:type="dxa"/>
            <w:vAlign w:val="center"/>
            <w:textDirection w:val="lrTb"/>
            <w:noWrap/>
          </w:tcPr>
          <w:p>
            <w:pPr>
              <w:pStyle w:val="1245"/>
              <w:rPr>
                <w:rStyle w:val="1246"/>
                <w:rFonts w:ascii="宋体" w:hAnsi="宋体"/>
              </w:rPr>
            </w:pPr>
            <w:r>
              <w:rPr>
                <w:rStyle w:val="1246"/>
                <w:rFonts w:hint="eastAsia" w:ascii="宋体" w:hAnsi="宋体"/>
              </w:rPr>
              <w:t xml:space="preserve">DTU应满足4级要求。</w:t>
            </w:r>
            <w:r>
              <w:rPr>
                <w:rStyle w:val="1246"/>
                <w:rFonts w:ascii="宋体" w:hAnsi="宋体"/>
              </w:rPr>
            </w:r>
            <w:r/>
          </w:p>
        </w:tc>
      </w:tr>
    </w:tbl>
    <w:p>
      <w:pPr>
        <w:pStyle w:val="1151"/>
        <w:spacing w:line="312" w:lineRule="exact"/>
        <w:outlineLvl w:val="2"/>
      </w:pPr>
      <w:r>
        <w:rPr>
          <w:rFonts w:hint="eastAsia" w:eastAsia="黑体"/>
          <w:szCs w:val="21"/>
        </w:rPr>
        <w:t xml:space="preserve">5</w:t>
      </w:r>
      <w:r>
        <w:rPr>
          <w:rFonts w:eastAsia="黑体"/>
          <w:szCs w:val="21"/>
        </w:rPr>
        <w:t xml:space="preserve">.</w:t>
      </w:r>
      <w:r>
        <w:rPr>
          <w:rFonts w:hint="eastAsia" w:eastAsia="黑体"/>
          <w:szCs w:val="21"/>
        </w:rPr>
        <w:t xml:space="preserve">3</w:t>
      </w:r>
      <w:r>
        <w:rPr>
          <w:rFonts w:eastAsia="黑体"/>
          <w:szCs w:val="21"/>
        </w:rPr>
        <w:t xml:space="preserve">.9 </w:t>
      </w:r>
      <w:r>
        <w:rPr>
          <w:rFonts w:hint="eastAsia" w:eastAsia="黑体"/>
          <w:szCs w:val="21"/>
        </w:rPr>
        <w:t xml:space="preserve">机械振动性能要求</w:t>
      </w:r>
      <w:bookmarkEnd w:id="258"/>
      <w:r/>
      <w:r/>
    </w:p>
    <w:p>
      <w:pPr>
        <w:pStyle w:val="1245"/>
        <w:ind w:firstLine="420"/>
        <w:rPr>
          <w:rStyle w:val="1246"/>
          <w:rFonts w:ascii="宋体" w:hAnsi="宋体"/>
        </w:rPr>
      </w:pPr>
      <w:r/>
      <w:bookmarkStart w:id="259" w:name="_Toc34988243"/>
      <w:r>
        <w:rPr>
          <w:rStyle w:val="1246"/>
          <w:rFonts w:ascii="宋体" w:hAnsi="宋体"/>
        </w:rPr>
        <w:t xml:space="preserve">设备应能承受频率f为2Hz～9Hz，振幅为0.3mm及f为9Hz～500Hz，加速度为1m/s2的振动。振动之后，设备不应发生损坏和零部件受振动脱落现象</w:t>
      </w:r>
      <w:r>
        <w:rPr>
          <w:rStyle w:val="1246"/>
          <w:rFonts w:hint="eastAsia" w:ascii="宋体" w:hAnsi="宋体"/>
        </w:rPr>
        <w:t xml:space="preserve">，</w:t>
      </w:r>
      <w:r>
        <w:rPr>
          <w:rStyle w:val="1246"/>
          <w:rFonts w:ascii="宋体" w:hAnsi="宋体"/>
        </w:rPr>
        <w:t xml:space="preserve">各项性能均应符合</w:t>
      </w:r>
      <w:r>
        <w:rPr>
          <w:rStyle w:val="1246"/>
          <w:rFonts w:hint="eastAsia" w:ascii="宋体" w:hAnsi="宋体"/>
        </w:rPr>
        <w:t xml:space="preserve">基本性能</w:t>
      </w:r>
      <w:r>
        <w:rPr>
          <w:rStyle w:val="1246"/>
          <w:rFonts w:ascii="宋体" w:hAnsi="宋体"/>
        </w:rPr>
        <w:t xml:space="preserve">的要求。</w:t>
      </w:r>
      <w:r>
        <w:rPr>
          <w:rStyle w:val="1246"/>
          <w:rFonts w:ascii="宋体" w:hAnsi="宋体"/>
        </w:rPr>
      </w:r>
      <w:r/>
    </w:p>
    <w:p>
      <w:pPr>
        <w:pStyle w:val="1151"/>
        <w:spacing w:line="312" w:lineRule="exact"/>
        <w:rPr>
          <w:rFonts w:eastAsia="黑体"/>
          <w:szCs w:val="21"/>
        </w:rPr>
        <w:outlineLvl w:val="2"/>
      </w:pPr>
      <w:r>
        <w:rPr>
          <w:rFonts w:hint="eastAsia" w:eastAsia="黑体"/>
          <w:szCs w:val="21"/>
        </w:rPr>
        <w:t xml:space="preserve">5</w:t>
      </w:r>
      <w:r>
        <w:rPr>
          <w:rFonts w:eastAsia="黑体"/>
          <w:szCs w:val="21"/>
        </w:rPr>
        <w:t xml:space="preserve">.</w:t>
      </w:r>
      <w:r>
        <w:rPr>
          <w:rFonts w:hint="eastAsia" w:eastAsia="黑体"/>
          <w:szCs w:val="21"/>
        </w:rPr>
        <w:t xml:space="preserve">3</w:t>
      </w:r>
      <w:r>
        <w:rPr>
          <w:rFonts w:eastAsia="黑体"/>
          <w:szCs w:val="21"/>
        </w:rPr>
        <w:t xml:space="preserve">.10 </w:t>
      </w:r>
      <w:r>
        <w:rPr>
          <w:rFonts w:hint="eastAsia" w:eastAsia="黑体"/>
          <w:szCs w:val="21"/>
        </w:rPr>
        <w:t xml:space="preserve">连续通电的稳定性要求</w:t>
      </w:r>
      <w:bookmarkEnd w:id="259"/>
      <w:r>
        <w:rPr>
          <w:rFonts w:eastAsia="黑体"/>
          <w:szCs w:val="21"/>
        </w:rPr>
      </w:r>
      <w:r/>
    </w:p>
    <w:p>
      <w:pPr>
        <w:pStyle w:val="1245"/>
        <w:ind w:firstLine="420"/>
        <w:rPr>
          <w:rStyle w:val="1246"/>
          <w:rFonts w:ascii="宋体" w:hAnsi="宋体"/>
        </w:rPr>
      </w:pPr>
      <w:r/>
      <w:bookmarkStart w:id="260" w:name="_Toc35713644"/>
      <w:r/>
      <w:bookmarkStart w:id="261" w:name="_Toc35713640"/>
      <w:r/>
      <w:bookmarkEnd w:id="261"/>
      <w:r>
        <w:rPr>
          <w:rStyle w:val="1246"/>
          <w:rFonts w:hint="eastAsia" w:ascii="宋体" w:hAnsi="宋体"/>
        </w:rPr>
        <w:t xml:space="preserve">设备</w:t>
      </w:r>
      <w:r>
        <w:rPr>
          <w:rStyle w:val="1246"/>
          <w:rFonts w:ascii="宋体" w:hAnsi="宋体"/>
        </w:rPr>
        <w:t xml:space="preserve">完成调试后，在出厂前进行不少于72h连续稳定的通电试验，交直流电压为额定值，各项性能均应符合</w:t>
      </w:r>
      <w:r>
        <w:rPr>
          <w:rStyle w:val="1246"/>
          <w:rFonts w:hint="eastAsia" w:ascii="宋体" w:hAnsi="宋体"/>
        </w:rPr>
        <w:t xml:space="preserve">基本性能</w:t>
      </w:r>
      <w:r>
        <w:rPr>
          <w:rStyle w:val="1246"/>
          <w:rFonts w:ascii="宋体" w:hAnsi="宋体"/>
        </w:rPr>
        <w:t xml:space="preserve">的要求。</w:t>
      </w:r>
      <w:r>
        <w:rPr>
          <w:rStyle w:val="1246"/>
          <w:rFonts w:ascii="宋体" w:hAnsi="宋体"/>
        </w:rPr>
      </w:r>
      <w:r/>
    </w:p>
    <w:p>
      <w:pPr>
        <w:pStyle w:val="1151"/>
        <w:spacing w:line="312" w:lineRule="exact"/>
        <w:rPr>
          <w:rFonts w:eastAsia="黑体"/>
          <w:szCs w:val="21"/>
        </w:rPr>
        <w:outlineLvl w:val="2"/>
      </w:pPr>
      <w:r>
        <w:rPr>
          <w:rFonts w:hint="eastAsia" w:eastAsia="黑体"/>
          <w:szCs w:val="21"/>
        </w:rPr>
        <w:t xml:space="preserve">5</w:t>
      </w:r>
      <w:r>
        <w:rPr>
          <w:rFonts w:eastAsia="黑体"/>
          <w:szCs w:val="21"/>
        </w:rPr>
        <w:t xml:space="preserve">.</w:t>
      </w:r>
      <w:r>
        <w:rPr>
          <w:rFonts w:hint="eastAsia" w:eastAsia="黑体"/>
          <w:szCs w:val="21"/>
        </w:rPr>
        <w:t xml:space="preserve">3</w:t>
      </w:r>
      <w:r>
        <w:rPr>
          <w:rFonts w:eastAsia="黑体"/>
          <w:szCs w:val="21"/>
        </w:rPr>
        <w:t xml:space="preserve">.11 </w:t>
      </w:r>
      <w:r>
        <w:rPr>
          <w:rFonts w:hint="eastAsia" w:eastAsia="黑体"/>
          <w:szCs w:val="21"/>
        </w:rPr>
        <w:t xml:space="preserve">可靠性要求</w:t>
      </w:r>
      <w:bookmarkEnd w:id="260"/>
      <w:r>
        <w:rPr>
          <w:rFonts w:eastAsia="黑体"/>
          <w:szCs w:val="21"/>
        </w:rPr>
      </w:r>
      <w:r/>
    </w:p>
    <w:p>
      <w:pPr>
        <w:pStyle w:val="1151"/>
        <w:ind w:firstLine="420"/>
        <w:spacing w:line="312" w:lineRule="exact"/>
        <w:rPr>
          <w:rFonts w:ascii="宋体" w:hAnsi="宋体"/>
        </w:rPr>
      </w:pPr>
      <w:r/>
      <w:bookmarkStart w:id="262" w:name="_Toc35713645"/>
      <w:r>
        <w:rPr>
          <w:rFonts w:hint="eastAsia" w:ascii="宋体" w:hAnsi="宋体"/>
        </w:rPr>
        <w:t xml:space="preserve">设备</w:t>
      </w:r>
      <w:r>
        <w:rPr>
          <w:rFonts w:ascii="宋体" w:hAnsi="宋体"/>
        </w:rPr>
        <w:t xml:space="preserve">本体平均无故障工作时间（MTBF）应不低于50000h；配电终端（不含电源）的使用寿命应为</w:t>
      </w:r>
      <w:r>
        <w:rPr>
          <w:rFonts w:hint="eastAsia" w:ascii="宋体" w:hAnsi="宋体"/>
        </w:rPr>
        <w:t xml:space="preserve">6</w:t>
      </w:r>
      <w:r>
        <w:rPr>
          <w:rFonts w:ascii="宋体" w:hAnsi="宋体"/>
        </w:rPr>
        <w:t xml:space="preserve">～</w:t>
      </w:r>
      <w:r>
        <w:rPr>
          <w:rFonts w:hint="eastAsia" w:ascii="宋体" w:hAnsi="宋体"/>
        </w:rPr>
        <w:t xml:space="preserve">8</w:t>
      </w:r>
      <w:r>
        <w:rPr>
          <w:rFonts w:ascii="宋体" w:hAnsi="宋体"/>
        </w:rPr>
        <w:t xml:space="preserve">年。</w:t>
      </w:r>
      <w:r>
        <w:rPr>
          <w:rFonts w:ascii="宋体" w:hAnsi="宋体"/>
        </w:rPr>
      </w:r>
      <w:r/>
    </w:p>
    <w:p>
      <w:pPr>
        <w:pStyle w:val="1151"/>
        <w:spacing w:line="312" w:lineRule="exact"/>
        <w:rPr>
          <w:rFonts w:eastAsia="黑体"/>
          <w:szCs w:val="21"/>
        </w:rPr>
        <w:outlineLvl w:val="2"/>
      </w:pPr>
      <w:r>
        <w:rPr>
          <w:rFonts w:hint="eastAsia" w:eastAsia="黑体"/>
          <w:szCs w:val="21"/>
        </w:rPr>
        <w:t xml:space="preserve">5.3.</w:t>
      </w:r>
      <w:r>
        <w:rPr>
          <w:rFonts w:eastAsia="黑体"/>
          <w:szCs w:val="21"/>
        </w:rPr>
        <w:t xml:space="preserve">12 </w:t>
      </w:r>
      <w:r>
        <w:rPr>
          <w:rFonts w:hint="eastAsia" w:eastAsia="黑体"/>
          <w:szCs w:val="21"/>
        </w:rPr>
        <w:t xml:space="preserve">结构要求</w:t>
      </w:r>
      <w:bookmarkEnd w:id="262"/>
      <w:r>
        <w:rPr>
          <w:rFonts w:eastAsia="黑体"/>
          <w:szCs w:val="21"/>
        </w:rPr>
      </w:r>
      <w:r/>
    </w:p>
    <w:p>
      <w:pPr>
        <w:pStyle w:val="1151"/>
      </w:pPr>
      <w:r>
        <w:rPr>
          <w:rFonts w:hint="eastAsia"/>
        </w:rPr>
        <w:t xml:space="preserve">5</w:t>
      </w:r>
      <w:r>
        <w:t xml:space="preserve">.</w:t>
      </w:r>
      <w:r>
        <w:rPr>
          <w:rFonts w:hint="eastAsia"/>
        </w:rPr>
        <w:t xml:space="preserve">3</w:t>
      </w:r>
      <w:r>
        <w:t xml:space="preserve">.12.1</w:t>
      </w:r>
      <w:r>
        <w:rPr>
          <w:rFonts w:hint="eastAsia"/>
        </w:rPr>
        <w:t xml:space="preserve">机柜材质及工艺要求</w:t>
      </w:r>
      <w:r/>
    </w:p>
    <w:p>
      <w:pPr>
        <w:pStyle w:val="1151"/>
        <w:numPr>
          <w:ilvl w:val="1"/>
          <w:numId w:val="52"/>
        </w:numPr>
        <w:spacing w:line="312" w:lineRule="exact"/>
        <w:rPr>
          <w:rFonts w:ascii="宋体" w:hAnsi="宋体"/>
        </w:rPr>
      </w:pPr>
      <w:r>
        <w:rPr>
          <w:rFonts w:hint="eastAsia" w:ascii="宋体" w:hAnsi="宋体"/>
        </w:rPr>
        <w:t xml:space="preserve">机箱/柜焊接件的焊缝应牢固可靠，无裂纹，无明显的未熔合、气孔、夹渣等缺陷。外表面应打磨平整；</w:t>
      </w:r>
      <w:r>
        <w:rPr>
          <w:rFonts w:ascii="宋体" w:hAnsi="宋体"/>
        </w:rPr>
      </w:r>
      <w:r/>
    </w:p>
    <w:p>
      <w:pPr>
        <w:pStyle w:val="1151"/>
        <w:numPr>
          <w:ilvl w:val="1"/>
          <w:numId w:val="52"/>
        </w:numPr>
        <w:spacing w:line="312" w:lineRule="exact"/>
        <w:rPr>
          <w:rFonts w:ascii="宋体" w:hAnsi="宋体"/>
        </w:rPr>
      </w:pPr>
      <w:r>
        <w:rPr>
          <w:rFonts w:hint="eastAsia" w:ascii="宋体" w:hAnsi="宋体"/>
        </w:rPr>
        <w:t xml:space="preserve">机箱/柜各结合处及门、覆板的缝隙应匀称，同一缝隙在1米之内的宽度之差不大于0.8mm，大于1m缝隙的宽度之差不大于1.0mm；</w:t>
      </w:r>
      <w:r>
        <w:rPr>
          <w:rFonts w:ascii="宋体" w:hAnsi="宋体"/>
        </w:rPr>
      </w:r>
      <w:r/>
    </w:p>
    <w:p>
      <w:pPr>
        <w:pStyle w:val="1151"/>
        <w:numPr>
          <w:ilvl w:val="1"/>
          <w:numId w:val="52"/>
        </w:numPr>
        <w:spacing w:line="312" w:lineRule="exact"/>
        <w:rPr>
          <w:rFonts w:ascii="宋体" w:hAnsi="宋体"/>
        </w:rPr>
      </w:pPr>
      <w:r>
        <w:rPr>
          <w:rFonts w:hint="eastAsia" w:ascii="宋体" w:hAnsi="宋体"/>
        </w:rPr>
        <w:t xml:space="preserve">采用普通碳钢材质的箱/柜，当其尺寸小于140</w:t>
      </w:r>
      <w:r>
        <w:rPr>
          <w:rFonts w:hint="eastAsia" w:ascii="宋体" w:hAnsi="宋体"/>
        </w:rPr>
        <w:t xml:space="preserve">0*800*X时，前门加工所使用的板材厚度≧2.0mm，箱体板材厚度≧1.5mm；当外箱尺寸大于1400*800*X时，前门加工所使用的板材厚度≧2.5mm，箱体板材厚度≧2.0mm。采用不锈钢材质的箱/柜，当其尺寸小于1000*600*X时，前门加工所使用的板材厚度≧1.5mm，箱体板材厚度≧1.5mm；当外箱尺寸大于1000*600*X时，前门加工所使用的板材厚度≧2.0mm，箱体板材厚度≧1.5mm。箱体焊接处使用氩弧焊工艺，渗入箱体内焊料均匀分布，确保焊接的可靠性，焊接连接处内表面无缝隙及焊接痕迹；</w:t>
      </w:r>
      <w:r>
        <w:rPr>
          <w:rFonts w:ascii="宋体" w:hAnsi="宋体"/>
        </w:rPr>
      </w:r>
      <w:r/>
    </w:p>
    <w:p>
      <w:pPr>
        <w:pStyle w:val="1151"/>
        <w:numPr>
          <w:ilvl w:val="1"/>
          <w:numId w:val="52"/>
        </w:numPr>
        <w:spacing w:line="312" w:lineRule="exact"/>
        <w:rPr>
          <w:rFonts w:ascii="宋体" w:hAnsi="宋体"/>
        </w:rPr>
      </w:pPr>
      <w:r>
        <w:rPr>
          <w:rFonts w:hint="eastAsia" w:ascii="宋体" w:hAnsi="宋体"/>
        </w:rPr>
        <w:t xml:space="preserve">外箱/柜前门应安装加强筋，以确保其刚度能够满足使用要求；</w:t>
      </w:r>
      <w:r>
        <w:rPr>
          <w:rFonts w:ascii="宋体" w:hAnsi="宋体"/>
        </w:rPr>
      </w:r>
      <w:r/>
    </w:p>
    <w:p>
      <w:pPr>
        <w:pStyle w:val="1151"/>
        <w:numPr>
          <w:ilvl w:val="1"/>
          <w:numId w:val="52"/>
        </w:numPr>
        <w:spacing w:line="312" w:lineRule="exact"/>
        <w:rPr>
          <w:rFonts w:ascii="宋体" w:hAnsi="宋体"/>
        </w:rPr>
      </w:pPr>
      <w:r>
        <w:rPr>
          <w:rFonts w:hint="eastAsia" w:ascii="宋体" w:hAnsi="宋体"/>
        </w:rPr>
        <w:t xml:space="preserve">机箱/柜中的固定连接部位应牢固可靠，无松动现象；不拆卸的螺纹连接处有防松措施；可拆卸连接连接可靠，拆卸方便，拆卸后不影响再装配的质量，且不增加再装配的难度；</w:t>
      </w:r>
      <w:r>
        <w:rPr>
          <w:rFonts w:ascii="宋体" w:hAnsi="宋体"/>
        </w:rPr>
      </w:r>
      <w:r/>
    </w:p>
    <w:p>
      <w:pPr>
        <w:pStyle w:val="1151"/>
        <w:numPr>
          <w:ilvl w:val="1"/>
          <w:numId w:val="52"/>
        </w:numPr>
        <w:spacing w:line="312" w:lineRule="exact"/>
        <w:rPr>
          <w:rFonts w:ascii="宋体" w:hAnsi="宋体"/>
        </w:rPr>
      </w:pPr>
      <w:r>
        <w:rPr>
          <w:rFonts w:hint="eastAsia" w:ascii="宋体" w:hAnsi="宋体"/>
        </w:rPr>
        <w:t xml:space="preserve">箱/柜内安装零件的设计应充分考虑结构的合理性以及同一工程的一致性；在满足机械强度的前提下，尽可能减少钣金件的安装螺钉数量，原则上2U高度内螺钉的数量不多于2个；</w:t>
      </w:r>
      <w:r>
        <w:rPr>
          <w:rFonts w:ascii="宋体" w:hAnsi="宋体"/>
        </w:rPr>
      </w:r>
      <w:r/>
    </w:p>
    <w:p>
      <w:pPr>
        <w:pStyle w:val="1151"/>
        <w:numPr>
          <w:ilvl w:val="1"/>
          <w:numId w:val="52"/>
        </w:numPr>
        <w:spacing w:line="312" w:lineRule="exact"/>
        <w:rPr>
          <w:rFonts w:ascii="宋体" w:hAnsi="宋体"/>
        </w:rPr>
      </w:pPr>
      <w:r>
        <w:rPr>
          <w:rFonts w:hint="eastAsia" w:ascii="宋体" w:hAnsi="宋体"/>
        </w:rPr>
        <w:t xml:space="preserve">门上密封条采用机械发泡工艺实现，成型的密封条平整均匀分布，密封条表面无肉眼可识别的气泡或气孔，密封条无脱落或部分脱落现象；</w:t>
      </w:r>
      <w:r>
        <w:rPr>
          <w:rFonts w:ascii="宋体" w:hAnsi="宋体"/>
        </w:rPr>
      </w:r>
      <w:r/>
    </w:p>
    <w:p>
      <w:pPr>
        <w:pStyle w:val="1151"/>
        <w:numPr>
          <w:ilvl w:val="1"/>
          <w:numId w:val="52"/>
        </w:numPr>
        <w:spacing w:line="312" w:lineRule="exact"/>
        <w:rPr>
          <w:rFonts w:ascii="宋体" w:hAnsi="宋体"/>
        </w:rPr>
      </w:pPr>
      <w:r>
        <w:rPr>
          <w:rFonts w:hint="eastAsia" w:ascii="宋体" w:hAnsi="宋体"/>
        </w:rPr>
        <w:t xml:space="preserve">机箱/柜的可运动部件应按设计要求活动自如、可靠，不得有影响运动性能的松动，在规定的运动范围内不应与其它零件碰撞或摩擦；</w:t>
      </w:r>
      <w:r>
        <w:rPr>
          <w:rFonts w:ascii="宋体" w:hAnsi="宋体"/>
        </w:rPr>
      </w:r>
      <w:r/>
    </w:p>
    <w:p>
      <w:pPr>
        <w:pStyle w:val="1151"/>
        <w:numPr>
          <w:ilvl w:val="1"/>
          <w:numId w:val="52"/>
        </w:numPr>
        <w:spacing w:line="312" w:lineRule="exact"/>
        <w:rPr>
          <w:rFonts w:ascii="宋体" w:hAnsi="宋体"/>
        </w:rPr>
      </w:pPr>
      <w:r>
        <w:rPr>
          <w:rFonts w:hint="eastAsia" w:ascii="宋体" w:hAnsi="宋体"/>
        </w:rPr>
        <w:t xml:space="preserve">机箱/柜门开启、关闭应灵活自如，锁紧应可靠，门的开启角度不应小于120°，机箱/柜门开启后可牢靠支撑，不随意关闭；如箱/柜不加底座时，应将前门高度方向尺寸设计成小于箱/柜体高度；</w:t>
      </w:r>
      <w:r>
        <w:rPr>
          <w:rFonts w:ascii="宋体" w:hAnsi="宋体"/>
        </w:rPr>
      </w:r>
      <w:r/>
    </w:p>
    <w:p>
      <w:pPr>
        <w:pStyle w:val="1151"/>
        <w:numPr>
          <w:ilvl w:val="1"/>
          <w:numId w:val="52"/>
        </w:numPr>
        <w:spacing w:line="312" w:lineRule="exact"/>
        <w:rPr>
          <w:rFonts w:ascii="宋体" w:hAnsi="宋体"/>
        </w:rPr>
      </w:pPr>
      <w:r>
        <w:rPr>
          <w:rFonts w:hint="eastAsia" w:ascii="宋体" w:hAnsi="宋体"/>
        </w:rPr>
        <w:t xml:space="preserve">站所终端箱柜不含通信箱外形尺寸不大于600*400*1300（宽深高），含通信箱的外尺寸不大于600*400*1700（宽深高），预留通信箱高度400mm，标准配置通信箱；典型外形结构见附录</w:t>
      </w:r>
      <w:r>
        <w:rPr>
          <w:rFonts w:ascii="宋体" w:hAnsi="宋体"/>
        </w:rPr>
        <w:t xml:space="preserve">B</w:t>
      </w:r>
      <w:r>
        <w:rPr>
          <w:rFonts w:hint="eastAsia" w:ascii="宋体" w:hAnsi="宋体"/>
        </w:rPr>
        <w:t xml:space="preserve">；</w:t>
      </w:r>
      <w:r>
        <w:rPr>
          <w:rFonts w:ascii="宋体" w:hAnsi="宋体"/>
        </w:rPr>
      </w:r>
      <w:r/>
    </w:p>
    <w:p>
      <w:pPr>
        <w:pStyle w:val="1151"/>
      </w:pPr>
      <w:r>
        <w:rPr>
          <w:rFonts w:hint="eastAsia"/>
        </w:rPr>
        <w:t xml:space="preserve">5</w:t>
      </w:r>
      <w:r>
        <w:t xml:space="preserve">.</w:t>
      </w:r>
      <w:r>
        <w:rPr>
          <w:rFonts w:hint="eastAsia"/>
        </w:rPr>
        <w:t xml:space="preserve">3</w:t>
      </w:r>
      <w:r>
        <w:t xml:space="preserve">.12.2</w:t>
      </w:r>
      <w:r>
        <w:rPr>
          <w:rFonts w:hint="eastAsia"/>
        </w:rPr>
        <w:t xml:space="preserve">模块材质及工艺要求</w:t>
      </w:r>
      <w:r/>
    </w:p>
    <w:p>
      <w:pPr>
        <w:pStyle w:val="1151"/>
        <w:numPr>
          <w:ilvl w:val="1"/>
          <w:numId w:val="53"/>
        </w:numPr>
        <w:spacing w:line="312" w:lineRule="exact"/>
        <w:rPr>
          <w:rFonts w:ascii="宋体" w:hAnsi="宋体"/>
        </w:rPr>
      </w:pPr>
      <w:r>
        <w:rPr>
          <w:rFonts w:hint="eastAsia" w:ascii="宋体" w:hAnsi="宋体"/>
        </w:rPr>
        <w:t xml:space="preserve">终端</w:t>
      </w:r>
      <w:r>
        <w:rPr>
          <w:rFonts w:ascii="宋体" w:hAnsi="宋体"/>
        </w:rPr>
        <w:t xml:space="preserve">各组成模块外形结构在外形尺寸、安装尺寸、接线端子、标识上应符合本规范附录B要求。</w:t>
      </w:r>
      <w:r>
        <w:rPr>
          <w:rFonts w:hint="eastAsia" w:ascii="宋体" w:hAnsi="宋体"/>
        </w:rPr>
        <w:t xml:space="preserve">不同厂家模块可互配；</w:t>
      </w:r>
      <w:r>
        <w:rPr>
          <w:rFonts w:ascii="宋体" w:hAnsi="宋体"/>
        </w:rPr>
      </w:r>
      <w:r/>
    </w:p>
    <w:p>
      <w:pPr>
        <w:pStyle w:val="1151"/>
        <w:numPr>
          <w:ilvl w:val="1"/>
          <w:numId w:val="53"/>
        </w:numPr>
        <w:spacing w:line="312" w:lineRule="exact"/>
        <w:rPr>
          <w:rFonts w:ascii="宋体" w:hAnsi="宋体"/>
        </w:rPr>
      </w:pPr>
      <w:r>
        <w:rPr>
          <w:rFonts w:hint="eastAsia" w:ascii="宋体" w:hAnsi="宋体"/>
        </w:rPr>
        <w:t xml:space="preserve">模块</w:t>
      </w:r>
      <w:r>
        <w:rPr>
          <w:rFonts w:ascii="宋体" w:hAnsi="宋体"/>
        </w:rPr>
        <w:t xml:space="preserve">外壳应符合GB/T 5169.11—2006的阻燃性能要求</w:t>
      </w:r>
      <w:r>
        <w:rPr>
          <w:rFonts w:hint="eastAsia" w:ascii="宋体" w:hAnsi="宋体"/>
        </w:rPr>
        <w:t xml:space="preserve">；</w:t>
      </w:r>
      <w:r>
        <w:rPr>
          <w:rFonts w:ascii="宋体" w:hAnsi="宋体"/>
        </w:rPr>
        <w:t xml:space="preserve">应有足够的强度，外物撞击造成的变形不应影响其正常工作</w:t>
      </w:r>
      <w:r>
        <w:rPr>
          <w:rFonts w:hint="eastAsia" w:ascii="宋体" w:hAnsi="宋体"/>
        </w:rPr>
        <w:t xml:space="preserve">，</w:t>
      </w:r>
      <w:r>
        <w:rPr>
          <w:rFonts w:ascii="宋体" w:hAnsi="宋体"/>
        </w:rPr>
        <w:t xml:space="preserve">上紧螺钉后不应有变形现象</w:t>
      </w:r>
      <w:r>
        <w:rPr>
          <w:rFonts w:hint="eastAsia" w:ascii="宋体" w:hAnsi="宋体"/>
        </w:rPr>
        <w:t xml:space="preserve">；</w:t>
      </w:r>
      <w:r>
        <w:rPr>
          <w:rFonts w:ascii="宋体" w:hAnsi="宋体"/>
        </w:rPr>
        <w:t xml:space="preserve">应耐腐蚀、抗老化；</w:t>
      </w:r>
      <w:r>
        <w:rPr>
          <w:rFonts w:hint="eastAsia" w:ascii="宋体" w:hAnsi="宋体"/>
        </w:rPr>
        <w:t xml:space="preserve">模块颜色PANTONE Warm Gray 4U，上下盖整体颗粒质感亚光，棱角边缘高亮面；透明翻盖颜色PANTONE Warm Gray 4C光亮面透明；</w:t>
      </w:r>
      <w:r>
        <w:rPr>
          <w:rFonts w:ascii="宋体" w:hAnsi="宋体"/>
        </w:rPr>
      </w:r>
      <w:r/>
    </w:p>
    <w:p>
      <w:pPr>
        <w:pStyle w:val="1151"/>
        <w:numPr>
          <w:ilvl w:val="1"/>
          <w:numId w:val="53"/>
        </w:numPr>
        <w:spacing w:line="312" w:lineRule="exact"/>
        <w:rPr>
          <w:rFonts w:ascii="宋体" w:hAnsi="宋体"/>
        </w:rPr>
      </w:pPr>
      <w:r>
        <w:rPr>
          <w:rFonts w:hint="eastAsia" w:ascii="宋体" w:hAnsi="宋体"/>
        </w:rPr>
        <w:t xml:space="preserve">模块</w:t>
      </w:r>
      <w:r>
        <w:rPr>
          <w:rFonts w:ascii="宋体" w:hAnsi="宋体"/>
        </w:rPr>
        <w:t xml:space="preserve">防护等级不得低于GB/T 4208规定的IP</w:t>
      </w:r>
      <w:r>
        <w:rPr>
          <w:rFonts w:hint="eastAsia" w:ascii="宋体" w:hAnsi="宋体"/>
        </w:rPr>
        <w:t xml:space="preserve">55</w:t>
      </w:r>
      <w:r>
        <w:rPr>
          <w:rFonts w:ascii="宋体" w:hAnsi="宋体"/>
        </w:rPr>
        <w:t xml:space="preserve">的要求；</w:t>
      </w:r>
      <w:r>
        <w:rPr>
          <w:rFonts w:ascii="宋体" w:hAnsi="宋体"/>
        </w:rPr>
      </w:r>
      <w:r/>
    </w:p>
    <w:p>
      <w:pPr>
        <w:pStyle w:val="1151"/>
        <w:numPr>
          <w:ilvl w:val="1"/>
          <w:numId w:val="53"/>
        </w:numPr>
        <w:spacing w:line="312" w:lineRule="exact"/>
        <w:rPr>
          <w:rFonts w:ascii="宋体" w:hAnsi="宋体"/>
        </w:rPr>
      </w:pPr>
      <w:r>
        <w:rPr>
          <w:rFonts w:hint="eastAsia" w:ascii="宋体" w:hAnsi="宋体"/>
        </w:rPr>
        <w:t xml:space="preserve">模块</w:t>
      </w:r>
      <w:r>
        <w:rPr>
          <w:rFonts w:ascii="宋体" w:hAnsi="宋体"/>
        </w:rPr>
        <w:t xml:space="preserve">对外的连接线应经过</w:t>
      </w:r>
      <w:r>
        <w:rPr>
          <w:rFonts w:hint="eastAsia" w:ascii="宋体" w:hAnsi="宋体"/>
        </w:rPr>
        <w:t xml:space="preserve">矩形连接器</w:t>
      </w:r>
      <w:r>
        <w:rPr>
          <w:rFonts w:ascii="宋体" w:hAnsi="宋体"/>
        </w:rPr>
        <w:t xml:space="preserve">，</w:t>
      </w:r>
      <w:r>
        <w:rPr>
          <w:rFonts w:hint="eastAsia" w:ascii="宋体" w:hAnsi="宋体"/>
        </w:rPr>
        <w:t xml:space="preserve">矩形连接器的要求应符合本规范</w:t>
      </w:r>
      <w:r>
        <w:rPr>
          <w:rFonts w:ascii="宋体" w:hAnsi="宋体"/>
        </w:rPr>
        <w:t xml:space="preserve">5.3.7.8</w:t>
      </w:r>
      <w:r>
        <w:rPr>
          <w:rFonts w:hint="eastAsia" w:ascii="宋体" w:hAnsi="宋体"/>
        </w:rPr>
        <w:t xml:space="preserve">的要求；</w:t>
      </w:r>
      <w:r>
        <w:rPr>
          <w:rFonts w:ascii="宋体" w:hAnsi="宋体"/>
        </w:rPr>
      </w:r>
      <w:r/>
    </w:p>
    <w:p>
      <w:pPr>
        <w:pStyle w:val="1151"/>
        <w:numPr>
          <w:ilvl w:val="1"/>
          <w:numId w:val="53"/>
        </w:numPr>
        <w:spacing w:line="312" w:lineRule="exact"/>
        <w:rPr>
          <w:rFonts w:ascii="宋体" w:hAnsi="宋体"/>
        </w:rPr>
      </w:pPr>
      <w:r>
        <w:rPr>
          <w:rFonts w:ascii="宋体" w:hAnsi="宋体"/>
        </w:rPr>
        <w:t xml:space="preserve">在正常运行条件下可能受到腐蚀或生锈的金属部分，应有防锈、防腐的涂层或镀层</w:t>
      </w:r>
      <w:r>
        <w:rPr>
          <w:rFonts w:hint="eastAsia" w:ascii="宋体" w:hAnsi="宋体"/>
        </w:rPr>
        <w:t xml:space="preserve">，</w:t>
      </w:r>
      <w:r>
        <w:rPr>
          <w:rFonts w:ascii="宋体" w:hAnsi="宋体"/>
        </w:rPr>
        <w:t xml:space="preserve">满足GB/T2423.17-2008试验Ka盐雾要求；</w:t>
      </w:r>
      <w:r>
        <w:rPr>
          <w:rFonts w:ascii="宋体" w:hAnsi="宋体"/>
        </w:rPr>
      </w:r>
      <w:r/>
    </w:p>
    <w:p>
      <w:pPr>
        <w:pStyle w:val="1151"/>
        <w:numPr>
          <w:ilvl w:val="1"/>
          <w:numId w:val="53"/>
        </w:numPr>
        <w:spacing w:line="312" w:lineRule="exact"/>
        <w:rPr>
          <w:rFonts w:ascii="宋体" w:hAnsi="宋体"/>
        </w:rPr>
      </w:pPr>
      <w:r>
        <w:rPr>
          <w:rFonts w:ascii="宋体" w:hAnsi="宋体"/>
        </w:rPr>
        <w:t xml:space="preserve">非金属外壳的</w:t>
      </w:r>
      <w:r>
        <w:rPr>
          <w:rFonts w:hint="eastAsia" w:ascii="宋体" w:hAnsi="宋体"/>
        </w:rPr>
        <w:t xml:space="preserve">模块</w:t>
      </w:r>
      <w:r>
        <w:rPr>
          <w:rFonts w:ascii="宋体" w:hAnsi="宋体"/>
        </w:rPr>
        <w:t xml:space="preserve">如果需要接地，接地端子应能与4mm</w:t>
      </w:r>
      <w:r>
        <w:rPr>
          <w:rFonts w:ascii="宋体" w:hAnsi="宋体"/>
          <w:vertAlign w:val="superscript"/>
        </w:rPr>
        <w:t xml:space="preserve">2</w:t>
      </w:r>
      <w:r>
        <w:rPr>
          <w:rFonts w:ascii="宋体" w:hAnsi="宋体"/>
        </w:rPr>
        <w:t xml:space="preserve">导线良好配合接触；</w:t>
      </w:r>
      <w:r>
        <w:rPr>
          <w:rFonts w:ascii="宋体" w:hAnsi="宋体"/>
        </w:rPr>
      </w:r>
      <w:r/>
    </w:p>
    <w:p>
      <w:pPr>
        <w:pStyle w:val="1151"/>
        <w:numPr>
          <w:ilvl w:val="1"/>
          <w:numId w:val="53"/>
        </w:numPr>
        <w:spacing w:line="312" w:lineRule="exact"/>
        <w:rPr>
          <w:rFonts w:ascii="宋体" w:hAnsi="宋体"/>
        </w:rPr>
      </w:pPr>
      <w:r>
        <w:rPr>
          <w:rFonts w:ascii="宋体" w:hAnsi="宋体"/>
        </w:rPr>
        <w:t xml:space="preserve">开关、按键等应灵活可靠，无卡死或接触不良现象，各部件应紧固无松动；</w:t>
      </w:r>
      <w:r>
        <w:rPr>
          <w:rFonts w:ascii="宋体" w:hAnsi="宋体"/>
        </w:rPr>
      </w:r>
      <w:r/>
    </w:p>
    <w:p>
      <w:pPr>
        <w:pStyle w:val="1151"/>
        <w:numPr>
          <w:ilvl w:val="1"/>
          <w:numId w:val="53"/>
        </w:numPr>
        <w:spacing w:line="312" w:lineRule="exact"/>
        <w:rPr>
          <w:rFonts w:ascii="宋体" w:hAnsi="宋体"/>
        </w:rPr>
      </w:pPr>
      <w:r>
        <w:rPr>
          <w:rFonts w:ascii="宋体" w:hAnsi="宋体"/>
        </w:rPr>
        <w:t xml:space="preserve">模块内所有器件均应防锈蚀、防氧化，内部连接线路应采用焊接方式或插接方式。采用插接方式时应紧固、牢靠。端子座电流接线应采用嵌入式双螺钉旋紧；</w:t>
      </w:r>
      <w:r>
        <w:rPr>
          <w:rFonts w:ascii="宋体" w:hAnsi="宋体"/>
        </w:rPr>
      </w:r>
      <w:r/>
    </w:p>
    <w:p>
      <w:pPr>
        <w:pStyle w:val="1151"/>
        <w:numPr>
          <w:ilvl w:val="1"/>
          <w:numId w:val="53"/>
        </w:numPr>
        <w:spacing w:line="312" w:lineRule="exact"/>
        <w:rPr>
          <w:szCs w:val="22"/>
        </w:rPr>
      </w:pPr>
      <w:r>
        <w:rPr>
          <w:rFonts w:hint="eastAsia" w:ascii="宋体" w:hAnsi="宋体"/>
        </w:rPr>
        <w:t xml:space="preserve">模块</w:t>
      </w:r>
      <w:r>
        <w:rPr>
          <w:rFonts w:ascii="宋体" w:hAnsi="宋体"/>
        </w:rPr>
        <w:t xml:space="preserve">天线应可更换，天线连接头应采用防碰撞的保护设计；</w:t>
      </w:r>
      <w:r>
        <w:rPr>
          <w:szCs w:val="22"/>
        </w:rPr>
      </w:r>
      <w:r/>
    </w:p>
    <w:p>
      <w:pPr>
        <w:pStyle w:val="1151"/>
        <w:numPr>
          <w:ilvl w:val="1"/>
          <w:numId w:val="53"/>
        </w:numPr>
        <w:spacing w:line="312" w:lineRule="exact"/>
        <w:rPr>
          <w:rFonts w:ascii="宋体" w:hAnsi="宋体"/>
          <w:szCs w:val="22"/>
        </w:rPr>
      </w:pPr>
      <w:r>
        <w:rPr>
          <w:rFonts w:hint="eastAsia" w:ascii="宋体" w:hAnsi="宋体"/>
          <w:szCs w:val="22"/>
        </w:rPr>
        <w:t xml:space="preserve">核心单元外形尺寸不大于</w:t>
      </w:r>
      <w:r>
        <w:rPr>
          <w:rFonts w:hint="eastAsia"/>
        </w:rPr>
        <w:t xml:space="preserve">449mm/215.5mm/283mm（不含安装耳边尺寸）</w:t>
      </w:r>
      <w:r>
        <w:rPr>
          <w:rFonts w:hint="eastAsia" w:ascii="宋体" w:hAnsi="宋体"/>
          <w:szCs w:val="22"/>
        </w:rPr>
        <w:t xml:space="preserve">，结构要求见附录B；电源模块外形尺寸不大于310mm*88mm*300mm</w:t>
      </w:r>
      <w:r>
        <w:rPr>
          <w:rFonts w:hint="eastAsia"/>
        </w:rPr>
        <w:t xml:space="preserve">（不含安装耳边尺寸）</w:t>
      </w:r>
      <w:r>
        <w:rPr>
          <w:rFonts w:hint="eastAsia" w:ascii="宋体" w:hAnsi="宋体"/>
          <w:szCs w:val="22"/>
        </w:rPr>
        <w:t xml:space="preserve">，结构要求见附录</w:t>
      </w:r>
      <w:r>
        <w:rPr>
          <w:rFonts w:ascii="宋体" w:hAnsi="宋体"/>
          <w:szCs w:val="22"/>
        </w:rPr>
        <w:t xml:space="preserve">F</w:t>
      </w:r>
      <w:r>
        <w:rPr>
          <w:rFonts w:hint="eastAsia" w:ascii="宋体" w:hAnsi="宋体"/>
          <w:szCs w:val="22"/>
        </w:rPr>
        <w:t xml:space="preserve">；</w:t>
      </w:r>
      <w:r>
        <w:rPr>
          <w:rFonts w:ascii="宋体" w:hAnsi="宋体"/>
          <w:szCs w:val="22"/>
        </w:rPr>
      </w:r>
      <w:r/>
    </w:p>
    <w:p>
      <w:pPr>
        <w:pStyle w:val="1151"/>
        <w:numPr>
          <w:ilvl w:val="1"/>
          <w:numId w:val="53"/>
        </w:numPr>
        <w:spacing w:line="312" w:lineRule="exact"/>
        <w:rPr>
          <w:rFonts w:ascii="宋体" w:hAnsi="宋体"/>
        </w:rPr>
      </w:pPr>
      <w:r>
        <w:rPr>
          <w:rFonts w:ascii="宋体" w:hAnsi="宋体"/>
        </w:rPr>
        <w:t xml:space="preserve">外壳螺钉应采用HPb59-1铜或铁钝化、镀铬或镀镍制成的十字、一字通用螺钉；</w:t>
      </w:r>
      <w:r>
        <w:rPr>
          <w:rFonts w:ascii="宋体" w:hAnsi="宋体"/>
        </w:rPr>
      </w:r>
      <w:r/>
    </w:p>
    <w:p>
      <w:pPr>
        <w:pStyle w:val="1151"/>
        <w:numPr>
          <w:ilvl w:val="1"/>
          <w:numId w:val="53"/>
        </w:numPr>
        <w:spacing w:line="312" w:lineRule="exact"/>
        <w:rPr>
          <w:rFonts w:ascii="宋体" w:hAnsi="宋体"/>
        </w:rPr>
      </w:pPr>
      <w:r>
        <w:rPr>
          <w:rFonts w:hint="eastAsia" w:ascii="宋体" w:hAnsi="宋体"/>
        </w:rPr>
        <w:t xml:space="preserve">核心单元通信仓内远程通信模块和本地通信</w:t>
      </w:r>
      <w:r>
        <w:rPr>
          <w:rFonts w:ascii="宋体" w:hAnsi="宋体"/>
        </w:rPr>
        <w:t xml:space="preserve">模块应插拔方便，材料、颜色应与上盖一致。</w:t>
      </w:r>
      <w:r>
        <w:rPr>
          <w:rFonts w:ascii="宋体" w:hAnsi="宋体"/>
        </w:rPr>
      </w:r>
      <w:r/>
    </w:p>
    <w:p>
      <w:pPr>
        <w:pStyle w:val="1151"/>
      </w:pPr>
      <w:r>
        <w:rPr>
          <w:rFonts w:hint="eastAsia"/>
        </w:rPr>
        <w:t xml:space="preserve">5</w:t>
      </w:r>
      <w:r>
        <w:t xml:space="preserve">.</w:t>
      </w:r>
      <w:r>
        <w:rPr>
          <w:rFonts w:hint="eastAsia"/>
        </w:rPr>
        <w:t xml:space="preserve">3</w:t>
      </w:r>
      <w:r>
        <w:t xml:space="preserve">.12.3</w:t>
      </w:r>
      <w:r>
        <w:rPr>
          <w:rFonts w:hint="eastAsia"/>
        </w:rPr>
        <w:t xml:space="preserve">表面涂覆和防护要求</w:t>
      </w:r>
      <w:r/>
    </w:p>
    <w:p>
      <w:pPr>
        <w:pStyle w:val="1151"/>
        <w:numPr>
          <w:ilvl w:val="1"/>
          <w:numId w:val="54"/>
        </w:numPr>
        <w:spacing w:line="312" w:lineRule="exact"/>
        <w:rPr>
          <w:rFonts w:ascii="宋体" w:hAnsi="宋体"/>
        </w:rPr>
      </w:pPr>
      <w:r>
        <w:rPr>
          <w:rFonts w:hint="eastAsia" w:ascii="宋体" w:hAnsi="宋体"/>
        </w:rPr>
        <w:t xml:space="preserve">所有紧固件均应具有防腐蚀镀层或涂层，且表面光洁，无缺陷、破裂等现象；户外机箱/柜所使用的紧固件选用不锈钢材质；</w:t>
      </w:r>
      <w:r>
        <w:rPr>
          <w:rFonts w:ascii="宋体" w:hAnsi="宋体"/>
        </w:rPr>
      </w:r>
      <w:r/>
    </w:p>
    <w:p>
      <w:pPr>
        <w:pStyle w:val="1151"/>
        <w:numPr>
          <w:ilvl w:val="1"/>
          <w:numId w:val="54"/>
        </w:numPr>
        <w:spacing w:line="312" w:lineRule="exact"/>
        <w:rPr>
          <w:rFonts w:ascii="宋体" w:hAnsi="宋体"/>
        </w:rPr>
      </w:pPr>
      <w:r>
        <w:rPr>
          <w:rFonts w:hint="eastAsia" w:ascii="宋体" w:hAnsi="宋体"/>
        </w:rPr>
        <w:t xml:space="preserve">各金属结构件应有相应的防腐蚀镀层或涂覆层，也可采用无需表面处理的材料制造；镀覆或涂覆后的表面不应有灰尘、杂质、油污、划痕、镀覆或涂覆缺陷等质量问题；镀层及涂覆层的类别、厚度及要求等应符合企业标准及设计图样的规定；</w:t>
      </w:r>
      <w:r>
        <w:rPr>
          <w:rFonts w:ascii="宋体" w:hAnsi="宋体"/>
        </w:rPr>
      </w:r>
      <w:r/>
    </w:p>
    <w:p>
      <w:pPr>
        <w:pStyle w:val="1151"/>
        <w:numPr>
          <w:ilvl w:val="1"/>
          <w:numId w:val="54"/>
        </w:numPr>
        <w:spacing w:line="312" w:lineRule="exact"/>
        <w:rPr>
          <w:rFonts w:ascii="宋体" w:hAnsi="宋体"/>
        </w:rPr>
      </w:pPr>
      <w:r>
        <w:rPr>
          <w:rFonts w:hint="eastAsia" w:ascii="宋体" w:hAnsi="宋体"/>
        </w:rPr>
        <w:t xml:space="preserve">机箱/柜的外壳防护应按照GB 4208的规定并至少达到IP30级；机箱/柜门锁的防护等级不低于机箱/柜的防护等级；各模块外壳防护应按照GB 4208的规定并至少达到IP55级；</w:t>
      </w:r>
      <w:r>
        <w:rPr>
          <w:rFonts w:ascii="宋体" w:hAnsi="宋体"/>
        </w:rPr>
      </w:r>
      <w:r/>
    </w:p>
    <w:p>
      <w:pPr>
        <w:pStyle w:val="1151"/>
        <w:numPr>
          <w:ilvl w:val="1"/>
          <w:numId w:val="54"/>
        </w:numPr>
        <w:spacing w:line="312" w:lineRule="exact"/>
        <w:rPr>
          <w:rFonts w:ascii="宋体" w:hAnsi="宋体"/>
        </w:rPr>
      </w:pPr>
      <w:r>
        <w:rPr>
          <w:rFonts w:hint="eastAsia" w:ascii="宋体" w:hAnsi="宋体"/>
        </w:rPr>
        <w:t xml:space="preserve">采用不锈钢表面拉丝处理的箱/柜出厂前应使用塑料薄膜加以保护，以避免在搬运、装配、调试等工序执行过程中受到划伤，并且保护膜去除后不应在箱/柜体表面留下痕迹；</w:t>
      </w:r>
      <w:r>
        <w:rPr>
          <w:rFonts w:ascii="宋体" w:hAnsi="宋体"/>
        </w:rPr>
      </w:r>
      <w:r/>
    </w:p>
    <w:p>
      <w:pPr>
        <w:pStyle w:val="1151"/>
        <w:numPr>
          <w:ilvl w:val="1"/>
          <w:numId w:val="54"/>
        </w:numPr>
        <w:spacing w:line="312" w:lineRule="exact"/>
        <w:rPr>
          <w:rFonts w:ascii="宋体" w:hAnsi="宋体"/>
        </w:rPr>
      </w:pPr>
      <w:r>
        <w:rPr>
          <w:rFonts w:hint="eastAsia" w:ascii="宋体" w:hAnsi="宋体"/>
        </w:rPr>
        <w:t xml:space="preserve">站所终端需做抗凝露处理。箱体内金属附件、板材建议采用非金属钝化处理以减少凝露。终端线路板、连接件外露针需做三防绝缘处理（三防漆、绝缘漆或硅橡胶灌封等），绝缘材料为非易燃品。</w:t>
      </w:r>
      <w:r>
        <w:rPr>
          <w:rFonts w:ascii="宋体" w:hAnsi="宋体"/>
        </w:rPr>
      </w:r>
      <w:r/>
    </w:p>
    <w:p>
      <w:pPr>
        <w:pStyle w:val="1151"/>
      </w:pPr>
      <w:r>
        <w:rPr>
          <w:rFonts w:hint="eastAsia"/>
        </w:rPr>
        <w:t xml:space="preserve">5</w:t>
      </w:r>
      <w:r>
        <w:t xml:space="preserve">.</w:t>
      </w:r>
      <w:r>
        <w:rPr>
          <w:rFonts w:hint="eastAsia"/>
        </w:rPr>
        <w:t xml:space="preserve">3</w:t>
      </w:r>
      <w:r>
        <w:t xml:space="preserve">.12.4</w:t>
      </w:r>
      <w:r>
        <w:rPr>
          <w:rFonts w:hint="eastAsia"/>
        </w:rPr>
        <w:t xml:space="preserve">铭牌、标牌及标志</w:t>
      </w:r>
      <w:r/>
    </w:p>
    <w:p>
      <w:pPr>
        <w:pStyle w:val="1151"/>
        <w:numPr>
          <w:ilvl w:val="0"/>
          <w:numId w:val="55"/>
        </w:numPr>
        <w:spacing w:line="312" w:lineRule="exact"/>
        <w:rPr>
          <w:rFonts w:ascii="宋体" w:hAnsi="宋体"/>
        </w:rPr>
      </w:pPr>
      <w:r>
        <w:rPr>
          <w:rFonts w:hint="eastAsia" w:ascii="宋体" w:hAnsi="宋体"/>
        </w:rPr>
        <w:t xml:space="preserve">设备的铭牌、标牌及标志应清洁、平整，表面无擦伤、划痕，无明显修整痕迹和其它影响美观的缺陷；</w:t>
      </w:r>
      <w:r>
        <w:rPr>
          <w:rFonts w:ascii="宋体" w:hAnsi="宋体"/>
        </w:rPr>
      </w:r>
      <w:r/>
    </w:p>
    <w:p>
      <w:pPr>
        <w:pStyle w:val="1151"/>
        <w:numPr>
          <w:ilvl w:val="0"/>
          <w:numId w:val="55"/>
        </w:numPr>
        <w:spacing w:line="312" w:lineRule="exact"/>
        <w:rPr>
          <w:rFonts w:ascii="宋体" w:hAnsi="宋体"/>
        </w:rPr>
      </w:pPr>
      <w:r>
        <w:rPr>
          <w:rFonts w:hint="eastAsia" w:ascii="宋体" w:hAnsi="宋体"/>
        </w:rPr>
        <w:t xml:space="preserve">铭牌、标牌及标志的图案和字迹应清晰、美观、醒目、耐久；</w:t>
      </w:r>
      <w:r>
        <w:rPr>
          <w:rFonts w:ascii="宋体" w:hAnsi="宋体"/>
        </w:rPr>
      </w:r>
      <w:r/>
    </w:p>
    <w:p>
      <w:pPr>
        <w:pStyle w:val="1151"/>
        <w:numPr>
          <w:ilvl w:val="0"/>
          <w:numId w:val="55"/>
        </w:numPr>
        <w:spacing w:line="312" w:lineRule="exact"/>
        <w:rPr>
          <w:rFonts w:ascii="宋体" w:hAnsi="宋体"/>
        </w:rPr>
      </w:pPr>
      <w:r>
        <w:rPr>
          <w:rFonts w:hint="eastAsia" w:ascii="宋体" w:hAnsi="宋体"/>
        </w:rPr>
        <w:t xml:space="preserve">终端铭牌安装在终端核心单元盖板内部，铭牌安装位置应符合本规范附录</w:t>
      </w:r>
      <w:r>
        <w:rPr>
          <w:rFonts w:ascii="宋体" w:hAnsi="宋体"/>
        </w:rPr>
        <w:t xml:space="preserve">B</w:t>
      </w:r>
      <w:r>
        <w:rPr>
          <w:rFonts w:hint="eastAsia" w:ascii="宋体" w:hAnsi="宋体"/>
        </w:rPr>
        <w:t xml:space="preserve">的要求；铭牌设计应符合本规范附录E的要求。应包括</w:t>
      </w:r>
      <w:r>
        <w:rPr>
          <w:szCs w:val="21"/>
        </w:rPr>
        <w:t xml:space="preserve">制造年份</w:t>
      </w:r>
      <w:r>
        <w:rPr>
          <w:rFonts w:hint="eastAsia"/>
          <w:szCs w:val="21"/>
        </w:rPr>
        <w:t xml:space="preserve">、</w:t>
      </w:r>
      <w:r>
        <w:rPr>
          <w:szCs w:val="21"/>
        </w:rPr>
        <w:t xml:space="preserve">出厂编号</w:t>
      </w:r>
      <w:r>
        <w:rPr>
          <w:rFonts w:hint="eastAsia"/>
          <w:szCs w:val="21"/>
        </w:rPr>
        <w:t xml:space="preserve">、</w:t>
      </w:r>
      <w:r>
        <w:rPr>
          <w:szCs w:val="21"/>
        </w:rPr>
        <w:t xml:space="preserve">资产条码</w:t>
      </w:r>
      <w:r>
        <w:rPr>
          <w:rFonts w:hint="eastAsia"/>
          <w:szCs w:val="21"/>
        </w:rPr>
        <w:t xml:space="preserve">、</w:t>
      </w:r>
      <w:r>
        <w:rPr>
          <w:szCs w:val="21"/>
        </w:rPr>
        <w:t xml:space="preserve">名称及型号</w:t>
      </w:r>
      <w:r>
        <w:rPr>
          <w:rFonts w:hint="eastAsia"/>
          <w:szCs w:val="21"/>
        </w:rPr>
        <w:t xml:space="preserve">、</w:t>
      </w:r>
      <w:r>
        <w:rPr>
          <w:szCs w:val="21"/>
        </w:rPr>
        <w:t xml:space="preserve">制造厂名称及注册商标</w:t>
      </w:r>
      <w:r>
        <w:rPr>
          <w:rFonts w:hint="eastAsia"/>
          <w:szCs w:val="21"/>
        </w:rPr>
        <w:t xml:space="preserve">、工作电压</w:t>
      </w:r>
      <w:r>
        <w:rPr>
          <w:szCs w:val="21"/>
        </w:rPr>
        <w:t xml:space="preserve">终端交流采样精度的等级指数</w:t>
      </w:r>
      <w:r>
        <w:rPr>
          <w:rFonts w:hint="eastAsia"/>
          <w:szCs w:val="21"/>
        </w:rPr>
        <w:t xml:space="preserve">、额定</w:t>
      </w:r>
      <w:r>
        <w:rPr>
          <w:szCs w:val="21"/>
        </w:rPr>
        <w:t xml:space="preserve">电压、</w:t>
      </w:r>
      <w:r>
        <w:rPr>
          <w:rFonts w:hint="eastAsia"/>
          <w:szCs w:val="21"/>
        </w:rPr>
        <w:t xml:space="preserve">装置功耗、终端ID号和终端二维码。其中终端ID号和终端二维码应符合附录</w:t>
      </w:r>
      <w:r>
        <w:rPr>
          <w:szCs w:val="21"/>
        </w:rPr>
        <w:t xml:space="preserve">E</w:t>
      </w:r>
      <w:r>
        <w:rPr>
          <w:rFonts w:hint="eastAsia"/>
          <w:szCs w:val="21"/>
        </w:rPr>
        <w:t xml:space="preserve">的要求；</w:t>
      </w:r>
      <w:r>
        <w:rPr>
          <w:rFonts w:ascii="宋体" w:hAnsi="宋体"/>
        </w:rPr>
      </w:r>
      <w:r/>
    </w:p>
    <w:p>
      <w:pPr>
        <w:pStyle w:val="1151"/>
        <w:numPr>
          <w:ilvl w:val="0"/>
          <w:numId w:val="55"/>
        </w:numPr>
        <w:spacing w:line="312" w:lineRule="exact"/>
        <w:rPr>
          <w:rFonts w:ascii="宋体" w:hAnsi="宋体"/>
        </w:rPr>
      </w:pPr>
      <w:r>
        <w:rPr>
          <w:rFonts w:hint="eastAsia"/>
          <w:szCs w:val="21"/>
        </w:rPr>
        <w:t xml:space="preserve">除核心单元以外的终端组成模块，应具备标识，标识至少应包括：</w:t>
      </w:r>
      <w:r>
        <w:rPr>
          <w:szCs w:val="21"/>
        </w:rPr>
        <w:t xml:space="preserve">制造年份</w:t>
      </w:r>
      <w:r>
        <w:rPr>
          <w:rFonts w:hint="eastAsia"/>
          <w:szCs w:val="21"/>
        </w:rPr>
        <w:t xml:space="preserve">、</w:t>
      </w:r>
      <w:r>
        <w:rPr>
          <w:szCs w:val="21"/>
        </w:rPr>
        <w:t xml:space="preserve">出厂编号</w:t>
      </w:r>
      <w:r>
        <w:rPr>
          <w:rFonts w:hint="eastAsia"/>
          <w:szCs w:val="21"/>
        </w:rPr>
        <w:t xml:space="preserve">、</w:t>
      </w:r>
      <w:r>
        <w:rPr>
          <w:szCs w:val="21"/>
        </w:rPr>
        <w:t xml:space="preserve">名称及型号</w:t>
      </w:r>
      <w:r>
        <w:rPr>
          <w:rFonts w:hint="eastAsia"/>
          <w:szCs w:val="21"/>
        </w:rPr>
        <w:t xml:space="preserve">、</w:t>
      </w:r>
      <w:r>
        <w:rPr>
          <w:szCs w:val="21"/>
        </w:rPr>
        <w:t xml:space="preserve">制造厂名称及注册商标</w:t>
      </w:r>
      <w:r>
        <w:rPr>
          <w:rFonts w:hint="eastAsia"/>
          <w:szCs w:val="21"/>
        </w:rPr>
        <w:t xml:space="preserve">。</w:t>
      </w:r>
      <w:r>
        <w:rPr>
          <w:rFonts w:ascii="宋体" w:hAnsi="宋体"/>
        </w:rPr>
      </w:r>
      <w:r/>
    </w:p>
    <w:p>
      <w:pPr>
        <w:pStyle w:val="1151"/>
      </w:pPr>
      <w:r>
        <w:rPr>
          <w:rFonts w:hint="eastAsia"/>
        </w:rPr>
        <w:t xml:space="preserve">5</w:t>
      </w:r>
      <w:r>
        <w:t xml:space="preserve">.</w:t>
      </w:r>
      <w:r>
        <w:rPr>
          <w:rFonts w:hint="eastAsia"/>
        </w:rPr>
        <w:t xml:space="preserve">3</w:t>
      </w:r>
      <w:r>
        <w:t xml:space="preserve">.12.5</w:t>
      </w:r>
      <w:r>
        <w:rPr>
          <w:rFonts w:hint="eastAsia"/>
        </w:rPr>
        <w:t xml:space="preserve">机械安全</w:t>
      </w:r>
      <w:r/>
    </w:p>
    <w:p>
      <w:pPr>
        <w:pStyle w:val="1151"/>
        <w:numPr>
          <w:ilvl w:val="0"/>
          <w:numId w:val="56"/>
        </w:numPr>
        <w:spacing w:line="312" w:lineRule="exact"/>
        <w:rPr>
          <w:rFonts w:ascii="宋体" w:hAnsi="宋体"/>
        </w:rPr>
      </w:pPr>
      <w:r>
        <w:rPr>
          <w:rFonts w:hint="eastAsia" w:ascii="宋体" w:hAnsi="宋体"/>
        </w:rPr>
        <w:t xml:space="preserve">机箱/柜及其零部件的可触及部分不应有锐边和棱角、毛刺和粗糙的外表，以防止在机箱/柜装配、安装、使用和维护中对人身安全带来伤害；</w:t>
      </w:r>
      <w:r>
        <w:rPr>
          <w:rFonts w:ascii="宋体" w:hAnsi="宋体"/>
        </w:rPr>
      </w:r>
      <w:r/>
    </w:p>
    <w:p>
      <w:pPr>
        <w:pStyle w:val="1151"/>
        <w:numPr>
          <w:ilvl w:val="0"/>
          <w:numId w:val="56"/>
        </w:numPr>
        <w:spacing w:line="312" w:lineRule="exact"/>
        <w:rPr>
          <w:rFonts w:ascii="宋体" w:hAnsi="宋体"/>
        </w:rPr>
      </w:pPr>
      <w:r>
        <w:rPr>
          <w:rFonts w:hint="eastAsia" w:ascii="宋体" w:hAnsi="宋体"/>
        </w:rPr>
        <w:t xml:space="preserve">机箱/柜应具有足够稳定性和牢固的连接及安装，避免因振动、冲击、碰撞、地震而倾倒或零部件脱落导致对人体的伤害，同时应考虑运输过程中的安全。</w:t>
      </w:r>
      <w:r>
        <w:rPr>
          <w:rFonts w:ascii="宋体" w:hAnsi="宋体"/>
        </w:rPr>
      </w:r>
      <w:r/>
    </w:p>
    <w:p>
      <w:pPr>
        <w:pStyle w:val="1151"/>
      </w:pPr>
      <w:r>
        <w:rPr>
          <w:rFonts w:hint="eastAsia"/>
        </w:rPr>
        <w:t xml:space="preserve">5</w:t>
      </w:r>
      <w:r>
        <w:t xml:space="preserve">.</w:t>
      </w:r>
      <w:r>
        <w:rPr>
          <w:rFonts w:hint="eastAsia"/>
        </w:rPr>
        <w:t xml:space="preserve">3</w:t>
      </w:r>
      <w:r>
        <w:t xml:space="preserve">.12.6</w:t>
      </w:r>
      <w:r>
        <w:rPr>
          <w:rFonts w:hint="eastAsia"/>
        </w:rPr>
        <w:t xml:space="preserve">电缆进线及固定</w:t>
      </w:r>
      <w:r/>
    </w:p>
    <w:p>
      <w:pPr>
        <w:pStyle w:val="1151"/>
        <w:numPr>
          <w:ilvl w:val="0"/>
          <w:numId w:val="57"/>
        </w:numPr>
        <w:spacing w:line="312" w:lineRule="exact"/>
        <w:rPr>
          <w:rFonts w:ascii="宋体" w:hAnsi="宋体"/>
        </w:rPr>
      </w:pPr>
      <w:r>
        <w:rPr>
          <w:rFonts w:hint="eastAsia" w:ascii="宋体" w:hAnsi="宋体"/>
        </w:rPr>
        <w:t xml:space="preserve">机箱/柜的底板或顶板上应提供电缆进入的进线孔及密封圈，在机箱/柜内部应为内部配线及电缆进线的固定提供条件，如在适当的位置安装扎线花板，扎线花板的布置要均匀，安装方式要可靠，并且能够满足使用要求；</w:t>
      </w:r>
      <w:r>
        <w:rPr>
          <w:rFonts w:ascii="宋体" w:hAnsi="宋体"/>
        </w:rPr>
      </w:r>
      <w:r/>
    </w:p>
    <w:p>
      <w:pPr>
        <w:pStyle w:val="1151"/>
      </w:pPr>
      <w:r>
        <w:rPr>
          <w:rFonts w:hint="eastAsia"/>
        </w:rPr>
        <w:t xml:space="preserve">5</w:t>
      </w:r>
      <w:r>
        <w:t xml:space="preserve">.</w:t>
      </w:r>
      <w:r>
        <w:rPr>
          <w:rFonts w:hint="eastAsia"/>
        </w:rPr>
        <w:t xml:space="preserve">3</w:t>
      </w:r>
      <w:r>
        <w:t xml:space="preserve">.12.7</w:t>
      </w:r>
      <w:r>
        <w:rPr>
          <w:rFonts w:hint="eastAsia"/>
        </w:rPr>
        <w:t xml:space="preserve">二次回路要求</w:t>
      </w:r>
      <w:r/>
    </w:p>
    <w:p>
      <w:pPr>
        <w:pStyle w:val="1151"/>
        <w:numPr>
          <w:ilvl w:val="0"/>
          <w:numId w:val="58"/>
        </w:numPr>
        <w:spacing w:line="312" w:lineRule="exact"/>
        <w:rPr>
          <w:rFonts w:ascii="宋体" w:hAnsi="宋体"/>
        </w:rPr>
      </w:pPr>
      <w:r>
        <w:rPr>
          <w:rFonts w:hint="eastAsia" w:ascii="宋体" w:hAnsi="宋体"/>
        </w:rPr>
        <w:t xml:space="preserve">遥信输入回路采用光电隔离，并具有软硬件滤波措施，防止输入接点抖动或强电磁场干扰误动；</w:t>
      </w:r>
      <w:r>
        <w:rPr>
          <w:rFonts w:ascii="宋体" w:hAnsi="宋体"/>
        </w:rPr>
      </w:r>
      <w:r/>
    </w:p>
    <w:p>
      <w:pPr>
        <w:pStyle w:val="1151"/>
        <w:numPr>
          <w:ilvl w:val="0"/>
          <w:numId w:val="58"/>
        </w:numPr>
        <w:spacing w:line="312" w:lineRule="exact"/>
        <w:rPr>
          <w:rFonts w:ascii="宋体" w:hAnsi="宋体"/>
        </w:rPr>
      </w:pPr>
      <w:r>
        <w:rPr>
          <w:rFonts w:hint="eastAsia" w:ascii="宋体" w:hAnsi="宋体"/>
        </w:rPr>
        <w:t xml:space="preserve">控制输出回路上提供出口硬压板，可以明显地断开控制回路；就地动作输出回路上提供出口硬压板，可以明显地断开动作回路。</w:t>
      </w:r>
      <w:r>
        <w:rPr>
          <w:rFonts w:ascii="宋体" w:hAnsi="宋体"/>
        </w:rPr>
      </w:r>
      <w:r/>
    </w:p>
    <w:p>
      <w:pPr>
        <w:pStyle w:val="1151"/>
      </w:pPr>
      <w:r>
        <w:rPr>
          <w:rFonts w:hint="eastAsia"/>
        </w:rPr>
        <w:t xml:space="preserve">5</w:t>
      </w:r>
      <w:r>
        <w:t xml:space="preserve">.</w:t>
      </w:r>
      <w:r>
        <w:rPr>
          <w:rFonts w:hint="eastAsia"/>
        </w:rPr>
        <w:t xml:space="preserve">3</w:t>
      </w:r>
      <w:r>
        <w:t xml:space="preserve">.12.8</w:t>
      </w:r>
      <w:r>
        <w:rPr>
          <w:rFonts w:hint="eastAsia"/>
        </w:rPr>
        <w:t xml:space="preserve">连接器与定制线束要求</w:t>
      </w:r>
      <w:r/>
    </w:p>
    <w:p>
      <w:pPr>
        <w:pStyle w:val="1151"/>
        <w:numPr>
          <w:ilvl w:val="0"/>
          <w:numId w:val="59"/>
        </w:numPr>
        <w:spacing w:line="312" w:lineRule="exact"/>
        <w:rPr>
          <w:rFonts w:ascii="宋体" w:hAnsi="宋体"/>
          <w:szCs w:val="22"/>
        </w:rPr>
      </w:pPr>
      <w:r>
        <w:rPr>
          <w:rFonts w:hint="eastAsia" w:ascii="宋体" w:hAnsi="宋体"/>
          <w:szCs w:val="22"/>
        </w:rPr>
        <w:t xml:space="preserve">开关和终端的连接电缆及终端各模块之间电缆双端预制，全部采用矩形连接器，接口定义与结构统一，不同厂家矩形连接器插头可互配；</w:t>
      </w:r>
      <w:r>
        <w:rPr>
          <w:rFonts w:ascii="宋体" w:hAnsi="宋体"/>
          <w:szCs w:val="22"/>
        </w:rPr>
      </w:r>
      <w:r/>
    </w:p>
    <w:p>
      <w:pPr>
        <w:pStyle w:val="1151"/>
        <w:numPr>
          <w:ilvl w:val="0"/>
          <w:numId w:val="59"/>
        </w:numPr>
        <w:spacing w:line="312" w:lineRule="exact"/>
        <w:rPr>
          <w:rFonts w:ascii="宋体" w:hAnsi="宋体"/>
          <w:szCs w:val="22"/>
        </w:rPr>
      </w:pPr>
      <w:r>
        <w:rPr>
          <w:rFonts w:hint="eastAsia" w:ascii="宋体" w:hAnsi="宋体"/>
          <w:szCs w:val="22"/>
        </w:rPr>
        <w:t xml:space="preserve">矩形连接器插头的接口定义及接线要求，详见附录D；</w:t>
      </w:r>
      <w:r>
        <w:rPr>
          <w:rFonts w:ascii="宋体" w:hAnsi="宋体"/>
          <w:szCs w:val="22"/>
        </w:rPr>
      </w:r>
      <w:r/>
    </w:p>
    <w:p>
      <w:pPr>
        <w:pStyle w:val="1151"/>
        <w:numPr>
          <w:ilvl w:val="0"/>
          <w:numId w:val="59"/>
        </w:numPr>
        <w:spacing w:line="312" w:lineRule="exact"/>
        <w:rPr>
          <w:rFonts w:ascii="宋体" w:hAnsi="宋体"/>
          <w:szCs w:val="22"/>
        </w:rPr>
      </w:pPr>
      <w:r>
        <w:rPr>
          <w:rFonts w:hint="eastAsia" w:ascii="宋体" w:hAnsi="宋体"/>
          <w:szCs w:val="22"/>
        </w:rPr>
        <w:t xml:space="preserve">连接器芯体及外壳应采用合适工程塑料，塑料材料应具有V0阻燃等级，及足够绝缘强度的机械强度；螺钉等配件应使用防锈表面处理。连接器各孔位的标准要清晰可见，不易脱落及磨损。</w:t>
      </w:r>
      <w:r>
        <w:rPr>
          <w:rFonts w:ascii="宋体" w:hAnsi="宋体"/>
          <w:szCs w:val="22"/>
        </w:rPr>
      </w:r>
      <w:r/>
    </w:p>
    <w:p>
      <w:pPr>
        <w:pStyle w:val="1151"/>
        <w:numPr>
          <w:ilvl w:val="0"/>
          <w:numId w:val="59"/>
        </w:numPr>
        <w:spacing w:line="312" w:lineRule="exact"/>
        <w:rPr>
          <w:rFonts w:ascii="宋体" w:hAnsi="宋体"/>
          <w:szCs w:val="22"/>
        </w:rPr>
      </w:pPr>
      <w:r>
        <w:rPr>
          <w:rFonts w:hint="eastAsia" w:ascii="宋体" w:hAnsi="宋体"/>
          <w:szCs w:val="22"/>
        </w:rPr>
        <w:t xml:space="preserve">连接器外观颜色：灰色RAL7032。连接器除了具有防误插功能外，应可提供多种颜色的标识以更快的目视识别，具体标识颜色应符合附录D要求。</w:t>
      </w:r>
      <w:r>
        <w:rPr>
          <w:rFonts w:ascii="宋体" w:hAnsi="宋体"/>
          <w:szCs w:val="22"/>
        </w:rPr>
      </w:r>
      <w:r/>
    </w:p>
    <w:p>
      <w:pPr>
        <w:pStyle w:val="1151"/>
        <w:numPr>
          <w:ilvl w:val="0"/>
          <w:numId w:val="59"/>
        </w:numPr>
        <w:spacing w:line="312" w:lineRule="exact"/>
        <w:rPr>
          <w:rFonts w:ascii="宋体" w:hAnsi="宋体"/>
          <w:szCs w:val="22"/>
        </w:rPr>
      </w:pPr>
      <w:r>
        <w:rPr>
          <w:rFonts w:hint="eastAsia" w:ascii="宋体" w:hAnsi="宋体"/>
          <w:szCs w:val="22"/>
        </w:rPr>
        <w:t xml:space="preserve">矩形插头插座具有防误插功能，防误插功能设计应附录D要求。采用电磁式互感器时应具备防开路功能，插座端接形式建议：插座使用浮动式安装孔与机柜面板固定。插头端接形式为</w:t>
      </w:r>
      <w:r>
        <w:rPr>
          <w:rStyle w:val="1246"/>
          <w:rFonts w:hint="eastAsia" w:hAnsi="宋体"/>
        </w:rPr>
        <w:t xml:space="preserve">压接或螺钉连接，</w:t>
      </w:r>
      <w:r>
        <w:rPr>
          <w:rFonts w:hint="eastAsia" w:ascii="宋体" w:hAnsi="宋体"/>
          <w:szCs w:val="22"/>
        </w:rPr>
        <w:t xml:space="preserve">插头与插座对接后使用锁扣将插头固定在机箱面板上。插头与插座之间使用密封圈密封，确保对接后的防护等级。外壳出线方式为侧面出线，使用时可根据出线需求翻转外壳，实现上下两个方向的出线。插针与导线的端接采用压接方式。插座和插头的结构应满足表24的要求。</w:t>
      </w:r>
      <w:r>
        <w:rPr>
          <w:rFonts w:ascii="宋体" w:hAnsi="宋体"/>
          <w:szCs w:val="22"/>
        </w:rPr>
      </w:r>
      <w:r/>
    </w:p>
    <w:p>
      <w:pPr>
        <w:pStyle w:val="1151"/>
        <w:jc w:val="center"/>
        <w:spacing w:line="312" w:lineRule="exact"/>
        <w:rPr>
          <w:rFonts w:ascii="宋体" w:hAnsi="宋体"/>
        </w:rPr>
      </w:pPr>
      <w:r>
        <w:rPr>
          <w:rFonts w:hint="eastAsia" w:ascii="宋体" w:hAnsi="宋体"/>
        </w:rPr>
        <w:t xml:space="preserve">表24矩形连接器接插件结构要求</w:t>
      </w:r>
      <w:r>
        <w:rPr>
          <w:rFonts w:ascii="宋体" w:hAnsi="宋体"/>
        </w:rPr>
      </w:r>
      <w:r/>
    </w:p>
    <w:tbl>
      <w:tblPr>
        <w:tblW w:w="94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1275"/>
        <w:gridCol w:w="1170"/>
        <w:gridCol w:w="1215"/>
        <w:gridCol w:w="1305"/>
        <w:gridCol w:w="1260"/>
        <w:gridCol w:w="1071"/>
        <w:gridCol w:w="1071"/>
      </w:tblGrid>
      <w:tr>
        <w:trPr>
          <w:trHeight w:val="452"/>
          <w:tblHeader/>
        </w:trPr>
        <w:tc>
          <w:tcPr>
            <w:tcW w:w="1114" w:type="dxa"/>
            <w:vAlign w:val="top"/>
            <w:textDirection w:val="lrTb"/>
            <w:noWrap w:val="false"/>
          </w:tcPr>
          <w:p>
            <w:pPr>
              <w:pStyle w:val="1245"/>
              <w:jc w:val="center"/>
              <w:rPr>
                <w:rStyle w:val="1246"/>
                <w:rFonts w:ascii="宋体"/>
              </w:rPr>
            </w:pPr>
            <w:r>
              <w:rPr>
                <w:rStyle w:val="1246"/>
                <w:rFonts w:ascii="宋体"/>
              </w:rPr>
            </w:r>
            <w:r/>
          </w:p>
        </w:tc>
        <w:tc>
          <w:tcPr>
            <w:gridSpan w:val="3"/>
            <w:tcW w:w="3660" w:type="dxa"/>
            <w:vAlign w:val="top"/>
            <w:textDirection w:val="lrTb"/>
            <w:noWrap w:val="false"/>
          </w:tcPr>
          <w:p>
            <w:pPr>
              <w:pStyle w:val="1245"/>
              <w:jc w:val="center"/>
              <w:rPr>
                <w:rStyle w:val="1246"/>
                <w:rFonts w:ascii="宋体"/>
              </w:rPr>
            </w:pPr>
            <w:r>
              <w:rPr>
                <w:rStyle w:val="1246"/>
                <w:rFonts w:hint="eastAsia" w:ascii="宋体"/>
              </w:rPr>
              <w:t xml:space="preserve">DTU柜体侧</w:t>
            </w:r>
            <w:r>
              <w:rPr>
                <w:rStyle w:val="1246"/>
                <w:rFonts w:ascii="宋体"/>
              </w:rPr>
            </w:r>
            <w:r/>
          </w:p>
        </w:tc>
        <w:tc>
          <w:tcPr>
            <w:tcW w:w="1305" w:type="dxa"/>
            <w:vAlign w:val="top"/>
            <w:textDirection w:val="lrTb"/>
            <w:noWrap w:val="false"/>
          </w:tcPr>
          <w:p>
            <w:pPr>
              <w:pStyle w:val="1245"/>
              <w:jc w:val="center"/>
              <w:rPr>
                <w:rStyle w:val="1246"/>
                <w:rFonts w:ascii="宋体"/>
              </w:rPr>
            </w:pPr>
            <w:r>
              <w:rPr>
                <w:rStyle w:val="1246"/>
                <w:rFonts w:hint="eastAsia" w:ascii="宋体"/>
              </w:rPr>
              <w:t xml:space="preserve">环网柜侧</w:t>
            </w:r>
            <w:r>
              <w:rPr>
                <w:rStyle w:val="1246"/>
                <w:rFonts w:ascii="宋体"/>
              </w:rPr>
            </w:r>
            <w:r/>
          </w:p>
        </w:tc>
        <w:tc>
          <w:tcPr>
            <w:tcW w:w="1260" w:type="dxa"/>
            <w:vAlign w:val="top"/>
            <w:textDirection w:val="lrTb"/>
            <w:noWrap w:val="false"/>
          </w:tcPr>
          <w:p>
            <w:pPr>
              <w:pStyle w:val="1245"/>
              <w:jc w:val="center"/>
              <w:rPr>
                <w:rStyle w:val="1246"/>
                <w:rFonts w:ascii="宋体"/>
              </w:rPr>
            </w:pPr>
            <w:r>
              <w:rPr>
                <w:rStyle w:val="1246"/>
                <w:rFonts w:hint="eastAsia" w:ascii="宋体"/>
              </w:rPr>
              <w:t xml:space="preserve">PT柜</w:t>
            </w:r>
            <w:r>
              <w:rPr>
                <w:rStyle w:val="1246"/>
                <w:rFonts w:ascii="宋体"/>
              </w:rPr>
            </w:r>
            <w:r/>
          </w:p>
          <w:p>
            <w:pPr>
              <w:pStyle w:val="1245"/>
              <w:jc w:val="center"/>
              <w:rPr>
                <w:rStyle w:val="1246"/>
                <w:rFonts w:ascii="宋体"/>
              </w:rPr>
            </w:pPr>
            <w:r>
              <w:rPr>
                <w:rStyle w:val="1246"/>
                <w:rFonts w:hint="eastAsia" w:ascii="宋体"/>
              </w:rPr>
              <w:t xml:space="preserve">二次模块</w:t>
            </w:r>
            <w:r>
              <w:rPr>
                <w:rStyle w:val="1246"/>
                <w:rFonts w:ascii="宋体"/>
              </w:rPr>
            </w:r>
            <w:r/>
          </w:p>
        </w:tc>
        <w:tc>
          <w:tcPr>
            <w:gridSpan w:val="2"/>
            <w:tcW w:w="2142" w:type="dxa"/>
            <w:vAlign w:val="top"/>
            <w:textDirection w:val="lrTb"/>
            <w:noWrap w:val="false"/>
          </w:tcPr>
          <w:p>
            <w:pPr>
              <w:pStyle w:val="1245"/>
              <w:jc w:val="center"/>
              <w:rPr>
                <w:rStyle w:val="1246"/>
                <w:rFonts w:ascii="宋体"/>
              </w:rPr>
            </w:pPr>
            <w:r>
              <w:rPr>
                <w:rStyle w:val="1246"/>
                <w:rFonts w:hint="eastAsia" w:ascii="宋体"/>
              </w:rPr>
              <w:t xml:space="preserve">间隔柜</w:t>
            </w:r>
            <w:r>
              <w:rPr>
                <w:rStyle w:val="1246"/>
                <w:rFonts w:ascii="宋体"/>
              </w:rPr>
            </w:r>
            <w:r/>
          </w:p>
          <w:p>
            <w:pPr>
              <w:pStyle w:val="1245"/>
              <w:jc w:val="center"/>
              <w:rPr>
                <w:rStyle w:val="1246"/>
                <w:rFonts w:ascii="宋体"/>
              </w:rPr>
            </w:pPr>
            <w:r>
              <w:rPr>
                <w:rStyle w:val="1246"/>
                <w:rFonts w:hint="eastAsia" w:ascii="宋体"/>
              </w:rPr>
              <w:t xml:space="preserve">二次模块</w:t>
            </w:r>
            <w:r>
              <w:rPr>
                <w:rStyle w:val="1246"/>
                <w:rFonts w:ascii="宋体"/>
              </w:rPr>
            </w:r>
            <w:r/>
          </w:p>
        </w:tc>
      </w:tr>
      <w:tr>
        <w:trPr>
          <w:trHeight w:val="452"/>
          <w:tblHeader/>
        </w:trPr>
        <w:tc>
          <w:tcPr>
            <w:tcW w:w="1114" w:type="dxa"/>
            <w:vAlign w:val="top"/>
            <w:textDirection w:val="lrTb"/>
            <w:noWrap w:val="false"/>
          </w:tcPr>
          <w:p>
            <w:pPr>
              <w:pStyle w:val="1245"/>
              <w:jc w:val="center"/>
              <w:rPr>
                <w:rStyle w:val="1246"/>
                <w:rFonts w:ascii="宋体"/>
              </w:rPr>
            </w:pPr>
            <w:r>
              <w:rPr>
                <w:rStyle w:val="1246"/>
                <w:rFonts w:hint="eastAsia" w:ascii="宋体"/>
              </w:rPr>
              <w:t xml:space="preserve">项目</w:t>
            </w:r>
            <w:r>
              <w:rPr>
                <w:rStyle w:val="1246"/>
                <w:rFonts w:ascii="宋体"/>
              </w:rPr>
            </w:r>
            <w:r/>
          </w:p>
        </w:tc>
        <w:tc>
          <w:tcPr>
            <w:tcW w:w="1275" w:type="dxa"/>
            <w:vAlign w:val="top"/>
            <w:textDirection w:val="lrTb"/>
            <w:noWrap w:val="false"/>
          </w:tcPr>
          <w:p>
            <w:pPr>
              <w:pStyle w:val="1245"/>
              <w:jc w:val="center"/>
              <w:rPr>
                <w:rFonts w:ascii="宋体"/>
                <w:szCs w:val="21"/>
              </w:rPr>
            </w:pPr>
            <w:r>
              <w:rPr>
                <w:rStyle w:val="1246"/>
                <w:rFonts w:hint="eastAsia" w:ascii="宋体"/>
              </w:rPr>
              <w:t xml:space="preserve">10芯</w:t>
            </w:r>
            <w:r>
              <w:rPr>
                <w:rFonts w:ascii="宋体"/>
                <w:szCs w:val="21"/>
              </w:rPr>
            </w:r>
            <w:r/>
          </w:p>
        </w:tc>
        <w:tc>
          <w:tcPr>
            <w:tcW w:w="1170" w:type="dxa"/>
            <w:vAlign w:val="top"/>
            <w:textDirection w:val="lrTb"/>
            <w:noWrap w:val="false"/>
          </w:tcPr>
          <w:p>
            <w:pPr>
              <w:pStyle w:val="1245"/>
              <w:jc w:val="center"/>
              <w:rPr>
                <w:rFonts w:ascii="宋体"/>
                <w:szCs w:val="21"/>
              </w:rPr>
            </w:pPr>
            <w:r>
              <w:rPr>
                <w:rStyle w:val="1246"/>
                <w:rFonts w:hint="eastAsia" w:ascii="宋体"/>
              </w:rPr>
              <w:t xml:space="preserve">26芯</w:t>
            </w:r>
            <w:r>
              <w:rPr>
                <w:rFonts w:ascii="宋体"/>
                <w:szCs w:val="21"/>
              </w:rPr>
            </w:r>
            <w:r/>
          </w:p>
        </w:tc>
        <w:tc>
          <w:tcPr>
            <w:tcW w:w="1215" w:type="dxa"/>
            <w:vAlign w:val="top"/>
            <w:textDirection w:val="lrTb"/>
            <w:noWrap w:val="false"/>
          </w:tcPr>
          <w:p>
            <w:pPr>
              <w:pStyle w:val="1245"/>
              <w:jc w:val="center"/>
              <w:rPr>
                <w:rFonts w:ascii="宋体"/>
                <w:szCs w:val="21"/>
              </w:rPr>
            </w:pPr>
            <w:r>
              <w:rPr>
                <w:rStyle w:val="1246"/>
                <w:rFonts w:ascii="宋体"/>
              </w:rPr>
              <w:t xml:space="preserve">32</w:t>
            </w:r>
            <w:r>
              <w:rPr>
                <w:rStyle w:val="1246"/>
                <w:rFonts w:hint="eastAsia" w:ascii="宋体"/>
              </w:rPr>
              <w:t xml:space="preserve">芯</w:t>
            </w:r>
            <w:r>
              <w:rPr>
                <w:rFonts w:ascii="宋体"/>
                <w:szCs w:val="21"/>
              </w:rPr>
            </w:r>
            <w:r/>
          </w:p>
        </w:tc>
        <w:tc>
          <w:tcPr>
            <w:tcW w:w="1305" w:type="dxa"/>
            <w:vAlign w:val="top"/>
            <w:textDirection w:val="lrTb"/>
            <w:noWrap w:val="false"/>
          </w:tcPr>
          <w:p>
            <w:pPr>
              <w:pStyle w:val="1245"/>
              <w:jc w:val="center"/>
              <w:rPr>
                <w:rStyle w:val="1246"/>
                <w:rFonts w:ascii="宋体"/>
              </w:rPr>
            </w:pPr>
            <w:r>
              <w:rPr>
                <w:rStyle w:val="1246"/>
                <w:rFonts w:ascii="宋体"/>
              </w:rPr>
              <w:t xml:space="preserve">32</w:t>
            </w:r>
            <w:r>
              <w:rPr>
                <w:rStyle w:val="1246"/>
                <w:rFonts w:hint="eastAsia" w:ascii="宋体"/>
              </w:rPr>
              <w:t xml:space="preserve">芯</w:t>
            </w:r>
            <w:r>
              <w:rPr>
                <w:rStyle w:val="1246"/>
                <w:rFonts w:ascii="宋体"/>
              </w:rPr>
            </w:r>
            <w:r/>
          </w:p>
        </w:tc>
        <w:tc>
          <w:tcPr>
            <w:tcW w:w="1260" w:type="dxa"/>
            <w:vAlign w:val="top"/>
            <w:textDirection w:val="lrTb"/>
            <w:noWrap w:val="false"/>
          </w:tcPr>
          <w:p>
            <w:pPr>
              <w:pStyle w:val="1245"/>
              <w:jc w:val="center"/>
              <w:rPr>
                <w:rStyle w:val="1246"/>
                <w:rFonts w:ascii="宋体"/>
              </w:rPr>
            </w:pPr>
            <w:r>
              <w:rPr>
                <w:rStyle w:val="1246"/>
                <w:rFonts w:hint="eastAsia" w:ascii="宋体"/>
              </w:rPr>
              <w:t xml:space="preserve">10芯</w:t>
            </w:r>
            <w:r>
              <w:rPr>
                <w:rStyle w:val="1246"/>
                <w:rFonts w:ascii="宋体"/>
              </w:rPr>
            </w:r>
            <w:r/>
          </w:p>
        </w:tc>
        <w:tc>
          <w:tcPr>
            <w:tcW w:w="1071" w:type="dxa"/>
            <w:vAlign w:val="top"/>
            <w:textDirection w:val="lrTb"/>
            <w:noWrap w:val="false"/>
          </w:tcPr>
          <w:p>
            <w:pPr>
              <w:pStyle w:val="1245"/>
              <w:jc w:val="center"/>
              <w:rPr>
                <w:rFonts w:ascii="宋体"/>
                <w:szCs w:val="21"/>
              </w:rPr>
            </w:pPr>
            <w:r>
              <w:rPr>
                <w:rStyle w:val="1246"/>
                <w:rFonts w:hint="eastAsia" w:ascii="宋体"/>
              </w:rPr>
              <w:t xml:space="preserve">16芯</w:t>
            </w:r>
            <w:r>
              <w:rPr>
                <w:rFonts w:ascii="宋体"/>
                <w:szCs w:val="21"/>
              </w:rPr>
            </w:r>
            <w:r/>
          </w:p>
        </w:tc>
        <w:tc>
          <w:tcPr>
            <w:tcW w:w="1071" w:type="dxa"/>
            <w:vAlign w:val="top"/>
            <w:textDirection w:val="lrTb"/>
            <w:noWrap w:val="false"/>
          </w:tcPr>
          <w:p>
            <w:pPr>
              <w:pStyle w:val="1245"/>
              <w:jc w:val="center"/>
              <w:rPr>
                <w:rFonts w:ascii="宋体"/>
                <w:szCs w:val="21"/>
              </w:rPr>
            </w:pPr>
            <w:r>
              <w:rPr>
                <w:rStyle w:val="1246"/>
                <w:rFonts w:ascii="宋体"/>
              </w:rPr>
              <w:t xml:space="preserve">32</w:t>
            </w:r>
            <w:r>
              <w:rPr>
                <w:rStyle w:val="1246"/>
                <w:rFonts w:hint="eastAsia" w:ascii="宋体"/>
              </w:rPr>
              <w:t xml:space="preserve">芯</w:t>
            </w:r>
            <w:r>
              <w:rPr>
                <w:rFonts w:ascii="宋体"/>
                <w:szCs w:val="21"/>
              </w:rPr>
            </w:r>
            <w:r/>
          </w:p>
        </w:tc>
      </w:tr>
      <w:tr>
        <w:trPr>
          <w:trHeight w:val="452"/>
        </w:trPr>
        <w:tc>
          <w:tcPr>
            <w:tcW w:w="1114" w:type="dxa"/>
            <w:vAlign w:val="top"/>
            <w:textDirection w:val="lrTb"/>
            <w:noWrap w:val="false"/>
          </w:tcPr>
          <w:p>
            <w:pPr>
              <w:pStyle w:val="1245"/>
              <w:jc w:val="center"/>
              <w:rPr>
                <w:rStyle w:val="1246"/>
                <w:rFonts w:ascii="宋体"/>
              </w:rPr>
            </w:pPr>
            <w:r>
              <w:rPr>
                <w:rStyle w:val="1246"/>
                <w:rFonts w:hint="eastAsia" w:ascii="宋体"/>
              </w:rPr>
              <w:t xml:space="preserve">插座</w:t>
            </w:r>
            <w:r>
              <w:rPr>
                <w:rStyle w:val="1246"/>
                <w:rFonts w:ascii="宋体"/>
              </w:rPr>
            </w:r>
            <w:r/>
          </w:p>
        </w:tc>
        <w:tc>
          <w:tcPr>
            <w:tcW w:w="1275" w:type="dxa"/>
            <w:vAlign w:val="top"/>
            <w:textDirection w:val="lrTb"/>
            <w:noWrap w:val="false"/>
          </w:tcPr>
          <w:p>
            <w:pPr>
              <w:pStyle w:val="1245"/>
              <w:jc w:val="center"/>
              <w:rPr>
                <w:rFonts w:ascii="宋体"/>
                <w:szCs w:val="21"/>
              </w:rPr>
            </w:pPr>
            <w:r>
              <w:rPr>
                <w:rStyle w:val="1246"/>
                <w:rFonts w:hint="eastAsia" w:ascii="宋体"/>
              </w:rPr>
              <w:t xml:space="preserve">公插芯</w:t>
            </w:r>
            <w:r>
              <w:rPr>
                <w:rFonts w:ascii="宋体"/>
                <w:szCs w:val="21"/>
              </w:rPr>
            </w:r>
            <w:r/>
          </w:p>
        </w:tc>
        <w:tc>
          <w:tcPr>
            <w:tcW w:w="1170" w:type="dxa"/>
            <w:vAlign w:val="top"/>
            <w:textDirection w:val="lrTb"/>
            <w:noWrap w:val="false"/>
          </w:tcPr>
          <w:p>
            <w:pPr>
              <w:pStyle w:val="1245"/>
              <w:jc w:val="center"/>
              <w:rPr>
                <w:rFonts w:ascii="宋体"/>
                <w:szCs w:val="21"/>
              </w:rPr>
            </w:pPr>
            <w:r>
              <w:rPr>
                <w:rStyle w:val="1246"/>
                <w:rFonts w:hint="eastAsia" w:ascii="宋体"/>
              </w:rPr>
              <w:t xml:space="preserve">公插芯</w:t>
            </w:r>
            <w:r>
              <w:rPr>
                <w:rFonts w:ascii="宋体"/>
                <w:szCs w:val="21"/>
              </w:rPr>
            </w:r>
            <w:r/>
          </w:p>
        </w:tc>
        <w:tc>
          <w:tcPr>
            <w:tcW w:w="1215" w:type="dxa"/>
            <w:vAlign w:val="top"/>
            <w:textDirection w:val="lrTb"/>
            <w:noWrap w:val="false"/>
          </w:tcPr>
          <w:p>
            <w:pPr>
              <w:pStyle w:val="1245"/>
              <w:jc w:val="center"/>
              <w:rPr>
                <w:rFonts w:ascii="宋体"/>
                <w:szCs w:val="21"/>
              </w:rPr>
            </w:pPr>
            <w:r>
              <w:rPr>
                <w:rStyle w:val="1246"/>
                <w:rFonts w:hint="eastAsia" w:ascii="宋体"/>
              </w:rPr>
              <w:t xml:space="preserve">公插芯</w:t>
            </w:r>
            <w:r>
              <w:rPr>
                <w:rFonts w:ascii="宋体"/>
                <w:szCs w:val="21"/>
              </w:rPr>
            </w:r>
            <w:r/>
          </w:p>
        </w:tc>
        <w:tc>
          <w:tcPr>
            <w:tcW w:w="1305" w:type="dxa"/>
            <w:vAlign w:val="top"/>
            <w:textDirection w:val="lrTb"/>
            <w:noWrap w:val="false"/>
          </w:tcPr>
          <w:p>
            <w:pPr>
              <w:pStyle w:val="1245"/>
              <w:jc w:val="center"/>
              <w:rPr>
                <w:rStyle w:val="1246"/>
                <w:rFonts w:ascii="宋体"/>
              </w:rPr>
            </w:pPr>
            <w:r>
              <w:rPr>
                <w:rStyle w:val="1246"/>
                <w:rFonts w:hint="eastAsia" w:ascii="宋体"/>
              </w:rPr>
              <w:t xml:space="preserve">母插芯</w:t>
            </w:r>
            <w:r>
              <w:rPr>
                <w:rStyle w:val="1246"/>
                <w:rFonts w:ascii="宋体"/>
              </w:rPr>
            </w:r>
            <w:r/>
          </w:p>
        </w:tc>
        <w:tc>
          <w:tcPr>
            <w:tcW w:w="1260" w:type="dxa"/>
            <w:vAlign w:val="top"/>
            <w:textDirection w:val="lrTb"/>
            <w:noWrap w:val="false"/>
          </w:tcPr>
          <w:p>
            <w:pPr>
              <w:pStyle w:val="1245"/>
              <w:jc w:val="center"/>
              <w:rPr>
                <w:rStyle w:val="1246"/>
                <w:rFonts w:ascii="宋体"/>
              </w:rPr>
            </w:pPr>
            <w:r>
              <w:rPr>
                <w:rStyle w:val="1246"/>
                <w:rFonts w:hint="eastAsia" w:ascii="宋体"/>
              </w:rPr>
              <w:t xml:space="preserve">公插芯</w:t>
            </w:r>
            <w:r>
              <w:rPr>
                <w:rStyle w:val="1246"/>
                <w:rFonts w:ascii="宋体"/>
              </w:rPr>
            </w:r>
            <w:r/>
          </w:p>
        </w:tc>
        <w:tc>
          <w:tcPr>
            <w:tcW w:w="1071" w:type="dxa"/>
            <w:vAlign w:val="top"/>
            <w:textDirection w:val="lrTb"/>
            <w:noWrap w:val="false"/>
          </w:tcPr>
          <w:p>
            <w:pPr>
              <w:pStyle w:val="1245"/>
              <w:jc w:val="center"/>
              <w:rPr>
                <w:rFonts w:ascii="宋体"/>
                <w:szCs w:val="21"/>
              </w:rPr>
            </w:pPr>
            <w:r>
              <w:rPr>
                <w:rStyle w:val="1246"/>
                <w:rFonts w:hint="eastAsia" w:ascii="宋体"/>
              </w:rPr>
              <w:t xml:space="preserve">公插芯</w:t>
            </w:r>
            <w:r>
              <w:rPr>
                <w:rFonts w:ascii="宋体"/>
                <w:szCs w:val="21"/>
              </w:rPr>
            </w:r>
            <w:r/>
          </w:p>
        </w:tc>
        <w:tc>
          <w:tcPr>
            <w:tcW w:w="1071" w:type="dxa"/>
            <w:vAlign w:val="top"/>
            <w:textDirection w:val="lrTb"/>
            <w:noWrap w:val="false"/>
          </w:tcPr>
          <w:p>
            <w:pPr>
              <w:pStyle w:val="1245"/>
              <w:jc w:val="center"/>
              <w:rPr>
                <w:rFonts w:ascii="宋体"/>
                <w:szCs w:val="21"/>
              </w:rPr>
            </w:pPr>
            <w:r>
              <w:rPr>
                <w:rStyle w:val="1246"/>
                <w:rFonts w:hint="eastAsia" w:ascii="宋体"/>
              </w:rPr>
              <w:t xml:space="preserve">公插芯</w:t>
            </w:r>
            <w:r>
              <w:rPr>
                <w:rFonts w:ascii="宋体"/>
                <w:szCs w:val="21"/>
              </w:rPr>
            </w:r>
            <w:r/>
          </w:p>
        </w:tc>
      </w:tr>
      <w:tr>
        <w:trPr>
          <w:trHeight w:val="452"/>
        </w:trPr>
        <w:tc>
          <w:tcPr>
            <w:tcW w:w="1114" w:type="dxa"/>
            <w:vAlign w:val="top"/>
            <w:textDirection w:val="lrTb"/>
            <w:noWrap w:val="false"/>
          </w:tcPr>
          <w:p>
            <w:pPr>
              <w:pStyle w:val="1245"/>
              <w:jc w:val="center"/>
              <w:rPr>
                <w:rStyle w:val="1246"/>
                <w:rFonts w:ascii="宋体"/>
              </w:rPr>
            </w:pPr>
            <w:r>
              <w:rPr>
                <w:rStyle w:val="1246"/>
                <w:rFonts w:hint="eastAsia" w:ascii="宋体"/>
              </w:rPr>
              <w:t xml:space="preserve">插头</w:t>
            </w:r>
            <w:r>
              <w:rPr>
                <w:rStyle w:val="1246"/>
                <w:rFonts w:ascii="宋体"/>
              </w:rPr>
            </w:r>
            <w:r/>
          </w:p>
        </w:tc>
        <w:tc>
          <w:tcPr>
            <w:tcW w:w="1275" w:type="dxa"/>
            <w:vAlign w:val="top"/>
            <w:textDirection w:val="lrTb"/>
            <w:noWrap w:val="false"/>
          </w:tcPr>
          <w:p>
            <w:pPr>
              <w:pStyle w:val="1245"/>
              <w:jc w:val="center"/>
              <w:rPr>
                <w:rFonts w:ascii="宋体"/>
                <w:szCs w:val="21"/>
              </w:rPr>
            </w:pPr>
            <w:r>
              <w:rPr>
                <w:rStyle w:val="1246"/>
                <w:rFonts w:hint="eastAsia" w:ascii="宋体"/>
              </w:rPr>
              <w:t xml:space="preserve">母插芯</w:t>
            </w:r>
            <w:r>
              <w:rPr>
                <w:rFonts w:ascii="宋体"/>
                <w:szCs w:val="21"/>
              </w:rPr>
            </w:r>
            <w:r/>
          </w:p>
        </w:tc>
        <w:tc>
          <w:tcPr>
            <w:tcW w:w="1170" w:type="dxa"/>
            <w:vAlign w:val="top"/>
            <w:textDirection w:val="lrTb"/>
            <w:noWrap w:val="false"/>
          </w:tcPr>
          <w:p>
            <w:pPr>
              <w:pStyle w:val="1245"/>
              <w:jc w:val="center"/>
              <w:rPr>
                <w:rFonts w:ascii="宋体"/>
                <w:szCs w:val="21"/>
              </w:rPr>
            </w:pPr>
            <w:r>
              <w:rPr>
                <w:rStyle w:val="1246"/>
                <w:rFonts w:hint="eastAsia" w:ascii="宋体"/>
              </w:rPr>
              <w:t xml:space="preserve">母插芯</w:t>
            </w:r>
            <w:r>
              <w:rPr>
                <w:rFonts w:ascii="宋体"/>
                <w:szCs w:val="21"/>
              </w:rPr>
            </w:r>
            <w:r/>
          </w:p>
        </w:tc>
        <w:tc>
          <w:tcPr>
            <w:tcW w:w="1215" w:type="dxa"/>
            <w:vAlign w:val="top"/>
            <w:textDirection w:val="lrTb"/>
            <w:noWrap w:val="false"/>
          </w:tcPr>
          <w:p>
            <w:pPr>
              <w:pStyle w:val="1245"/>
              <w:jc w:val="center"/>
              <w:rPr>
                <w:rFonts w:ascii="宋体"/>
                <w:szCs w:val="21"/>
              </w:rPr>
            </w:pPr>
            <w:r>
              <w:rPr>
                <w:rStyle w:val="1246"/>
                <w:rFonts w:hint="eastAsia" w:ascii="宋体"/>
              </w:rPr>
              <w:t xml:space="preserve">母插芯</w:t>
            </w:r>
            <w:r>
              <w:rPr>
                <w:rFonts w:ascii="宋体"/>
                <w:szCs w:val="21"/>
              </w:rPr>
            </w:r>
            <w:r/>
          </w:p>
        </w:tc>
        <w:tc>
          <w:tcPr>
            <w:tcW w:w="1305" w:type="dxa"/>
            <w:vAlign w:val="top"/>
            <w:textDirection w:val="lrTb"/>
            <w:noWrap w:val="false"/>
          </w:tcPr>
          <w:p>
            <w:pPr>
              <w:pStyle w:val="1245"/>
              <w:jc w:val="center"/>
              <w:rPr>
                <w:rStyle w:val="1246"/>
                <w:rFonts w:ascii="宋体"/>
              </w:rPr>
            </w:pPr>
            <w:r>
              <w:rPr>
                <w:rStyle w:val="1246"/>
                <w:rFonts w:hint="eastAsia" w:ascii="宋体"/>
              </w:rPr>
              <w:t xml:space="preserve">公插芯</w:t>
            </w:r>
            <w:r>
              <w:rPr>
                <w:rStyle w:val="1246"/>
                <w:rFonts w:ascii="宋体"/>
              </w:rPr>
            </w:r>
            <w:r/>
          </w:p>
        </w:tc>
        <w:tc>
          <w:tcPr>
            <w:tcW w:w="1260" w:type="dxa"/>
            <w:vAlign w:val="top"/>
            <w:textDirection w:val="lrTb"/>
            <w:noWrap w:val="false"/>
          </w:tcPr>
          <w:p>
            <w:pPr>
              <w:pStyle w:val="1245"/>
              <w:jc w:val="center"/>
              <w:rPr>
                <w:rStyle w:val="1246"/>
                <w:rFonts w:ascii="宋体"/>
              </w:rPr>
            </w:pPr>
            <w:r>
              <w:rPr>
                <w:rStyle w:val="1246"/>
                <w:rFonts w:hint="eastAsia" w:ascii="宋体"/>
              </w:rPr>
              <w:t xml:space="preserve">母插芯</w:t>
            </w:r>
            <w:r>
              <w:rPr>
                <w:rStyle w:val="1246"/>
                <w:rFonts w:ascii="宋体"/>
              </w:rPr>
            </w:r>
            <w:r/>
          </w:p>
        </w:tc>
        <w:tc>
          <w:tcPr>
            <w:tcW w:w="1071" w:type="dxa"/>
            <w:vAlign w:val="top"/>
            <w:textDirection w:val="lrTb"/>
            <w:noWrap w:val="false"/>
          </w:tcPr>
          <w:p>
            <w:pPr>
              <w:pStyle w:val="1245"/>
              <w:jc w:val="center"/>
              <w:rPr>
                <w:rFonts w:ascii="宋体"/>
                <w:szCs w:val="21"/>
              </w:rPr>
            </w:pPr>
            <w:r>
              <w:rPr>
                <w:rStyle w:val="1246"/>
                <w:rFonts w:hint="eastAsia" w:ascii="宋体"/>
              </w:rPr>
              <w:t xml:space="preserve">母插芯</w:t>
            </w:r>
            <w:r>
              <w:rPr>
                <w:rFonts w:ascii="宋体"/>
                <w:szCs w:val="21"/>
              </w:rPr>
            </w:r>
            <w:r/>
          </w:p>
        </w:tc>
        <w:tc>
          <w:tcPr>
            <w:tcW w:w="1071" w:type="dxa"/>
            <w:vAlign w:val="top"/>
            <w:textDirection w:val="lrTb"/>
            <w:noWrap w:val="false"/>
          </w:tcPr>
          <w:p>
            <w:pPr>
              <w:pStyle w:val="1245"/>
              <w:jc w:val="center"/>
              <w:rPr>
                <w:rFonts w:ascii="宋体"/>
                <w:szCs w:val="21"/>
              </w:rPr>
            </w:pPr>
            <w:r>
              <w:rPr>
                <w:rStyle w:val="1246"/>
                <w:rFonts w:hint="eastAsia" w:ascii="宋体"/>
              </w:rPr>
              <w:t xml:space="preserve">母插芯</w:t>
            </w:r>
            <w:r>
              <w:rPr>
                <w:rFonts w:ascii="宋体"/>
                <w:szCs w:val="21"/>
              </w:rPr>
            </w:r>
            <w:r/>
          </w:p>
        </w:tc>
      </w:tr>
      <w:tr>
        <w:trPr>
          <w:trHeight w:val="462"/>
        </w:trPr>
        <w:tc>
          <w:tcPr>
            <w:tcW w:w="1114" w:type="dxa"/>
            <w:vAlign w:val="center"/>
            <w:textDirection w:val="lrTb"/>
            <w:noWrap w:val="false"/>
          </w:tcPr>
          <w:p>
            <w:pPr>
              <w:pStyle w:val="1245"/>
              <w:jc w:val="center"/>
              <w:rPr>
                <w:rStyle w:val="1246"/>
                <w:rFonts w:ascii="宋体"/>
              </w:rPr>
            </w:pPr>
            <w:r>
              <w:rPr>
                <w:rStyle w:val="1246"/>
                <w:rFonts w:hint="eastAsia" w:ascii="宋体"/>
              </w:rPr>
              <w:t xml:space="preserve">锁定方式</w:t>
            </w:r>
            <w:r>
              <w:rPr>
                <w:rStyle w:val="1246"/>
                <w:rFonts w:ascii="宋体"/>
              </w:rPr>
            </w:r>
            <w:r/>
          </w:p>
        </w:tc>
        <w:tc>
          <w:tcPr>
            <w:tcW w:w="1275" w:type="dxa"/>
            <w:vAlign w:val="center"/>
            <w:textDirection w:val="lrTb"/>
            <w:noWrap w:val="false"/>
          </w:tcPr>
          <w:p>
            <w:pPr>
              <w:pStyle w:val="1245"/>
              <w:jc w:val="center"/>
              <w:rPr>
                <w:rFonts w:ascii="宋体"/>
                <w:szCs w:val="21"/>
              </w:rPr>
            </w:pPr>
            <w:r>
              <w:rPr>
                <w:rStyle w:val="1246"/>
                <w:rFonts w:hint="eastAsia" w:ascii="宋体"/>
              </w:rPr>
              <w:t xml:space="preserve">锁扣锁定</w:t>
            </w:r>
            <w:r>
              <w:rPr>
                <w:rFonts w:ascii="宋体"/>
                <w:szCs w:val="21"/>
              </w:rPr>
            </w:r>
            <w:r/>
          </w:p>
        </w:tc>
        <w:tc>
          <w:tcPr>
            <w:tcW w:w="1170" w:type="dxa"/>
            <w:vAlign w:val="center"/>
            <w:textDirection w:val="lrTb"/>
            <w:noWrap w:val="false"/>
          </w:tcPr>
          <w:p>
            <w:pPr>
              <w:pStyle w:val="1245"/>
              <w:jc w:val="center"/>
              <w:rPr>
                <w:rFonts w:ascii="宋体"/>
                <w:szCs w:val="21"/>
              </w:rPr>
            </w:pPr>
            <w:r>
              <w:rPr>
                <w:rStyle w:val="1246"/>
                <w:rFonts w:hint="eastAsia" w:ascii="宋体"/>
              </w:rPr>
              <w:t xml:space="preserve">锁扣锁定</w:t>
            </w:r>
            <w:r>
              <w:rPr>
                <w:rFonts w:ascii="宋体"/>
                <w:szCs w:val="21"/>
              </w:rPr>
            </w:r>
            <w:r/>
          </w:p>
        </w:tc>
        <w:tc>
          <w:tcPr>
            <w:tcW w:w="1215" w:type="dxa"/>
            <w:vAlign w:val="center"/>
            <w:textDirection w:val="lrTb"/>
            <w:noWrap w:val="false"/>
          </w:tcPr>
          <w:p>
            <w:pPr>
              <w:pStyle w:val="1245"/>
              <w:jc w:val="center"/>
              <w:rPr>
                <w:rFonts w:ascii="宋体"/>
                <w:szCs w:val="21"/>
              </w:rPr>
            </w:pPr>
            <w:r>
              <w:rPr>
                <w:rStyle w:val="1246"/>
                <w:rFonts w:hint="eastAsia" w:ascii="宋体"/>
              </w:rPr>
              <w:t xml:space="preserve">螺钉锁定</w:t>
            </w:r>
            <w:r>
              <w:rPr>
                <w:rFonts w:ascii="宋体"/>
                <w:szCs w:val="21"/>
              </w:rPr>
            </w:r>
            <w:r/>
          </w:p>
        </w:tc>
        <w:tc>
          <w:tcPr>
            <w:tcW w:w="1305" w:type="dxa"/>
            <w:vAlign w:val="center"/>
            <w:textDirection w:val="lrTb"/>
            <w:noWrap w:val="false"/>
          </w:tcPr>
          <w:p>
            <w:pPr>
              <w:pStyle w:val="1245"/>
              <w:jc w:val="center"/>
              <w:rPr>
                <w:rStyle w:val="1246"/>
                <w:rFonts w:ascii="宋体"/>
              </w:rPr>
            </w:pPr>
            <w:r>
              <w:rPr>
                <w:rStyle w:val="1246"/>
                <w:rFonts w:hint="eastAsia" w:ascii="宋体"/>
              </w:rPr>
              <w:t xml:space="preserve">螺钉锁定</w:t>
            </w:r>
            <w:r>
              <w:rPr>
                <w:rStyle w:val="1246"/>
                <w:rFonts w:ascii="宋体"/>
              </w:rPr>
            </w:r>
            <w:r/>
          </w:p>
        </w:tc>
        <w:tc>
          <w:tcPr>
            <w:tcW w:w="1260" w:type="dxa"/>
            <w:vAlign w:val="center"/>
            <w:textDirection w:val="lrTb"/>
            <w:noWrap w:val="false"/>
          </w:tcPr>
          <w:p>
            <w:pPr>
              <w:pStyle w:val="1245"/>
              <w:jc w:val="center"/>
              <w:rPr>
                <w:rStyle w:val="1246"/>
                <w:rFonts w:ascii="宋体"/>
              </w:rPr>
            </w:pPr>
            <w:r>
              <w:rPr>
                <w:rStyle w:val="1246"/>
                <w:rFonts w:hint="eastAsia" w:ascii="宋体"/>
              </w:rPr>
              <w:t xml:space="preserve">锁扣锁定</w:t>
            </w:r>
            <w:r>
              <w:rPr>
                <w:rStyle w:val="1246"/>
                <w:rFonts w:ascii="宋体"/>
              </w:rPr>
            </w:r>
            <w:r/>
          </w:p>
        </w:tc>
        <w:tc>
          <w:tcPr>
            <w:tcW w:w="1071" w:type="dxa"/>
            <w:vAlign w:val="center"/>
            <w:textDirection w:val="lrTb"/>
            <w:noWrap w:val="false"/>
          </w:tcPr>
          <w:p>
            <w:pPr>
              <w:pStyle w:val="1245"/>
              <w:jc w:val="center"/>
              <w:rPr>
                <w:rFonts w:ascii="宋体"/>
                <w:szCs w:val="21"/>
              </w:rPr>
            </w:pPr>
            <w:r>
              <w:rPr>
                <w:rStyle w:val="1246"/>
                <w:rFonts w:hint="eastAsia" w:ascii="宋体"/>
              </w:rPr>
              <w:t xml:space="preserve">锁扣锁定</w:t>
            </w:r>
            <w:r>
              <w:rPr>
                <w:rFonts w:ascii="宋体"/>
                <w:szCs w:val="21"/>
              </w:rPr>
            </w:r>
            <w:r/>
          </w:p>
        </w:tc>
        <w:tc>
          <w:tcPr>
            <w:tcW w:w="1071" w:type="dxa"/>
            <w:vAlign w:val="center"/>
            <w:textDirection w:val="lrTb"/>
            <w:noWrap w:val="false"/>
          </w:tcPr>
          <w:p>
            <w:pPr>
              <w:pStyle w:val="1245"/>
              <w:jc w:val="center"/>
              <w:rPr>
                <w:rFonts w:ascii="宋体"/>
                <w:szCs w:val="21"/>
              </w:rPr>
            </w:pPr>
            <w:r>
              <w:rPr>
                <w:rStyle w:val="1246"/>
                <w:rFonts w:hint="eastAsia" w:ascii="宋体"/>
              </w:rPr>
              <w:t xml:space="preserve">螺钉锁定</w:t>
            </w:r>
            <w:r>
              <w:rPr>
                <w:rFonts w:ascii="宋体"/>
                <w:szCs w:val="21"/>
              </w:rPr>
            </w:r>
            <w:r/>
          </w:p>
        </w:tc>
      </w:tr>
    </w:tbl>
    <w:p>
      <w:pPr>
        <w:pStyle w:val="1151"/>
        <w:ind w:left="839"/>
        <w:jc w:val="center"/>
        <w:spacing w:line="312" w:lineRule="exact"/>
        <w:rPr>
          <w:rFonts w:ascii="宋体" w:hAnsi="宋体"/>
          <w:highlight w:val="yellow"/>
        </w:rPr>
      </w:pPr>
      <w:r>
        <w:rPr>
          <w:rFonts w:ascii="宋体" w:hAnsi="宋体"/>
          <w:highlight w:val="yellow"/>
        </w:rPr>
      </w:r>
      <w:r/>
    </w:p>
    <w:p>
      <w:pPr>
        <w:pStyle w:val="1151"/>
        <w:numPr>
          <w:ilvl w:val="0"/>
          <w:numId w:val="59"/>
        </w:numPr>
        <w:spacing w:line="312" w:lineRule="exact"/>
        <w:rPr>
          <w:rFonts w:ascii="宋体" w:hAnsi="宋体"/>
          <w:szCs w:val="22"/>
        </w:rPr>
      </w:pPr>
      <w:r>
        <w:rPr>
          <w:rFonts w:hint="eastAsia" w:ascii="宋体" w:hAnsi="宋体"/>
          <w:szCs w:val="22"/>
        </w:rPr>
        <w:t xml:space="preserve">矩形连接器技术指标</w:t>
      </w:r>
      <w:r>
        <w:rPr>
          <w:rFonts w:ascii="宋体" w:hAnsi="宋体"/>
          <w:szCs w:val="22"/>
        </w:rPr>
      </w:r>
      <w:r/>
    </w:p>
    <w:p>
      <w:pPr>
        <w:pStyle w:val="1151"/>
        <w:numPr>
          <w:ilvl w:val="1"/>
          <w:numId w:val="43"/>
        </w:numPr>
        <w:spacing w:line="312" w:lineRule="exact"/>
        <w:rPr>
          <w:rFonts w:ascii="宋体"/>
        </w:rPr>
      </w:pPr>
      <w:r>
        <w:rPr>
          <w:rFonts w:ascii="宋体"/>
        </w:rPr>
        <w:t xml:space="preserve">电气性能</w:t>
      </w:r>
      <w:r>
        <w:rPr>
          <w:rFonts w:ascii="宋体"/>
        </w:rPr>
      </w:r>
      <w:r/>
    </w:p>
    <w:p>
      <w:pPr>
        <w:pStyle w:val="1151"/>
        <w:ind w:left="839"/>
        <w:jc w:val="center"/>
        <w:spacing w:line="312" w:lineRule="exact"/>
        <w:rPr>
          <w:rFonts w:ascii="宋体" w:hAnsi="宋体"/>
        </w:rPr>
      </w:pPr>
      <w:r>
        <w:rPr>
          <w:rFonts w:hint="eastAsia" w:ascii="宋体" w:hAnsi="宋体"/>
        </w:rPr>
        <w:t xml:space="preserve">表25连接端子电气性能</w:t>
      </w:r>
      <w:r>
        <w:rPr>
          <w:rFonts w:ascii="宋体" w:hAnsi="宋体"/>
        </w:rPr>
      </w:r>
      <w:r/>
    </w:p>
    <w:tbl>
      <w:tblPr>
        <w:tblW w:w="78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74"/>
        <w:gridCol w:w="3928"/>
      </w:tblGrid>
      <w:tr>
        <w:trPr/>
        <w:tc>
          <w:tcPr>
            <w:tcW w:w="3874" w:type="dxa"/>
            <w:vAlign w:val="center"/>
            <w:textDirection w:val="lrTb"/>
            <w:noWrap w:val="false"/>
          </w:tcPr>
          <w:p>
            <w:pPr>
              <w:pStyle w:val="1151"/>
              <w:jc w:val="center"/>
              <w:spacing w:line="312" w:lineRule="exact"/>
              <w:rPr>
                <w:rFonts w:ascii="宋体"/>
              </w:rPr>
            </w:pPr>
            <w:r>
              <w:rPr>
                <w:rFonts w:ascii="宋体"/>
              </w:rPr>
              <w:t xml:space="preserve">项目</w:t>
            </w:r>
            <w:r>
              <w:rPr>
                <w:rFonts w:ascii="宋体"/>
              </w:rPr>
            </w:r>
            <w:r/>
          </w:p>
        </w:tc>
        <w:tc>
          <w:tcPr>
            <w:tcW w:w="3928" w:type="dxa"/>
            <w:vAlign w:val="center"/>
            <w:textDirection w:val="lrTb"/>
            <w:noWrap w:val="false"/>
          </w:tcPr>
          <w:p>
            <w:pPr>
              <w:pStyle w:val="1151"/>
              <w:jc w:val="center"/>
              <w:spacing w:line="312" w:lineRule="exact"/>
              <w:rPr>
                <w:rFonts w:ascii="宋体"/>
              </w:rPr>
            </w:pPr>
            <w:r>
              <w:rPr>
                <w:rFonts w:ascii="宋体"/>
              </w:rPr>
              <w:t xml:space="preserve">要求</w:t>
            </w:r>
            <w:r>
              <w:rPr>
                <w:rFonts w:ascii="宋体"/>
              </w:rPr>
            </w:r>
            <w:r/>
          </w:p>
        </w:tc>
      </w:tr>
      <w:tr>
        <w:trPr/>
        <w:tc>
          <w:tcPr>
            <w:tcW w:w="3874" w:type="dxa"/>
            <w:vAlign w:val="center"/>
            <w:vMerge w:val="restart"/>
            <w:textDirection w:val="lrTb"/>
            <w:noWrap w:val="false"/>
          </w:tcPr>
          <w:p>
            <w:pPr>
              <w:pStyle w:val="1151"/>
              <w:jc w:val="center"/>
              <w:spacing w:line="312" w:lineRule="exact"/>
              <w:rPr>
                <w:rFonts w:ascii="宋体"/>
              </w:rPr>
            </w:pPr>
            <w:r>
              <w:rPr>
                <w:rFonts w:ascii="宋体"/>
              </w:rPr>
              <w:t xml:space="preserve">接触件规格</w:t>
            </w:r>
            <w:r>
              <w:rPr>
                <w:rFonts w:ascii="宋体"/>
              </w:rPr>
            </w:r>
            <w:r/>
          </w:p>
        </w:tc>
        <w:tc>
          <w:tcPr>
            <w:tcW w:w="3928" w:type="dxa"/>
            <w:vAlign w:val="center"/>
            <w:textDirection w:val="lrTb"/>
            <w:noWrap w:val="false"/>
          </w:tcPr>
          <w:p>
            <w:pPr>
              <w:pStyle w:val="1151"/>
              <w:jc w:val="center"/>
              <w:spacing w:line="312" w:lineRule="exact"/>
              <w:rPr>
                <w:rFonts w:ascii="宋体"/>
              </w:rPr>
            </w:pPr>
            <w:r>
              <w:rPr>
                <w:rFonts w:ascii="宋体"/>
              </w:rPr>
              <w:t xml:space="preserve">1.6mm（32芯）</w:t>
            </w:r>
            <w:r>
              <w:rPr>
                <w:rFonts w:ascii="宋体"/>
              </w:rPr>
            </w:r>
            <w:r/>
          </w:p>
        </w:tc>
      </w:tr>
      <w:tr>
        <w:trPr/>
        <w:tc>
          <w:tcPr>
            <w:tcW w:w="3874" w:type="dxa"/>
            <w:vAlign w:val="center"/>
            <w:vMerge w:val="continue"/>
            <w:textDirection w:val="lrTb"/>
            <w:noWrap w:val="false"/>
          </w:tcPr>
          <w:p>
            <w:pPr>
              <w:pStyle w:val="1151"/>
              <w:jc w:val="center"/>
              <w:spacing w:line="312" w:lineRule="exact"/>
              <w:rPr>
                <w:rFonts w:ascii="宋体"/>
              </w:rPr>
            </w:pPr>
            <w:r>
              <w:rPr>
                <w:rFonts w:ascii="宋体"/>
              </w:rPr>
            </w:r>
            <w:r/>
          </w:p>
        </w:tc>
        <w:tc>
          <w:tcPr>
            <w:tcW w:w="3928" w:type="dxa"/>
            <w:vAlign w:val="center"/>
            <w:textDirection w:val="lrTb"/>
            <w:noWrap w:val="false"/>
          </w:tcPr>
          <w:p>
            <w:pPr>
              <w:pStyle w:val="1151"/>
              <w:jc w:val="center"/>
              <w:spacing w:line="312" w:lineRule="exact"/>
              <w:rPr>
                <w:rFonts w:ascii="宋体"/>
              </w:rPr>
            </w:pPr>
            <w:r>
              <w:rPr>
                <w:rFonts w:ascii="宋体"/>
              </w:rPr>
              <w:t xml:space="preserve">PE</w:t>
            </w:r>
            <w:r>
              <w:rPr>
                <w:rFonts w:hint="eastAsia" w:ascii="宋体"/>
              </w:rPr>
              <w:t xml:space="preserve">(接地)</w:t>
            </w:r>
            <w:r>
              <w:rPr>
                <w:rFonts w:ascii="宋体"/>
              </w:rPr>
            </w:r>
            <w:r/>
          </w:p>
        </w:tc>
      </w:tr>
      <w:tr>
        <w:trPr/>
        <w:tc>
          <w:tcPr>
            <w:tcW w:w="3874" w:type="dxa"/>
            <w:vAlign w:val="center"/>
            <w:textDirection w:val="lrTb"/>
            <w:noWrap w:val="false"/>
          </w:tcPr>
          <w:p>
            <w:pPr>
              <w:pStyle w:val="1151"/>
              <w:jc w:val="center"/>
              <w:spacing w:line="312" w:lineRule="exact"/>
              <w:rPr>
                <w:rFonts w:ascii="宋体"/>
              </w:rPr>
            </w:pPr>
            <w:r>
              <w:rPr>
                <w:rFonts w:ascii="宋体"/>
              </w:rPr>
              <w:t xml:space="preserve">额定电流</w:t>
            </w:r>
            <w:r>
              <w:rPr>
                <w:rFonts w:ascii="宋体"/>
              </w:rPr>
            </w:r>
            <w:r/>
          </w:p>
        </w:tc>
        <w:tc>
          <w:tcPr>
            <w:tcW w:w="3928" w:type="dxa"/>
            <w:vAlign w:val="center"/>
            <w:textDirection w:val="lrTb"/>
            <w:noWrap w:val="false"/>
          </w:tcPr>
          <w:p>
            <w:pPr>
              <w:pStyle w:val="1151"/>
              <w:jc w:val="center"/>
              <w:spacing w:line="312" w:lineRule="exact"/>
              <w:rPr>
                <w:rFonts w:ascii="宋体"/>
              </w:rPr>
            </w:pPr>
            <w:r>
              <w:rPr>
                <w:rFonts w:ascii="宋体"/>
              </w:rPr>
              <w:t xml:space="preserve">10A</w:t>
            </w:r>
            <w:r>
              <w:rPr>
                <w:rFonts w:ascii="宋体"/>
              </w:rPr>
            </w:r>
            <w:r/>
          </w:p>
        </w:tc>
      </w:tr>
      <w:tr>
        <w:trPr/>
        <w:tc>
          <w:tcPr>
            <w:tcW w:w="3874" w:type="dxa"/>
            <w:vAlign w:val="center"/>
            <w:textDirection w:val="lrTb"/>
            <w:noWrap w:val="false"/>
          </w:tcPr>
          <w:p>
            <w:pPr>
              <w:pStyle w:val="1151"/>
              <w:jc w:val="center"/>
              <w:spacing w:line="312" w:lineRule="exact"/>
              <w:rPr>
                <w:rFonts w:ascii="宋体"/>
              </w:rPr>
            </w:pPr>
            <w:r>
              <w:rPr>
                <w:rFonts w:ascii="宋体"/>
              </w:rPr>
              <w:t xml:space="preserve">接触电阻</w:t>
            </w:r>
            <w:r>
              <w:rPr>
                <w:rFonts w:ascii="宋体"/>
              </w:rPr>
            </w:r>
            <w:r/>
          </w:p>
        </w:tc>
        <w:tc>
          <w:tcPr>
            <w:tcW w:w="3928" w:type="dxa"/>
            <w:vAlign w:val="center"/>
            <w:textDirection w:val="lrTb"/>
            <w:noWrap w:val="false"/>
          </w:tcPr>
          <w:p>
            <w:pPr>
              <w:pStyle w:val="1151"/>
              <w:jc w:val="center"/>
              <w:spacing w:line="312" w:lineRule="exact"/>
              <w:rPr>
                <w:rFonts w:ascii="宋体"/>
              </w:rPr>
            </w:pPr>
            <w:r>
              <w:rPr>
                <w:rFonts w:ascii="宋体"/>
              </w:rPr>
              <w:t xml:space="preserve">≤3mΩ</w:t>
            </w:r>
            <w:r>
              <w:rPr>
                <w:rFonts w:ascii="宋体"/>
              </w:rPr>
            </w:r>
            <w:r/>
          </w:p>
        </w:tc>
      </w:tr>
      <w:tr>
        <w:trPr/>
        <w:tc>
          <w:tcPr>
            <w:tcW w:w="3874" w:type="dxa"/>
            <w:vAlign w:val="center"/>
            <w:textDirection w:val="lrTb"/>
            <w:noWrap w:val="false"/>
          </w:tcPr>
          <w:p>
            <w:pPr>
              <w:pStyle w:val="1151"/>
              <w:jc w:val="center"/>
              <w:spacing w:line="312" w:lineRule="exact"/>
              <w:rPr>
                <w:rFonts w:ascii="宋体"/>
              </w:rPr>
            </w:pPr>
            <w:r>
              <w:rPr>
                <w:rFonts w:ascii="宋体"/>
              </w:rPr>
              <w:t xml:space="preserve">工作电压</w:t>
            </w:r>
            <w:r>
              <w:rPr>
                <w:rFonts w:ascii="宋体"/>
              </w:rPr>
            </w:r>
            <w:r/>
          </w:p>
        </w:tc>
        <w:tc>
          <w:tcPr>
            <w:tcW w:w="3928" w:type="dxa"/>
            <w:vAlign w:val="center"/>
            <w:textDirection w:val="lrTb"/>
            <w:noWrap w:val="false"/>
          </w:tcPr>
          <w:p>
            <w:pPr>
              <w:pStyle w:val="1151"/>
              <w:jc w:val="center"/>
              <w:spacing w:line="312" w:lineRule="exact"/>
              <w:rPr>
                <w:rFonts w:ascii="宋体"/>
              </w:rPr>
            </w:pPr>
            <w:r>
              <w:rPr>
                <w:rFonts w:ascii="宋体"/>
              </w:rPr>
              <w:t xml:space="preserve">250V（AC）</w:t>
            </w:r>
            <w:r>
              <w:rPr>
                <w:rFonts w:ascii="宋体"/>
              </w:rPr>
            </w:r>
            <w:r/>
          </w:p>
        </w:tc>
      </w:tr>
      <w:tr>
        <w:trPr/>
        <w:tc>
          <w:tcPr>
            <w:tcW w:w="3874" w:type="dxa"/>
            <w:vAlign w:val="center"/>
            <w:textDirection w:val="lrTb"/>
            <w:noWrap w:val="false"/>
          </w:tcPr>
          <w:p>
            <w:pPr>
              <w:pStyle w:val="1151"/>
              <w:jc w:val="center"/>
              <w:spacing w:line="312" w:lineRule="exact"/>
              <w:rPr>
                <w:rFonts w:ascii="宋体"/>
              </w:rPr>
            </w:pPr>
            <w:r>
              <w:rPr>
                <w:rFonts w:ascii="宋体"/>
              </w:rPr>
              <w:t xml:space="preserve">耐电压</w:t>
            </w:r>
            <w:r>
              <w:rPr>
                <w:rFonts w:ascii="宋体"/>
              </w:rPr>
            </w:r>
            <w:r/>
          </w:p>
        </w:tc>
        <w:tc>
          <w:tcPr>
            <w:tcW w:w="3928" w:type="dxa"/>
            <w:vAlign w:val="center"/>
            <w:textDirection w:val="lrTb"/>
            <w:noWrap w:val="false"/>
          </w:tcPr>
          <w:p>
            <w:pPr>
              <w:pStyle w:val="1151"/>
              <w:jc w:val="center"/>
              <w:spacing w:line="312" w:lineRule="exact"/>
              <w:rPr>
                <w:rFonts w:ascii="宋体"/>
              </w:rPr>
            </w:pPr>
            <w:r>
              <w:rPr>
                <w:rFonts w:ascii="宋体"/>
              </w:rPr>
              <w:t xml:space="preserve">2500V（AC）</w:t>
            </w:r>
            <w:r>
              <w:rPr>
                <w:rFonts w:ascii="宋体"/>
              </w:rPr>
            </w:r>
            <w:r/>
          </w:p>
        </w:tc>
      </w:tr>
      <w:tr>
        <w:trPr/>
        <w:tc>
          <w:tcPr>
            <w:tcW w:w="3874" w:type="dxa"/>
            <w:vAlign w:val="center"/>
            <w:textDirection w:val="lrTb"/>
            <w:noWrap w:val="false"/>
          </w:tcPr>
          <w:p>
            <w:pPr>
              <w:pStyle w:val="1151"/>
              <w:jc w:val="center"/>
              <w:spacing w:line="312" w:lineRule="exact"/>
              <w:rPr>
                <w:rFonts w:ascii="宋体"/>
              </w:rPr>
            </w:pPr>
            <w:r>
              <w:rPr>
                <w:rFonts w:ascii="宋体"/>
              </w:rPr>
              <w:t xml:space="preserve">绝缘电阻</w:t>
            </w:r>
            <w:r>
              <w:rPr>
                <w:rFonts w:ascii="宋体"/>
              </w:rPr>
            </w:r>
            <w:r/>
          </w:p>
        </w:tc>
        <w:tc>
          <w:tcPr>
            <w:tcW w:w="3928" w:type="dxa"/>
            <w:vAlign w:val="center"/>
            <w:textDirection w:val="lrTb"/>
            <w:noWrap w:val="false"/>
          </w:tcPr>
          <w:p>
            <w:pPr>
              <w:pStyle w:val="1151"/>
              <w:jc w:val="center"/>
              <w:spacing w:line="312" w:lineRule="exact"/>
              <w:rPr>
                <w:rFonts w:ascii="宋体"/>
              </w:rPr>
            </w:pPr>
            <w:r>
              <w:rPr>
                <w:rFonts w:ascii="宋体"/>
              </w:rPr>
              <w:t xml:space="preserve">常态下≥</w:t>
            </w:r>
            <w:r>
              <w:rPr>
                <w:rFonts w:hint="eastAsia" w:ascii="宋体"/>
              </w:rPr>
              <w:t xml:space="preserve">2M</w:t>
            </w:r>
            <w:r>
              <w:rPr>
                <w:rFonts w:ascii="宋体"/>
              </w:rPr>
              <w:t xml:space="preserve">Ω</w:t>
            </w:r>
            <w:r>
              <w:rPr>
                <w:rFonts w:ascii="宋体"/>
              </w:rPr>
            </w:r>
            <w:r/>
          </w:p>
        </w:tc>
      </w:tr>
    </w:tbl>
    <w:p>
      <w:pPr>
        <w:pStyle w:val="1151"/>
        <w:numPr>
          <w:ilvl w:val="1"/>
          <w:numId w:val="43"/>
        </w:numPr>
        <w:spacing w:line="312" w:lineRule="exact"/>
        <w:rPr>
          <w:rFonts w:ascii="宋体"/>
        </w:rPr>
      </w:pPr>
      <w:r>
        <w:rPr>
          <w:rFonts w:ascii="宋体"/>
        </w:rPr>
        <w:t xml:space="preserve">机械性能</w:t>
      </w:r>
      <w:r>
        <w:rPr>
          <w:rFonts w:ascii="宋体"/>
        </w:rPr>
      </w:r>
      <w:r/>
    </w:p>
    <w:p>
      <w:pPr>
        <w:pStyle w:val="1151"/>
        <w:ind w:left="839"/>
        <w:jc w:val="center"/>
        <w:spacing w:line="312" w:lineRule="exact"/>
        <w:rPr>
          <w:rFonts w:ascii="宋体" w:hAnsi="宋体"/>
        </w:rPr>
      </w:pPr>
      <w:r>
        <w:rPr>
          <w:rFonts w:hint="eastAsia" w:ascii="宋体" w:hAnsi="宋体"/>
        </w:rPr>
        <w:t xml:space="preserve">表5</w:t>
      </w:r>
      <w:r>
        <w:rPr>
          <w:rFonts w:ascii="宋体" w:hAnsi="宋体"/>
        </w:rPr>
        <w:t xml:space="preserve">.25</w:t>
      </w:r>
      <w:r>
        <w:rPr>
          <w:rFonts w:hint="eastAsia" w:ascii="宋体" w:hAnsi="宋体"/>
        </w:rPr>
        <w:t xml:space="preserve">-</w:t>
      </w:r>
      <w:r>
        <w:rPr>
          <w:rFonts w:ascii="宋体" w:hAnsi="宋体"/>
        </w:rPr>
        <w:t xml:space="preserve">19</w:t>
      </w:r>
      <w:r>
        <w:rPr>
          <w:rFonts w:hint="eastAsia" w:ascii="宋体" w:hAnsi="宋体"/>
        </w:rPr>
        <w:t xml:space="preserve">连接端子机械性能</w:t>
      </w:r>
      <w:r>
        <w:rPr>
          <w:rFonts w:ascii="宋体" w:hAnsi="宋体"/>
        </w:rPr>
      </w:r>
      <w:r/>
    </w:p>
    <w:tbl>
      <w:tblPr>
        <w:tblW w:w="78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74"/>
        <w:gridCol w:w="3928"/>
      </w:tblGrid>
      <w:tr>
        <w:trPr/>
        <w:tc>
          <w:tcPr>
            <w:tcW w:w="3874" w:type="dxa"/>
            <w:vAlign w:val="center"/>
            <w:textDirection w:val="lrTb"/>
            <w:noWrap w:val="false"/>
          </w:tcPr>
          <w:p>
            <w:pPr>
              <w:pStyle w:val="1151"/>
              <w:jc w:val="center"/>
              <w:spacing w:line="312" w:lineRule="exact"/>
              <w:rPr>
                <w:rFonts w:ascii="宋体"/>
              </w:rPr>
            </w:pPr>
            <w:r>
              <w:rPr>
                <w:rFonts w:ascii="宋体"/>
              </w:rPr>
              <w:t xml:space="preserve">项目</w:t>
            </w:r>
            <w:r>
              <w:rPr>
                <w:rFonts w:ascii="宋体"/>
              </w:rPr>
            </w:r>
            <w:r/>
          </w:p>
        </w:tc>
        <w:tc>
          <w:tcPr>
            <w:tcW w:w="3928" w:type="dxa"/>
            <w:vAlign w:val="center"/>
            <w:textDirection w:val="lrTb"/>
            <w:noWrap w:val="false"/>
          </w:tcPr>
          <w:p>
            <w:pPr>
              <w:pStyle w:val="1151"/>
              <w:jc w:val="center"/>
              <w:spacing w:line="312" w:lineRule="exact"/>
              <w:rPr>
                <w:rFonts w:ascii="宋体"/>
              </w:rPr>
            </w:pPr>
            <w:r>
              <w:rPr>
                <w:rFonts w:ascii="宋体"/>
              </w:rPr>
              <w:t xml:space="preserve">要求</w:t>
            </w:r>
            <w:r>
              <w:rPr>
                <w:rFonts w:ascii="宋体"/>
              </w:rPr>
            </w:r>
            <w:r/>
          </w:p>
        </w:tc>
      </w:tr>
      <w:tr>
        <w:trPr/>
        <w:tc>
          <w:tcPr>
            <w:tcW w:w="3874" w:type="dxa"/>
            <w:vAlign w:val="center"/>
            <w:textDirection w:val="lrTb"/>
            <w:noWrap w:val="false"/>
          </w:tcPr>
          <w:p>
            <w:pPr>
              <w:pStyle w:val="1151"/>
              <w:jc w:val="center"/>
              <w:spacing w:line="312" w:lineRule="exact"/>
              <w:rPr>
                <w:rFonts w:ascii="宋体"/>
              </w:rPr>
            </w:pPr>
            <w:r>
              <w:rPr>
                <w:rFonts w:ascii="宋体"/>
              </w:rPr>
              <w:t xml:space="preserve">机械寿命</w:t>
            </w:r>
            <w:r>
              <w:rPr>
                <w:rFonts w:ascii="宋体"/>
              </w:rPr>
            </w:r>
            <w:r/>
          </w:p>
        </w:tc>
        <w:tc>
          <w:tcPr>
            <w:tcW w:w="3928" w:type="dxa"/>
            <w:vAlign w:val="center"/>
            <w:textDirection w:val="lrTb"/>
            <w:noWrap w:val="false"/>
          </w:tcPr>
          <w:p>
            <w:pPr>
              <w:pStyle w:val="1151"/>
              <w:jc w:val="center"/>
              <w:spacing w:line="312" w:lineRule="exact"/>
              <w:rPr>
                <w:rFonts w:ascii="宋体"/>
              </w:rPr>
            </w:pPr>
            <w:r>
              <w:rPr>
                <w:rFonts w:ascii="宋体"/>
              </w:rPr>
              <w:t xml:space="preserve">≥1000次</w:t>
            </w:r>
            <w:r>
              <w:rPr>
                <w:rFonts w:ascii="宋体"/>
              </w:rPr>
            </w:r>
            <w:r/>
          </w:p>
          <w:p>
            <w:pPr>
              <w:pStyle w:val="1151"/>
              <w:jc w:val="center"/>
              <w:spacing w:line="312" w:lineRule="exact"/>
              <w:rPr>
                <w:rFonts w:ascii="宋体"/>
              </w:rPr>
            </w:pPr>
            <w:r>
              <w:rPr>
                <w:rStyle w:val="1246"/>
                <w:rFonts w:hint="eastAsia"/>
              </w:rPr>
              <w:t xml:space="preserve">插拔1</w:t>
            </w:r>
            <w:r>
              <w:rPr>
                <w:rStyle w:val="1246"/>
              </w:rPr>
              <w:t xml:space="preserve">000</w:t>
            </w:r>
            <w:r>
              <w:rPr>
                <w:rStyle w:val="1246"/>
                <w:rFonts w:hint="eastAsia"/>
              </w:rPr>
              <w:t xml:space="preserve">次后接触电阻≤</w:t>
            </w:r>
            <w:r>
              <w:rPr>
                <w:rStyle w:val="1246"/>
              </w:rPr>
              <w:t xml:space="preserve">3 mΩ</w:t>
            </w:r>
            <w:r>
              <w:rPr>
                <w:rFonts w:ascii="宋体"/>
              </w:rPr>
            </w:r>
            <w:r/>
          </w:p>
        </w:tc>
      </w:tr>
      <w:tr>
        <w:trPr/>
        <w:tc>
          <w:tcPr>
            <w:tcW w:w="3874" w:type="dxa"/>
            <w:vAlign w:val="center"/>
            <w:textDirection w:val="lrTb"/>
            <w:noWrap w:val="false"/>
          </w:tcPr>
          <w:p>
            <w:pPr>
              <w:pStyle w:val="1151"/>
              <w:jc w:val="center"/>
              <w:spacing w:line="312" w:lineRule="exact"/>
              <w:rPr>
                <w:rFonts w:ascii="宋体"/>
              </w:rPr>
            </w:pPr>
            <w:r>
              <w:rPr>
                <w:rFonts w:ascii="宋体"/>
              </w:rPr>
              <w:t xml:space="preserve">振动</w:t>
            </w:r>
            <w:r>
              <w:rPr>
                <w:rFonts w:ascii="宋体"/>
              </w:rPr>
            </w:r>
            <w:r/>
          </w:p>
        </w:tc>
        <w:tc>
          <w:tcPr>
            <w:tcW w:w="3928" w:type="dxa"/>
            <w:vAlign w:val="center"/>
            <w:textDirection w:val="lrTb"/>
            <w:noWrap w:val="false"/>
          </w:tcPr>
          <w:p>
            <w:pPr>
              <w:pStyle w:val="1151"/>
              <w:jc w:val="center"/>
              <w:spacing w:line="312" w:lineRule="exact"/>
              <w:rPr>
                <w:rFonts w:ascii="宋体"/>
              </w:rPr>
            </w:pPr>
            <w:r>
              <w:rPr>
                <w:rFonts w:ascii="宋体"/>
              </w:rPr>
              <w:t xml:space="preserve">频率10HZ~500HZ，加速度20m/s2</w:t>
            </w:r>
            <w:r>
              <w:rPr>
                <w:rFonts w:ascii="宋体"/>
              </w:rPr>
            </w:r>
            <w:r/>
          </w:p>
        </w:tc>
      </w:tr>
      <w:tr>
        <w:trPr/>
        <w:tc>
          <w:tcPr>
            <w:tcW w:w="3874" w:type="dxa"/>
            <w:vAlign w:val="center"/>
            <w:textDirection w:val="lrTb"/>
            <w:noWrap w:val="false"/>
          </w:tcPr>
          <w:p>
            <w:pPr>
              <w:pStyle w:val="1151"/>
              <w:jc w:val="center"/>
              <w:spacing w:line="312" w:lineRule="exact"/>
              <w:rPr>
                <w:rFonts w:ascii="宋体"/>
              </w:rPr>
            </w:pPr>
            <w:r>
              <w:rPr>
                <w:rFonts w:ascii="宋体"/>
              </w:rPr>
              <w:t xml:space="preserve">冲击</w:t>
            </w:r>
            <w:r>
              <w:rPr>
                <w:rFonts w:ascii="宋体"/>
              </w:rPr>
            </w:r>
            <w:r/>
          </w:p>
        </w:tc>
        <w:tc>
          <w:tcPr>
            <w:tcW w:w="3928" w:type="dxa"/>
            <w:vAlign w:val="center"/>
            <w:textDirection w:val="lrTb"/>
            <w:noWrap w:val="false"/>
          </w:tcPr>
          <w:p>
            <w:pPr>
              <w:pStyle w:val="1151"/>
              <w:jc w:val="center"/>
              <w:spacing w:line="312" w:lineRule="exact"/>
              <w:rPr>
                <w:rFonts w:ascii="宋体"/>
              </w:rPr>
            </w:pPr>
            <w:r>
              <w:rPr>
                <w:rFonts w:ascii="宋体"/>
              </w:rPr>
              <w:t xml:space="preserve">加速度峰值294 m/s2</w:t>
            </w:r>
            <w:r>
              <w:rPr>
                <w:rFonts w:ascii="宋体"/>
              </w:rPr>
            </w:r>
            <w:r/>
          </w:p>
        </w:tc>
      </w:tr>
    </w:tbl>
    <w:p>
      <w:pPr>
        <w:pStyle w:val="1151"/>
        <w:numPr>
          <w:ilvl w:val="1"/>
          <w:numId w:val="43"/>
        </w:numPr>
        <w:spacing w:line="312" w:lineRule="exact"/>
        <w:rPr>
          <w:rFonts w:ascii="宋体"/>
        </w:rPr>
      </w:pPr>
      <w:r>
        <w:rPr>
          <w:rFonts w:ascii="宋体"/>
        </w:rPr>
        <w:t xml:space="preserve">材料</w:t>
      </w:r>
      <w:r>
        <w:rPr>
          <w:rFonts w:hint="eastAsia" w:ascii="宋体"/>
        </w:rPr>
        <w:t xml:space="preserve">要求</w:t>
      </w:r>
      <w:r>
        <w:rPr>
          <w:rFonts w:ascii="宋体"/>
        </w:rPr>
      </w:r>
      <w:r/>
    </w:p>
    <w:p>
      <w:pPr>
        <w:pStyle w:val="1151"/>
        <w:ind w:left="839"/>
        <w:jc w:val="center"/>
        <w:spacing w:line="312" w:lineRule="exact"/>
        <w:rPr>
          <w:rFonts w:ascii="宋体" w:hAnsi="宋体"/>
        </w:rPr>
      </w:pPr>
      <w:r>
        <w:rPr>
          <w:rFonts w:hint="eastAsia" w:ascii="宋体" w:hAnsi="宋体"/>
        </w:rPr>
        <w:t xml:space="preserve">表5</w:t>
      </w:r>
      <w:r>
        <w:rPr>
          <w:rFonts w:ascii="宋体" w:hAnsi="宋体"/>
        </w:rPr>
        <w:t xml:space="preserve">.25</w:t>
      </w:r>
      <w:r>
        <w:rPr>
          <w:rFonts w:hint="eastAsia" w:ascii="宋体" w:hAnsi="宋体"/>
        </w:rPr>
        <w:t xml:space="preserve">-</w:t>
      </w:r>
      <w:r>
        <w:rPr>
          <w:rFonts w:ascii="宋体" w:hAnsi="宋体"/>
        </w:rPr>
        <w:t xml:space="preserve">20</w:t>
      </w:r>
      <w:r>
        <w:rPr>
          <w:rFonts w:hint="eastAsia" w:ascii="宋体" w:hAnsi="宋体"/>
        </w:rPr>
        <w:t xml:space="preserve">连接端子材料要求</w:t>
      </w:r>
      <w:r>
        <w:rPr>
          <w:rFonts w:ascii="宋体" w:hAnsi="宋体"/>
        </w:rPr>
      </w:r>
      <w:r/>
    </w:p>
    <w:tbl>
      <w:tblPr>
        <w:tblW w:w="78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74"/>
        <w:gridCol w:w="3928"/>
      </w:tblGrid>
      <w:tr>
        <w:trPr/>
        <w:tc>
          <w:tcPr>
            <w:tcW w:w="3874" w:type="dxa"/>
            <w:vAlign w:val="center"/>
            <w:textDirection w:val="lrTb"/>
            <w:noWrap w:val="false"/>
          </w:tcPr>
          <w:p>
            <w:pPr>
              <w:pStyle w:val="1151"/>
              <w:jc w:val="center"/>
              <w:spacing w:line="312" w:lineRule="exact"/>
              <w:rPr>
                <w:rFonts w:ascii="宋体"/>
              </w:rPr>
            </w:pPr>
            <w:r>
              <w:rPr>
                <w:rFonts w:ascii="宋体"/>
              </w:rPr>
              <w:t xml:space="preserve">项目</w:t>
            </w:r>
            <w:r>
              <w:rPr>
                <w:rFonts w:ascii="宋体"/>
              </w:rPr>
            </w:r>
            <w:r/>
          </w:p>
        </w:tc>
        <w:tc>
          <w:tcPr>
            <w:tcW w:w="3928" w:type="dxa"/>
            <w:vAlign w:val="center"/>
            <w:textDirection w:val="lrTb"/>
            <w:noWrap w:val="false"/>
          </w:tcPr>
          <w:p>
            <w:pPr>
              <w:pStyle w:val="1151"/>
              <w:jc w:val="center"/>
              <w:spacing w:line="312" w:lineRule="exact"/>
              <w:rPr>
                <w:rFonts w:ascii="宋体"/>
              </w:rPr>
            </w:pPr>
            <w:r>
              <w:rPr>
                <w:rFonts w:ascii="宋体"/>
              </w:rPr>
              <w:t xml:space="preserve">要求</w:t>
            </w:r>
            <w:r>
              <w:rPr>
                <w:rFonts w:ascii="宋体"/>
              </w:rPr>
            </w:r>
            <w:r/>
          </w:p>
        </w:tc>
      </w:tr>
      <w:tr>
        <w:trPr>
          <w:trHeight w:val="303"/>
        </w:trPr>
        <w:tc>
          <w:tcPr>
            <w:tcW w:w="3874" w:type="dxa"/>
            <w:vAlign w:val="center"/>
            <w:textDirection w:val="lrTb"/>
            <w:noWrap w:val="false"/>
          </w:tcPr>
          <w:p>
            <w:pPr>
              <w:pStyle w:val="1151"/>
              <w:jc w:val="center"/>
              <w:spacing w:line="312" w:lineRule="exact"/>
              <w:rPr>
                <w:rFonts w:ascii="宋体"/>
              </w:rPr>
            </w:pPr>
            <w:r>
              <w:rPr>
                <w:rFonts w:ascii="宋体"/>
              </w:rPr>
              <w:t xml:space="preserve">接触件</w:t>
            </w:r>
            <w:r>
              <w:rPr>
                <w:rFonts w:ascii="宋体"/>
              </w:rPr>
            </w:r>
            <w:r/>
          </w:p>
        </w:tc>
        <w:tc>
          <w:tcPr>
            <w:tcW w:w="3928" w:type="dxa"/>
            <w:vAlign w:val="center"/>
            <w:textDirection w:val="lrTb"/>
            <w:noWrap w:val="false"/>
          </w:tcPr>
          <w:p>
            <w:pPr>
              <w:pStyle w:val="1151"/>
              <w:jc w:val="center"/>
              <w:spacing w:line="312" w:lineRule="exact"/>
              <w:rPr>
                <w:rFonts w:ascii="宋体"/>
              </w:rPr>
            </w:pPr>
            <w:r>
              <w:rPr>
                <w:rStyle w:val="1246"/>
                <w:rFonts w:hint="eastAsia"/>
              </w:rPr>
              <w:t xml:space="preserve">镀金厚度≥</w:t>
            </w:r>
            <w:r>
              <w:rPr>
                <w:rStyle w:val="1246"/>
              </w:rPr>
              <w:t xml:space="preserve">0.075</w:t>
            </w:r>
            <w:r>
              <w:rPr>
                <w:rStyle w:val="1246"/>
                <w:rFonts w:hint="eastAsia"/>
              </w:rPr>
              <w:t xml:space="preserve">um</w:t>
            </w:r>
            <w:r>
              <w:rPr>
                <w:rFonts w:ascii="宋体"/>
              </w:rPr>
            </w:r>
            <w:r/>
          </w:p>
        </w:tc>
      </w:tr>
      <w:tr>
        <w:trPr/>
        <w:tc>
          <w:tcPr>
            <w:tcW w:w="3874" w:type="dxa"/>
            <w:vAlign w:val="center"/>
            <w:textDirection w:val="lrTb"/>
            <w:noWrap w:val="false"/>
          </w:tcPr>
          <w:p>
            <w:pPr>
              <w:pStyle w:val="1151"/>
              <w:jc w:val="center"/>
              <w:spacing w:line="312" w:lineRule="exact"/>
              <w:rPr>
                <w:rFonts w:ascii="宋体"/>
              </w:rPr>
            </w:pPr>
            <w:r>
              <w:rPr>
                <w:rFonts w:ascii="宋体"/>
              </w:rPr>
              <w:t xml:space="preserve">外壳</w:t>
            </w:r>
            <w:r>
              <w:rPr>
                <w:rFonts w:ascii="宋体"/>
              </w:rPr>
            </w:r>
            <w:r/>
          </w:p>
        </w:tc>
        <w:tc>
          <w:tcPr>
            <w:tcW w:w="3928" w:type="dxa"/>
            <w:vAlign w:val="center"/>
            <w:textDirection w:val="lrTb"/>
            <w:noWrap w:val="false"/>
          </w:tcPr>
          <w:p>
            <w:pPr>
              <w:pStyle w:val="1151"/>
              <w:jc w:val="center"/>
              <w:spacing w:line="312" w:lineRule="exact"/>
              <w:rPr>
                <w:rFonts w:ascii="宋体"/>
              </w:rPr>
            </w:pPr>
            <w:r>
              <w:rPr>
                <w:rFonts w:ascii="宋体"/>
              </w:rPr>
              <w:t xml:space="preserve">工程塑料</w:t>
            </w:r>
            <w:r>
              <w:rPr>
                <w:rFonts w:ascii="宋体"/>
              </w:rPr>
            </w:r>
            <w:r/>
          </w:p>
        </w:tc>
      </w:tr>
      <w:tr>
        <w:trPr/>
        <w:tc>
          <w:tcPr>
            <w:tcW w:w="3874" w:type="dxa"/>
            <w:vAlign w:val="center"/>
            <w:textDirection w:val="lrTb"/>
            <w:noWrap w:val="false"/>
          </w:tcPr>
          <w:p>
            <w:pPr>
              <w:pStyle w:val="1151"/>
              <w:jc w:val="center"/>
              <w:spacing w:line="312" w:lineRule="exact"/>
              <w:rPr>
                <w:rFonts w:ascii="宋体"/>
              </w:rPr>
            </w:pPr>
            <w:r>
              <w:rPr>
                <w:rFonts w:ascii="宋体"/>
              </w:rPr>
              <w:t xml:space="preserve">基座</w:t>
            </w:r>
            <w:r>
              <w:rPr>
                <w:rFonts w:ascii="宋体"/>
              </w:rPr>
            </w:r>
            <w:r/>
          </w:p>
        </w:tc>
        <w:tc>
          <w:tcPr>
            <w:tcW w:w="3928" w:type="dxa"/>
            <w:vAlign w:val="center"/>
            <w:textDirection w:val="lrTb"/>
            <w:noWrap w:val="false"/>
          </w:tcPr>
          <w:p>
            <w:pPr>
              <w:pStyle w:val="1151"/>
              <w:jc w:val="center"/>
              <w:spacing w:line="312" w:lineRule="exact"/>
              <w:rPr>
                <w:rFonts w:ascii="宋体"/>
              </w:rPr>
            </w:pPr>
            <w:r>
              <w:rPr>
                <w:rFonts w:ascii="宋体"/>
              </w:rPr>
              <w:t xml:space="preserve">工程塑料</w:t>
            </w:r>
            <w:r>
              <w:rPr>
                <w:rFonts w:ascii="宋体"/>
              </w:rPr>
            </w:r>
            <w:r/>
          </w:p>
        </w:tc>
      </w:tr>
      <w:tr>
        <w:trPr/>
        <w:tc>
          <w:tcPr>
            <w:tcW w:w="3874" w:type="dxa"/>
            <w:vAlign w:val="center"/>
            <w:textDirection w:val="lrTb"/>
            <w:noWrap w:val="false"/>
          </w:tcPr>
          <w:p>
            <w:pPr>
              <w:pStyle w:val="1151"/>
              <w:jc w:val="center"/>
              <w:spacing w:line="312" w:lineRule="exact"/>
              <w:rPr>
                <w:rFonts w:ascii="宋体"/>
              </w:rPr>
            </w:pPr>
            <w:r>
              <w:rPr>
                <w:rFonts w:ascii="宋体"/>
              </w:rPr>
              <w:t xml:space="preserve">密封件</w:t>
            </w:r>
            <w:r>
              <w:rPr>
                <w:rFonts w:ascii="宋体"/>
              </w:rPr>
            </w:r>
            <w:r/>
          </w:p>
        </w:tc>
        <w:tc>
          <w:tcPr>
            <w:tcW w:w="3928" w:type="dxa"/>
            <w:vAlign w:val="center"/>
            <w:textDirection w:val="lrTb"/>
            <w:noWrap w:val="false"/>
          </w:tcPr>
          <w:p>
            <w:pPr>
              <w:pStyle w:val="1151"/>
              <w:jc w:val="center"/>
              <w:spacing w:line="312" w:lineRule="exact"/>
              <w:rPr>
                <w:rFonts w:ascii="宋体"/>
              </w:rPr>
            </w:pPr>
            <w:r>
              <w:rPr>
                <w:rFonts w:ascii="宋体"/>
              </w:rPr>
              <w:t xml:space="preserve">硅橡胶或丁腈橡胶</w:t>
            </w:r>
            <w:r>
              <w:rPr>
                <w:rFonts w:ascii="宋体"/>
              </w:rPr>
            </w:r>
            <w:r/>
          </w:p>
        </w:tc>
      </w:tr>
    </w:tbl>
    <w:p>
      <w:pPr>
        <w:pStyle w:val="1151"/>
        <w:numPr>
          <w:ilvl w:val="1"/>
          <w:numId w:val="43"/>
        </w:numPr>
        <w:spacing w:line="312" w:lineRule="exact"/>
        <w:rPr>
          <w:rFonts w:ascii="宋体"/>
        </w:rPr>
      </w:pPr>
      <w:r>
        <w:rPr>
          <w:rFonts w:ascii="宋体"/>
        </w:rPr>
        <w:t xml:space="preserve">环境性能</w:t>
      </w:r>
      <w:r>
        <w:rPr>
          <w:rFonts w:ascii="宋体"/>
        </w:rPr>
      </w:r>
      <w:r/>
    </w:p>
    <w:p>
      <w:pPr>
        <w:pStyle w:val="1151"/>
        <w:ind w:left="839"/>
        <w:jc w:val="center"/>
        <w:spacing w:line="312" w:lineRule="exact"/>
        <w:rPr>
          <w:rFonts w:ascii="宋体" w:hAnsi="宋体"/>
        </w:rPr>
      </w:pPr>
      <w:r>
        <w:rPr>
          <w:rFonts w:hint="eastAsia" w:ascii="宋体" w:hAnsi="宋体"/>
        </w:rPr>
        <w:t xml:space="preserve">表5</w:t>
      </w:r>
      <w:r>
        <w:rPr>
          <w:rFonts w:ascii="宋体" w:hAnsi="宋体"/>
        </w:rPr>
        <w:t xml:space="preserve">.25</w:t>
      </w:r>
      <w:r>
        <w:rPr>
          <w:rFonts w:hint="eastAsia" w:ascii="宋体" w:hAnsi="宋体"/>
        </w:rPr>
        <w:t xml:space="preserve">-</w:t>
      </w:r>
      <w:r>
        <w:rPr>
          <w:rFonts w:ascii="宋体" w:hAnsi="宋体"/>
        </w:rPr>
        <w:t xml:space="preserve">21</w:t>
      </w:r>
      <w:r>
        <w:rPr>
          <w:rFonts w:hint="eastAsia" w:ascii="宋体" w:hAnsi="宋体"/>
        </w:rPr>
        <w:t xml:space="preserve">连接端子环境性能</w:t>
      </w:r>
      <w:r>
        <w:rPr>
          <w:rFonts w:ascii="宋体" w:hAnsi="宋体"/>
        </w:rPr>
      </w:r>
      <w:r/>
    </w:p>
    <w:tbl>
      <w:tblPr>
        <w:tblW w:w="78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74"/>
        <w:gridCol w:w="3928"/>
      </w:tblGrid>
      <w:tr>
        <w:trPr/>
        <w:tc>
          <w:tcPr>
            <w:tcW w:w="3874" w:type="dxa"/>
            <w:vAlign w:val="top"/>
            <w:textDirection w:val="lrTb"/>
            <w:noWrap w:val="false"/>
          </w:tcPr>
          <w:p>
            <w:pPr>
              <w:pStyle w:val="1151"/>
              <w:jc w:val="center"/>
              <w:spacing w:line="312" w:lineRule="exact"/>
              <w:rPr>
                <w:rFonts w:ascii="宋体"/>
              </w:rPr>
            </w:pPr>
            <w:r>
              <w:rPr>
                <w:rFonts w:ascii="宋体"/>
              </w:rPr>
              <w:t xml:space="preserve">项目</w:t>
            </w:r>
            <w:r>
              <w:rPr>
                <w:rFonts w:ascii="宋体"/>
              </w:rPr>
            </w:r>
            <w:r/>
          </w:p>
        </w:tc>
        <w:tc>
          <w:tcPr>
            <w:tcW w:w="3928" w:type="dxa"/>
            <w:vAlign w:val="top"/>
            <w:textDirection w:val="lrTb"/>
            <w:noWrap w:val="false"/>
          </w:tcPr>
          <w:p>
            <w:pPr>
              <w:pStyle w:val="1151"/>
              <w:jc w:val="center"/>
              <w:spacing w:line="312" w:lineRule="exact"/>
              <w:rPr>
                <w:rFonts w:ascii="宋体"/>
              </w:rPr>
            </w:pPr>
            <w:r>
              <w:rPr>
                <w:rFonts w:ascii="宋体"/>
              </w:rPr>
              <w:t xml:space="preserve">要求</w:t>
            </w:r>
            <w:r>
              <w:rPr>
                <w:rFonts w:ascii="宋体"/>
              </w:rPr>
            </w:r>
            <w:r/>
          </w:p>
        </w:tc>
      </w:tr>
      <w:tr>
        <w:trPr/>
        <w:tc>
          <w:tcPr>
            <w:tcW w:w="3874" w:type="dxa"/>
            <w:vAlign w:val="top"/>
            <w:textDirection w:val="lrTb"/>
            <w:noWrap w:val="false"/>
          </w:tcPr>
          <w:p>
            <w:pPr>
              <w:pStyle w:val="1151"/>
              <w:jc w:val="center"/>
              <w:spacing w:line="312" w:lineRule="exact"/>
              <w:rPr>
                <w:rFonts w:ascii="宋体"/>
              </w:rPr>
            </w:pPr>
            <w:r>
              <w:rPr>
                <w:rFonts w:ascii="宋体"/>
              </w:rPr>
              <w:t xml:space="preserve">工作温度</w:t>
            </w:r>
            <w:r>
              <w:rPr>
                <w:rFonts w:ascii="宋体"/>
              </w:rPr>
            </w:r>
            <w:r/>
          </w:p>
        </w:tc>
        <w:tc>
          <w:tcPr>
            <w:tcW w:w="3928" w:type="dxa"/>
            <w:vAlign w:val="top"/>
            <w:textDirection w:val="lrTb"/>
            <w:noWrap w:val="false"/>
          </w:tcPr>
          <w:p>
            <w:pPr>
              <w:pStyle w:val="1151"/>
              <w:jc w:val="center"/>
              <w:spacing w:line="312" w:lineRule="exact"/>
              <w:rPr>
                <w:rFonts w:ascii="宋体"/>
              </w:rPr>
            </w:pPr>
            <w:r>
              <w:rPr>
                <w:rFonts w:ascii="宋体"/>
              </w:rPr>
              <w:t xml:space="preserve">-40℃~125℃</w:t>
            </w:r>
            <w:r>
              <w:rPr>
                <w:rFonts w:ascii="宋体"/>
              </w:rPr>
            </w:r>
            <w:r/>
          </w:p>
        </w:tc>
      </w:tr>
      <w:tr>
        <w:trPr/>
        <w:tc>
          <w:tcPr>
            <w:tcW w:w="3874" w:type="dxa"/>
            <w:vAlign w:val="top"/>
            <w:textDirection w:val="lrTb"/>
            <w:noWrap w:val="false"/>
          </w:tcPr>
          <w:p>
            <w:pPr>
              <w:pStyle w:val="1151"/>
              <w:jc w:val="center"/>
              <w:spacing w:line="312" w:lineRule="exact"/>
              <w:rPr>
                <w:rFonts w:ascii="宋体"/>
              </w:rPr>
            </w:pPr>
            <w:r>
              <w:rPr>
                <w:rFonts w:ascii="宋体"/>
              </w:rPr>
              <w:t xml:space="preserve">相对湿度</w:t>
            </w:r>
            <w:r>
              <w:rPr>
                <w:rFonts w:ascii="宋体"/>
              </w:rPr>
            </w:r>
            <w:r/>
          </w:p>
        </w:tc>
        <w:tc>
          <w:tcPr>
            <w:tcW w:w="3928" w:type="dxa"/>
            <w:vAlign w:val="top"/>
            <w:textDirection w:val="lrTb"/>
            <w:noWrap w:val="false"/>
          </w:tcPr>
          <w:p>
            <w:pPr>
              <w:pStyle w:val="1151"/>
              <w:jc w:val="center"/>
              <w:spacing w:line="312" w:lineRule="exact"/>
              <w:rPr>
                <w:rFonts w:ascii="宋体"/>
              </w:rPr>
            </w:pPr>
            <w:r>
              <w:rPr>
                <w:rFonts w:ascii="宋体"/>
              </w:rPr>
              <w:t xml:space="preserve">90%~95%（40℃±2℃时）</w:t>
            </w:r>
            <w:r>
              <w:rPr>
                <w:rFonts w:ascii="宋体"/>
              </w:rPr>
            </w:r>
            <w:r/>
          </w:p>
        </w:tc>
      </w:tr>
      <w:tr>
        <w:trPr/>
        <w:tc>
          <w:tcPr>
            <w:tcW w:w="3874" w:type="dxa"/>
            <w:vAlign w:val="top"/>
            <w:textDirection w:val="lrTb"/>
            <w:noWrap w:val="false"/>
          </w:tcPr>
          <w:p>
            <w:pPr>
              <w:pStyle w:val="1151"/>
              <w:jc w:val="center"/>
              <w:spacing w:line="312" w:lineRule="exact"/>
              <w:rPr>
                <w:rFonts w:ascii="宋体"/>
              </w:rPr>
            </w:pPr>
            <w:r>
              <w:rPr>
                <w:rFonts w:ascii="宋体"/>
              </w:rPr>
              <w:t xml:space="preserve">盐雾</w:t>
            </w:r>
            <w:r>
              <w:rPr>
                <w:rFonts w:ascii="宋体"/>
              </w:rPr>
            </w:r>
            <w:r/>
          </w:p>
        </w:tc>
        <w:tc>
          <w:tcPr>
            <w:tcW w:w="3928" w:type="dxa"/>
            <w:vAlign w:val="top"/>
            <w:textDirection w:val="lrTb"/>
            <w:noWrap w:val="false"/>
          </w:tcPr>
          <w:p>
            <w:pPr>
              <w:pStyle w:val="1151"/>
              <w:jc w:val="center"/>
              <w:spacing w:line="312" w:lineRule="exact"/>
              <w:rPr>
                <w:rFonts w:ascii="宋体"/>
              </w:rPr>
            </w:pPr>
            <w:r>
              <w:rPr>
                <w:rFonts w:ascii="宋体"/>
              </w:rPr>
              <w:t xml:space="preserve">5%NaCl雾气中96H</w:t>
            </w:r>
            <w:r>
              <w:rPr>
                <w:rFonts w:ascii="宋体"/>
              </w:rPr>
            </w:r>
            <w:r/>
          </w:p>
        </w:tc>
      </w:tr>
      <w:tr>
        <w:trPr/>
        <w:tc>
          <w:tcPr>
            <w:tcW w:w="3874" w:type="dxa"/>
            <w:vAlign w:val="top"/>
            <w:textDirection w:val="lrTb"/>
            <w:noWrap w:val="false"/>
          </w:tcPr>
          <w:p>
            <w:pPr>
              <w:pStyle w:val="1151"/>
              <w:jc w:val="center"/>
              <w:spacing w:line="312" w:lineRule="exact"/>
              <w:rPr>
                <w:rFonts w:ascii="宋体"/>
              </w:rPr>
            </w:pPr>
            <w:r>
              <w:rPr>
                <w:rFonts w:ascii="宋体"/>
              </w:rPr>
              <w:t xml:space="preserve">防护等级</w:t>
            </w:r>
            <w:r>
              <w:rPr>
                <w:rFonts w:ascii="宋体"/>
              </w:rPr>
            </w:r>
            <w:r/>
          </w:p>
        </w:tc>
        <w:tc>
          <w:tcPr>
            <w:tcW w:w="3928" w:type="dxa"/>
            <w:vAlign w:val="top"/>
            <w:textDirection w:val="lrTb"/>
            <w:noWrap w:val="false"/>
          </w:tcPr>
          <w:p>
            <w:pPr>
              <w:pStyle w:val="1151"/>
              <w:jc w:val="center"/>
              <w:spacing w:line="312" w:lineRule="exact"/>
              <w:rPr>
                <w:rFonts w:ascii="宋体"/>
              </w:rPr>
            </w:pPr>
            <w:r>
              <w:rPr>
                <w:rFonts w:ascii="宋体"/>
              </w:rPr>
              <w:t xml:space="preserve">IP67</w:t>
            </w:r>
            <w:r>
              <w:rPr>
                <w:rFonts w:ascii="宋体"/>
              </w:rPr>
            </w:r>
            <w:r/>
          </w:p>
        </w:tc>
      </w:tr>
    </w:tbl>
    <w:p>
      <w:pPr>
        <w:pStyle w:val="1151"/>
        <w:numPr>
          <w:ilvl w:val="0"/>
          <w:numId w:val="59"/>
        </w:numPr>
        <w:spacing w:line="312" w:lineRule="exact"/>
        <w:rPr>
          <w:rFonts w:ascii="宋体" w:hAnsi="宋体"/>
          <w:szCs w:val="22"/>
        </w:rPr>
      </w:pPr>
      <w:r>
        <w:rPr>
          <w:rFonts w:hint="eastAsia" w:ascii="宋体" w:hAnsi="宋体"/>
          <w:szCs w:val="22"/>
        </w:rPr>
        <w:t xml:space="preserve">定制连接电缆的要求和连接关系应符合附录</w:t>
      </w:r>
      <w:r>
        <w:rPr>
          <w:rFonts w:ascii="宋体" w:hAnsi="宋体"/>
          <w:szCs w:val="22"/>
        </w:rPr>
        <w:t xml:space="preserve">D的要求。</w:t>
      </w:r>
      <w:r>
        <w:rPr>
          <w:rFonts w:ascii="宋体" w:hAnsi="宋体"/>
          <w:szCs w:val="22"/>
        </w:rPr>
      </w:r>
      <w:r/>
    </w:p>
    <w:p>
      <w:pPr>
        <w:pStyle w:val="1240"/>
        <w:rPr>
          <w:rFonts w:ascii="Times New Roman" w:eastAsia="宋体"/>
          <w:color w:val="000000"/>
        </w:rPr>
      </w:pPr>
      <w:r/>
      <w:bookmarkEnd w:id="246"/>
      <w:r>
        <w:rPr>
          <w:rFonts w:ascii="Times New Roman" w:eastAsia="宋体"/>
          <w:color w:val="000000"/>
        </w:rPr>
      </w:r>
      <w:r/>
    </w:p>
    <w:p>
      <w:pPr>
        <w:pStyle w:val="1238"/>
        <w:rPr>
          <w:rFonts w:ascii="Times New Roman"/>
        </w:rPr>
        <w:outlineLvl w:val="0"/>
      </w:pPr>
      <w:r/>
      <w:bookmarkStart w:id="263" w:name="_Toc55057884"/>
      <w:r/>
      <w:bookmarkStart w:id="264" w:name="_Toc120"/>
      <w:r/>
      <w:bookmarkStart w:id="265" w:name="_Toc17304"/>
      <w:r/>
      <w:bookmarkStart w:id="266" w:name="_Toc26141"/>
      <w:r/>
      <w:bookmarkStart w:id="267" w:name="_Toc380612194"/>
      <w:r/>
      <w:bookmarkStart w:id="268" w:name="_Toc22315"/>
      <w:r>
        <w:rPr>
          <w:rFonts w:ascii="Times New Roman"/>
        </w:rPr>
        <w:t xml:space="preserve">6　试验项目、方法及要求</w:t>
      </w:r>
      <w:bookmarkEnd w:id="263"/>
      <w:r/>
      <w:bookmarkEnd w:id="264"/>
      <w:r/>
      <w:bookmarkEnd w:id="265"/>
      <w:r/>
      <w:bookmarkEnd w:id="266"/>
      <w:r/>
      <w:bookmarkEnd w:id="267"/>
      <w:r/>
      <w:bookmarkEnd w:id="268"/>
      <w:r>
        <w:rPr>
          <w:rFonts w:ascii="Times New Roman"/>
        </w:rPr>
      </w:r>
      <w:r/>
    </w:p>
    <w:p>
      <w:pPr>
        <w:pStyle w:val="1240"/>
        <w:rPr>
          <w:color w:val="000000"/>
        </w:rPr>
        <w:outlineLvl w:val="1"/>
      </w:pPr>
      <w:r>
        <w:rPr>
          <w:color w:val="000000"/>
        </w:rPr>
        <w:t xml:space="preserve">6.1 环网柜试验包括型式试验、出厂试验、抽检试验和现场交接试验项目</w:t>
      </w:r>
      <w:r>
        <w:rPr>
          <w:color w:val="000000"/>
        </w:rPr>
      </w:r>
      <w:r/>
    </w:p>
    <w:p>
      <w:pPr>
        <w:pStyle w:val="1151"/>
        <w:spacing w:line="312" w:lineRule="exact"/>
        <w:rPr>
          <w:rFonts w:eastAsia="黑体"/>
          <w:szCs w:val="21"/>
        </w:rPr>
        <w:outlineLvl w:val="2"/>
      </w:pPr>
      <w:r>
        <w:rPr>
          <w:rFonts w:eastAsia="黑体"/>
          <w:szCs w:val="21"/>
        </w:rPr>
        <w:t xml:space="preserve">6.1.1 型式试验</w:t>
      </w:r>
      <w:r>
        <w:rPr>
          <w:rFonts w:eastAsia="黑体"/>
          <w:szCs w:val="21"/>
        </w:rPr>
      </w:r>
      <w:r/>
    </w:p>
    <w:p>
      <w:pPr>
        <w:pStyle w:val="1151"/>
        <w:spacing w:line="312" w:lineRule="exact"/>
      </w:pPr>
      <w:r>
        <w:t xml:space="preserve">6.1.1</w:t>
      </w:r>
      <w:r>
        <w:rPr>
          <w:szCs w:val="21"/>
        </w:rPr>
        <w:t xml:space="preserve">.1 </w:t>
      </w:r>
      <w:r>
        <w:t xml:space="preserve">环网柜应进行第三方型式试验，型式试验的目在于验证环网柜、控制回路、控制设备及辅助设备的各种性能是否符合标准的要求。由于所用元件的类型、额定参数和组合的多样性，所以不可能对所有方案都进行型式试验。型式试验只能在典型的功能单元上进行试验。任一种具体方案的性能可引用类似方案的试验数据。</w:t>
      </w:r>
      <w:r/>
    </w:p>
    <w:p>
      <w:pPr>
        <w:pStyle w:val="1151"/>
        <w:spacing w:line="312" w:lineRule="exact"/>
      </w:pPr>
      <w:r>
        <w:t xml:space="preserve">6.1.1</w:t>
      </w:r>
      <w:r>
        <w:rPr>
          <w:szCs w:val="21"/>
        </w:rPr>
        <w:t xml:space="preserve">.2 </w:t>
      </w:r>
      <w:r>
        <w:t xml:space="preserve">型式试验项目及要求，按GB 3906、DL/T 404及DL/T 593及的规定执行，并应有主要元件的型式试验和出厂试验报告。</w:t>
      </w:r>
      <w:r/>
    </w:p>
    <w:p>
      <w:pPr>
        <w:pStyle w:val="1151"/>
        <w:spacing w:line="312" w:lineRule="exact"/>
      </w:pPr>
      <w:r>
        <w:t xml:space="preserve">6.1.1</w:t>
      </w:r>
      <w:r>
        <w:rPr>
          <w:szCs w:val="21"/>
        </w:rPr>
        <w:t xml:space="preserve">.3 </w:t>
      </w:r>
      <w:r>
        <w:t xml:space="preserve">在进行型式试验前，环网柜中的断路器应按GB 1984和DL/T 402、组合电器应按GB 16926、隔离开关和接地开关应按GB 1985中规定的项目通过型式试验，组合电器中的熔断器应按GB/T 15166.2中的规定通过型式试验。</w:t>
      </w:r>
      <w:r/>
    </w:p>
    <w:p>
      <w:pPr>
        <w:pStyle w:val="1151"/>
        <w:spacing w:line="312" w:lineRule="exact"/>
      </w:pPr>
      <w:r>
        <w:t xml:space="preserve">6.1.1</w:t>
      </w:r>
      <w:r>
        <w:rPr>
          <w:szCs w:val="21"/>
        </w:rPr>
        <w:t xml:space="preserve">.4 </w:t>
      </w:r>
      <w:r>
        <w:t xml:space="preserve">出现以下任何一种情况时，应进行型式试验：</w:t>
      </w:r>
      <w:r/>
    </w:p>
    <w:p>
      <w:pPr>
        <w:pStyle w:val="1151"/>
        <w:ind w:left="840" w:hanging="420"/>
        <w:spacing w:line="312" w:lineRule="exact"/>
        <w:rPr>
          <w:szCs w:val="21"/>
        </w:rPr>
      </w:pPr>
      <w:r>
        <w:rPr>
          <w:szCs w:val="21"/>
        </w:rPr>
        <w:t xml:space="preserve">a）新试制的产品应进行完整的型式试验；</w:t>
      </w:r>
      <w:r>
        <w:rPr>
          <w:szCs w:val="21"/>
        </w:rPr>
      </w:r>
      <w:r/>
    </w:p>
    <w:p>
      <w:pPr>
        <w:pStyle w:val="1151"/>
        <w:ind w:left="840" w:hanging="420"/>
        <w:spacing w:line="312" w:lineRule="exact"/>
        <w:rPr>
          <w:szCs w:val="21"/>
        </w:rPr>
      </w:pPr>
      <w:r>
        <w:rPr>
          <w:szCs w:val="21"/>
        </w:rPr>
        <w:t xml:space="preserve">b）转厂试制的产品应进行完整的型式试验；</w:t>
      </w:r>
      <w:r>
        <w:rPr>
          <w:szCs w:val="21"/>
        </w:rPr>
      </w:r>
      <w:r/>
    </w:p>
    <w:p>
      <w:pPr>
        <w:pStyle w:val="1151"/>
        <w:ind w:left="420"/>
        <w:spacing w:line="312" w:lineRule="exact"/>
        <w:rPr>
          <w:szCs w:val="21"/>
        </w:rPr>
      </w:pPr>
      <w:r>
        <w:rPr>
          <w:szCs w:val="21"/>
        </w:rPr>
        <w:t xml:space="preserve">c）当环网柜中的断路器及组合电器中配用的负荷开关、熔断器、操动机构或辅助设备的型号或规格变更时，应进行相应项目的型式试验；</w:t>
      </w:r>
      <w:r>
        <w:rPr>
          <w:szCs w:val="21"/>
        </w:rPr>
      </w:r>
      <w:r/>
    </w:p>
    <w:p>
      <w:pPr>
        <w:pStyle w:val="1151"/>
        <w:ind w:left="840" w:hanging="420"/>
        <w:spacing w:line="312" w:lineRule="exact"/>
        <w:rPr>
          <w:szCs w:val="21"/>
        </w:rPr>
      </w:pPr>
      <w:r>
        <w:rPr>
          <w:szCs w:val="21"/>
        </w:rPr>
        <w:t xml:space="preserve">d）当产品在设计、工艺或使用的材料等做重大改变时，应进行相应项目的型式试验；</w:t>
      </w:r>
      <w:r>
        <w:rPr>
          <w:szCs w:val="21"/>
        </w:rPr>
      </w:r>
      <w:r/>
    </w:p>
    <w:p>
      <w:pPr>
        <w:pStyle w:val="1151"/>
        <w:ind w:left="420"/>
        <w:spacing w:line="312" w:lineRule="exact"/>
        <w:rPr>
          <w:szCs w:val="21"/>
        </w:rPr>
      </w:pPr>
      <w:r>
        <w:rPr>
          <w:szCs w:val="21"/>
        </w:rPr>
        <w:t xml:space="preserve">e）批量生产的产品每隔8年或不经常生产的产品（指停止生产间隔1年及以上者）再次生产时，应进行全部项目的型式试验；</w:t>
      </w:r>
      <w:r>
        <w:rPr>
          <w:szCs w:val="21"/>
        </w:rPr>
      </w:r>
      <w:r/>
    </w:p>
    <w:p>
      <w:pPr>
        <w:pStyle w:val="1151"/>
        <w:ind w:left="420"/>
        <w:spacing w:line="312" w:lineRule="exact"/>
        <w:rPr>
          <w:szCs w:val="21"/>
        </w:rPr>
      </w:pPr>
      <w:r>
        <w:rPr>
          <w:szCs w:val="21"/>
        </w:rPr>
        <w:t xml:space="preserve">f）型式试验结果应出具在正式的型式试验报告中。型式试验报告应包括足够证明试品符合本标准及有关标准的资料，也应包括试品应符合的技术文件及图纸资料。型式试验报告还应包括有关试品的主要元件，操动机构或辅助设备的技术性能，结构状况及安装方式的有关资料。</w:t>
      </w:r>
      <w:r>
        <w:rPr>
          <w:szCs w:val="21"/>
        </w:rPr>
      </w:r>
      <w:r/>
    </w:p>
    <w:p>
      <w:pPr>
        <w:pStyle w:val="1151"/>
      </w:pPr>
      <w:r>
        <w:t xml:space="preserve">6.1.1</w:t>
      </w:r>
      <w:r>
        <w:t xml:space="preserve">.5 对型式试验的补充说明</w:t>
      </w:r>
      <w:r/>
    </w:p>
    <w:p>
      <w:pPr>
        <w:pStyle w:val="1201"/>
        <w:ind w:firstLine="396"/>
        <w:spacing w:line="312" w:lineRule="exact"/>
        <w:tabs>
          <w:tab w:val="center" w:pos="4201" w:leader="none"/>
          <w:tab w:val="right" w:pos="9298" w:leader="dot"/>
        </w:tabs>
        <w:rPr>
          <w:rFonts w:ascii="Times New Roman"/>
        </w:rPr>
      </w:pPr>
      <w:r>
        <w:rPr>
          <w:rFonts w:ascii="Times New Roman"/>
          <w:spacing w:val="-6"/>
          <w:szCs w:val="21"/>
        </w:rPr>
        <w:t xml:space="preserve">环网柜的型式试验应在典型的功能单元上进行全套试验。如环网柜所配的断路器已进行了全套试验，则环网柜的关合和开断能力的验证按</w:t>
      </w:r>
      <w:r>
        <w:rPr>
          <w:rFonts w:ascii="Times New Roman"/>
          <w:szCs w:val="21"/>
        </w:rPr>
        <w:t xml:space="preserve">GB3906和DL/T 404</w:t>
      </w:r>
      <w:r>
        <w:rPr>
          <w:rFonts w:ascii="Times New Roman"/>
          <w:spacing w:val="-6"/>
          <w:szCs w:val="21"/>
        </w:rPr>
        <w:t xml:space="preserve">中“6.101关合和开断能力的验证”的要求，进行T100s和T100a试验，以及临界电流试验（如果有）。其他试验按</w:t>
      </w:r>
      <w:r>
        <w:rPr>
          <w:rFonts w:ascii="Times New Roman"/>
          <w:szCs w:val="21"/>
        </w:rPr>
        <w:t xml:space="preserve">GB3906和DL/T 404</w:t>
      </w:r>
      <w:r>
        <w:rPr>
          <w:rFonts w:ascii="Times New Roman"/>
          <w:spacing w:val="-6"/>
          <w:szCs w:val="21"/>
        </w:rPr>
        <w:t xml:space="preserve">进行。</w:t>
      </w:r>
      <w:r>
        <w:rPr>
          <w:rFonts w:ascii="Times New Roman"/>
        </w:rPr>
      </w:r>
      <w:r/>
    </w:p>
    <w:p>
      <w:pPr>
        <w:pStyle w:val="1151"/>
        <w:spacing w:line="312" w:lineRule="exact"/>
      </w:pPr>
      <w:r>
        <w:t xml:space="preserve">6.1.1</w:t>
      </w:r>
      <w:r>
        <w:rPr>
          <w:szCs w:val="21"/>
        </w:rPr>
        <w:t xml:space="preserve">.6 </w:t>
      </w:r>
      <w:r>
        <w:t xml:space="preserve">型式试验项目见表</w:t>
      </w:r>
      <w:r>
        <w:rPr>
          <w:rFonts w:hint="eastAsia"/>
        </w:rPr>
        <w:t xml:space="preserve">1</w:t>
      </w:r>
      <w:r/>
    </w:p>
    <w:p>
      <w:pPr>
        <w:pStyle w:val="1251"/>
        <w:spacing w:before="156" w:after="156" w:line="312" w:lineRule="exact"/>
        <w:tabs>
          <w:tab w:val="left" w:pos="360" w:leader="none"/>
          <w:tab w:val="left" w:pos="420" w:leader="none"/>
        </w:tabs>
        <w:rPr>
          <w:rFonts w:ascii="Times New Roman"/>
          <w:sz w:val="21"/>
          <w:szCs w:val="21"/>
        </w:rPr>
      </w:pPr>
      <w:r>
        <w:rPr>
          <w:rFonts w:ascii="Times New Roman"/>
          <w:sz w:val="21"/>
          <w:szCs w:val="21"/>
        </w:rPr>
        <w:t xml:space="preserve">表</w:t>
      </w:r>
      <w:r>
        <w:rPr>
          <w:rFonts w:hint="eastAsia" w:ascii="Times New Roman"/>
          <w:sz w:val="21"/>
          <w:szCs w:val="21"/>
        </w:rPr>
        <w:t xml:space="preserve">1</w:t>
      </w:r>
      <w:r>
        <w:rPr>
          <w:rFonts w:ascii="Times New Roman"/>
          <w:sz w:val="21"/>
          <w:szCs w:val="21"/>
        </w:rPr>
        <w:t xml:space="preserve">型式试验项目</w:t>
      </w:r>
      <w:r>
        <w:rPr>
          <w:rFonts w:ascii="Times New Roman"/>
          <w:sz w:val="21"/>
          <w:szCs w:val="21"/>
        </w:rPr>
      </w:r>
      <w:r/>
    </w:p>
    <w:tbl>
      <w:tblPr>
        <w:tblW w:w="8550"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2097"/>
        <w:gridCol w:w="1707"/>
        <w:gridCol w:w="1080"/>
        <w:gridCol w:w="1540"/>
        <w:gridCol w:w="1507"/>
      </w:tblGrid>
      <w:tr>
        <w:trPr>
          <w:cantSplit/>
          <w:trHeight w:val="400"/>
        </w:trPr>
        <w:tc>
          <w:tcPr>
            <w:tcW w:w="619" w:type="dxa"/>
            <w:vAlign w:val="center"/>
            <w:vMerge w:val="restart"/>
            <w:textDirection w:val="lrTb"/>
            <w:noWrap w:val="false"/>
          </w:tcPr>
          <w:p>
            <w:pPr>
              <w:pStyle w:val="1151"/>
              <w:jc w:val="center"/>
              <w:spacing w:line="312" w:lineRule="exact"/>
              <w:rPr>
                <w:sz w:val="18"/>
              </w:rPr>
            </w:pPr>
            <w:r>
              <w:rPr>
                <w:sz w:val="18"/>
              </w:rPr>
              <w:t xml:space="preserve">序号</w:t>
            </w:r>
            <w:r>
              <w:rPr>
                <w:sz w:val="18"/>
              </w:rPr>
            </w:r>
            <w:r/>
          </w:p>
        </w:tc>
        <w:tc>
          <w:tcPr>
            <w:gridSpan w:val="2"/>
            <w:tcW w:w="3804" w:type="dxa"/>
            <w:vAlign w:val="center"/>
            <w:vMerge w:val="restart"/>
            <w:textDirection w:val="lrTb"/>
            <w:noWrap w:val="false"/>
          </w:tcPr>
          <w:p>
            <w:pPr>
              <w:pStyle w:val="1151"/>
              <w:jc w:val="center"/>
              <w:spacing w:line="312" w:lineRule="exact"/>
              <w:rPr>
                <w:sz w:val="18"/>
              </w:rPr>
            </w:pPr>
            <w:r>
              <w:rPr>
                <w:sz w:val="18"/>
              </w:rPr>
              <w:t xml:space="preserve">型式试验项目</w:t>
            </w:r>
            <w:r>
              <w:rPr>
                <w:sz w:val="18"/>
              </w:rPr>
            </w:r>
            <w:r/>
          </w:p>
        </w:tc>
        <w:tc>
          <w:tcPr>
            <w:gridSpan w:val="3"/>
            <w:tcW w:w="4127" w:type="dxa"/>
            <w:vAlign w:val="center"/>
            <w:textDirection w:val="lrTb"/>
            <w:noWrap w:val="false"/>
          </w:tcPr>
          <w:p>
            <w:pPr>
              <w:pStyle w:val="1151"/>
              <w:jc w:val="center"/>
              <w:spacing w:line="312" w:lineRule="exact"/>
              <w:rPr>
                <w:sz w:val="18"/>
              </w:rPr>
            </w:pPr>
            <w:r>
              <w:rPr>
                <w:sz w:val="18"/>
              </w:rPr>
              <w:t xml:space="preserve">功能单元的类别</w:t>
            </w:r>
            <w:r>
              <w:rPr>
                <w:sz w:val="18"/>
              </w:rPr>
            </w:r>
            <w:r/>
          </w:p>
        </w:tc>
      </w:tr>
      <w:tr>
        <w:trPr>
          <w:cantSplit/>
          <w:trHeight w:val="90"/>
        </w:trPr>
        <w:tc>
          <w:tcPr>
            <w:tcW w:w="619" w:type="dxa"/>
            <w:vAlign w:val="center"/>
            <w:vMerge w:val="continue"/>
            <w:textDirection w:val="lrTb"/>
            <w:noWrap w:val="false"/>
          </w:tcPr>
          <w:p>
            <w:pPr>
              <w:pStyle w:val="1151"/>
              <w:jc w:val="center"/>
              <w:spacing w:line="312" w:lineRule="exact"/>
              <w:rPr>
                <w:sz w:val="18"/>
              </w:rPr>
            </w:pPr>
            <w:r>
              <w:rPr>
                <w:sz w:val="18"/>
              </w:rPr>
            </w:r>
            <w:r/>
          </w:p>
        </w:tc>
        <w:tc>
          <w:tcPr>
            <w:gridSpan w:val="2"/>
            <w:tcW w:w="3804" w:type="dxa"/>
            <w:vAlign w:val="center"/>
            <w:vMerge w:val="continue"/>
            <w:textDirection w:val="lrTb"/>
            <w:noWrap w:val="false"/>
          </w:tcPr>
          <w:p>
            <w:pPr>
              <w:pStyle w:val="1151"/>
              <w:jc w:val="center"/>
              <w:spacing w:line="312" w:lineRule="exact"/>
              <w:widowControl/>
              <w:rPr>
                <w:sz w:val="18"/>
              </w:rPr>
            </w:pPr>
            <w:r>
              <w:rPr>
                <w:sz w:val="18"/>
              </w:rPr>
            </w:r>
            <w:r/>
          </w:p>
        </w:tc>
        <w:tc>
          <w:tcPr>
            <w:tcW w:w="1080" w:type="dxa"/>
            <w:vAlign w:val="center"/>
            <w:textDirection w:val="lrTb"/>
            <w:noWrap w:val="false"/>
          </w:tcPr>
          <w:p>
            <w:pPr>
              <w:pStyle w:val="1151"/>
              <w:jc w:val="center"/>
              <w:spacing w:line="312" w:lineRule="exact"/>
              <w:rPr>
                <w:sz w:val="18"/>
              </w:rPr>
            </w:pPr>
            <w:r>
              <w:rPr>
                <w:sz w:val="18"/>
              </w:rPr>
              <w:t xml:space="preserve">断路器用</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组合电器用</w:t>
            </w:r>
            <w:r>
              <w:rPr>
                <w:sz w:val="18"/>
              </w:rPr>
            </w:r>
            <w:r/>
          </w:p>
        </w:tc>
      </w:tr>
      <w:tr>
        <w:trPr>
          <w:trHeight w:val="252"/>
        </w:trPr>
        <w:tc>
          <w:tcPr>
            <w:tcW w:w="619" w:type="dxa"/>
            <w:vAlign w:val="center"/>
            <w:textDirection w:val="lrTb"/>
            <w:noWrap w:val="false"/>
          </w:tcPr>
          <w:p>
            <w:pPr>
              <w:pStyle w:val="1151"/>
              <w:jc w:val="center"/>
              <w:spacing w:line="312" w:lineRule="exact"/>
              <w:rPr>
                <w:sz w:val="18"/>
              </w:rPr>
            </w:pPr>
            <w:r>
              <w:rPr>
                <w:sz w:val="18"/>
              </w:rPr>
              <w:t xml:space="preserve">1</w:t>
            </w:r>
            <w:r>
              <w:rPr>
                <w:sz w:val="18"/>
              </w:rPr>
            </w:r>
            <w:r/>
          </w:p>
        </w:tc>
        <w:tc>
          <w:tcPr>
            <w:gridSpan w:val="2"/>
            <w:tcW w:w="3804" w:type="dxa"/>
            <w:vAlign w:val="top"/>
            <w:textDirection w:val="lrTb"/>
            <w:noWrap w:val="false"/>
          </w:tcPr>
          <w:p>
            <w:pPr>
              <w:pStyle w:val="1151"/>
              <w:spacing w:line="312" w:lineRule="exact"/>
              <w:rPr>
                <w:sz w:val="18"/>
              </w:rPr>
            </w:pPr>
            <w:r>
              <w:rPr>
                <w:sz w:val="18"/>
              </w:rPr>
              <w:t xml:space="preserve">绝缘试验</w:t>
            </w:r>
            <w:r>
              <w:rPr>
                <w:sz w:val="18"/>
              </w:rPr>
            </w:r>
            <w:r/>
          </w:p>
        </w:tc>
        <w:tc>
          <w:tcPr>
            <w:tcW w:w="1080"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center"/>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338"/>
        </w:trPr>
        <w:tc>
          <w:tcPr>
            <w:tcW w:w="619" w:type="dxa"/>
            <w:vAlign w:val="center"/>
            <w:textDirection w:val="lrTb"/>
            <w:noWrap w:val="false"/>
          </w:tcPr>
          <w:p>
            <w:pPr>
              <w:pStyle w:val="1151"/>
              <w:jc w:val="center"/>
              <w:spacing w:line="312" w:lineRule="exact"/>
              <w:rPr>
                <w:sz w:val="18"/>
              </w:rPr>
            </w:pPr>
            <w:r>
              <w:rPr>
                <w:sz w:val="18"/>
              </w:rPr>
              <w:t xml:space="preserve">2</w:t>
            </w:r>
            <w:r>
              <w:rPr>
                <w:sz w:val="18"/>
              </w:rPr>
            </w:r>
            <w:r/>
          </w:p>
        </w:tc>
        <w:tc>
          <w:tcPr>
            <w:gridSpan w:val="2"/>
            <w:tcW w:w="3804" w:type="dxa"/>
            <w:vAlign w:val="top"/>
            <w:textDirection w:val="lrTb"/>
            <w:noWrap w:val="false"/>
          </w:tcPr>
          <w:p>
            <w:pPr>
              <w:pStyle w:val="1151"/>
              <w:spacing w:line="312" w:lineRule="exact"/>
              <w:rPr>
                <w:sz w:val="18"/>
              </w:rPr>
            </w:pPr>
            <w:r>
              <w:rPr>
                <w:sz w:val="18"/>
              </w:rPr>
              <w:t xml:space="preserve">温升试验</w:t>
            </w:r>
            <w:r>
              <w:rPr>
                <w:sz w:val="18"/>
              </w:rPr>
            </w:r>
            <w:r/>
          </w:p>
        </w:tc>
        <w:tc>
          <w:tcPr>
            <w:tcW w:w="1080"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center"/>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311"/>
        </w:trPr>
        <w:tc>
          <w:tcPr>
            <w:tcW w:w="619" w:type="dxa"/>
            <w:vAlign w:val="center"/>
            <w:textDirection w:val="lrTb"/>
            <w:noWrap w:val="false"/>
          </w:tcPr>
          <w:p>
            <w:pPr>
              <w:pStyle w:val="1151"/>
              <w:jc w:val="center"/>
              <w:spacing w:line="312" w:lineRule="exact"/>
              <w:rPr>
                <w:sz w:val="18"/>
              </w:rPr>
            </w:pPr>
            <w:r>
              <w:rPr>
                <w:sz w:val="18"/>
              </w:rPr>
              <w:t xml:space="preserve">3</w:t>
            </w:r>
            <w:r>
              <w:rPr>
                <w:sz w:val="18"/>
              </w:rPr>
            </w:r>
            <w:r/>
          </w:p>
        </w:tc>
        <w:tc>
          <w:tcPr>
            <w:gridSpan w:val="2"/>
            <w:tcW w:w="3804" w:type="dxa"/>
            <w:vAlign w:val="top"/>
            <w:textDirection w:val="lrTb"/>
            <w:noWrap w:val="false"/>
          </w:tcPr>
          <w:p>
            <w:pPr>
              <w:pStyle w:val="1151"/>
              <w:spacing w:line="312" w:lineRule="exact"/>
              <w:rPr>
                <w:sz w:val="18"/>
              </w:rPr>
            </w:pPr>
            <w:r>
              <w:rPr>
                <w:sz w:val="18"/>
              </w:rPr>
              <w:t xml:space="preserve">主回路电阻测量</w:t>
            </w:r>
            <w:r>
              <w:rPr>
                <w:sz w:val="18"/>
              </w:rPr>
            </w:r>
            <w:r/>
          </w:p>
        </w:tc>
        <w:tc>
          <w:tcPr>
            <w:tcW w:w="1080"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center"/>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311"/>
        </w:trPr>
        <w:tc>
          <w:tcPr>
            <w:tcW w:w="619" w:type="dxa"/>
            <w:vAlign w:val="center"/>
            <w:textDirection w:val="lrTb"/>
            <w:noWrap w:val="false"/>
          </w:tcPr>
          <w:p>
            <w:pPr>
              <w:pStyle w:val="1151"/>
              <w:jc w:val="center"/>
              <w:spacing w:line="312" w:lineRule="exact"/>
              <w:rPr>
                <w:sz w:val="18"/>
              </w:rPr>
            </w:pPr>
            <w:r>
              <w:rPr>
                <w:sz w:val="18"/>
              </w:rPr>
              <w:t xml:space="preserve">4</w:t>
            </w:r>
            <w:r>
              <w:rPr>
                <w:sz w:val="18"/>
              </w:rPr>
            </w:r>
            <w:r/>
          </w:p>
        </w:tc>
        <w:tc>
          <w:tcPr>
            <w:gridSpan w:val="2"/>
            <w:tcW w:w="3804" w:type="dxa"/>
            <w:vAlign w:val="top"/>
            <w:textDirection w:val="lrTb"/>
            <w:noWrap w:val="false"/>
          </w:tcPr>
          <w:p>
            <w:pPr>
              <w:pStyle w:val="1151"/>
              <w:spacing w:line="312" w:lineRule="exact"/>
              <w:rPr>
                <w:sz w:val="18"/>
              </w:rPr>
            </w:pPr>
            <w:r>
              <w:rPr>
                <w:sz w:val="18"/>
              </w:rPr>
              <w:t xml:space="preserve">额定峰值耐受电流和短时耐受电流试验</w:t>
            </w:r>
            <w:r>
              <w:rPr>
                <w:sz w:val="18"/>
              </w:rPr>
            </w:r>
            <w:r/>
          </w:p>
        </w:tc>
        <w:tc>
          <w:tcPr>
            <w:tcW w:w="1080"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center"/>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240"/>
        </w:trPr>
        <w:tc>
          <w:tcPr>
            <w:tcW w:w="619" w:type="dxa"/>
            <w:vAlign w:val="center"/>
            <w:textDirection w:val="lrTb"/>
            <w:noWrap w:val="false"/>
          </w:tcPr>
          <w:p>
            <w:pPr>
              <w:pStyle w:val="1151"/>
              <w:jc w:val="center"/>
              <w:spacing w:line="312" w:lineRule="exact"/>
              <w:rPr>
                <w:sz w:val="18"/>
              </w:rPr>
            </w:pPr>
            <w:r>
              <w:rPr>
                <w:sz w:val="18"/>
              </w:rPr>
              <w:t xml:space="preserve">5</w:t>
            </w:r>
            <w:r>
              <w:rPr>
                <w:sz w:val="18"/>
              </w:rPr>
            </w:r>
            <w:r/>
          </w:p>
        </w:tc>
        <w:tc>
          <w:tcPr>
            <w:gridSpan w:val="2"/>
            <w:tcW w:w="3804" w:type="dxa"/>
            <w:vAlign w:val="top"/>
            <w:textDirection w:val="lrTb"/>
            <w:noWrap w:val="false"/>
          </w:tcPr>
          <w:p>
            <w:pPr>
              <w:pStyle w:val="1151"/>
              <w:spacing w:line="312" w:lineRule="exact"/>
              <w:rPr>
                <w:sz w:val="18"/>
              </w:rPr>
            </w:pPr>
            <w:r>
              <w:rPr>
                <w:sz w:val="18"/>
              </w:rPr>
              <w:t xml:space="preserve">额定短路关合能力试验</w:t>
            </w:r>
            <w:r>
              <w:rPr>
                <w:sz w:val="18"/>
              </w:rPr>
            </w:r>
            <w:r/>
          </w:p>
        </w:tc>
        <w:tc>
          <w:tcPr>
            <w:tcW w:w="1080"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center"/>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384"/>
        </w:trPr>
        <w:tc>
          <w:tcPr>
            <w:tcW w:w="619" w:type="dxa"/>
            <w:vAlign w:val="center"/>
            <w:textDirection w:val="lrTb"/>
            <w:noWrap w:val="false"/>
          </w:tcPr>
          <w:p>
            <w:pPr>
              <w:pStyle w:val="1151"/>
              <w:jc w:val="center"/>
              <w:spacing w:line="312" w:lineRule="exact"/>
              <w:rPr>
                <w:sz w:val="18"/>
              </w:rPr>
            </w:pPr>
            <w:r>
              <w:rPr>
                <w:sz w:val="18"/>
              </w:rPr>
              <w:t xml:space="preserve">6</w:t>
            </w:r>
            <w:r>
              <w:rPr>
                <w:sz w:val="18"/>
              </w:rPr>
            </w:r>
            <w:r/>
          </w:p>
        </w:tc>
        <w:tc>
          <w:tcPr>
            <w:gridSpan w:val="2"/>
            <w:tcW w:w="3804" w:type="dxa"/>
            <w:vAlign w:val="top"/>
            <w:textDirection w:val="lrTb"/>
            <w:noWrap w:val="false"/>
          </w:tcPr>
          <w:p>
            <w:pPr>
              <w:pStyle w:val="1151"/>
              <w:spacing w:line="312" w:lineRule="exact"/>
              <w:rPr>
                <w:sz w:val="18"/>
              </w:rPr>
            </w:pPr>
            <w:r>
              <w:rPr>
                <w:sz w:val="18"/>
              </w:rPr>
              <w:t xml:space="preserve">额定短路开断能力试验</w:t>
            </w:r>
            <w:r>
              <w:rPr>
                <w:sz w:val="18"/>
              </w:rPr>
            </w:r>
            <w:r/>
          </w:p>
        </w:tc>
        <w:tc>
          <w:tcPr>
            <w:tcW w:w="1080"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center"/>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300"/>
        </w:trPr>
        <w:tc>
          <w:tcPr>
            <w:tcW w:w="619" w:type="dxa"/>
            <w:vAlign w:val="center"/>
            <w:textDirection w:val="lrTb"/>
            <w:noWrap w:val="false"/>
          </w:tcPr>
          <w:p>
            <w:pPr>
              <w:pStyle w:val="1151"/>
              <w:jc w:val="center"/>
              <w:spacing w:line="312" w:lineRule="exact"/>
              <w:rPr>
                <w:sz w:val="18"/>
              </w:rPr>
            </w:pPr>
            <w:r>
              <w:rPr>
                <w:sz w:val="18"/>
              </w:rPr>
              <w:t xml:space="preserve">7</w:t>
            </w:r>
            <w:r>
              <w:rPr>
                <w:sz w:val="18"/>
              </w:rPr>
            </w:r>
            <w:r/>
          </w:p>
        </w:tc>
        <w:tc>
          <w:tcPr>
            <w:gridSpan w:val="2"/>
            <w:tcW w:w="3804" w:type="dxa"/>
            <w:vAlign w:val="top"/>
            <w:textDirection w:val="lrTb"/>
            <w:noWrap w:val="false"/>
          </w:tcPr>
          <w:p>
            <w:pPr>
              <w:pStyle w:val="1151"/>
              <w:spacing w:line="312" w:lineRule="exact"/>
              <w:rPr>
                <w:sz w:val="18"/>
              </w:rPr>
            </w:pPr>
            <w:r>
              <w:rPr>
                <w:sz w:val="18"/>
              </w:rPr>
              <w:t xml:space="preserve">防护等级试验</w:t>
            </w:r>
            <w:r>
              <w:rPr>
                <w:sz w:val="18"/>
              </w:rPr>
            </w:r>
            <w:r/>
          </w:p>
        </w:tc>
        <w:tc>
          <w:tcPr>
            <w:tcW w:w="1080"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center"/>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288"/>
        </w:trPr>
        <w:tc>
          <w:tcPr>
            <w:tcW w:w="619" w:type="dxa"/>
            <w:vAlign w:val="center"/>
            <w:textDirection w:val="lrTb"/>
            <w:noWrap w:val="false"/>
          </w:tcPr>
          <w:p>
            <w:pPr>
              <w:pStyle w:val="1151"/>
              <w:jc w:val="center"/>
              <w:spacing w:line="312" w:lineRule="exact"/>
              <w:tabs>
                <w:tab w:val="left" w:pos="0" w:leader="none"/>
              </w:tabs>
              <w:rPr>
                <w:sz w:val="18"/>
              </w:rPr>
            </w:pPr>
            <w:r>
              <w:rPr>
                <w:sz w:val="18"/>
              </w:rPr>
              <w:t xml:space="preserve">8</w:t>
            </w:r>
            <w:r>
              <w:rPr>
                <w:sz w:val="18"/>
              </w:rPr>
            </w:r>
            <w:r/>
          </w:p>
        </w:tc>
        <w:tc>
          <w:tcPr>
            <w:gridSpan w:val="2"/>
            <w:tcW w:w="3804" w:type="dxa"/>
            <w:vAlign w:val="top"/>
            <w:textDirection w:val="lrTb"/>
            <w:noWrap w:val="false"/>
          </w:tcPr>
          <w:p>
            <w:pPr>
              <w:pStyle w:val="1151"/>
              <w:spacing w:line="312" w:lineRule="exact"/>
              <w:tabs>
                <w:tab w:val="center" w:pos="1794" w:leader="none"/>
              </w:tabs>
              <w:rPr>
                <w:sz w:val="18"/>
              </w:rPr>
            </w:pPr>
            <w:r>
              <w:rPr>
                <w:sz w:val="18"/>
              </w:rPr>
              <w:t xml:space="preserve">内部燃弧试验</w:t>
            </w:r>
            <w:r>
              <w:rPr>
                <w:sz w:val="18"/>
              </w:rPr>
            </w:r>
            <w:r/>
          </w:p>
        </w:tc>
        <w:tc>
          <w:tcPr>
            <w:tcW w:w="1080"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center"/>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225"/>
        </w:trPr>
        <w:tc>
          <w:tcPr>
            <w:tcW w:w="619" w:type="dxa"/>
            <w:vAlign w:val="center"/>
            <w:textDirection w:val="lrTb"/>
            <w:noWrap w:val="false"/>
          </w:tcPr>
          <w:p>
            <w:pPr>
              <w:pStyle w:val="1151"/>
              <w:jc w:val="center"/>
              <w:spacing w:line="312" w:lineRule="exact"/>
              <w:rPr>
                <w:sz w:val="18"/>
              </w:rPr>
            </w:pPr>
            <w:r>
              <w:rPr>
                <w:sz w:val="18"/>
              </w:rPr>
              <w:t xml:space="preserve">9</w:t>
            </w:r>
            <w:r>
              <w:rPr>
                <w:sz w:val="18"/>
              </w:rPr>
            </w:r>
            <w:r/>
          </w:p>
        </w:tc>
        <w:tc>
          <w:tcPr>
            <w:gridSpan w:val="2"/>
            <w:tcW w:w="3804" w:type="dxa"/>
            <w:vAlign w:val="top"/>
            <w:textDirection w:val="lrTb"/>
            <w:noWrap w:val="false"/>
          </w:tcPr>
          <w:p>
            <w:pPr>
              <w:pStyle w:val="1151"/>
              <w:spacing w:line="312" w:lineRule="exact"/>
              <w:rPr>
                <w:sz w:val="18"/>
              </w:rPr>
            </w:pPr>
            <w:r>
              <w:rPr>
                <w:sz w:val="18"/>
              </w:rPr>
              <w:t xml:space="preserve">机械特性试验</w:t>
            </w:r>
            <w:r>
              <w:rPr>
                <w:sz w:val="18"/>
              </w:rPr>
            </w:r>
            <w:r/>
          </w:p>
        </w:tc>
        <w:tc>
          <w:tcPr>
            <w:tcW w:w="1080"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center"/>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225"/>
        </w:trPr>
        <w:tc>
          <w:tcPr>
            <w:tcW w:w="619" w:type="dxa"/>
            <w:vAlign w:val="center"/>
            <w:textDirection w:val="lrTb"/>
            <w:noWrap w:val="false"/>
          </w:tcPr>
          <w:p>
            <w:pPr>
              <w:pStyle w:val="1151"/>
              <w:jc w:val="center"/>
              <w:spacing w:line="312" w:lineRule="exact"/>
              <w:rPr>
                <w:sz w:val="18"/>
              </w:rPr>
            </w:pPr>
            <w:r>
              <w:rPr>
                <w:sz w:val="18"/>
              </w:rPr>
              <w:t xml:space="preserve">10</w:t>
            </w:r>
            <w:r>
              <w:rPr>
                <w:sz w:val="18"/>
              </w:rPr>
            </w:r>
            <w:r/>
          </w:p>
        </w:tc>
        <w:tc>
          <w:tcPr>
            <w:gridSpan w:val="2"/>
            <w:tcW w:w="3804" w:type="dxa"/>
            <w:vAlign w:val="top"/>
            <w:textDirection w:val="lrTb"/>
            <w:noWrap w:val="false"/>
          </w:tcPr>
          <w:p>
            <w:pPr>
              <w:pStyle w:val="1151"/>
              <w:spacing w:line="312" w:lineRule="exact"/>
              <w:rPr>
                <w:sz w:val="18"/>
              </w:rPr>
            </w:pPr>
            <w:r>
              <w:rPr>
                <w:sz w:val="18"/>
                <w:szCs w:val="18"/>
              </w:rPr>
              <w:t xml:space="preserve">固体绝缘组件机械强度试验（性能）</w:t>
            </w:r>
            <w:r>
              <w:rPr>
                <w:sz w:val="18"/>
              </w:rPr>
            </w:r>
            <w:r/>
          </w:p>
        </w:tc>
        <w:tc>
          <w:tcPr>
            <w:tcW w:w="1080"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center"/>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324"/>
        </w:trPr>
        <w:tc>
          <w:tcPr>
            <w:tcW w:w="619" w:type="dxa"/>
            <w:vAlign w:val="center"/>
            <w:textDirection w:val="lrTb"/>
            <w:noWrap w:val="false"/>
          </w:tcPr>
          <w:p>
            <w:pPr>
              <w:pStyle w:val="1151"/>
              <w:jc w:val="center"/>
              <w:spacing w:line="312" w:lineRule="exact"/>
              <w:rPr>
                <w:sz w:val="18"/>
              </w:rPr>
            </w:pPr>
            <w:r>
              <w:rPr>
                <w:sz w:val="18"/>
              </w:rPr>
              <w:t xml:space="preserve">11</w:t>
            </w:r>
            <w:r>
              <w:rPr>
                <w:sz w:val="18"/>
              </w:rPr>
            </w:r>
            <w:r/>
          </w:p>
        </w:tc>
        <w:tc>
          <w:tcPr>
            <w:gridSpan w:val="2"/>
            <w:tcW w:w="3804" w:type="dxa"/>
            <w:vAlign w:val="top"/>
            <w:textDirection w:val="lrTb"/>
            <w:noWrap w:val="false"/>
          </w:tcPr>
          <w:p>
            <w:pPr>
              <w:pStyle w:val="1151"/>
              <w:spacing w:line="312" w:lineRule="exact"/>
              <w:rPr>
                <w:sz w:val="18"/>
              </w:rPr>
            </w:pPr>
            <w:r>
              <w:rPr>
                <w:sz w:val="18"/>
              </w:rPr>
              <w:t xml:space="preserve">异相接地故障试验</w:t>
            </w:r>
            <w:r>
              <w:rPr>
                <w:sz w:val="18"/>
              </w:rPr>
            </w:r>
            <w:r/>
          </w:p>
        </w:tc>
        <w:tc>
          <w:tcPr>
            <w:tcW w:w="1080"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center"/>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cantSplit/>
          <w:trHeight w:val="90"/>
        </w:trPr>
        <w:tc>
          <w:tcPr>
            <w:tcW w:w="619" w:type="dxa"/>
            <w:vAlign w:val="center"/>
            <w:textDirection w:val="lrTb"/>
            <w:noWrap w:val="false"/>
          </w:tcPr>
          <w:p>
            <w:pPr>
              <w:pStyle w:val="1151"/>
              <w:jc w:val="center"/>
              <w:spacing w:line="312" w:lineRule="exact"/>
              <w:tabs>
                <w:tab w:val="left" w:pos="0" w:leader="none"/>
              </w:tabs>
              <w:rPr>
                <w:sz w:val="18"/>
              </w:rPr>
            </w:pPr>
            <w:r>
              <w:rPr>
                <w:sz w:val="18"/>
              </w:rPr>
              <w:t xml:space="preserve">12</w:t>
            </w:r>
            <w:r>
              <w:rPr>
                <w:sz w:val="18"/>
              </w:rPr>
            </w:r>
            <w:r/>
          </w:p>
        </w:tc>
        <w:tc>
          <w:tcPr>
            <w:tcW w:w="2097" w:type="dxa"/>
            <w:vAlign w:val="center"/>
            <w:textDirection w:val="lrTb"/>
            <w:noWrap w:val="false"/>
          </w:tcPr>
          <w:p>
            <w:pPr>
              <w:pStyle w:val="1151"/>
              <w:spacing w:line="312" w:lineRule="exact"/>
              <w:rPr>
                <w:sz w:val="18"/>
              </w:rPr>
            </w:pPr>
            <w:r>
              <w:rPr>
                <w:sz w:val="18"/>
              </w:rPr>
              <w:t xml:space="preserve">额定容性电流开合试验</w:t>
            </w:r>
            <w:r>
              <w:rPr>
                <w:sz w:val="18"/>
              </w:rPr>
            </w:r>
            <w:r/>
          </w:p>
        </w:tc>
        <w:tc>
          <w:tcPr>
            <w:tcW w:w="1707" w:type="dxa"/>
            <w:vAlign w:val="top"/>
            <w:textDirection w:val="lrTb"/>
            <w:noWrap w:val="false"/>
          </w:tcPr>
          <w:p>
            <w:pPr>
              <w:pStyle w:val="1151"/>
              <w:spacing w:line="312" w:lineRule="exact"/>
              <w:rPr>
                <w:sz w:val="18"/>
              </w:rPr>
            </w:pPr>
            <w:r>
              <w:rPr>
                <w:sz w:val="18"/>
              </w:rPr>
              <w:t xml:space="preserve">电缆充电电流试验</w:t>
            </w:r>
            <w:r>
              <w:rPr>
                <w:sz w:val="18"/>
              </w:rPr>
            </w:r>
            <w:r/>
          </w:p>
        </w:tc>
        <w:tc>
          <w:tcPr>
            <w:tcW w:w="1080"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center"/>
            <w:textDirection w:val="lrTb"/>
            <w:noWrap w:val="false"/>
          </w:tcPr>
          <w:p>
            <w:pPr>
              <w:pStyle w:val="1151"/>
              <w:jc w:val="center"/>
              <w:spacing w:before="28" w:after="28" w:line="312" w:lineRule="exact"/>
              <w:rPr>
                <w:sz w:val="18"/>
              </w:rPr>
            </w:pPr>
            <w:r>
              <w:rPr>
                <w:sz w:val="18"/>
              </w:rPr>
            </w:r>
            <w:r/>
          </w:p>
        </w:tc>
        <w:tc>
          <w:tcPr>
            <w:tcW w:w="1507" w:type="dxa"/>
            <w:vAlign w:val="top"/>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252"/>
        </w:trPr>
        <w:tc>
          <w:tcPr>
            <w:tcW w:w="619" w:type="dxa"/>
            <w:vAlign w:val="center"/>
            <w:textDirection w:val="lrTb"/>
            <w:noWrap w:val="false"/>
          </w:tcPr>
          <w:p>
            <w:pPr>
              <w:pStyle w:val="1151"/>
              <w:jc w:val="center"/>
              <w:spacing w:line="312" w:lineRule="exact"/>
              <w:rPr>
                <w:sz w:val="18"/>
              </w:rPr>
            </w:pPr>
            <w:r>
              <w:rPr>
                <w:sz w:val="18"/>
              </w:rPr>
              <w:t xml:space="preserve">13</w:t>
            </w:r>
            <w:r>
              <w:rPr>
                <w:sz w:val="18"/>
              </w:rPr>
            </w:r>
            <w:r/>
          </w:p>
        </w:tc>
        <w:tc>
          <w:tcPr>
            <w:gridSpan w:val="2"/>
            <w:tcW w:w="3804" w:type="dxa"/>
            <w:vAlign w:val="top"/>
            <w:textDirection w:val="lrTb"/>
            <w:noWrap w:val="false"/>
          </w:tcPr>
          <w:p>
            <w:pPr>
              <w:pStyle w:val="1151"/>
              <w:spacing w:line="312" w:lineRule="exact"/>
              <w:rPr>
                <w:sz w:val="18"/>
              </w:rPr>
            </w:pPr>
            <w:r>
              <w:rPr>
                <w:sz w:val="18"/>
              </w:rPr>
              <w:t xml:space="preserve">额定有功负载电流开合试验</w:t>
            </w:r>
            <w:r>
              <w:rPr>
                <w:sz w:val="18"/>
              </w:rPr>
            </w:r>
            <w:r/>
          </w:p>
        </w:tc>
        <w:tc>
          <w:tcPr>
            <w:tcW w:w="1080"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center"/>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228"/>
        </w:trPr>
        <w:tc>
          <w:tcPr>
            <w:tcW w:w="619" w:type="dxa"/>
            <w:vAlign w:val="center"/>
            <w:textDirection w:val="lrTb"/>
            <w:noWrap w:val="false"/>
          </w:tcPr>
          <w:p>
            <w:pPr>
              <w:pStyle w:val="1151"/>
              <w:jc w:val="center"/>
              <w:spacing w:line="312" w:lineRule="exact"/>
              <w:rPr>
                <w:sz w:val="18"/>
              </w:rPr>
            </w:pPr>
            <w:r>
              <w:rPr>
                <w:sz w:val="18"/>
              </w:rPr>
              <w:t xml:space="preserve">14</w:t>
            </w:r>
            <w:r>
              <w:rPr>
                <w:sz w:val="18"/>
              </w:rPr>
            </w:r>
            <w:r/>
          </w:p>
        </w:tc>
        <w:tc>
          <w:tcPr>
            <w:gridSpan w:val="2"/>
            <w:tcW w:w="3804" w:type="dxa"/>
            <w:vAlign w:val="top"/>
            <w:textDirection w:val="lrTb"/>
            <w:noWrap w:val="false"/>
          </w:tcPr>
          <w:p>
            <w:pPr>
              <w:pStyle w:val="1151"/>
              <w:spacing w:line="312" w:lineRule="exact"/>
              <w:rPr>
                <w:sz w:val="18"/>
              </w:rPr>
            </w:pPr>
            <w:r>
              <w:rPr>
                <w:sz w:val="18"/>
              </w:rPr>
              <w:t xml:space="preserve">转移电流开断试验</w:t>
            </w:r>
            <w:r>
              <w:rPr>
                <w:sz w:val="18"/>
              </w:rPr>
            </w:r>
            <w:r/>
          </w:p>
        </w:tc>
        <w:tc>
          <w:tcPr>
            <w:tcW w:w="1080" w:type="dxa"/>
            <w:vAlign w:val="top"/>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top"/>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372"/>
        </w:trPr>
        <w:tc>
          <w:tcPr>
            <w:tcW w:w="619" w:type="dxa"/>
            <w:vAlign w:val="center"/>
            <w:textDirection w:val="lrTb"/>
            <w:noWrap w:val="false"/>
          </w:tcPr>
          <w:p>
            <w:pPr>
              <w:pStyle w:val="1151"/>
              <w:jc w:val="center"/>
              <w:spacing w:line="312" w:lineRule="exact"/>
              <w:rPr>
                <w:sz w:val="18"/>
              </w:rPr>
            </w:pPr>
            <w:r>
              <w:rPr>
                <w:sz w:val="18"/>
              </w:rPr>
              <w:t xml:space="preserve">15</w:t>
            </w:r>
            <w:r>
              <w:rPr>
                <w:sz w:val="18"/>
              </w:rPr>
            </w:r>
            <w:r/>
          </w:p>
        </w:tc>
        <w:tc>
          <w:tcPr>
            <w:gridSpan w:val="2"/>
            <w:tcW w:w="3804" w:type="dxa"/>
            <w:vAlign w:val="top"/>
            <w:textDirection w:val="lrTb"/>
            <w:noWrap w:val="false"/>
          </w:tcPr>
          <w:p>
            <w:pPr>
              <w:pStyle w:val="1151"/>
              <w:spacing w:line="312" w:lineRule="exact"/>
              <w:rPr>
                <w:sz w:val="18"/>
              </w:rPr>
            </w:pPr>
            <w:r>
              <w:rPr>
                <w:sz w:val="18"/>
              </w:rPr>
              <w:t xml:space="preserve">交接电流开断试验</w:t>
            </w:r>
            <w:r>
              <w:rPr>
                <w:sz w:val="18"/>
              </w:rPr>
            </w:r>
            <w:r/>
          </w:p>
        </w:tc>
        <w:tc>
          <w:tcPr>
            <w:tcW w:w="1080" w:type="dxa"/>
            <w:vAlign w:val="top"/>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top"/>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372"/>
        </w:trPr>
        <w:tc>
          <w:tcPr>
            <w:tcW w:w="619" w:type="dxa"/>
            <w:vAlign w:val="center"/>
            <w:textDirection w:val="lrTb"/>
            <w:noWrap w:val="false"/>
          </w:tcPr>
          <w:p>
            <w:pPr>
              <w:pStyle w:val="1151"/>
              <w:jc w:val="center"/>
              <w:spacing w:line="312" w:lineRule="exact"/>
              <w:rPr>
                <w:sz w:val="18"/>
              </w:rPr>
            </w:pPr>
            <w:r>
              <w:rPr>
                <w:sz w:val="18"/>
              </w:rPr>
              <w:t xml:space="preserve">16</w:t>
            </w:r>
            <w:r>
              <w:rPr>
                <w:sz w:val="18"/>
              </w:rPr>
            </w:r>
            <w:r/>
          </w:p>
        </w:tc>
        <w:tc>
          <w:tcPr>
            <w:gridSpan w:val="2"/>
            <w:tcW w:w="3804" w:type="dxa"/>
            <w:vAlign w:val="top"/>
            <w:textDirection w:val="lrTb"/>
            <w:noWrap w:val="false"/>
          </w:tcPr>
          <w:p>
            <w:pPr>
              <w:pStyle w:val="1151"/>
              <w:spacing w:line="312" w:lineRule="exact"/>
              <w:rPr>
                <w:sz w:val="18"/>
                <w:szCs w:val="21"/>
              </w:rPr>
            </w:pPr>
            <w:r>
              <w:rPr>
                <w:sz w:val="18"/>
              </w:rPr>
              <w:t xml:space="preserve">闭环电流开合试验</w:t>
            </w:r>
            <w:r>
              <w:rPr>
                <w:sz w:val="18"/>
                <w:szCs w:val="21"/>
              </w:rPr>
            </w:r>
            <w:r/>
          </w:p>
        </w:tc>
        <w:tc>
          <w:tcPr>
            <w:tcW w:w="1080"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center"/>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372"/>
        </w:trPr>
        <w:tc>
          <w:tcPr>
            <w:tcW w:w="619" w:type="dxa"/>
            <w:vAlign w:val="center"/>
            <w:textDirection w:val="lrTb"/>
            <w:noWrap w:val="false"/>
          </w:tcPr>
          <w:p>
            <w:pPr>
              <w:pStyle w:val="1151"/>
              <w:jc w:val="center"/>
              <w:spacing w:line="312" w:lineRule="exact"/>
              <w:rPr>
                <w:sz w:val="18"/>
              </w:rPr>
            </w:pPr>
            <w:r>
              <w:rPr>
                <w:sz w:val="18"/>
              </w:rPr>
              <w:t xml:space="preserve">17</w:t>
            </w:r>
            <w:r>
              <w:rPr>
                <w:sz w:val="18"/>
              </w:rPr>
            </w:r>
            <w:r/>
          </w:p>
        </w:tc>
        <w:tc>
          <w:tcPr>
            <w:gridSpan w:val="2"/>
            <w:tcW w:w="3804" w:type="dxa"/>
            <w:vAlign w:val="top"/>
            <w:textDirection w:val="lrTb"/>
            <w:noWrap w:val="false"/>
          </w:tcPr>
          <w:p>
            <w:pPr>
              <w:pStyle w:val="1151"/>
              <w:spacing w:line="312" w:lineRule="exact"/>
              <w:rPr>
                <w:sz w:val="18"/>
              </w:rPr>
            </w:pPr>
            <w:r>
              <w:rPr>
                <w:sz w:val="18"/>
                <w:szCs w:val="21"/>
              </w:rPr>
              <w:t xml:space="preserve">接地短路关合试验</w:t>
            </w:r>
            <w:r>
              <w:rPr>
                <w:sz w:val="18"/>
              </w:rPr>
            </w:r>
            <w:r/>
          </w:p>
        </w:tc>
        <w:tc>
          <w:tcPr>
            <w:tcW w:w="1080"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center"/>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366"/>
        </w:trPr>
        <w:tc>
          <w:tcPr>
            <w:tcW w:w="619" w:type="dxa"/>
            <w:vAlign w:val="center"/>
            <w:textDirection w:val="lrTb"/>
            <w:noWrap w:val="false"/>
          </w:tcPr>
          <w:p>
            <w:pPr>
              <w:pStyle w:val="1151"/>
              <w:jc w:val="center"/>
              <w:spacing w:line="312" w:lineRule="exact"/>
              <w:rPr>
                <w:sz w:val="18"/>
              </w:rPr>
            </w:pPr>
            <w:r>
              <w:rPr>
                <w:sz w:val="18"/>
              </w:rPr>
              <w:t xml:space="preserve">18</w:t>
            </w:r>
            <w:r>
              <w:rPr>
                <w:sz w:val="18"/>
              </w:rPr>
            </w:r>
            <w:r/>
          </w:p>
        </w:tc>
        <w:tc>
          <w:tcPr>
            <w:gridSpan w:val="2"/>
            <w:tcW w:w="3804" w:type="dxa"/>
            <w:vAlign w:val="top"/>
            <w:textDirection w:val="lrTb"/>
            <w:noWrap w:val="false"/>
          </w:tcPr>
          <w:p>
            <w:pPr>
              <w:pStyle w:val="1151"/>
              <w:spacing w:line="312" w:lineRule="exact"/>
              <w:rPr>
                <w:sz w:val="18"/>
              </w:rPr>
            </w:pPr>
            <w:r>
              <w:rPr>
                <w:sz w:val="18"/>
              </w:rPr>
              <w:t xml:space="preserve">电寿命试验</w:t>
            </w:r>
            <w:r>
              <w:rPr>
                <w:sz w:val="18"/>
              </w:rPr>
            </w:r>
            <w:r/>
          </w:p>
        </w:tc>
        <w:tc>
          <w:tcPr>
            <w:tcW w:w="1080"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center"/>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302"/>
        </w:trPr>
        <w:tc>
          <w:tcPr>
            <w:tcW w:w="619" w:type="dxa"/>
            <w:vAlign w:val="center"/>
            <w:textDirection w:val="lrTb"/>
            <w:noWrap w:val="false"/>
          </w:tcPr>
          <w:p>
            <w:pPr>
              <w:pStyle w:val="1151"/>
              <w:jc w:val="center"/>
              <w:spacing w:line="312" w:lineRule="exact"/>
              <w:rPr>
                <w:sz w:val="18"/>
              </w:rPr>
            </w:pPr>
            <w:r>
              <w:rPr>
                <w:sz w:val="18"/>
              </w:rPr>
              <w:t xml:space="preserve">19</w:t>
            </w:r>
            <w:r>
              <w:rPr>
                <w:sz w:val="18"/>
              </w:rPr>
            </w:r>
            <w:r/>
          </w:p>
        </w:tc>
        <w:tc>
          <w:tcPr>
            <w:gridSpan w:val="2"/>
            <w:tcW w:w="3804" w:type="dxa"/>
            <w:vAlign w:val="top"/>
            <w:textDirection w:val="lrTb"/>
            <w:noWrap w:val="false"/>
          </w:tcPr>
          <w:p>
            <w:pPr>
              <w:pStyle w:val="1151"/>
              <w:spacing w:line="312" w:lineRule="exact"/>
              <w:rPr>
                <w:sz w:val="18"/>
              </w:rPr>
            </w:pPr>
            <w:r>
              <w:rPr>
                <w:sz w:val="18"/>
              </w:rPr>
              <w:t xml:space="preserve">凝露试验</w:t>
            </w:r>
            <w:r>
              <w:rPr>
                <w:sz w:val="18"/>
              </w:rPr>
            </w:r>
            <w:r/>
          </w:p>
        </w:tc>
        <w:tc>
          <w:tcPr>
            <w:tcW w:w="1080"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center"/>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302"/>
        </w:trPr>
        <w:tc>
          <w:tcPr>
            <w:tcW w:w="619" w:type="dxa"/>
            <w:vAlign w:val="center"/>
            <w:textDirection w:val="lrTb"/>
            <w:noWrap w:val="false"/>
          </w:tcPr>
          <w:p>
            <w:pPr>
              <w:pStyle w:val="1151"/>
              <w:jc w:val="center"/>
              <w:spacing w:line="312" w:lineRule="exact"/>
              <w:rPr>
                <w:sz w:val="18"/>
              </w:rPr>
            </w:pPr>
            <w:r>
              <w:rPr>
                <w:sz w:val="18"/>
              </w:rPr>
              <w:t xml:space="preserve">20</w:t>
            </w:r>
            <w:r>
              <w:rPr>
                <w:sz w:val="18"/>
              </w:rPr>
            </w:r>
            <w:r/>
          </w:p>
        </w:tc>
        <w:tc>
          <w:tcPr>
            <w:gridSpan w:val="2"/>
            <w:tcW w:w="3804" w:type="dxa"/>
            <w:vAlign w:val="top"/>
            <w:textDirection w:val="lrTb"/>
            <w:noWrap w:val="false"/>
          </w:tcPr>
          <w:p>
            <w:pPr>
              <w:pStyle w:val="1151"/>
              <w:spacing w:line="312" w:lineRule="exact"/>
              <w:rPr>
                <w:sz w:val="18"/>
              </w:rPr>
            </w:pPr>
            <w:r>
              <w:rPr>
                <w:sz w:val="18"/>
              </w:rPr>
              <w:t xml:space="preserve">局部放电试验</w:t>
            </w:r>
            <w:r>
              <w:rPr>
                <w:sz w:val="18"/>
              </w:rPr>
            </w:r>
            <w:r/>
          </w:p>
        </w:tc>
        <w:tc>
          <w:tcPr>
            <w:tcW w:w="1080"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center"/>
            <w:textDirection w:val="lrTb"/>
            <w:noWrap w:val="false"/>
          </w:tcPr>
          <w:p>
            <w:pPr>
              <w:pStyle w:val="1151"/>
              <w:jc w:val="center"/>
              <w:spacing w:before="28" w:after="28" w:line="312" w:lineRule="exact"/>
              <w:rPr>
                <w:sz w:val="18"/>
              </w:rPr>
            </w:pPr>
            <w:r>
              <w:rPr>
                <w:sz w:val="18"/>
              </w:rPr>
            </w:r>
            <w:r/>
          </w:p>
        </w:tc>
        <w:tc>
          <w:tcPr>
            <w:tcW w:w="1507" w:type="dxa"/>
            <w:vAlign w:val="center"/>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302"/>
        </w:trPr>
        <w:tc>
          <w:tcPr>
            <w:tcW w:w="619" w:type="dxa"/>
            <w:vAlign w:val="center"/>
            <w:textDirection w:val="lrTb"/>
            <w:noWrap w:val="false"/>
          </w:tcPr>
          <w:p>
            <w:pPr>
              <w:pStyle w:val="1151"/>
              <w:jc w:val="center"/>
              <w:spacing w:line="312" w:lineRule="exact"/>
              <w:rPr>
                <w:sz w:val="18"/>
              </w:rPr>
            </w:pPr>
            <w:r>
              <w:rPr>
                <w:sz w:val="18"/>
              </w:rPr>
              <w:t xml:space="preserve">21</w:t>
            </w:r>
            <w:r>
              <w:rPr>
                <w:sz w:val="18"/>
              </w:rPr>
            </w:r>
            <w:r/>
          </w:p>
        </w:tc>
        <w:tc>
          <w:tcPr>
            <w:gridSpan w:val="2"/>
            <w:tcW w:w="3804" w:type="dxa"/>
            <w:vAlign w:val="top"/>
            <w:textDirection w:val="lrTb"/>
            <w:noWrap w:val="false"/>
          </w:tcPr>
          <w:p>
            <w:pPr>
              <w:pStyle w:val="1151"/>
              <w:spacing w:line="312" w:lineRule="exact"/>
              <w:rPr>
                <w:sz w:val="18"/>
              </w:rPr>
            </w:pPr>
            <w:r>
              <w:rPr>
                <w:sz w:val="18"/>
              </w:rPr>
              <w:t xml:space="preserve">高低温试验</w:t>
            </w:r>
            <w:r>
              <w:rPr>
                <w:sz w:val="18"/>
              </w:rPr>
            </w:r>
            <w:r/>
          </w:p>
        </w:tc>
        <w:tc>
          <w:tcPr>
            <w:tcW w:w="1080" w:type="dxa"/>
            <w:vAlign w:val="top"/>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top"/>
            <w:textDirection w:val="lrTb"/>
            <w:noWrap w:val="false"/>
          </w:tcPr>
          <w:p>
            <w:pPr>
              <w:pStyle w:val="1151"/>
              <w:jc w:val="center"/>
              <w:spacing w:before="28" w:after="28" w:line="312" w:lineRule="exact"/>
              <w:rPr>
                <w:sz w:val="18"/>
              </w:rPr>
            </w:pPr>
            <w:r>
              <w:rPr>
                <w:sz w:val="18"/>
              </w:rPr>
            </w:r>
            <w:r/>
          </w:p>
        </w:tc>
        <w:tc>
          <w:tcPr>
            <w:tcW w:w="1507" w:type="dxa"/>
            <w:vAlign w:val="top"/>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302"/>
        </w:trPr>
        <w:tc>
          <w:tcPr>
            <w:tcW w:w="619" w:type="dxa"/>
            <w:vAlign w:val="center"/>
            <w:textDirection w:val="lrTb"/>
            <w:noWrap w:val="false"/>
          </w:tcPr>
          <w:p>
            <w:pPr>
              <w:pStyle w:val="1151"/>
              <w:jc w:val="center"/>
              <w:spacing w:line="312" w:lineRule="exact"/>
              <w:rPr>
                <w:sz w:val="18"/>
              </w:rPr>
            </w:pPr>
            <w:r>
              <w:rPr>
                <w:sz w:val="18"/>
              </w:rPr>
              <w:t xml:space="preserve">22</w:t>
            </w:r>
            <w:r>
              <w:rPr>
                <w:sz w:val="18"/>
              </w:rPr>
            </w:r>
            <w:r/>
          </w:p>
        </w:tc>
        <w:tc>
          <w:tcPr>
            <w:gridSpan w:val="2"/>
            <w:tcW w:w="3804" w:type="dxa"/>
            <w:vAlign w:val="top"/>
            <w:textDirection w:val="lrTb"/>
            <w:noWrap w:val="false"/>
          </w:tcPr>
          <w:p>
            <w:pPr>
              <w:pStyle w:val="1151"/>
              <w:spacing w:line="312" w:lineRule="exact"/>
              <w:rPr>
                <w:sz w:val="18"/>
              </w:rPr>
            </w:pPr>
            <w:r>
              <w:rPr>
                <w:sz w:val="18"/>
              </w:rPr>
              <w:t xml:space="preserve">严酷气候条件下的试验</w:t>
            </w:r>
            <w:r>
              <w:rPr>
                <w:sz w:val="18"/>
              </w:rPr>
            </w:r>
            <w:r/>
          </w:p>
        </w:tc>
        <w:tc>
          <w:tcPr>
            <w:tcW w:w="1080" w:type="dxa"/>
            <w:vAlign w:val="top"/>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top"/>
            <w:textDirection w:val="lrTb"/>
            <w:noWrap w:val="false"/>
          </w:tcPr>
          <w:p>
            <w:pPr>
              <w:pStyle w:val="1151"/>
              <w:jc w:val="center"/>
              <w:spacing w:before="28" w:after="28" w:line="312" w:lineRule="exact"/>
              <w:rPr>
                <w:sz w:val="18"/>
              </w:rPr>
            </w:pPr>
            <w:r>
              <w:rPr>
                <w:sz w:val="18"/>
              </w:rPr>
            </w:r>
            <w:r/>
          </w:p>
        </w:tc>
        <w:tc>
          <w:tcPr>
            <w:tcW w:w="1507" w:type="dxa"/>
            <w:vAlign w:val="top"/>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302"/>
        </w:trPr>
        <w:tc>
          <w:tcPr>
            <w:tcW w:w="619" w:type="dxa"/>
            <w:vAlign w:val="center"/>
            <w:textDirection w:val="lrTb"/>
            <w:noWrap w:val="false"/>
          </w:tcPr>
          <w:p>
            <w:pPr>
              <w:pStyle w:val="1151"/>
              <w:jc w:val="center"/>
              <w:spacing w:line="312" w:lineRule="exact"/>
              <w:rPr>
                <w:sz w:val="18"/>
              </w:rPr>
            </w:pPr>
            <w:r>
              <w:rPr>
                <w:sz w:val="18"/>
              </w:rPr>
              <w:t xml:space="preserve">23</w:t>
            </w:r>
            <w:r>
              <w:rPr>
                <w:sz w:val="18"/>
              </w:rPr>
            </w:r>
            <w:r/>
          </w:p>
        </w:tc>
        <w:tc>
          <w:tcPr>
            <w:gridSpan w:val="2"/>
            <w:tcW w:w="3804" w:type="dxa"/>
            <w:vAlign w:val="top"/>
            <w:textDirection w:val="lrTb"/>
            <w:noWrap w:val="false"/>
          </w:tcPr>
          <w:p>
            <w:pPr>
              <w:pStyle w:val="1151"/>
              <w:spacing w:line="312" w:lineRule="exact"/>
              <w:rPr>
                <w:sz w:val="18"/>
              </w:rPr>
            </w:pPr>
            <w:r>
              <w:rPr>
                <w:sz w:val="18"/>
                <w:szCs w:val="18"/>
              </w:rPr>
              <w:t xml:space="preserve">验证辅助和控制回路的试验</w:t>
            </w:r>
            <w:r>
              <w:rPr>
                <w:sz w:val="18"/>
              </w:rPr>
            </w:r>
            <w:r/>
          </w:p>
        </w:tc>
        <w:tc>
          <w:tcPr>
            <w:tcW w:w="1080" w:type="dxa"/>
            <w:vAlign w:val="top"/>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top"/>
            <w:textDirection w:val="lrTb"/>
            <w:noWrap w:val="false"/>
          </w:tcPr>
          <w:p>
            <w:pPr>
              <w:pStyle w:val="1151"/>
              <w:jc w:val="center"/>
              <w:spacing w:before="28" w:after="28" w:line="312" w:lineRule="exact"/>
              <w:rPr>
                <w:sz w:val="18"/>
              </w:rPr>
            </w:pPr>
            <w:r>
              <w:rPr>
                <w:sz w:val="18"/>
              </w:rPr>
            </w:r>
            <w:r/>
          </w:p>
        </w:tc>
        <w:tc>
          <w:tcPr>
            <w:tcW w:w="1507" w:type="dxa"/>
            <w:vAlign w:val="top"/>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302"/>
        </w:trPr>
        <w:tc>
          <w:tcPr>
            <w:tcW w:w="619" w:type="dxa"/>
            <w:vAlign w:val="center"/>
            <w:textDirection w:val="lrTb"/>
            <w:noWrap w:val="false"/>
          </w:tcPr>
          <w:p>
            <w:pPr>
              <w:pStyle w:val="1151"/>
              <w:jc w:val="center"/>
              <w:spacing w:line="312" w:lineRule="exact"/>
              <w:rPr>
                <w:sz w:val="18"/>
              </w:rPr>
            </w:pPr>
            <w:r>
              <w:rPr>
                <w:sz w:val="18"/>
              </w:rPr>
              <w:t xml:space="preserve">24</w:t>
            </w:r>
            <w:r>
              <w:rPr>
                <w:sz w:val="18"/>
              </w:rPr>
            </w:r>
            <w:r/>
          </w:p>
        </w:tc>
        <w:tc>
          <w:tcPr>
            <w:gridSpan w:val="2"/>
            <w:tcW w:w="3804" w:type="dxa"/>
            <w:vAlign w:val="top"/>
            <w:textDirection w:val="lrTb"/>
            <w:noWrap w:val="false"/>
          </w:tcPr>
          <w:p>
            <w:pPr>
              <w:pStyle w:val="1151"/>
              <w:spacing w:line="312" w:lineRule="exact"/>
              <w:rPr>
                <w:sz w:val="18"/>
              </w:rPr>
            </w:pPr>
            <w:r>
              <w:rPr>
                <w:sz w:val="18"/>
                <w:szCs w:val="18"/>
              </w:rPr>
              <w:t xml:space="preserve">电磁兼容性试验（EMC）</w:t>
            </w:r>
            <w:r>
              <w:rPr>
                <w:sz w:val="18"/>
              </w:rPr>
            </w:r>
            <w:r/>
          </w:p>
        </w:tc>
        <w:tc>
          <w:tcPr>
            <w:tcW w:w="1080" w:type="dxa"/>
            <w:vAlign w:val="top"/>
            <w:textDirection w:val="lrTb"/>
            <w:noWrap w:val="false"/>
          </w:tcPr>
          <w:p>
            <w:pPr>
              <w:pStyle w:val="1151"/>
              <w:jc w:val="center"/>
              <w:spacing w:before="28" w:after="28" w:line="312" w:lineRule="exact"/>
              <w:rPr>
                <w:sz w:val="18"/>
              </w:rPr>
            </w:pPr>
            <w:r>
              <w:rPr>
                <w:sz w:val="18"/>
                <w:szCs w:val="18"/>
              </w:rPr>
              <w:t xml:space="preserve">*</w:t>
            </w:r>
            <w:r>
              <w:rPr>
                <w:sz w:val="18"/>
              </w:rPr>
            </w:r>
            <w:r/>
          </w:p>
        </w:tc>
        <w:tc>
          <w:tcPr>
            <w:tcW w:w="1540" w:type="dxa"/>
            <w:vAlign w:val="top"/>
            <w:textDirection w:val="lrTb"/>
            <w:noWrap w:val="false"/>
          </w:tcPr>
          <w:p>
            <w:pPr>
              <w:pStyle w:val="1151"/>
              <w:jc w:val="center"/>
              <w:spacing w:before="28" w:after="28" w:line="312" w:lineRule="exact"/>
              <w:rPr>
                <w:sz w:val="18"/>
              </w:rPr>
            </w:pPr>
            <w:r>
              <w:rPr>
                <w:sz w:val="18"/>
              </w:rPr>
            </w:r>
            <w:r/>
          </w:p>
        </w:tc>
        <w:tc>
          <w:tcPr>
            <w:tcW w:w="1507" w:type="dxa"/>
            <w:vAlign w:val="top"/>
            <w:textDirection w:val="lrTb"/>
            <w:noWrap w:val="false"/>
          </w:tcPr>
          <w:p>
            <w:pPr>
              <w:pStyle w:val="1151"/>
              <w:jc w:val="center"/>
              <w:spacing w:before="28" w:after="28" w:line="312" w:lineRule="exact"/>
              <w:rPr>
                <w:sz w:val="18"/>
              </w:rPr>
            </w:pPr>
            <w:r>
              <w:rPr>
                <w:sz w:val="18"/>
                <w:szCs w:val="18"/>
              </w:rPr>
              <w:t xml:space="preserve">*</w:t>
            </w:r>
            <w:r>
              <w:rPr>
                <w:sz w:val="18"/>
              </w:rPr>
            </w:r>
            <w:r/>
          </w:p>
        </w:tc>
      </w:tr>
      <w:tr>
        <w:trPr>
          <w:trHeight w:val="377"/>
        </w:trPr>
        <w:tc>
          <w:tcPr>
            <w:gridSpan w:val="6"/>
            <w:tcW w:w="8550" w:type="dxa"/>
            <w:vAlign w:val="top"/>
            <w:textDirection w:val="lrTb"/>
            <w:noWrap w:val="false"/>
          </w:tcPr>
          <w:p>
            <w:pPr>
              <w:pStyle w:val="1252"/>
              <w:ind w:left="0" w:firstLine="0"/>
              <w:spacing w:line="312" w:lineRule="exact"/>
              <w:tabs>
                <w:tab w:val="left" w:pos="630" w:leader="none"/>
              </w:tabs>
              <w:rPr>
                <w:rFonts w:ascii="Times New Roman"/>
                <w:szCs w:val="18"/>
              </w:rPr>
            </w:pPr>
            <w:r>
              <w:rPr>
                <w:rFonts w:ascii="Times New Roman"/>
              </w:rPr>
              <w:t xml:space="preserve">注：1.</w:t>
            </w:r>
            <w:r>
              <w:rPr>
                <w:rFonts w:ascii="Times New Roman"/>
                <w:szCs w:val="18"/>
              </w:rPr>
              <w:t xml:space="preserve">“△”为必试项目；“*”为需要时进行的试验项目；“/”为不需要进行的试验项目。</w:t>
            </w:r>
            <w:r>
              <w:rPr>
                <w:rFonts w:ascii="Times New Roman"/>
                <w:szCs w:val="18"/>
              </w:rPr>
            </w:r>
            <w:r/>
          </w:p>
          <w:p>
            <w:pPr>
              <w:pStyle w:val="1252"/>
              <w:ind w:left="0" w:firstLine="0"/>
              <w:spacing w:line="312" w:lineRule="exact"/>
              <w:tabs>
                <w:tab w:val="left" w:pos="630" w:leader="none"/>
              </w:tabs>
              <w:rPr>
                <w:rFonts w:ascii="Times New Roman"/>
                <w:sz w:val="21"/>
              </w:rPr>
            </w:pPr>
            <w:r>
              <w:rPr>
                <w:rFonts w:ascii="Times New Roman"/>
              </w:rPr>
              <w:t xml:space="preserve">    2.</w:t>
            </w:r>
            <w:r>
              <w:rPr>
                <w:rFonts w:ascii="Times New Roman"/>
                <w:szCs w:val="21"/>
              </w:rPr>
              <w:t xml:space="preserve">环网柜中电流互感器、电压互感器、变压器及避雷器等元件按应相关标准进行的其它试验。</w:t>
            </w:r>
            <w:r>
              <w:rPr>
                <w:rFonts w:ascii="Times New Roman"/>
                <w:sz w:val="21"/>
              </w:rPr>
            </w:r>
            <w:r/>
          </w:p>
        </w:tc>
      </w:tr>
    </w:tbl>
    <w:p>
      <w:pPr>
        <w:pStyle w:val="1240"/>
        <w:rPr>
          <w:rFonts w:ascii="Times New Roman"/>
          <w:color w:val="000000"/>
        </w:rPr>
      </w:pPr>
      <w:r>
        <w:rPr>
          <w:rFonts w:ascii="Times New Roman"/>
          <w:color w:val="000000"/>
        </w:rPr>
      </w:r>
      <w:r/>
    </w:p>
    <w:p>
      <w:pPr>
        <w:pStyle w:val="1151"/>
        <w:spacing w:line="312" w:lineRule="exact"/>
        <w:rPr>
          <w:rFonts w:eastAsia="黑体"/>
          <w:szCs w:val="21"/>
        </w:rPr>
        <w:outlineLvl w:val="2"/>
      </w:pPr>
      <w:r>
        <w:rPr>
          <w:rFonts w:eastAsia="黑体"/>
          <w:szCs w:val="21"/>
        </w:rPr>
        <w:t xml:space="preserve">6.1.2 出厂试验</w:t>
      </w:r>
      <w:r>
        <w:rPr>
          <w:rFonts w:eastAsia="黑体"/>
          <w:szCs w:val="21"/>
        </w:rPr>
      </w:r>
      <w:r/>
    </w:p>
    <w:p>
      <w:pPr>
        <w:pStyle w:val="1151"/>
        <w:spacing w:line="312" w:lineRule="exact"/>
      </w:pPr>
      <w:r>
        <w:t xml:space="preserve">6.1.2</w:t>
      </w:r>
      <w:r>
        <w:rPr>
          <w:szCs w:val="21"/>
        </w:rPr>
        <w:t xml:space="preserve">.1 </w:t>
      </w:r>
      <w:r>
        <w:t xml:space="preserve">一般要求</w:t>
      </w:r>
      <w:r/>
    </w:p>
    <w:p>
      <w:pPr>
        <w:pStyle w:val="1151"/>
        <w:ind w:left="420"/>
        <w:spacing w:line="312" w:lineRule="exact"/>
        <w:rPr>
          <w:szCs w:val="21"/>
        </w:rPr>
      </w:pPr>
      <w:r>
        <w:rPr>
          <w:szCs w:val="21"/>
        </w:rPr>
        <w:t xml:space="preserve">a）每台环网柜均应在工厂内进行整台组装并进行出厂试验，出厂试验的技术数据应随产品一起交付招标人。产品在拆前应对关键的连接部位和部件做好标记；</w:t>
      </w:r>
      <w:r>
        <w:rPr>
          <w:szCs w:val="21"/>
        </w:rPr>
      </w:r>
      <w:r/>
    </w:p>
    <w:p>
      <w:pPr>
        <w:pStyle w:val="1151"/>
        <w:ind w:left="420"/>
        <w:spacing w:line="312" w:lineRule="exact"/>
        <w:rPr>
          <w:szCs w:val="21"/>
        </w:rPr>
      </w:pPr>
      <w:r>
        <w:rPr>
          <w:szCs w:val="21"/>
        </w:rPr>
        <w:t xml:space="preserve">b）出厂试验应符合GB 3906、DL/T 404及DL/T 593中的规定．还应符合相应产品标准及本标准的规定。</w:t>
      </w:r>
      <w:r>
        <w:rPr>
          <w:szCs w:val="21"/>
        </w:rPr>
      </w:r>
      <w:r/>
    </w:p>
    <w:p>
      <w:pPr>
        <w:pStyle w:val="1151"/>
        <w:spacing w:line="312" w:lineRule="exact"/>
      </w:pPr>
      <w:r>
        <w:t xml:space="preserve">6.1.2</w:t>
      </w:r>
      <w:r>
        <w:rPr>
          <w:szCs w:val="21"/>
        </w:rPr>
        <w:t xml:space="preserve">.2 环网柜的</w:t>
      </w:r>
      <w:r>
        <w:t xml:space="preserve">出厂试验项目见表</w:t>
      </w:r>
      <w:r>
        <w:rPr>
          <w:rFonts w:hint="eastAsia"/>
        </w:rPr>
        <w:t xml:space="preserve">2</w:t>
      </w:r>
      <w:r/>
    </w:p>
    <w:p>
      <w:pPr>
        <w:pStyle w:val="1251"/>
        <w:spacing w:before="156" w:after="156" w:line="312" w:lineRule="exact"/>
        <w:tabs>
          <w:tab w:val="left" w:pos="360" w:leader="none"/>
          <w:tab w:val="left" w:pos="420" w:leader="none"/>
        </w:tabs>
        <w:rPr>
          <w:rFonts w:ascii="Times New Roman"/>
          <w:sz w:val="21"/>
          <w:szCs w:val="21"/>
        </w:rPr>
      </w:pPr>
      <w:r>
        <w:rPr>
          <w:rFonts w:ascii="Times New Roman"/>
          <w:sz w:val="21"/>
          <w:szCs w:val="21"/>
        </w:rPr>
        <w:t xml:space="preserve">表</w:t>
      </w:r>
      <w:r>
        <w:rPr>
          <w:rFonts w:hint="eastAsia" w:ascii="Times New Roman"/>
          <w:sz w:val="21"/>
          <w:szCs w:val="21"/>
        </w:rPr>
        <w:t xml:space="preserve">2</w:t>
      </w:r>
      <w:r>
        <w:rPr>
          <w:rFonts w:ascii="Times New Roman"/>
          <w:sz w:val="21"/>
          <w:szCs w:val="21"/>
        </w:rPr>
        <w:t xml:space="preserve">环网柜的出厂试验项目</w:t>
      </w:r>
      <w:r>
        <w:rPr>
          <w:rFonts w:ascii="Times New Roman"/>
          <w:sz w:val="21"/>
          <w:szCs w:val="21"/>
        </w:rPr>
      </w:r>
      <w:r/>
    </w:p>
    <w:tbl>
      <w:tblPr>
        <w:tblW w:w="8550"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3804"/>
        <w:gridCol w:w="1080"/>
        <w:gridCol w:w="1540"/>
        <w:gridCol w:w="1507"/>
      </w:tblGrid>
      <w:tr>
        <w:trPr>
          <w:cantSplit/>
          <w:trHeight w:val="400"/>
          <w:tblHeader/>
        </w:trPr>
        <w:tc>
          <w:tcPr>
            <w:tcW w:w="619" w:type="dxa"/>
            <w:vAlign w:val="center"/>
            <w:vMerge w:val="restart"/>
            <w:textDirection w:val="lrTb"/>
            <w:noWrap w:val="false"/>
          </w:tcPr>
          <w:p>
            <w:pPr>
              <w:pStyle w:val="1151"/>
              <w:jc w:val="center"/>
              <w:spacing w:line="312" w:lineRule="exact"/>
              <w:rPr>
                <w:sz w:val="18"/>
              </w:rPr>
            </w:pPr>
            <w:r>
              <w:rPr>
                <w:sz w:val="18"/>
              </w:rPr>
              <w:t xml:space="preserve">序号</w:t>
            </w:r>
            <w:r>
              <w:rPr>
                <w:sz w:val="18"/>
              </w:rPr>
            </w:r>
            <w:r/>
          </w:p>
        </w:tc>
        <w:tc>
          <w:tcPr>
            <w:tcW w:w="3804" w:type="dxa"/>
            <w:vAlign w:val="center"/>
            <w:vMerge w:val="restart"/>
            <w:textDirection w:val="lrTb"/>
            <w:noWrap w:val="false"/>
          </w:tcPr>
          <w:p>
            <w:pPr>
              <w:pStyle w:val="1151"/>
              <w:jc w:val="center"/>
              <w:spacing w:line="312" w:lineRule="exact"/>
              <w:rPr>
                <w:sz w:val="18"/>
              </w:rPr>
            </w:pPr>
            <w:r>
              <w:rPr>
                <w:sz w:val="18"/>
              </w:rPr>
              <w:t xml:space="preserve">出厂试验项目</w:t>
            </w:r>
            <w:r>
              <w:rPr>
                <w:sz w:val="18"/>
              </w:rPr>
            </w:r>
            <w:r/>
          </w:p>
        </w:tc>
        <w:tc>
          <w:tcPr>
            <w:gridSpan w:val="3"/>
            <w:tcW w:w="4127" w:type="dxa"/>
            <w:vAlign w:val="center"/>
            <w:textDirection w:val="lrTb"/>
            <w:noWrap w:val="false"/>
          </w:tcPr>
          <w:p>
            <w:pPr>
              <w:pStyle w:val="1151"/>
              <w:jc w:val="center"/>
              <w:spacing w:line="312" w:lineRule="exact"/>
              <w:rPr>
                <w:sz w:val="18"/>
              </w:rPr>
            </w:pPr>
            <w:r>
              <w:rPr>
                <w:sz w:val="18"/>
              </w:rPr>
              <w:t xml:space="preserve">功能单元的类别</w:t>
            </w:r>
            <w:r>
              <w:rPr>
                <w:sz w:val="18"/>
              </w:rPr>
            </w:r>
            <w:r/>
          </w:p>
        </w:tc>
      </w:tr>
      <w:tr>
        <w:trPr>
          <w:cantSplit/>
          <w:trHeight w:val="90"/>
          <w:tblHeader/>
        </w:trPr>
        <w:tc>
          <w:tcPr>
            <w:tcW w:w="619" w:type="dxa"/>
            <w:vAlign w:val="center"/>
            <w:vMerge w:val="continue"/>
            <w:textDirection w:val="lrTb"/>
            <w:noWrap w:val="false"/>
          </w:tcPr>
          <w:p>
            <w:pPr>
              <w:pStyle w:val="1151"/>
              <w:jc w:val="center"/>
              <w:spacing w:line="312" w:lineRule="exact"/>
              <w:rPr>
                <w:sz w:val="18"/>
              </w:rPr>
            </w:pPr>
            <w:r>
              <w:rPr>
                <w:sz w:val="18"/>
              </w:rPr>
            </w:r>
            <w:r/>
          </w:p>
        </w:tc>
        <w:tc>
          <w:tcPr>
            <w:tcW w:w="3804" w:type="dxa"/>
            <w:vAlign w:val="center"/>
            <w:vMerge w:val="continue"/>
            <w:textDirection w:val="lrTb"/>
            <w:noWrap w:val="false"/>
          </w:tcPr>
          <w:p>
            <w:pPr>
              <w:pStyle w:val="1151"/>
              <w:jc w:val="center"/>
              <w:spacing w:line="312" w:lineRule="exact"/>
              <w:widowControl/>
              <w:rPr>
                <w:sz w:val="18"/>
              </w:rPr>
            </w:pPr>
            <w:r>
              <w:rPr>
                <w:sz w:val="18"/>
              </w:rPr>
            </w:r>
            <w:r/>
          </w:p>
        </w:tc>
        <w:tc>
          <w:tcPr>
            <w:tcW w:w="1080" w:type="dxa"/>
            <w:vAlign w:val="center"/>
            <w:textDirection w:val="lrTb"/>
            <w:noWrap w:val="false"/>
          </w:tcPr>
          <w:p>
            <w:pPr>
              <w:pStyle w:val="1151"/>
              <w:jc w:val="center"/>
              <w:spacing w:line="312" w:lineRule="exact"/>
              <w:rPr>
                <w:sz w:val="18"/>
              </w:rPr>
            </w:pPr>
            <w:r>
              <w:rPr>
                <w:sz w:val="18"/>
              </w:rPr>
              <w:t xml:space="preserve">断路器用</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组合电器用</w:t>
            </w:r>
            <w:r>
              <w:rPr>
                <w:sz w:val="18"/>
              </w:rPr>
            </w:r>
            <w:r/>
          </w:p>
        </w:tc>
      </w:tr>
      <w:tr>
        <w:trPr>
          <w:trHeight w:val="252"/>
        </w:trPr>
        <w:tc>
          <w:tcPr>
            <w:tcW w:w="619" w:type="dxa"/>
            <w:vAlign w:val="center"/>
            <w:textDirection w:val="lrTb"/>
            <w:noWrap w:val="false"/>
          </w:tcPr>
          <w:p>
            <w:pPr>
              <w:pStyle w:val="1151"/>
              <w:jc w:val="center"/>
              <w:spacing w:line="312" w:lineRule="exact"/>
              <w:rPr>
                <w:sz w:val="18"/>
              </w:rPr>
            </w:pPr>
            <w:r>
              <w:rPr>
                <w:sz w:val="18"/>
              </w:rPr>
              <w:t xml:space="preserve">1</w:t>
            </w:r>
            <w:r>
              <w:rPr>
                <w:sz w:val="18"/>
              </w:rPr>
            </w:r>
            <w:r/>
          </w:p>
        </w:tc>
        <w:tc>
          <w:tcPr>
            <w:tcW w:w="3804" w:type="dxa"/>
            <w:vAlign w:val="top"/>
            <w:textDirection w:val="lrTb"/>
            <w:noWrap w:val="false"/>
          </w:tcPr>
          <w:p>
            <w:pPr>
              <w:pStyle w:val="1151"/>
              <w:spacing w:line="312" w:lineRule="exact"/>
              <w:rPr>
                <w:sz w:val="18"/>
              </w:rPr>
            </w:pPr>
            <w:r>
              <w:rPr>
                <w:sz w:val="18"/>
                <w:szCs w:val="20"/>
              </w:rPr>
              <w:t xml:space="preserve">主回路的绝缘试验</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311"/>
        </w:trPr>
        <w:tc>
          <w:tcPr>
            <w:tcW w:w="619" w:type="dxa"/>
            <w:vAlign w:val="center"/>
            <w:textDirection w:val="lrTb"/>
            <w:noWrap w:val="false"/>
          </w:tcPr>
          <w:p>
            <w:pPr>
              <w:pStyle w:val="1151"/>
              <w:jc w:val="center"/>
              <w:spacing w:line="312" w:lineRule="exact"/>
              <w:rPr>
                <w:sz w:val="18"/>
              </w:rPr>
            </w:pPr>
            <w:r>
              <w:rPr>
                <w:sz w:val="18"/>
              </w:rPr>
              <w:t xml:space="preserve">2</w:t>
            </w:r>
            <w:r>
              <w:rPr>
                <w:sz w:val="18"/>
              </w:rPr>
            </w:r>
            <w:r/>
          </w:p>
        </w:tc>
        <w:tc>
          <w:tcPr>
            <w:tcW w:w="3804" w:type="dxa"/>
            <w:vAlign w:val="center"/>
            <w:textDirection w:val="lrTb"/>
            <w:noWrap w:val="false"/>
          </w:tcPr>
          <w:p>
            <w:pPr>
              <w:pStyle w:val="1151"/>
              <w:spacing w:line="312" w:lineRule="exact"/>
              <w:rPr>
                <w:sz w:val="18"/>
              </w:rPr>
            </w:pPr>
            <w:r>
              <w:rPr>
                <w:sz w:val="18"/>
              </w:rPr>
              <w:t xml:space="preserve">辅助回路和控制回路绝缘试验</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225"/>
        </w:trPr>
        <w:tc>
          <w:tcPr>
            <w:tcW w:w="619" w:type="dxa"/>
            <w:vAlign w:val="center"/>
            <w:textDirection w:val="lrTb"/>
            <w:noWrap w:val="false"/>
          </w:tcPr>
          <w:p>
            <w:pPr>
              <w:pStyle w:val="1151"/>
              <w:jc w:val="center"/>
              <w:spacing w:line="312" w:lineRule="exact"/>
              <w:rPr>
                <w:sz w:val="18"/>
              </w:rPr>
            </w:pPr>
            <w:r>
              <w:rPr>
                <w:sz w:val="18"/>
              </w:rPr>
              <w:t xml:space="preserve">3</w:t>
            </w:r>
            <w:r>
              <w:rPr>
                <w:sz w:val="18"/>
              </w:rPr>
            </w:r>
            <w:r/>
          </w:p>
        </w:tc>
        <w:tc>
          <w:tcPr>
            <w:tcW w:w="3804" w:type="dxa"/>
            <w:vAlign w:val="top"/>
            <w:textDirection w:val="lrTb"/>
            <w:noWrap w:val="false"/>
          </w:tcPr>
          <w:p>
            <w:pPr>
              <w:pStyle w:val="1151"/>
              <w:spacing w:line="312" w:lineRule="exact"/>
              <w:rPr>
                <w:sz w:val="18"/>
              </w:rPr>
            </w:pPr>
            <w:r>
              <w:rPr>
                <w:sz w:val="18"/>
                <w:szCs w:val="20"/>
              </w:rPr>
              <w:t xml:space="preserve">主回路电阻测量</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225"/>
        </w:trPr>
        <w:tc>
          <w:tcPr>
            <w:tcW w:w="619" w:type="dxa"/>
            <w:vAlign w:val="center"/>
            <w:textDirection w:val="lrTb"/>
            <w:noWrap w:val="false"/>
          </w:tcPr>
          <w:p>
            <w:pPr>
              <w:pStyle w:val="1151"/>
              <w:jc w:val="center"/>
              <w:spacing w:line="312" w:lineRule="exact"/>
              <w:rPr>
                <w:sz w:val="18"/>
              </w:rPr>
            </w:pPr>
            <w:r>
              <w:rPr>
                <w:sz w:val="18"/>
              </w:rPr>
              <w:t xml:space="preserve">4</w:t>
            </w:r>
            <w:r>
              <w:rPr>
                <w:sz w:val="18"/>
              </w:rPr>
            </w:r>
            <w:r/>
          </w:p>
        </w:tc>
        <w:tc>
          <w:tcPr>
            <w:tcW w:w="3804" w:type="dxa"/>
            <w:vAlign w:val="top"/>
            <w:textDirection w:val="lrTb"/>
            <w:noWrap w:val="false"/>
          </w:tcPr>
          <w:p>
            <w:pPr>
              <w:pStyle w:val="1151"/>
              <w:spacing w:line="312" w:lineRule="exact"/>
              <w:rPr>
                <w:sz w:val="18"/>
              </w:rPr>
            </w:pPr>
            <w:r>
              <w:rPr>
                <w:sz w:val="18"/>
                <w:szCs w:val="20"/>
              </w:rPr>
              <w:t xml:space="preserve">设计和外观检查</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225"/>
        </w:trPr>
        <w:tc>
          <w:tcPr>
            <w:tcW w:w="619" w:type="dxa"/>
            <w:vAlign w:val="center"/>
            <w:textDirection w:val="lrTb"/>
            <w:noWrap w:val="false"/>
          </w:tcPr>
          <w:p>
            <w:pPr>
              <w:pStyle w:val="1151"/>
              <w:jc w:val="center"/>
              <w:spacing w:line="312" w:lineRule="exact"/>
              <w:rPr>
                <w:sz w:val="18"/>
              </w:rPr>
            </w:pPr>
            <w:r>
              <w:rPr>
                <w:sz w:val="18"/>
              </w:rPr>
              <w:t xml:space="preserve">5</w:t>
            </w:r>
            <w:r>
              <w:rPr>
                <w:sz w:val="18"/>
              </w:rPr>
            </w:r>
            <w:r/>
          </w:p>
        </w:tc>
        <w:tc>
          <w:tcPr>
            <w:tcW w:w="3804" w:type="dxa"/>
            <w:vAlign w:val="top"/>
            <w:textDirection w:val="lrTb"/>
            <w:noWrap w:val="false"/>
          </w:tcPr>
          <w:p>
            <w:pPr>
              <w:pStyle w:val="1151"/>
              <w:spacing w:line="312" w:lineRule="exact"/>
              <w:rPr>
                <w:sz w:val="18"/>
              </w:rPr>
            </w:pPr>
            <w:r>
              <w:rPr>
                <w:sz w:val="18"/>
                <w:szCs w:val="20"/>
              </w:rPr>
              <w:t xml:space="preserve">机械操作和机械特性试验</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228"/>
        </w:trPr>
        <w:tc>
          <w:tcPr>
            <w:tcW w:w="619" w:type="dxa"/>
            <w:vAlign w:val="center"/>
            <w:textDirection w:val="lrTb"/>
            <w:noWrap w:val="false"/>
          </w:tcPr>
          <w:p>
            <w:pPr>
              <w:pStyle w:val="1151"/>
              <w:jc w:val="center"/>
              <w:spacing w:line="312" w:lineRule="exact"/>
              <w:rPr>
                <w:sz w:val="18"/>
              </w:rPr>
            </w:pPr>
            <w:r>
              <w:rPr>
                <w:sz w:val="18"/>
              </w:rPr>
              <w:t xml:space="preserve">6</w:t>
            </w:r>
            <w:r>
              <w:rPr>
                <w:sz w:val="18"/>
              </w:rPr>
            </w:r>
            <w:r/>
          </w:p>
        </w:tc>
        <w:tc>
          <w:tcPr>
            <w:tcW w:w="3804" w:type="dxa"/>
            <w:vAlign w:val="center"/>
            <w:textDirection w:val="lrTb"/>
            <w:noWrap w:val="false"/>
          </w:tcPr>
          <w:p>
            <w:pPr>
              <w:pStyle w:val="1151"/>
              <w:spacing w:line="312" w:lineRule="exact"/>
              <w:rPr>
                <w:sz w:val="18"/>
              </w:rPr>
            </w:pPr>
            <w:r>
              <w:rPr>
                <w:sz w:val="18"/>
              </w:rPr>
              <w:t xml:space="preserve">局部放电测量</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366"/>
        </w:trPr>
        <w:tc>
          <w:tcPr>
            <w:tcW w:w="619" w:type="dxa"/>
            <w:vAlign w:val="center"/>
            <w:textDirection w:val="lrTb"/>
            <w:noWrap w:val="false"/>
          </w:tcPr>
          <w:p>
            <w:pPr>
              <w:pStyle w:val="1151"/>
              <w:jc w:val="center"/>
              <w:spacing w:line="312" w:lineRule="exact"/>
              <w:rPr>
                <w:sz w:val="18"/>
              </w:rPr>
            </w:pPr>
            <w:r>
              <w:rPr>
                <w:sz w:val="18"/>
              </w:rPr>
              <w:t xml:space="preserve">7</w:t>
            </w:r>
            <w:r>
              <w:rPr>
                <w:sz w:val="18"/>
              </w:rPr>
            </w:r>
            <w:r/>
          </w:p>
        </w:tc>
        <w:tc>
          <w:tcPr>
            <w:tcW w:w="3804" w:type="dxa"/>
            <w:vAlign w:val="center"/>
            <w:textDirection w:val="lrTb"/>
            <w:noWrap w:val="false"/>
          </w:tcPr>
          <w:p>
            <w:pPr>
              <w:pStyle w:val="1151"/>
              <w:spacing w:line="312" w:lineRule="exact"/>
              <w:rPr>
                <w:sz w:val="18"/>
              </w:rPr>
            </w:pPr>
            <w:r>
              <w:rPr>
                <w:sz w:val="18"/>
              </w:rPr>
              <w:t xml:space="preserve">气箱密封试验（仅限充气柜）</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372"/>
        </w:trPr>
        <w:tc>
          <w:tcPr>
            <w:tcW w:w="619" w:type="dxa"/>
            <w:vAlign w:val="center"/>
            <w:textDirection w:val="lrTb"/>
            <w:noWrap w:val="false"/>
          </w:tcPr>
          <w:p>
            <w:pPr>
              <w:pStyle w:val="1151"/>
              <w:jc w:val="center"/>
              <w:spacing w:line="312" w:lineRule="exact"/>
              <w:rPr>
                <w:sz w:val="18"/>
              </w:rPr>
            </w:pPr>
            <w:r>
              <w:rPr>
                <w:sz w:val="18"/>
              </w:rPr>
              <w:t xml:space="preserve">8</w:t>
            </w:r>
            <w:r>
              <w:rPr>
                <w:sz w:val="18"/>
              </w:rPr>
            </w:r>
            <w:r/>
          </w:p>
        </w:tc>
        <w:tc>
          <w:tcPr>
            <w:tcW w:w="3804" w:type="dxa"/>
            <w:vAlign w:val="center"/>
            <w:textDirection w:val="lrTb"/>
            <w:noWrap w:val="false"/>
          </w:tcPr>
          <w:p>
            <w:pPr>
              <w:pStyle w:val="1151"/>
              <w:spacing w:line="312" w:lineRule="exact"/>
              <w:rPr>
                <w:sz w:val="18"/>
              </w:rPr>
            </w:pPr>
            <w:r>
              <w:rPr>
                <w:sz w:val="18"/>
              </w:rPr>
              <w:t xml:space="preserve">功能检测试验</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252"/>
        </w:trPr>
        <w:tc>
          <w:tcPr>
            <w:tcW w:w="619" w:type="dxa"/>
            <w:vAlign w:val="center"/>
            <w:textDirection w:val="lrTb"/>
            <w:noWrap w:val="false"/>
          </w:tcPr>
          <w:p>
            <w:pPr>
              <w:pStyle w:val="1151"/>
              <w:jc w:val="center"/>
              <w:spacing w:line="312" w:lineRule="exact"/>
              <w:rPr>
                <w:sz w:val="18"/>
              </w:rPr>
            </w:pPr>
            <w:r>
              <w:rPr>
                <w:sz w:val="18"/>
              </w:rPr>
              <w:t xml:space="preserve">9</w:t>
            </w:r>
            <w:r>
              <w:rPr>
                <w:sz w:val="18"/>
              </w:rPr>
            </w:r>
            <w:r/>
          </w:p>
        </w:tc>
        <w:tc>
          <w:tcPr>
            <w:tcW w:w="3804" w:type="dxa"/>
            <w:vAlign w:val="center"/>
            <w:textDirection w:val="lrTb"/>
            <w:noWrap w:val="false"/>
          </w:tcPr>
          <w:p>
            <w:pPr>
              <w:pStyle w:val="1151"/>
              <w:spacing w:line="312" w:lineRule="exact"/>
              <w:rPr>
                <w:sz w:val="18"/>
              </w:rPr>
            </w:pPr>
            <w:r>
              <w:rPr>
                <w:sz w:val="18"/>
              </w:rPr>
              <w:t xml:space="preserve">联锁试验</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377"/>
        </w:trPr>
        <w:tc>
          <w:tcPr>
            <w:gridSpan w:val="5"/>
            <w:tcW w:w="8550" w:type="dxa"/>
            <w:vAlign w:val="top"/>
            <w:textDirection w:val="lrTb"/>
            <w:noWrap w:val="false"/>
          </w:tcPr>
          <w:p>
            <w:pPr>
              <w:pStyle w:val="1252"/>
              <w:ind w:left="0" w:firstLine="0"/>
              <w:spacing w:line="312" w:lineRule="exact"/>
              <w:tabs>
                <w:tab w:val="left" w:pos="630" w:leader="none"/>
              </w:tabs>
              <w:rPr>
                <w:rFonts w:ascii="Times New Roman"/>
              </w:rPr>
            </w:pPr>
            <w:r>
              <w:rPr>
                <w:rFonts w:ascii="Times New Roman"/>
              </w:rPr>
              <w:t xml:space="preserve">注：1.“△”为必试项目。</w:t>
            </w:r>
            <w:r>
              <w:rPr>
                <w:rFonts w:ascii="Times New Roman"/>
              </w:rPr>
            </w:r>
            <w:r/>
          </w:p>
          <w:p>
            <w:pPr>
              <w:pStyle w:val="1252"/>
              <w:ind w:left="0" w:firstLine="0"/>
              <w:spacing w:line="312" w:lineRule="exact"/>
              <w:tabs>
                <w:tab w:val="left" w:pos="630" w:leader="none"/>
              </w:tabs>
              <w:rPr>
                <w:rFonts w:ascii="Times New Roman"/>
                <w:sz w:val="21"/>
              </w:rPr>
            </w:pPr>
            <w:r>
              <w:rPr>
                <w:rFonts w:ascii="Times New Roman"/>
              </w:rPr>
              <w:t xml:space="preserve">    2.</w:t>
            </w:r>
            <w:r>
              <w:rPr>
                <w:rFonts w:ascii="Times New Roman"/>
                <w:szCs w:val="21"/>
              </w:rPr>
              <w:t xml:space="preserve">环网柜中电流互感器、电压互感器、变压器及避雷器等元件按应相关标准进行的其它试验。</w:t>
            </w:r>
            <w:r>
              <w:rPr>
                <w:rFonts w:ascii="Times New Roman"/>
                <w:sz w:val="21"/>
              </w:rPr>
            </w:r>
            <w:r/>
          </w:p>
        </w:tc>
      </w:tr>
    </w:tbl>
    <w:p>
      <w:pPr>
        <w:pStyle w:val="1240"/>
        <w:rPr>
          <w:rFonts w:ascii="Times New Roman"/>
          <w:color w:val="000000"/>
        </w:rPr>
      </w:pPr>
      <w:r>
        <w:rPr>
          <w:rFonts w:ascii="Times New Roman"/>
          <w:color w:val="000000"/>
        </w:rPr>
      </w:r>
      <w:r/>
    </w:p>
    <w:p>
      <w:pPr>
        <w:pStyle w:val="1151"/>
        <w:spacing w:line="312" w:lineRule="exact"/>
      </w:pPr>
      <w:r>
        <w:t xml:space="preserve">6.1.2.3 固封组件和元件的出厂试验项目见表</w:t>
      </w:r>
      <w:r>
        <w:rPr>
          <w:rFonts w:hint="eastAsia"/>
        </w:rPr>
        <w:t xml:space="preserve">3</w:t>
      </w:r>
      <w:r/>
    </w:p>
    <w:p>
      <w:pPr>
        <w:pStyle w:val="1251"/>
        <w:spacing w:before="156" w:after="156" w:line="312" w:lineRule="exact"/>
        <w:tabs>
          <w:tab w:val="left" w:pos="360" w:leader="none"/>
          <w:tab w:val="left" w:pos="420" w:leader="none"/>
        </w:tabs>
        <w:rPr>
          <w:rFonts w:ascii="Times New Roman"/>
          <w:sz w:val="21"/>
          <w:szCs w:val="21"/>
        </w:rPr>
      </w:pPr>
      <w:r>
        <w:rPr>
          <w:rFonts w:ascii="Times New Roman"/>
          <w:sz w:val="21"/>
          <w:szCs w:val="21"/>
        </w:rPr>
        <w:t xml:space="preserve">表</w:t>
      </w:r>
      <w:r>
        <w:rPr>
          <w:rFonts w:hint="eastAsia" w:ascii="Times New Roman"/>
          <w:sz w:val="21"/>
          <w:szCs w:val="21"/>
        </w:rPr>
        <w:t xml:space="preserve">3</w:t>
      </w:r>
      <w:r>
        <w:rPr>
          <w:rFonts w:ascii="Times New Roman"/>
          <w:sz w:val="21"/>
          <w:szCs w:val="21"/>
        </w:rPr>
        <w:t xml:space="preserve">固封组件和元件的出厂试验项目</w:t>
      </w:r>
      <w:r>
        <w:rPr>
          <w:rFonts w:ascii="Times New Roman"/>
          <w:sz w:val="21"/>
          <w:szCs w:val="21"/>
        </w:rPr>
      </w:r>
      <w:r/>
    </w:p>
    <w:tbl>
      <w:tblPr>
        <w:tblW w:w="8550"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3804"/>
        <w:gridCol w:w="1080"/>
        <w:gridCol w:w="1540"/>
        <w:gridCol w:w="1507"/>
      </w:tblGrid>
      <w:tr>
        <w:trPr>
          <w:cantSplit/>
          <w:trHeight w:val="400"/>
          <w:tblHeader/>
        </w:trPr>
        <w:tc>
          <w:tcPr>
            <w:tcW w:w="619" w:type="dxa"/>
            <w:vAlign w:val="center"/>
            <w:vMerge w:val="restart"/>
            <w:textDirection w:val="lrTb"/>
            <w:noWrap w:val="false"/>
          </w:tcPr>
          <w:p>
            <w:pPr>
              <w:pStyle w:val="1151"/>
              <w:jc w:val="center"/>
              <w:spacing w:line="312" w:lineRule="exact"/>
              <w:rPr>
                <w:sz w:val="18"/>
              </w:rPr>
            </w:pPr>
            <w:r>
              <w:rPr>
                <w:sz w:val="18"/>
              </w:rPr>
              <w:t xml:space="preserve">序号</w:t>
            </w:r>
            <w:r>
              <w:rPr>
                <w:sz w:val="18"/>
              </w:rPr>
            </w:r>
            <w:r/>
          </w:p>
        </w:tc>
        <w:tc>
          <w:tcPr>
            <w:tcW w:w="3804" w:type="dxa"/>
            <w:vAlign w:val="center"/>
            <w:vMerge w:val="restart"/>
            <w:textDirection w:val="lrTb"/>
            <w:noWrap w:val="false"/>
          </w:tcPr>
          <w:p>
            <w:pPr>
              <w:pStyle w:val="1151"/>
              <w:jc w:val="center"/>
              <w:spacing w:line="312" w:lineRule="exact"/>
              <w:rPr>
                <w:sz w:val="18"/>
              </w:rPr>
            </w:pPr>
            <w:r>
              <w:rPr>
                <w:sz w:val="18"/>
              </w:rPr>
              <w:t xml:space="preserve">出厂试验项目</w:t>
            </w:r>
            <w:r>
              <w:rPr>
                <w:sz w:val="18"/>
              </w:rPr>
            </w:r>
            <w:r/>
          </w:p>
        </w:tc>
        <w:tc>
          <w:tcPr>
            <w:gridSpan w:val="3"/>
            <w:tcW w:w="4127" w:type="dxa"/>
            <w:vAlign w:val="center"/>
            <w:textDirection w:val="lrTb"/>
            <w:noWrap w:val="false"/>
          </w:tcPr>
          <w:p>
            <w:pPr>
              <w:pStyle w:val="1151"/>
              <w:jc w:val="center"/>
              <w:spacing w:line="312" w:lineRule="exact"/>
              <w:rPr>
                <w:sz w:val="18"/>
              </w:rPr>
            </w:pPr>
            <w:r>
              <w:rPr>
                <w:sz w:val="18"/>
              </w:rPr>
              <w:t xml:space="preserve">功能单元的类别</w:t>
            </w:r>
            <w:r>
              <w:rPr>
                <w:sz w:val="18"/>
              </w:rPr>
            </w:r>
            <w:r/>
          </w:p>
        </w:tc>
      </w:tr>
      <w:tr>
        <w:trPr>
          <w:cantSplit/>
          <w:trHeight w:val="90"/>
          <w:tblHeader/>
        </w:trPr>
        <w:tc>
          <w:tcPr>
            <w:tcW w:w="619" w:type="dxa"/>
            <w:vAlign w:val="center"/>
            <w:vMerge w:val="continue"/>
            <w:textDirection w:val="lrTb"/>
            <w:noWrap w:val="false"/>
          </w:tcPr>
          <w:p>
            <w:pPr>
              <w:pStyle w:val="1151"/>
              <w:jc w:val="center"/>
              <w:keepNext/>
              <w:spacing w:line="312" w:lineRule="exact"/>
              <w:rPr>
                <w:sz w:val="18"/>
              </w:rPr>
              <w:outlineLvl w:val="0"/>
            </w:pPr>
            <w:r>
              <w:rPr>
                <w:sz w:val="18"/>
              </w:rPr>
            </w:r>
            <w:r/>
          </w:p>
        </w:tc>
        <w:tc>
          <w:tcPr>
            <w:tcW w:w="3804" w:type="dxa"/>
            <w:vAlign w:val="center"/>
            <w:vMerge w:val="continue"/>
            <w:textDirection w:val="lrTb"/>
            <w:noWrap w:val="false"/>
          </w:tcPr>
          <w:p>
            <w:pPr>
              <w:pStyle w:val="1151"/>
              <w:jc w:val="center"/>
              <w:keepNext/>
              <w:spacing w:line="312" w:lineRule="exact"/>
              <w:widowControl/>
              <w:rPr>
                <w:sz w:val="18"/>
              </w:rPr>
              <w:outlineLvl w:val="0"/>
            </w:pPr>
            <w:r>
              <w:rPr>
                <w:sz w:val="18"/>
              </w:rPr>
            </w:r>
            <w:r/>
          </w:p>
        </w:tc>
        <w:tc>
          <w:tcPr>
            <w:tcW w:w="1080" w:type="dxa"/>
            <w:vAlign w:val="center"/>
            <w:textDirection w:val="lrTb"/>
            <w:noWrap w:val="false"/>
          </w:tcPr>
          <w:p>
            <w:pPr>
              <w:pStyle w:val="1151"/>
              <w:jc w:val="center"/>
              <w:spacing w:line="312" w:lineRule="exact"/>
              <w:rPr>
                <w:sz w:val="18"/>
              </w:rPr>
            </w:pPr>
            <w:r>
              <w:rPr>
                <w:sz w:val="18"/>
              </w:rPr>
              <w:t xml:space="preserve">断路器用</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组合电器用</w:t>
            </w:r>
            <w:r>
              <w:rPr>
                <w:sz w:val="18"/>
              </w:rPr>
            </w:r>
            <w:r/>
          </w:p>
        </w:tc>
      </w:tr>
      <w:tr>
        <w:trPr>
          <w:trHeight w:val="252"/>
        </w:trPr>
        <w:tc>
          <w:tcPr>
            <w:tcW w:w="619" w:type="dxa"/>
            <w:vAlign w:val="center"/>
            <w:textDirection w:val="lrTb"/>
            <w:noWrap w:val="false"/>
          </w:tcPr>
          <w:p>
            <w:pPr>
              <w:pStyle w:val="1151"/>
              <w:jc w:val="center"/>
              <w:spacing w:line="312" w:lineRule="exact"/>
              <w:rPr>
                <w:sz w:val="18"/>
              </w:rPr>
            </w:pPr>
            <w:r>
              <w:rPr>
                <w:sz w:val="18"/>
              </w:rPr>
              <w:t xml:space="preserve">1</w:t>
            </w:r>
            <w:r>
              <w:rPr>
                <w:sz w:val="18"/>
              </w:rPr>
            </w:r>
            <w:r/>
          </w:p>
        </w:tc>
        <w:tc>
          <w:tcPr>
            <w:tcW w:w="3804" w:type="dxa"/>
            <w:vAlign w:val="top"/>
            <w:textDirection w:val="lrTb"/>
            <w:noWrap w:val="false"/>
          </w:tcPr>
          <w:p>
            <w:pPr>
              <w:pStyle w:val="1151"/>
              <w:jc w:val="left"/>
              <w:spacing w:line="312" w:lineRule="exact"/>
              <w:rPr>
                <w:sz w:val="18"/>
              </w:rPr>
            </w:pPr>
            <w:r>
              <w:rPr>
                <w:sz w:val="18"/>
              </w:rPr>
              <w:t xml:space="preserve">外观及其尺寸检查</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311"/>
        </w:trPr>
        <w:tc>
          <w:tcPr>
            <w:tcW w:w="619" w:type="dxa"/>
            <w:vAlign w:val="center"/>
            <w:textDirection w:val="lrTb"/>
            <w:noWrap w:val="false"/>
          </w:tcPr>
          <w:p>
            <w:pPr>
              <w:pStyle w:val="1151"/>
              <w:jc w:val="center"/>
              <w:spacing w:line="312" w:lineRule="exact"/>
              <w:rPr>
                <w:sz w:val="18"/>
              </w:rPr>
            </w:pPr>
            <w:r>
              <w:rPr>
                <w:sz w:val="18"/>
              </w:rPr>
              <w:t xml:space="preserve">2</w:t>
            </w:r>
            <w:r>
              <w:rPr>
                <w:sz w:val="18"/>
              </w:rPr>
            </w:r>
            <w:r/>
          </w:p>
        </w:tc>
        <w:tc>
          <w:tcPr>
            <w:tcW w:w="3804" w:type="dxa"/>
            <w:vAlign w:val="center"/>
            <w:textDirection w:val="lrTb"/>
            <w:noWrap w:val="false"/>
          </w:tcPr>
          <w:p>
            <w:pPr>
              <w:pStyle w:val="1151"/>
              <w:jc w:val="left"/>
              <w:spacing w:line="312" w:lineRule="exact"/>
              <w:rPr>
                <w:sz w:val="18"/>
              </w:rPr>
            </w:pPr>
            <w:r>
              <w:rPr>
                <w:sz w:val="18"/>
              </w:rPr>
              <w:t xml:space="preserve">绝缘检查</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225"/>
        </w:trPr>
        <w:tc>
          <w:tcPr>
            <w:tcW w:w="619" w:type="dxa"/>
            <w:vAlign w:val="center"/>
            <w:textDirection w:val="lrTb"/>
            <w:noWrap w:val="false"/>
          </w:tcPr>
          <w:p>
            <w:pPr>
              <w:pStyle w:val="1151"/>
              <w:jc w:val="center"/>
              <w:spacing w:line="312" w:lineRule="exact"/>
              <w:rPr>
                <w:sz w:val="18"/>
              </w:rPr>
            </w:pPr>
            <w:r>
              <w:rPr>
                <w:sz w:val="18"/>
              </w:rPr>
              <w:t xml:space="preserve">3</w:t>
            </w:r>
            <w:r>
              <w:rPr>
                <w:sz w:val="18"/>
              </w:rPr>
            </w:r>
            <w:r/>
          </w:p>
        </w:tc>
        <w:tc>
          <w:tcPr>
            <w:tcW w:w="3804" w:type="dxa"/>
            <w:vAlign w:val="top"/>
            <w:textDirection w:val="lrTb"/>
            <w:noWrap w:val="false"/>
          </w:tcPr>
          <w:p>
            <w:pPr>
              <w:pStyle w:val="1151"/>
              <w:jc w:val="left"/>
              <w:spacing w:line="312" w:lineRule="exact"/>
              <w:rPr>
                <w:sz w:val="18"/>
              </w:rPr>
            </w:pPr>
            <w:r>
              <w:rPr>
                <w:sz w:val="18"/>
              </w:rPr>
              <w:t xml:space="preserve">局放测量</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225"/>
        </w:trPr>
        <w:tc>
          <w:tcPr>
            <w:tcW w:w="619" w:type="dxa"/>
            <w:vAlign w:val="center"/>
            <w:textDirection w:val="lrTb"/>
            <w:noWrap w:val="false"/>
          </w:tcPr>
          <w:p>
            <w:pPr>
              <w:pStyle w:val="1151"/>
              <w:jc w:val="center"/>
              <w:spacing w:line="312" w:lineRule="exact"/>
              <w:rPr>
                <w:sz w:val="18"/>
              </w:rPr>
            </w:pPr>
            <w:r>
              <w:rPr>
                <w:sz w:val="18"/>
              </w:rPr>
              <w:t xml:space="preserve">4</w:t>
            </w:r>
            <w:r>
              <w:rPr>
                <w:sz w:val="18"/>
              </w:rPr>
            </w:r>
            <w:r/>
          </w:p>
        </w:tc>
        <w:tc>
          <w:tcPr>
            <w:tcW w:w="3804" w:type="dxa"/>
            <w:vAlign w:val="top"/>
            <w:textDirection w:val="lrTb"/>
            <w:noWrap w:val="false"/>
          </w:tcPr>
          <w:p>
            <w:pPr>
              <w:pStyle w:val="1151"/>
              <w:jc w:val="left"/>
              <w:spacing w:line="312" w:lineRule="exact"/>
              <w:rPr>
                <w:sz w:val="18"/>
              </w:rPr>
            </w:pPr>
            <w:r>
              <w:rPr>
                <w:sz w:val="18"/>
              </w:rPr>
              <w:t xml:space="preserve">X射线探伤</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225"/>
        </w:trPr>
        <w:tc>
          <w:tcPr>
            <w:tcW w:w="619" w:type="dxa"/>
            <w:vAlign w:val="center"/>
            <w:textDirection w:val="lrTb"/>
            <w:noWrap w:val="false"/>
          </w:tcPr>
          <w:p>
            <w:pPr>
              <w:pStyle w:val="1151"/>
              <w:jc w:val="center"/>
              <w:spacing w:line="312" w:lineRule="exact"/>
              <w:rPr>
                <w:sz w:val="18"/>
              </w:rPr>
            </w:pPr>
            <w:r>
              <w:rPr>
                <w:sz w:val="18"/>
              </w:rPr>
              <w:t xml:space="preserve">5</w:t>
            </w:r>
            <w:r>
              <w:rPr>
                <w:sz w:val="18"/>
              </w:rPr>
            </w:r>
            <w:r/>
          </w:p>
        </w:tc>
        <w:tc>
          <w:tcPr>
            <w:tcW w:w="3804" w:type="dxa"/>
            <w:vAlign w:val="top"/>
            <w:textDirection w:val="lrTb"/>
            <w:noWrap w:val="false"/>
          </w:tcPr>
          <w:p>
            <w:pPr>
              <w:pStyle w:val="1151"/>
              <w:jc w:val="left"/>
              <w:spacing w:line="312" w:lineRule="exact"/>
              <w:rPr>
                <w:sz w:val="18"/>
              </w:rPr>
            </w:pPr>
            <w:r>
              <w:rPr>
                <w:sz w:val="18"/>
              </w:rPr>
              <w:t xml:space="preserve">密封试验（如果适用）</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225"/>
        </w:trPr>
        <w:tc>
          <w:tcPr>
            <w:tcW w:w="619" w:type="dxa"/>
            <w:vAlign w:val="center"/>
            <w:textDirection w:val="lrTb"/>
            <w:noWrap w:val="false"/>
          </w:tcPr>
          <w:p>
            <w:pPr>
              <w:pStyle w:val="1151"/>
              <w:jc w:val="center"/>
              <w:spacing w:line="312" w:lineRule="exact"/>
              <w:rPr>
                <w:sz w:val="18"/>
              </w:rPr>
            </w:pPr>
            <w:r>
              <w:rPr>
                <w:sz w:val="18"/>
              </w:rPr>
              <w:t xml:space="preserve">6</w:t>
            </w:r>
            <w:r>
              <w:rPr>
                <w:sz w:val="18"/>
              </w:rPr>
            </w:r>
            <w:r/>
          </w:p>
        </w:tc>
        <w:tc>
          <w:tcPr>
            <w:tcW w:w="3804" w:type="dxa"/>
            <w:vAlign w:val="top"/>
            <w:textDirection w:val="lrTb"/>
            <w:noWrap w:val="false"/>
          </w:tcPr>
          <w:p>
            <w:pPr>
              <w:pStyle w:val="1151"/>
              <w:jc w:val="left"/>
              <w:spacing w:line="312" w:lineRule="exact"/>
              <w:rPr>
                <w:sz w:val="18"/>
              </w:rPr>
            </w:pPr>
            <w:r>
              <w:rPr>
                <w:sz w:val="18"/>
              </w:rPr>
              <w:t xml:space="preserve">电流互感器、电压互感器、避雷器等按各自标准进行出厂试验</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377"/>
        </w:trPr>
        <w:tc>
          <w:tcPr>
            <w:gridSpan w:val="5"/>
            <w:tcW w:w="8550" w:type="dxa"/>
            <w:vAlign w:val="top"/>
            <w:textDirection w:val="lrTb"/>
            <w:noWrap w:val="false"/>
          </w:tcPr>
          <w:p>
            <w:pPr>
              <w:pStyle w:val="1252"/>
              <w:ind w:left="0" w:firstLine="0"/>
              <w:spacing w:line="312" w:lineRule="exact"/>
              <w:tabs>
                <w:tab w:val="left" w:pos="630" w:leader="none"/>
              </w:tabs>
              <w:rPr>
                <w:rFonts w:ascii="Times New Roman"/>
              </w:rPr>
            </w:pPr>
            <w:r>
              <w:rPr>
                <w:rFonts w:ascii="Times New Roman"/>
              </w:rPr>
              <w:t xml:space="preserve">注：“△”为必试项目。</w:t>
            </w:r>
            <w:r>
              <w:rPr>
                <w:rFonts w:ascii="Times New Roman"/>
              </w:rPr>
            </w:r>
            <w:r/>
          </w:p>
        </w:tc>
      </w:tr>
    </w:tbl>
    <w:p>
      <w:pPr>
        <w:pStyle w:val="1240"/>
        <w:rPr>
          <w:rFonts w:ascii="Times New Roman"/>
          <w:color w:val="000000"/>
        </w:rPr>
      </w:pPr>
      <w:r>
        <w:rPr>
          <w:rFonts w:ascii="Times New Roman"/>
          <w:color w:val="000000"/>
        </w:rPr>
      </w:r>
      <w:r/>
    </w:p>
    <w:p>
      <w:pPr>
        <w:pStyle w:val="1151"/>
        <w:spacing w:line="312" w:lineRule="exact"/>
        <w:rPr>
          <w:rFonts w:eastAsia="黑体"/>
          <w:szCs w:val="21"/>
        </w:rPr>
        <w:outlineLvl w:val="2"/>
      </w:pPr>
      <w:r>
        <w:rPr>
          <w:rFonts w:eastAsia="黑体"/>
          <w:szCs w:val="21"/>
        </w:rPr>
        <w:t xml:space="preserve">6.1.3 抽检试验</w:t>
      </w:r>
      <w:r>
        <w:rPr>
          <w:rFonts w:eastAsia="黑体"/>
          <w:szCs w:val="21"/>
        </w:rPr>
      </w:r>
      <w:r/>
    </w:p>
    <w:p>
      <w:pPr>
        <w:pStyle w:val="1151"/>
        <w:spacing w:line="312" w:lineRule="exact"/>
      </w:pPr>
      <w:r>
        <w:t xml:space="preserve">6.1.3</w:t>
      </w:r>
      <w:r>
        <w:rPr>
          <w:szCs w:val="21"/>
        </w:rPr>
        <w:t xml:space="preserve">.1 </w:t>
      </w:r>
      <w:r>
        <w:t xml:space="preserve">12kV环网单元应按比例进行抽检试验。抽检试验工作以招标批次为单位，每批的抽检比例宜为招标总数的2%～5%，前10批宜按5%比例抽取，如产品质量性能稳定且一次抽检合格率在95%以上，可以将抽检比例降低到2%，当一次抽检合格率降低到90%以下时应及时将抽检比例提高到5%。</w:t>
      </w:r>
      <w:r/>
    </w:p>
    <w:p>
      <w:pPr>
        <w:pStyle w:val="1151"/>
        <w:spacing w:line="312" w:lineRule="exact"/>
      </w:pPr>
      <w:r>
        <w:t xml:space="preserve">6.1.3</w:t>
      </w:r>
      <w:r>
        <w:rPr>
          <w:szCs w:val="21"/>
        </w:rPr>
        <w:t xml:space="preserve">.2</w:t>
      </w:r>
      <w:r>
        <w:t xml:space="preserve">抽检试验应提供抽检试验报告等相应的技术文件。如环网单元和配电自动化终端为不同生产厂家，应进行联调试验。</w:t>
      </w:r>
      <w:r/>
    </w:p>
    <w:p>
      <w:pPr>
        <w:pStyle w:val="1151"/>
        <w:spacing w:line="312" w:lineRule="exact"/>
      </w:pPr>
      <w:r>
        <w:t xml:space="preserve">6.1.3</w:t>
      </w:r>
      <w:r>
        <w:rPr>
          <w:szCs w:val="21"/>
        </w:rPr>
        <w:t xml:space="preserve">.3 </w:t>
      </w:r>
      <w:r>
        <w:t xml:space="preserve">抽检试验应符合GB 3906、DL/T 404及DL/T 593中的规定．还应符合相应产品标准及本标准的规定。</w:t>
      </w:r>
      <w:r/>
    </w:p>
    <w:p>
      <w:pPr>
        <w:pStyle w:val="1151"/>
        <w:spacing w:line="312" w:lineRule="exact"/>
      </w:pPr>
      <w:r>
        <w:t xml:space="preserve">6.1.3</w:t>
      </w:r>
      <w:r>
        <w:rPr>
          <w:szCs w:val="21"/>
        </w:rPr>
        <w:t xml:space="preserve">.4 </w:t>
      </w:r>
      <w:r>
        <w:t xml:space="preserve">抽检试验项目见表</w:t>
      </w:r>
      <w:r>
        <w:rPr>
          <w:rFonts w:hint="eastAsia"/>
        </w:rPr>
        <w:t xml:space="preserve">4</w:t>
      </w:r>
      <w:r/>
    </w:p>
    <w:p>
      <w:pPr>
        <w:pStyle w:val="1251"/>
        <w:spacing w:before="156" w:after="156" w:line="312" w:lineRule="exact"/>
        <w:tabs>
          <w:tab w:val="left" w:pos="360" w:leader="none"/>
          <w:tab w:val="left" w:pos="420" w:leader="none"/>
        </w:tabs>
        <w:rPr>
          <w:rFonts w:ascii="Times New Roman"/>
          <w:sz w:val="21"/>
          <w:szCs w:val="21"/>
        </w:rPr>
      </w:pPr>
      <w:r>
        <w:rPr>
          <w:rFonts w:ascii="Times New Roman"/>
          <w:sz w:val="21"/>
          <w:szCs w:val="21"/>
        </w:rPr>
        <w:t xml:space="preserve">表</w:t>
      </w:r>
      <w:r>
        <w:rPr>
          <w:rFonts w:hint="eastAsia" w:ascii="Times New Roman"/>
          <w:sz w:val="21"/>
          <w:szCs w:val="21"/>
        </w:rPr>
        <w:t xml:space="preserve">4</w:t>
      </w:r>
      <w:r>
        <w:rPr>
          <w:rFonts w:ascii="Times New Roman"/>
          <w:sz w:val="21"/>
          <w:szCs w:val="21"/>
        </w:rPr>
        <w:t xml:space="preserve">抽检试验项目</w:t>
      </w:r>
      <w:r>
        <w:rPr>
          <w:rFonts w:ascii="Times New Roman"/>
          <w:sz w:val="21"/>
          <w:szCs w:val="21"/>
        </w:rPr>
      </w:r>
      <w:r/>
    </w:p>
    <w:tbl>
      <w:tblPr>
        <w:tblW w:w="8550"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3804"/>
        <w:gridCol w:w="1080"/>
        <w:gridCol w:w="1540"/>
        <w:gridCol w:w="1507"/>
      </w:tblGrid>
      <w:tr>
        <w:trPr>
          <w:cantSplit/>
          <w:trHeight w:val="400"/>
        </w:trPr>
        <w:tc>
          <w:tcPr>
            <w:tcW w:w="619" w:type="dxa"/>
            <w:vAlign w:val="center"/>
            <w:vMerge w:val="restart"/>
            <w:textDirection w:val="lrTb"/>
            <w:noWrap w:val="false"/>
          </w:tcPr>
          <w:p>
            <w:pPr>
              <w:pStyle w:val="1151"/>
              <w:jc w:val="center"/>
              <w:spacing w:line="312" w:lineRule="exact"/>
              <w:rPr>
                <w:sz w:val="18"/>
              </w:rPr>
            </w:pPr>
            <w:r>
              <w:rPr>
                <w:sz w:val="18"/>
              </w:rPr>
              <w:t xml:space="preserve">序号</w:t>
            </w:r>
            <w:r>
              <w:rPr>
                <w:sz w:val="18"/>
              </w:rPr>
            </w:r>
            <w:r/>
          </w:p>
        </w:tc>
        <w:tc>
          <w:tcPr>
            <w:tcW w:w="3804" w:type="dxa"/>
            <w:vAlign w:val="center"/>
            <w:vMerge w:val="restart"/>
            <w:textDirection w:val="lrTb"/>
            <w:noWrap w:val="false"/>
          </w:tcPr>
          <w:p>
            <w:pPr>
              <w:pStyle w:val="1151"/>
              <w:jc w:val="center"/>
              <w:spacing w:line="312" w:lineRule="exact"/>
              <w:rPr>
                <w:sz w:val="18"/>
              </w:rPr>
            </w:pPr>
            <w:r>
              <w:rPr>
                <w:sz w:val="18"/>
              </w:rPr>
              <w:t xml:space="preserve">型式试验项目</w:t>
            </w:r>
            <w:r>
              <w:rPr>
                <w:sz w:val="18"/>
              </w:rPr>
            </w:r>
            <w:r/>
          </w:p>
        </w:tc>
        <w:tc>
          <w:tcPr>
            <w:gridSpan w:val="3"/>
            <w:tcW w:w="4127" w:type="dxa"/>
            <w:vAlign w:val="center"/>
            <w:textDirection w:val="lrTb"/>
            <w:noWrap w:val="false"/>
          </w:tcPr>
          <w:p>
            <w:pPr>
              <w:pStyle w:val="1151"/>
              <w:jc w:val="center"/>
              <w:spacing w:line="312" w:lineRule="exact"/>
              <w:rPr>
                <w:sz w:val="18"/>
              </w:rPr>
            </w:pPr>
            <w:r>
              <w:rPr>
                <w:sz w:val="18"/>
              </w:rPr>
              <w:t xml:space="preserve">功能单元的类别</w:t>
            </w:r>
            <w:r>
              <w:rPr>
                <w:sz w:val="18"/>
              </w:rPr>
            </w:r>
            <w:r/>
          </w:p>
        </w:tc>
      </w:tr>
      <w:tr>
        <w:trPr>
          <w:cantSplit/>
          <w:trHeight w:val="90"/>
        </w:trPr>
        <w:tc>
          <w:tcPr>
            <w:tcW w:w="619" w:type="dxa"/>
            <w:vAlign w:val="center"/>
            <w:vMerge w:val="continue"/>
            <w:textDirection w:val="lrTb"/>
            <w:noWrap w:val="false"/>
          </w:tcPr>
          <w:p>
            <w:pPr>
              <w:pStyle w:val="1151"/>
              <w:jc w:val="center"/>
              <w:spacing w:line="312" w:lineRule="exact"/>
              <w:rPr>
                <w:sz w:val="18"/>
              </w:rPr>
            </w:pPr>
            <w:r>
              <w:rPr>
                <w:sz w:val="18"/>
              </w:rPr>
            </w:r>
            <w:r/>
          </w:p>
        </w:tc>
        <w:tc>
          <w:tcPr>
            <w:tcW w:w="3804" w:type="dxa"/>
            <w:vAlign w:val="center"/>
            <w:vMerge w:val="continue"/>
            <w:textDirection w:val="lrTb"/>
            <w:noWrap w:val="false"/>
          </w:tcPr>
          <w:p>
            <w:pPr>
              <w:pStyle w:val="1151"/>
              <w:jc w:val="center"/>
              <w:spacing w:line="312" w:lineRule="exact"/>
              <w:widowControl/>
              <w:rPr>
                <w:sz w:val="18"/>
              </w:rPr>
            </w:pPr>
            <w:r>
              <w:rPr>
                <w:sz w:val="18"/>
              </w:rPr>
            </w:r>
            <w:r/>
          </w:p>
        </w:tc>
        <w:tc>
          <w:tcPr>
            <w:tcW w:w="1080" w:type="dxa"/>
            <w:vAlign w:val="center"/>
            <w:textDirection w:val="lrTb"/>
            <w:noWrap w:val="false"/>
          </w:tcPr>
          <w:p>
            <w:pPr>
              <w:pStyle w:val="1151"/>
              <w:jc w:val="center"/>
              <w:spacing w:line="312" w:lineRule="exact"/>
              <w:rPr>
                <w:sz w:val="18"/>
              </w:rPr>
            </w:pPr>
            <w:r>
              <w:rPr>
                <w:sz w:val="18"/>
              </w:rPr>
              <w:t xml:space="preserve">断路器用</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组合电器用</w:t>
            </w:r>
            <w:r>
              <w:rPr>
                <w:sz w:val="18"/>
              </w:rPr>
            </w:r>
            <w:r/>
          </w:p>
        </w:tc>
      </w:tr>
      <w:tr>
        <w:trPr>
          <w:trHeight w:val="252"/>
        </w:trPr>
        <w:tc>
          <w:tcPr>
            <w:tcW w:w="619" w:type="dxa"/>
            <w:vAlign w:val="center"/>
            <w:textDirection w:val="lrTb"/>
            <w:noWrap w:val="false"/>
          </w:tcPr>
          <w:p>
            <w:pPr>
              <w:pStyle w:val="1151"/>
              <w:jc w:val="center"/>
              <w:spacing w:line="312" w:lineRule="exact"/>
              <w:rPr>
                <w:sz w:val="18"/>
              </w:rPr>
            </w:pPr>
            <w:r>
              <w:rPr>
                <w:sz w:val="18"/>
              </w:rPr>
              <w:t xml:space="preserve">1</w:t>
            </w:r>
            <w:r>
              <w:rPr>
                <w:sz w:val="18"/>
              </w:rPr>
            </w:r>
            <w:r/>
          </w:p>
        </w:tc>
        <w:tc>
          <w:tcPr>
            <w:tcW w:w="3804" w:type="dxa"/>
            <w:vAlign w:val="center"/>
            <w:textDirection w:val="lrTb"/>
            <w:noWrap w:val="false"/>
          </w:tcPr>
          <w:p>
            <w:pPr>
              <w:pStyle w:val="1151"/>
              <w:spacing w:line="312" w:lineRule="exact"/>
              <w:rPr>
                <w:sz w:val="18"/>
              </w:rPr>
            </w:pPr>
            <w:r>
              <w:rPr>
                <w:sz w:val="18"/>
              </w:rPr>
              <w:t xml:space="preserve">设计和外观检查</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338"/>
        </w:trPr>
        <w:tc>
          <w:tcPr>
            <w:tcW w:w="619" w:type="dxa"/>
            <w:vAlign w:val="center"/>
            <w:textDirection w:val="lrTb"/>
            <w:noWrap w:val="false"/>
          </w:tcPr>
          <w:p>
            <w:pPr>
              <w:pStyle w:val="1151"/>
              <w:jc w:val="center"/>
              <w:spacing w:line="312" w:lineRule="exact"/>
              <w:rPr>
                <w:sz w:val="18"/>
              </w:rPr>
            </w:pPr>
            <w:r>
              <w:rPr>
                <w:sz w:val="18"/>
              </w:rPr>
              <w:t xml:space="preserve">2</w:t>
            </w:r>
            <w:r>
              <w:rPr>
                <w:sz w:val="18"/>
              </w:rPr>
            </w:r>
            <w:r/>
          </w:p>
        </w:tc>
        <w:tc>
          <w:tcPr>
            <w:tcW w:w="3804" w:type="dxa"/>
            <w:vAlign w:val="center"/>
            <w:textDirection w:val="lrTb"/>
            <w:noWrap w:val="false"/>
          </w:tcPr>
          <w:p>
            <w:pPr>
              <w:pStyle w:val="1151"/>
              <w:spacing w:line="312" w:lineRule="exact"/>
              <w:rPr>
                <w:sz w:val="18"/>
              </w:rPr>
            </w:pPr>
            <w:r>
              <w:rPr>
                <w:sz w:val="18"/>
              </w:rPr>
              <w:t xml:space="preserve">主回路绝缘试验</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311"/>
        </w:trPr>
        <w:tc>
          <w:tcPr>
            <w:tcW w:w="619" w:type="dxa"/>
            <w:vAlign w:val="center"/>
            <w:textDirection w:val="lrTb"/>
            <w:noWrap w:val="false"/>
          </w:tcPr>
          <w:p>
            <w:pPr>
              <w:pStyle w:val="1151"/>
              <w:jc w:val="center"/>
              <w:spacing w:line="312" w:lineRule="exact"/>
              <w:rPr>
                <w:sz w:val="18"/>
              </w:rPr>
            </w:pPr>
            <w:r>
              <w:rPr>
                <w:sz w:val="18"/>
              </w:rPr>
              <w:t xml:space="preserve">3</w:t>
            </w:r>
            <w:r>
              <w:rPr>
                <w:sz w:val="18"/>
              </w:rPr>
            </w:r>
            <w:r/>
          </w:p>
        </w:tc>
        <w:tc>
          <w:tcPr>
            <w:tcW w:w="3804" w:type="dxa"/>
            <w:vAlign w:val="center"/>
            <w:textDirection w:val="lrTb"/>
            <w:noWrap w:val="false"/>
          </w:tcPr>
          <w:p>
            <w:pPr>
              <w:pStyle w:val="1151"/>
              <w:spacing w:line="312" w:lineRule="exact"/>
              <w:rPr>
                <w:sz w:val="18"/>
              </w:rPr>
            </w:pPr>
            <w:r>
              <w:rPr>
                <w:sz w:val="18"/>
              </w:rPr>
              <w:t xml:space="preserve">辅助回路和控制回路绝缘试验</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311"/>
        </w:trPr>
        <w:tc>
          <w:tcPr>
            <w:tcW w:w="619" w:type="dxa"/>
            <w:vAlign w:val="center"/>
            <w:textDirection w:val="lrTb"/>
            <w:noWrap w:val="false"/>
          </w:tcPr>
          <w:p>
            <w:pPr>
              <w:pStyle w:val="1151"/>
              <w:jc w:val="center"/>
              <w:spacing w:line="312" w:lineRule="exact"/>
              <w:rPr>
                <w:sz w:val="18"/>
              </w:rPr>
            </w:pPr>
            <w:r>
              <w:rPr>
                <w:sz w:val="18"/>
              </w:rPr>
              <w:t xml:space="preserve">4</w:t>
            </w:r>
            <w:r>
              <w:rPr>
                <w:sz w:val="18"/>
              </w:rPr>
            </w:r>
            <w:r/>
          </w:p>
        </w:tc>
        <w:tc>
          <w:tcPr>
            <w:tcW w:w="3804" w:type="dxa"/>
            <w:vAlign w:val="center"/>
            <w:textDirection w:val="lrTb"/>
            <w:noWrap w:val="false"/>
          </w:tcPr>
          <w:p>
            <w:pPr>
              <w:pStyle w:val="1151"/>
              <w:spacing w:line="312" w:lineRule="exact"/>
              <w:rPr>
                <w:sz w:val="18"/>
              </w:rPr>
            </w:pPr>
            <w:r>
              <w:rPr>
                <w:sz w:val="18"/>
              </w:rPr>
              <w:t xml:space="preserve">温升试验</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240"/>
        </w:trPr>
        <w:tc>
          <w:tcPr>
            <w:tcW w:w="619" w:type="dxa"/>
            <w:vAlign w:val="center"/>
            <w:textDirection w:val="lrTb"/>
            <w:noWrap w:val="false"/>
          </w:tcPr>
          <w:p>
            <w:pPr>
              <w:pStyle w:val="1151"/>
              <w:jc w:val="center"/>
              <w:spacing w:line="312" w:lineRule="exact"/>
              <w:rPr>
                <w:sz w:val="18"/>
              </w:rPr>
            </w:pPr>
            <w:r>
              <w:rPr>
                <w:sz w:val="18"/>
              </w:rPr>
              <w:t xml:space="preserve">5</w:t>
            </w:r>
            <w:r>
              <w:rPr>
                <w:sz w:val="18"/>
              </w:rPr>
            </w:r>
            <w:r/>
          </w:p>
        </w:tc>
        <w:tc>
          <w:tcPr>
            <w:tcW w:w="3804" w:type="dxa"/>
            <w:vAlign w:val="center"/>
            <w:textDirection w:val="lrTb"/>
            <w:noWrap w:val="false"/>
          </w:tcPr>
          <w:p>
            <w:pPr>
              <w:pStyle w:val="1151"/>
              <w:spacing w:line="312" w:lineRule="exact"/>
              <w:rPr>
                <w:sz w:val="18"/>
              </w:rPr>
            </w:pPr>
            <w:r>
              <w:rPr>
                <w:sz w:val="18"/>
              </w:rPr>
              <w:t xml:space="preserve">主回路电阻测量</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240"/>
        </w:trPr>
        <w:tc>
          <w:tcPr>
            <w:tcW w:w="619" w:type="dxa"/>
            <w:vAlign w:val="center"/>
            <w:textDirection w:val="lrTb"/>
            <w:noWrap w:val="false"/>
          </w:tcPr>
          <w:p>
            <w:pPr>
              <w:pStyle w:val="1151"/>
              <w:jc w:val="center"/>
              <w:spacing w:line="312" w:lineRule="exact"/>
              <w:rPr>
                <w:sz w:val="18"/>
              </w:rPr>
            </w:pPr>
            <w:r>
              <w:rPr>
                <w:sz w:val="18"/>
              </w:rPr>
              <w:t xml:space="preserve">6</w:t>
            </w:r>
            <w:r>
              <w:rPr>
                <w:sz w:val="18"/>
              </w:rPr>
            </w:r>
            <w:r/>
          </w:p>
        </w:tc>
        <w:tc>
          <w:tcPr>
            <w:tcW w:w="3804" w:type="dxa"/>
            <w:vAlign w:val="top"/>
            <w:textDirection w:val="lrTb"/>
            <w:noWrap w:val="false"/>
          </w:tcPr>
          <w:p>
            <w:pPr>
              <w:pStyle w:val="1151"/>
              <w:spacing w:line="312" w:lineRule="exact"/>
              <w:rPr>
                <w:sz w:val="18"/>
              </w:rPr>
            </w:pPr>
            <w:r>
              <w:rPr>
                <w:sz w:val="18"/>
              </w:rPr>
              <w:t xml:space="preserve">额定短路关合能力试验</w:t>
            </w:r>
            <w:r>
              <w:rPr>
                <w:sz w:val="18"/>
              </w:rPr>
            </w:r>
            <w:r/>
          </w:p>
        </w:tc>
        <w:tc>
          <w:tcPr>
            <w:tcW w:w="1080" w:type="dxa"/>
            <w:vAlign w:val="top"/>
            <w:textDirection w:val="lrTb"/>
            <w:noWrap w:val="false"/>
          </w:tcPr>
          <w:p>
            <w:pPr>
              <w:pStyle w:val="1151"/>
              <w:jc w:val="center"/>
              <w:spacing w:line="312" w:lineRule="exact"/>
              <w:rPr>
                <w:sz w:val="18"/>
              </w:rPr>
            </w:pPr>
            <w:r>
              <w:t xml:space="preserve">*</w:t>
            </w:r>
            <w:r>
              <w:rPr>
                <w:sz w:val="18"/>
              </w:rPr>
            </w:r>
            <w:r/>
          </w:p>
        </w:tc>
        <w:tc>
          <w:tcPr>
            <w:tcW w:w="1540" w:type="dxa"/>
            <w:vAlign w:val="top"/>
            <w:textDirection w:val="lrTb"/>
            <w:noWrap w:val="false"/>
          </w:tcPr>
          <w:p>
            <w:pPr>
              <w:pStyle w:val="1151"/>
              <w:jc w:val="center"/>
              <w:spacing w:line="312" w:lineRule="exact"/>
              <w:rPr>
                <w:sz w:val="18"/>
              </w:rPr>
            </w:pPr>
            <w:r>
              <w:rPr>
                <w:sz w:val="18"/>
              </w:rPr>
            </w:r>
            <w:r/>
          </w:p>
        </w:tc>
        <w:tc>
          <w:tcPr>
            <w:tcW w:w="1507" w:type="dxa"/>
            <w:vAlign w:val="top"/>
            <w:textDirection w:val="lrTb"/>
            <w:noWrap w:val="false"/>
          </w:tcPr>
          <w:p>
            <w:pPr>
              <w:pStyle w:val="1151"/>
              <w:jc w:val="center"/>
              <w:spacing w:line="312" w:lineRule="exact"/>
              <w:rPr>
                <w:sz w:val="18"/>
              </w:rPr>
            </w:pPr>
            <w:r>
              <w:t xml:space="preserve">*</w:t>
            </w:r>
            <w:r>
              <w:rPr>
                <w:sz w:val="18"/>
              </w:rPr>
            </w:r>
            <w:r/>
          </w:p>
        </w:tc>
      </w:tr>
      <w:tr>
        <w:trPr>
          <w:trHeight w:val="240"/>
        </w:trPr>
        <w:tc>
          <w:tcPr>
            <w:tcW w:w="619" w:type="dxa"/>
            <w:vAlign w:val="center"/>
            <w:textDirection w:val="lrTb"/>
            <w:noWrap w:val="false"/>
          </w:tcPr>
          <w:p>
            <w:pPr>
              <w:pStyle w:val="1151"/>
              <w:jc w:val="center"/>
              <w:spacing w:line="312" w:lineRule="exact"/>
              <w:rPr>
                <w:sz w:val="18"/>
              </w:rPr>
            </w:pPr>
            <w:r>
              <w:rPr>
                <w:sz w:val="18"/>
              </w:rPr>
              <w:t xml:space="preserve">7</w:t>
            </w:r>
            <w:r>
              <w:rPr>
                <w:sz w:val="18"/>
              </w:rPr>
            </w:r>
            <w:r/>
          </w:p>
        </w:tc>
        <w:tc>
          <w:tcPr>
            <w:tcW w:w="3804" w:type="dxa"/>
            <w:vAlign w:val="top"/>
            <w:textDirection w:val="lrTb"/>
            <w:noWrap w:val="false"/>
          </w:tcPr>
          <w:p>
            <w:pPr>
              <w:pStyle w:val="1151"/>
              <w:spacing w:line="312" w:lineRule="exact"/>
              <w:rPr>
                <w:sz w:val="18"/>
              </w:rPr>
            </w:pPr>
            <w:r>
              <w:rPr>
                <w:sz w:val="18"/>
              </w:rPr>
              <w:t xml:space="preserve">额定短路开断能力试验</w:t>
            </w:r>
            <w:r>
              <w:rPr>
                <w:sz w:val="18"/>
              </w:rPr>
            </w:r>
            <w:r/>
          </w:p>
        </w:tc>
        <w:tc>
          <w:tcPr>
            <w:tcW w:w="1080" w:type="dxa"/>
            <w:vAlign w:val="top"/>
            <w:textDirection w:val="lrTb"/>
            <w:noWrap w:val="false"/>
          </w:tcPr>
          <w:p>
            <w:pPr>
              <w:pStyle w:val="1151"/>
              <w:jc w:val="center"/>
              <w:spacing w:line="312" w:lineRule="exact"/>
              <w:rPr>
                <w:sz w:val="18"/>
              </w:rPr>
            </w:pPr>
            <w:r>
              <w:t xml:space="preserve">*</w:t>
            </w:r>
            <w:r>
              <w:rPr>
                <w:sz w:val="18"/>
              </w:rPr>
            </w:r>
            <w:r/>
          </w:p>
        </w:tc>
        <w:tc>
          <w:tcPr>
            <w:tcW w:w="1540" w:type="dxa"/>
            <w:vAlign w:val="top"/>
            <w:textDirection w:val="lrTb"/>
            <w:noWrap w:val="false"/>
          </w:tcPr>
          <w:p>
            <w:pPr>
              <w:pStyle w:val="1151"/>
              <w:jc w:val="center"/>
              <w:spacing w:line="312" w:lineRule="exact"/>
              <w:rPr>
                <w:sz w:val="18"/>
              </w:rPr>
            </w:pPr>
            <w:r>
              <w:rPr>
                <w:sz w:val="18"/>
              </w:rPr>
            </w:r>
            <w:r/>
          </w:p>
        </w:tc>
        <w:tc>
          <w:tcPr>
            <w:tcW w:w="1507" w:type="dxa"/>
            <w:vAlign w:val="top"/>
            <w:textDirection w:val="lrTb"/>
            <w:noWrap w:val="false"/>
          </w:tcPr>
          <w:p>
            <w:pPr>
              <w:pStyle w:val="1151"/>
              <w:jc w:val="center"/>
              <w:spacing w:line="312" w:lineRule="exact"/>
              <w:rPr>
                <w:sz w:val="18"/>
              </w:rPr>
            </w:pPr>
            <w:r>
              <w:t xml:space="preserve">*</w:t>
            </w:r>
            <w:r>
              <w:rPr>
                <w:sz w:val="18"/>
              </w:rPr>
            </w:r>
            <w:r/>
          </w:p>
        </w:tc>
      </w:tr>
      <w:tr>
        <w:trPr>
          <w:trHeight w:val="384"/>
        </w:trPr>
        <w:tc>
          <w:tcPr>
            <w:tcW w:w="619" w:type="dxa"/>
            <w:vAlign w:val="center"/>
            <w:textDirection w:val="lrTb"/>
            <w:noWrap w:val="false"/>
          </w:tcPr>
          <w:p>
            <w:pPr>
              <w:pStyle w:val="1151"/>
              <w:jc w:val="center"/>
              <w:spacing w:line="312" w:lineRule="exact"/>
              <w:rPr>
                <w:sz w:val="18"/>
              </w:rPr>
            </w:pPr>
            <w:r>
              <w:rPr>
                <w:sz w:val="18"/>
              </w:rPr>
              <w:t xml:space="preserve">8</w:t>
            </w:r>
            <w:r>
              <w:rPr>
                <w:sz w:val="18"/>
              </w:rPr>
            </w:r>
            <w:r/>
          </w:p>
        </w:tc>
        <w:tc>
          <w:tcPr>
            <w:tcW w:w="3804" w:type="dxa"/>
            <w:vAlign w:val="center"/>
            <w:textDirection w:val="lrTb"/>
            <w:noWrap w:val="false"/>
          </w:tcPr>
          <w:p>
            <w:pPr>
              <w:pStyle w:val="1151"/>
              <w:spacing w:line="312" w:lineRule="exact"/>
              <w:rPr>
                <w:sz w:val="18"/>
              </w:rPr>
            </w:pPr>
            <w:r>
              <w:rPr>
                <w:sz w:val="18"/>
              </w:rPr>
              <w:t xml:space="preserve">主回路和接地回路的短时和峰值耐受电流试验</w:t>
            </w:r>
            <w:r>
              <w:rPr>
                <w:sz w:val="18"/>
              </w:rPr>
            </w:r>
            <w:r/>
          </w:p>
        </w:tc>
        <w:tc>
          <w:tcPr>
            <w:tcW w:w="1080" w:type="dxa"/>
            <w:vAlign w:val="top"/>
            <w:textDirection w:val="lrTb"/>
            <w:noWrap w:val="false"/>
          </w:tcPr>
          <w:p>
            <w:pPr>
              <w:pStyle w:val="1151"/>
              <w:jc w:val="center"/>
              <w:spacing w:line="312" w:lineRule="exact"/>
              <w:rPr>
                <w:sz w:val="18"/>
              </w:rPr>
            </w:pPr>
            <w:r>
              <w:t xml:space="preserve">*</w:t>
            </w:r>
            <w:r>
              <w:rPr>
                <w:sz w:val="18"/>
              </w:rPr>
            </w:r>
            <w:r/>
          </w:p>
        </w:tc>
        <w:tc>
          <w:tcPr>
            <w:tcW w:w="1540" w:type="dxa"/>
            <w:vAlign w:val="top"/>
            <w:textDirection w:val="lrTb"/>
            <w:noWrap w:val="false"/>
          </w:tcPr>
          <w:p>
            <w:pPr>
              <w:pStyle w:val="1151"/>
              <w:jc w:val="center"/>
              <w:spacing w:line="312" w:lineRule="exact"/>
              <w:rPr>
                <w:sz w:val="18"/>
              </w:rPr>
            </w:pPr>
            <w:r>
              <w:rPr>
                <w:sz w:val="18"/>
              </w:rPr>
            </w:r>
            <w:r/>
          </w:p>
        </w:tc>
        <w:tc>
          <w:tcPr>
            <w:tcW w:w="1507" w:type="dxa"/>
            <w:vAlign w:val="top"/>
            <w:textDirection w:val="lrTb"/>
            <w:noWrap w:val="false"/>
          </w:tcPr>
          <w:p>
            <w:pPr>
              <w:pStyle w:val="1151"/>
              <w:jc w:val="center"/>
              <w:spacing w:line="312" w:lineRule="exact"/>
              <w:rPr>
                <w:sz w:val="18"/>
              </w:rPr>
            </w:pPr>
            <w:r>
              <w:t xml:space="preserve">*</w:t>
            </w:r>
            <w:r>
              <w:rPr>
                <w:sz w:val="18"/>
              </w:rPr>
            </w:r>
            <w:r/>
          </w:p>
        </w:tc>
      </w:tr>
      <w:tr>
        <w:trPr>
          <w:trHeight w:val="300"/>
        </w:trPr>
        <w:tc>
          <w:tcPr>
            <w:tcW w:w="619" w:type="dxa"/>
            <w:vAlign w:val="center"/>
            <w:textDirection w:val="lrTb"/>
            <w:noWrap w:val="false"/>
          </w:tcPr>
          <w:p>
            <w:pPr>
              <w:pStyle w:val="1151"/>
              <w:jc w:val="center"/>
              <w:spacing w:line="312" w:lineRule="exact"/>
              <w:rPr>
                <w:sz w:val="18"/>
              </w:rPr>
            </w:pPr>
            <w:r>
              <w:rPr>
                <w:sz w:val="18"/>
              </w:rPr>
              <w:t xml:space="preserve">9</w:t>
            </w:r>
            <w:r>
              <w:rPr>
                <w:sz w:val="18"/>
              </w:rPr>
            </w:r>
            <w:r/>
          </w:p>
        </w:tc>
        <w:tc>
          <w:tcPr>
            <w:tcW w:w="3804" w:type="dxa"/>
            <w:vAlign w:val="center"/>
            <w:textDirection w:val="lrTb"/>
            <w:noWrap w:val="false"/>
          </w:tcPr>
          <w:p>
            <w:pPr>
              <w:pStyle w:val="1151"/>
              <w:spacing w:line="312" w:lineRule="exact"/>
              <w:rPr>
                <w:sz w:val="18"/>
              </w:rPr>
            </w:pPr>
            <w:r>
              <w:rPr>
                <w:sz w:val="18"/>
              </w:rPr>
              <w:t xml:space="preserve">机械操作和机械特性试验</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225"/>
        </w:trPr>
        <w:tc>
          <w:tcPr>
            <w:tcW w:w="619" w:type="dxa"/>
            <w:vAlign w:val="center"/>
            <w:textDirection w:val="lrTb"/>
            <w:noWrap w:val="false"/>
          </w:tcPr>
          <w:p>
            <w:pPr>
              <w:pStyle w:val="1151"/>
              <w:jc w:val="center"/>
              <w:spacing w:line="312" w:lineRule="exact"/>
              <w:rPr>
                <w:sz w:val="18"/>
              </w:rPr>
            </w:pPr>
            <w:r>
              <w:rPr>
                <w:sz w:val="18"/>
              </w:rPr>
              <w:t xml:space="preserve">10</w:t>
            </w:r>
            <w:r>
              <w:rPr>
                <w:sz w:val="18"/>
              </w:rPr>
            </w:r>
            <w:r/>
          </w:p>
        </w:tc>
        <w:tc>
          <w:tcPr>
            <w:tcW w:w="3804" w:type="dxa"/>
            <w:vAlign w:val="center"/>
            <w:textDirection w:val="lrTb"/>
            <w:noWrap w:val="false"/>
          </w:tcPr>
          <w:p>
            <w:pPr>
              <w:pStyle w:val="1151"/>
              <w:spacing w:line="312" w:lineRule="exact"/>
              <w:rPr>
                <w:sz w:val="18"/>
              </w:rPr>
            </w:pPr>
            <w:r>
              <w:rPr>
                <w:sz w:val="18"/>
              </w:rPr>
              <w:t xml:space="preserve">容性电流开断和关合能力试验</w:t>
            </w:r>
            <w:r>
              <w:rPr>
                <w:sz w:val="18"/>
              </w:rPr>
            </w:r>
            <w:r/>
          </w:p>
        </w:tc>
        <w:tc>
          <w:tcPr>
            <w:tcW w:w="1080" w:type="dxa"/>
            <w:vAlign w:val="top"/>
            <w:textDirection w:val="lrTb"/>
            <w:noWrap w:val="false"/>
          </w:tcPr>
          <w:p>
            <w:pPr>
              <w:pStyle w:val="1151"/>
              <w:jc w:val="center"/>
              <w:spacing w:line="312" w:lineRule="exact"/>
              <w:rPr>
                <w:sz w:val="18"/>
              </w:rPr>
            </w:pPr>
            <w:r>
              <w:t xml:space="preserve">*</w:t>
            </w:r>
            <w:r>
              <w:rPr>
                <w:sz w:val="18"/>
              </w:rPr>
            </w:r>
            <w:r/>
          </w:p>
        </w:tc>
        <w:tc>
          <w:tcPr>
            <w:tcW w:w="1540" w:type="dxa"/>
            <w:vAlign w:val="top"/>
            <w:textDirection w:val="lrTb"/>
            <w:noWrap w:val="false"/>
          </w:tcPr>
          <w:p>
            <w:pPr>
              <w:pStyle w:val="1151"/>
              <w:jc w:val="center"/>
              <w:spacing w:line="312" w:lineRule="exact"/>
              <w:rPr>
                <w:sz w:val="18"/>
              </w:rPr>
            </w:pPr>
            <w:r>
              <w:rPr>
                <w:sz w:val="18"/>
              </w:rPr>
            </w:r>
            <w:r/>
          </w:p>
        </w:tc>
        <w:tc>
          <w:tcPr>
            <w:tcW w:w="1507" w:type="dxa"/>
            <w:vAlign w:val="top"/>
            <w:textDirection w:val="lrTb"/>
            <w:noWrap w:val="false"/>
          </w:tcPr>
          <w:p>
            <w:pPr>
              <w:pStyle w:val="1151"/>
              <w:jc w:val="center"/>
              <w:spacing w:line="312" w:lineRule="exact"/>
              <w:rPr>
                <w:sz w:val="18"/>
              </w:rPr>
            </w:pPr>
            <w:r>
              <w:t xml:space="preserve">*</w:t>
            </w:r>
            <w:r>
              <w:rPr>
                <w:sz w:val="18"/>
              </w:rPr>
            </w:r>
            <w:r/>
          </w:p>
        </w:tc>
      </w:tr>
      <w:tr>
        <w:trPr>
          <w:trHeight w:val="324"/>
        </w:trPr>
        <w:tc>
          <w:tcPr>
            <w:tcW w:w="619" w:type="dxa"/>
            <w:vAlign w:val="center"/>
            <w:textDirection w:val="lrTb"/>
            <w:noWrap w:val="false"/>
          </w:tcPr>
          <w:p>
            <w:pPr>
              <w:pStyle w:val="1151"/>
              <w:jc w:val="center"/>
              <w:spacing w:line="312" w:lineRule="exact"/>
              <w:rPr>
                <w:sz w:val="18"/>
              </w:rPr>
            </w:pPr>
            <w:r>
              <w:rPr>
                <w:sz w:val="18"/>
              </w:rPr>
              <w:t xml:space="preserve">11</w:t>
            </w:r>
            <w:r>
              <w:rPr>
                <w:sz w:val="18"/>
              </w:rPr>
            </w:r>
            <w:r/>
          </w:p>
        </w:tc>
        <w:tc>
          <w:tcPr>
            <w:tcW w:w="3804" w:type="dxa"/>
            <w:vAlign w:val="center"/>
            <w:textDirection w:val="lrTb"/>
            <w:noWrap w:val="false"/>
          </w:tcPr>
          <w:p>
            <w:pPr>
              <w:pStyle w:val="1151"/>
              <w:spacing w:line="312" w:lineRule="exact"/>
              <w:rPr>
                <w:sz w:val="18"/>
              </w:rPr>
            </w:pPr>
            <w:r>
              <w:rPr>
                <w:sz w:val="18"/>
              </w:rPr>
              <w:t xml:space="preserve">防误操作装置或电气、机械联锁装置功能的试验</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252"/>
        </w:trPr>
        <w:tc>
          <w:tcPr>
            <w:tcW w:w="619" w:type="dxa"/>
            <w:vAlign w:val="center"/>
            <w:textDirection w:val="lrTb"/>
            <w:noWrap w:val="false"/>
          </w:tcPr>
          <w:p>
            <w:pPr>
              <w:pStyle w:val="1151"/>
              <w:jc w:val="center"/>
              <w:spacing w:line="312" w:lineRule="exact"/>
              <w:rPr>
                <w:sz w:val="18"/>
              </w:rPr>
            </w:pPr>
            <w:r>
              <w:rPr>
                <w:sz w:val="18"/>
              </w:rPr>
              <w:t xml:space="preserve">12</w:t>
            </w:r>
            <w:r>
              <w:rPr>
                <w:sz w:val="18"/>
              </w:rPr>
            </w:r>
            <w:r/>
          </w:p>
        </w:tc>
        <w:tc>
          <w:tcPr>
            <w:tcW w:w="3804" w:type="dxa"/>
            <w:vAlign w:val="center"/>
            <w:textDirection w:val="lrTb"/>
            <w:noWrap w:val="false"/>
          </w:tcPr>
          <w:p>
            <w:pPr>
              <w:pStyle w:val="1151"/>
              <w:spacing w:line="312" w:lineRule="exact"/>
              <w:rPr>
                <w:sz w:val="18"/>
              </w:rPr>
            </w:pPr>
            <w:r>
              <w:rPr>
                <w:sz w:val="18"/>
              </w:rPr>
              <w:t xml:space="preserve">防护等级试验</w:t>
            </w:r>
            <w:r>
              <w:rPr>
                <w:sz w:val="18"/>
              </w:rPr>
            </w:r>
            <w:r/>
          </w:p>
        </w:tc>
        <w:tc>
          <w:tcPr>
            <w:tcW w:w="1080" w:type="dxa"/>
            <w:vAlign w:val="top"/>
            <w:textDirection w:val="lrTb"/>
            <w:noWrap w:val="false"/>
          </w:tcPr>
          <w:p>
            <w:pPr>
              <w:pStyle w:val="1151"/>
              <w:jc w:val="center"/>
              <w:spacing w:line="312" w:lineRule="exact"/>
              <w:rPr>
                <w:sz w:val="18"/>
              </w:rPr>
            </w:pPr>
            <w:r>
              <w:t xml:space="preserve">*</w:t>
            </w:r>
            <w:r>
              <w:rPr>
                <w:sz w:val="18"/>
              </w:rPr>
            </w:r>
            <w:r/>
          </w:p>
        </w:tc>
        <w:tc>
          <w:tcPr>
            <w:tcW w:w="1540" w:type="dxa"/>
            <w:vAlign w:val="top"/>
            <w:textDirection w:val="lrTb"/>
            <w:noWrap w:val="false"/>
          </w:tcPr>
          <w:p>
            <w:pPr>
              <w:pStyle w:val="1151"/>
              <w:jc w:val="center"/>
              <w:spacing w:line="312" w:lineRule="exact"/>
              <w:rPr>
                <w:sz w:val="18"/>
              </w:rPr>
            </w:pPr>
            <w:r>
              <w:rPr>
                <w:sz w:val="18"/>
              </w:rPr>
            </w:r>
            <w:r/>
          </w:p>
        </w:tc>
        <w:tc>
          <w:tcPr>
            <w:tcW w:w="1507" w:type="dxa"/>
            <w:vAlign w:val="top"/>
            <w:textDirection w:val="lrTb"/>
            <w:noWrap w:val="false"/>
          </w:tcPr>
          <w:p>
            <w:pPr>
              <w:pStyle w:val="1151"/>
              <w:jc w:val="center"/>
              <w:spacing w:line="312" w:lineRule="exact"/>
              <w:rPr>
                <w:sz w:val="18"/>
              </w:rPr>
            </w:pPr>
            <w:r>
              <w:t xml:space="preserve">*</w:t>
            </w:r>
            <w:r>
              <w:rPr>
                <w:sz w:val="18"/>
              </w:rPr>
            </w:r>
            <w:r/>
          </w:p>
        </w:tc>
      </w:tr>
      <w:tr>
        <w:trPr>
          <w:trHeight w:val="228"/>
        </w:trPr>
        <w:tc>
          <w:tcPr>
            <w:tcW w:w="619" w:type="dxa"/>
            <w:vAlign w:val="center"/>
            <w:textDirection w:val="lrTb"/>
            <w:noWrap w:val="false"/>
          </w:tcPr>
          <w:p>
            <w:pPr>
              <w:pStyle w:val="1151"/>
              <w:jc w:val="center"/>
              <w:spacing w:line="312" w:lineRule="exact"/>
              <w:rPr>
                <w:sz w:val="18"/>
              </w:rPr>
            </w:pPr>
            <w:r>
              <w:rPr>
                <w:sz w:val="18"/>
              </w:rPr>
              <w:t xml:space="preserve">13</w:t>
            </w:r>
            <w:r>
              <w:rPr>
                <w:sz w:val="18"/>
              </w:rPr>
            </w:r>
            <w:r/>
          </w:p>
        </w:tc>
        <w:tc>
          <w:tcPr>
            <w:tcW w:w="3804" w:type="dxa"/>
            <w:vAlign w:val="center"/>
            <w:textDirection w:val="lrTb"/>
            <w:noWrap w:val="false"/>
          </w:tcPr>
          <w:p>
            <w:pPr>
              <w:pStyle w:val="1151"/>
              <w:spacing w:line="312" w:lineRule="exact"/>
              <w:rPr>
                <w:sz w:val="18"/>
              </w:rPr>
            </w:pPr>
            <w:r>
              <w:rPr>
                <w:sz w:val="18"/>
              </w:rPr>
              <w:t xml:space="preserve">内部故障电弧试验</w:t>
            </w:r>
            <w:r>
              <w:rPr>
                <w:sz w:val="18"/>
              </w:rPr>
            </w:r>
            <w:r/>
          </w:p>
        </w:tc>
        <w:tc>
          <w:tcPr>
            <w:tcW w:w="1080" w:type="dxa"/>
            <w:vAlign w:val="top"/>
            <w:textDirection w:val="lrTb"/>
            <w:noWrap w:val="false"/>
          </w:tcPr>
          <w:p>
            <w:pPr>
              <w:pStyle w:val="1151"/>
              <w:jc w:val="center"/>
              <w:spacing w:line="312" w:lineRule="exact"/>
              <w:rPr>
                <w:sz w:val="18"/>
              </w:rPr>
            </w:pPr>
            <w:r>
              <w:t xml:space="preserve">*</w:t>
            </w:r>
            <w:r>
              <w:rPr>
                <w:sz w:val="18"/>
              </w:rPr>
            </w:r>
            <w:r/>
          </w:p>
        </w:tc>
        <w:tc>
          <w:tcPr>
            <w:tcW w:w="1540" w:type="dxa"/>
            <w:vAlign w:val="top"/>
            <w:textDirection w:val="lrTb"/>
            <w:noWrap w:val="false"/>
          </w:tcPr>
          <w:p>
            <w:pPr>
              <w:pStyle w:val="1151"/>
              <w:jc w:val="center"/>
              <w:spacing w:line="312" w:lineRule="exact"/>
              <w:rPr>
                <w:sz w:val="18"/>
              </w:rPr>
            </w:pPr>
            <w:r>
              <w:rPr>
                <w:sz w:val="18"/>
              </w:rPr>
            </w:r>
            <w:r/>
          </w:p>
        </w:tc>
        <w:tc>
          <w:tcPr>
            <w:tcW w:w="1507" w:type="dxa"/>
            <w:vAlign w:val="top"/>
            <w:textDirection w:val="lrTb"/>
            <w:noWrap w:val="false"/>
          </w:tcPr>
          <w:p>
            <w:pPr>
              <w:pStyle w:val="1151"/>
              <w:jc w:val="center"/>
              <w:spacing w:line="312" w:lineRule="exact"/>
              <w:rPr>
                <w:sz w:val="18"/>
              </w:rPr>
            </w:pPr>
            <w:r>
              <w:t xml:space="preserve">*</w:t>
            </w:r>
            <w:r>
              <w:rPr>
                <w:sz w:val="18"/>
              </w:rPr>
            </w:r>
            <w:r/>
          </w:p>
        </w:tc>
      </w:tr>
      <w:tr>
        <w:trPr>
          <w:trHeight w:val="372"/>
        </w:trPr>
        <w:tc>
          <w:tcPr>
            <w:tcW w:w="619" w:type="dxa"/>
            <w:vAlign w:val="center"/>
            <w:textDirection w:val="lrTb"/>
            <w:noWrap w:val="false"/>
          </w:tcPr>
          <w:p>
            <w:pPr>
              <w:pStyle w:val="1151"/>
              <w:jc w:val="center"/>
              <w:spacing w:line="312" w:lineRule="exact"/>
              <w:rPr>
                <w:sz w:val="18"/>
              </w:rPr>
            </w:pPr>
            <w:r>
              <w:rPr>
                <w:sz w:val="18"/>
              </w:rPr>
              <w:t xml:space="preserve">14</w:t>
            </w:r>
            <w:r>
              <w:rPr>
                <w:sz w:val="18"/>
              </w:rPr>
            </w:r>
            <w:r/>
          </w:p>
        </w:tc>
        <w:tc>
          <w:tcPr>
            <w:tcW w:w="3804" w:type="dxa"/>
            <w:vAlign w:val="center"/>
            <w:textDirection w:val="lrTb"/>
            <w:noWrap w:val="false"/>
          </w:tcPr>
          <w:p>
            <w:pPr>
              <w:pStyle w:val="1151"/>
              <w:spacing w:line="312" w:lineRule="exact"/>
              <w:rPr>
                <w:sz w:val="18"/>
              </w:rPr>
            </w:pPr>
            <w:r>
              <w:rPr>
                <w:sz w:val="18"/>
              </w:rPr>
              <w:t xml:space="preserve">气箱密封试验</w:t>
            </w:r>
            <w:r>
              <w:rPr>
                <w:sz w:val="18"/>
              </w:rPr>
            </w:r>
            <w:r/>
          </w:p>
        </w:tc>
        <w:tc>
          <w:tcPr>
            <w:tcW w:w="1080" w:type="dxa"/>
            <w:vAlign w:val="top"/>
            <w:textDirection w:val="lrTb"/>
            <w:noWrap w:val="false"/>
          </w:tcPr>
          <w:p>
            <w:pPr>
              <w:pStyle w:val="1151"/>
              <w:jc w:val="center"/>
              <w:spacing w:line="312" w:lineRule="exact"/>
              <w:rPr>
                <w:sz w:val="18"/>
              </w:rPr>
            </w:pPr>
            <w:r>
              <w:t xml:space="preserve">*</w:t>
            </w:r>
            <w:r>
              <w:rPr>
                <w:sz w:val="18"/>
              </w:rPr>
            </w:r>
            <w:r/>
          </w:p>
        </w:tc>
        <w:tc>
          <w:tcPr>
            <w:tcW w:w="1540" w:type="dxa"/>
            <w:vAlign w:val="top"/>
            <w:textDirection w:val="lrTb"/>
            <w:noWrap w:val="false"/>
          </w:tcPr>
          <w:p>
            <w:pPr>
              <w:pStyle w:val="1151"/>
              <w:jc w:val="center"/>
              <w:spacing w:line="312" w:lineRule="exact"/>
              <w:rPr>
                <w:sz w:val="18"/>
              </w:rPr>
            </w:pPr>
            <w:r>
              <w:rPr>
                <w:sz w:val="18"/>
              </w:rPr>
            </w:r>
            <w:r/>
          </w:p>
        </w:tc>
        <w:tc>
          <w:tcPr>
            <w:tcW w:w="1507" w:type="dxa"/>
            <w:vAlign w:val="top"/>
            <w:textDirection w:val="lrTb"/>
            <w:noWrap w:val="false"/>
          </w:tcPr>
          <w:p>
            <w:pPr>
              <w:pStyle w:val="1151"/>
              <w:jc w:val="center"/>
              <w:spacing w:line="312" w:lineRule="exact"/>
              <w:rPr>
                <w:sz w:val="18"/>
              </w:rPr>
            </w:pPr>
            <w:r>
              <w:t xml:space="preserve">*</w:t>
            </w:r>
            <w:r>
              <w:rPr>
                <w:sz w:val="18"/>
              </w:rPr>
            </w:r>
            <w:r/>
          </w:p>
        </w:tc>
      </w:tr>
      <w:tr>
        <w:trPr>
          <w:trHeight w:val="331"/>
        </w:trPr>
        <w:tc>
          <w:tcPr>
            <w:tcW w:w="619" w:type="dxa"/>
            <w:vAlign w:val="center"/>
            <w:textDirection w:val="lrTb"/>
            <w:noWrap w:val="false"/>
          </w:tcPr>
          <w:p>
            <w:pPr>
              <w:pStyle w:val="1151"/>
              <w:jc w:val="center"/>
              <w:spacing w:line="312" w:lineRule="exact"/>
              <w:rPr>
                <w:sz w:val="18"/>
              </w:rPr>
            </w:pPr>
            <w:r>
              <w:rPr>
                <w:sz w:val="18"/>
              </w:rPr>
              <w:t xml:space="preserve">15</w:t>
            </w:r>
            <w:r>
              <w:rPr>
                <w:sz w:val="18"/>
              </w:rPr>
            </w:r>
            <w:r/>
          </w:p>
        </w:tc>
        <w:tc>
          <w:tcPr>
            <w:tcW w:w="3804" w:type="dxa"/>
            <w:vAlign w:val="center"/>
            <w:textDirection w:val="lrTb"/>
            <w:noWrap w:val="false"/>
          </w:tcPr>
          <w:p>
            <w:pPr>
              <w:pStyle w:val="1151"/>
              <w:spacing w:line="312" w:lineRule="exact"/>
              <w:rPr>
                <w:sz w:val="18"/>
              </w:rPr>
            </w:pPr>
            <w:r>
              <w:rPr>
                <w:sz w:val="18"/>
              </w:rPr>
              <w:t xml:space="preserve">一次设备与配电自动化终端配合调试</w:t>
            </w:r>
            <w:r>
              <w:rPr>
                <w:sz w:val="18"/>
              </w:rPr>
            </w:r>
            <w:r/>
          </w:p>
        </w:tc>
        <w:tc>
          <w:tcPr>
            <w:tcW w:w="1080" w:type="dxa"/>
            <w:vAlign w:val="top"/>
            <w:textDirection w:val="lrTb"/>
            <w:noWrap w:val="false"/>
          </w:tcPr>
          <w:p>
            <w:pPr>
              <w:pStyle w:val="1151"/>
              <w:jc w:val="center"/>
              <w:spacing w:line="312" w:lineRule="exact"/>
              <w:rPr>
                <w:sz w:val="18"/>
              </w:rPr>
            </w:pPr>
            <w:r>
              <w:t xml:space="preserve">*</w:t>
            </w:r>
            <w:r>
              <w:rPr>
                <w:sz w:val="18"/>
              </w:rPr>
            </w:r>
            <w:r/>
          </w:p>
        </w:tc>
        <w:tc>
          <w:tcPr>
            <w:tcW w:w="1540" w:type="dxa"/>
            <w:vAlign w:val="top"/>
            <w:textDirection w:val="lrTb"/>
            <w:noWrap w:val="false"/>
          </w:tcPr>
          <w:p>
            <w:pPr>
              <w:pStyle w:val="1151"/>
              <w:jc w:val="center"/>
              <w:spacing w:line="312" w:lineRule="exact"/>
              <w:rPr>
                <w:sz w:val="18"/>
              </w:rPr>
            </w:pPr>
            <w:r>
              <w:rPr>
                <w:sz w:val="18"/>
              </w:rPr>
            </w:r>
            <w:r/>
          </w:p>
        </w:tc>
        <w:tc>
          <w:tcPr>
            <w:tcW w:w="1507" w:type="dxa"/>
            <w:vAlign w:val="top"/>
            <w:textDirection w:val="lrTb"/>
            <w:noWrap w:val="false"/>
          </w:tcPr>
          <w:p>
            <w:pPr>
              <w:pStyle w:val="1151"/>
              <w:jc w:val="center"/>
              <w:spacing w:line="312" w:lineRule="exact"/>
              <w:rPr>
                <w:sz w:val="18"/>
              </w:rPr>
            </w:pPr>
            <w:r>
              <w:t xml:space="preserve">*</w:t>
            </w:r>
            <w:r>
              <w:rPr>
                <w:sz w:val="18"/>
              </w:rPr>
            </w:r>
            <w:r/>
          </w:p>
        </w:tc>
      </w:tr>
      <w:tr>
        <w:trPr>
          <w:trHeight w:val="377"/>
        </w:trPr>
        <w:tc>
          <w:tcPr>
            <w:gridSpan w:val="5"/>
            <w:tcW w:w="8550" w:type="dxa"/>
            <w:vAlign w:val="top"/>
            <w:textDirection w:val="lrTb"/>
            <w:noWrap w:val="false"/>
          </w:tcPr>
          <w:p>
            <w:pPr>
              <w:pStyle w:val="1252"/>
              <w:ind w:left="0" w:firstLine="0"/>
              <w:spacing w:line="312" w:lineRule="exact"/>
              <w:tabs>
                <w:tab w:val="left" w:pos="630" w:leader="none"/>
              </w:tabs>
              <w:rPr>
                <w:rFonts w:ascii="Times New Roman"/>
              </w:rPr>
            </w:pPr>
            <w:r>
              <w:rPr>
                <w:rFonts w:ascii="Times New Roman"/>
              </w:rPr>
              <w:t xml:space="preserve">注：1.“△”为必试项目；“*”为需要时进行的试验项目。</w:t>
            </w:r>
            <w:r>
              <w:rPr>
                <w:rFonts w:ascii="Times New Roman"/>
              </w:rPr>
            </w:r>
            <w:r/>
          </w:p>
          <w:p>
            <w:pPr>
              <w:pStyle w:val="1252"/>
              <w:ind w:left="0" w:firstLine="0"/>
              <w:spacing w:line="312" w:lineRule="exact"/>
              <w:tabs>
                <w:tab w:val="left" w:pos="630" w:leader="none"/>
              </w:tabs>
              <w:rPr>
                <w:rFonts w:ascii="Times New Roman"/>
                <w:sz w:val="21"/>
              </w:rPr>
            </w:pPr>
            <w:r>
              <w:rPr>
                <w:rFonts w:ascii="Times New Roman"/>
              </w:rPr>
              <w:t xml:space="preserve">    2.</w:t>
            </w:r>
            <w:r>
              <w:rPr>
                <w:rFonts w:ascii="Times New Roman"/>
                <w:szCs w:val="21"/>
              </w:rPr>
              <w:t xml:space="preserve">环网柜中电流互感器、电压互感器、变压器及避雷器等元件按应相关标准进行的其它试验。</w:t>
            </w:r>
            <w:r>
              <w:rPr>
                <w:rFonts w:ascii="Times New Roman"/>
                <w:sz w:val="21"/>
              </w:rPr>
            </w:r>
            <w:r/>
          </w:p>
        </w:tc>
      </w:tr>
    </w:tbl>
    <w:p>
      <w:pPr>
        <w:pStyle w:val="1240"/>
        <w:rPr>
          <w:rFonts w:ascii="Times New Roman"/>
          <w:color w:val="000000"/>
        </w:rPr>
      </w:pPr>
      <w:r>
        <w:rPr>
          <w:rFonts w:ascii="Times New Roman"/>
          <w:color w:val="000000"/>
        </w:rPr>
      </w:r>
      <w:r/>
    </w:p>
    <w:p>
      <w:pPr>
        <w:pStyle w:val="1151"/>
        <w:spacing w:line="312" w:lineRule="exact"/>
        <w:rPr>
          <w:rFonts w:eastAsia="黑体"/>
          <w:szCs w:val="21"/>
        </w:rPr>
        <w:outlineLvl w:val="2"/>
      </w:pPr>
      <w:r>
        <w:rPr>
          <w:rFonts w:eastAsia="黑体"/>
          <w:szCs w:val="21"/>
        </w:rPr>
        <w:t xml:space="preserve">6.1.4 交接试验</w:t>
      </w:r>
      <w:r>
        <w:rPr>
          <w:rFonts w:eastAsia="黑体"/>
          <w:szCs w:val="21"/>
        </w:rPr>
      </w:r>
      <w:r/>
    </w:p>
    <w:p>
      <w:pPr>
        <w:pStyle w:val="1151"/>
        <w:spacing w:line="312" w:lineRule="exact"/>
      </w:pPr>
      <w:r>
        <w:t xml:space="preserve">6.1.4</w:t>
      </w:r>
      <w:r>
        <w:rPr>
          <w:szCs w:val="21"/>
        </w:rPr>
        <w:t xml:space="preserve">.1 </w:t>
      </w:r>
      <w:r>
        <w:t xml:space="preserve">一般要求</w:t>
      </w:r>
      <w:r/>
    </w:p>
    <w:p>
      <w:pPr>
        <w:pStyle w:val="1151"/>
        <w:ind w:left="840" w:hanging="420"/>
        <w:spacing w:line="312" w:lineRule="exact"/>
        <w:rPr>
          <w:szCs w:val="21"/>
        </w:rPr>
      </w:pPr>
      <w:r>
        <w:rPr>
          <w:szCs w:val="21"/>
        </w:rPr>
        <w:t xml:space="preserve">a）现场交接试验应按GB 50150和 DL/T 404和Q/GWD 730的要求进行；</w:t>
      </w:r>
      <w:r>
        <w:rPr>
          <w:szCs w:val="21"/>
        </w:rPr>
      </w:r>
      <w:r/>
    </w:p>
    <w:p>
      <w:pPr>
        <w:pStyle w:val="1151"/>
        <w:ind w:left="840" w:hanging="420"/>
        <w:spacing w:line="312" w:lineRule="exact"/>
      </w:pPr>
      <w:r>
        <w:rPr>
          <w:szCs w:val="21"/>
        </w:rPr>
        <w:t xml:space="preserve">b）试验</w:t>
      </w:r>
      <w:r>
        <w:t xml:space="preserve">时投标人应派代表参加，所有试验结果均应符合产品的技术要求。</w:t>
      </w:r>
      <w:r/>
    </w:p>
    <w:p>
      <w:pPr>
        <w:pStyle w:val="1151"/>
        <w:spacing w:line="312" w:lineRule="exact"/>
      </w:pPr>
      <w:r>
        <w:t xml:space="preserve">6.1.4</w:t>
      </w:r>
      <w:r>
        <w:rPr>
          <w:szCs w:val="21"/>
        </w:rPr>
        <w:t xml:space="preserve">.2 </w:t>
      </w:r>
      <w:r>
        <w:t xml:space="preserve">交接试验项目见表</w:t>
      </w:r>
      <w:r>
        <w:rPr>
          <w:rFonts w:hint="eastAsia"/>
        </w:rPr>
        <w:t xml:space="preserve">5</w:t>
      </w:r>
      <w:r/>
    </w:p>
    <w:p>
      <w:pPr>
        <w:pStyle w:val="1251"/>
        <w:spacing w:before="156" w:after="156" w:line="312" w:lineRule="exact"/>
        <w:tabs>
          <w:tab w:val="left" w:pos="360" w:leader="none"/>
          <w:tab w:val="left" w:pos="420" w:leader="none"/>
        </w:tabs>
        <w:rPr>
          <w:rFonts w:ascii="Times New Roman"/>
          <w:sz w:val="21"/>
          <w:szCs w:val="21"/>
        </w:rPr>
      </w:pPr>
      <w:r>
        <w:rPr>
          <w:rFonts w:ascii="Times New Roman"/>
          <w:sz w:val="21"/>
          <w:szCs w:val="21"/>
        </w:rPr>
        <w:t xml:space="preserve">表</w:t>
      </w:r>
      <w:r>
        <w:rPr>
          <w:rFonts w:hint="eastAsia" w:ascii="Times New Roman"/>
          <w:sz w:val="21"/>
          <w:szCs w:val="21"/>
        </w:rPr>
        <w:t xml:space="preserve">5</w:t>
      </w:r>
      <w:r>
        <w:rPr>
          <w:rFonts w:ascii="Times New Roman"/>
          <w:sz w:val="21"/>
          <w:szCs w:val="21"/>
        </w:rPr>
        <w:t xml:space="preserve">交接试验项目</w:t>
      </w:r>
      <w:r>
        <w:rPr>
          <w:rFonts w:ascii="Times New Roman"/>
          <w:sz w:val="21"/>
          <w:szCs w:val="21"/>
        </w:rPr>
      </w:r>
      <w:r/>
    </w:p>
    <w:tbl>
      <w:tblPr>
        <w:tblW w:w="8550"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3804"/>
        <w:gridCol w:w="1080"/>
        <w:gridCol w:w="1540"/>
        <w:gridCol w:w="1507"/>
      </w:tblGrid>
      <w:tr>
        <w:trPr>
          <w:cantSplit/>
          <w:trHeight w:val="400"/>
        </w:trPr>
        <w:tc>
          <w:tcPr>
            <w:tcW w:w="619" w:type="dxa"/>
            <w:vAlign w:val="center"/>
            <w:vMerge w:val="restart"/>
            <w:textDirection w:val="lrTb"/>
            <w:noWrap w:val="false"/>
          </w:tcPr>
          <w:p>
            <w:pPr>
              <w:pStyle w:val="1151"/>
              <w:jc w:val="center"/>
              <w:spacing w:line="312" w:lineRule="exact"/>
              <w:rPr>
                <w:sz w:val="18"/>
              </w:rPr>
            </w:pPr>
            <w:r>
              <w:rPr>
                <w:sz w:val="18"/>
              </w:rPr>
              <w:t xml:space="preserve">序号</w:t>
            </w:r>
            <w:r>
              <w:rPr>
                <w:sz w:val="18"/>
              </w:rPr>
            </w:r>
            <w:r/>
          </w:p>
        </w:tc>
        <w:tc>
          <w:tcPr>
            <w:tcW w:w="3804" w:type="dxa"/>
            <w:vAlign w:val="center"/>
            <w:vMerge w:val="restart"/>
            <w:textDirection w:val="lrTb"/>
            <w:noWrap w:val="false"/>
          </w:tcPr>
          <w:p>
            <w:pPr>
              <w:pStyle w:val="1151"/>
              <w:jc w:val="center"/>
              <w:spacing w:line="312" w:lineRule="exact"/>
              <w:rPr>
                <w:sz w:val="18"/>
              </w:rPr>
            </w:pPr>
            <w:r>
              <w:rPr>
                <w:sz w:val="18"/>
              </w:rPr>
              <w:t xml:space="preserve">型式试验项目</w:t>
            </w:r>
            <w:r>
              <w:rPr>
                <w:sz w:val="18"/>
              </w:rPr>
            </w:r>
            <w:r/>
          </w:p>
        </w:tc>
        <w:tc>
          <w:tcPr>
            <w:gridSpan w:val="3"/>
            <w:tcW w:w="4127" w:type="dxa"/>
            <w:vAlign w:val="center"/>
            <w:textDirection w:val="lrTb"/>
            <w:noWrap w:val="false"/>
          </w:tcPr>
          <w:p>
            <w:pPr>
              <w:pStyle w:val="1151"/>
              <w:jc w:val="center"/>
              <w:spacing w:line="312" w:lineRule="exact"/>
              <w:rPr>
                <w:sz w:val="18"/>
              </w:rPr>
            </w:pPr>
            <w:r>
              <w:rPr>
                <w:sz w:val="18"/>
              </w:rPr>
              <w:t xml:space="preserve">功能单元的类别</w:t>
            </w:r>
            <w:r>
              <w:rPr>
                <w:sz w:val="18"/>
              </w:rPr>
            </w:r>
            <w:r/>
          </w:p>
        </w:tc>
      </w:tr>
      <w:tr>
        <w:trPr>
          <w:cantSplit/>
          <w:trHeight w:val="90"/>
        </w:trPr>
        <w:tc>
          <w:tcPr>
            <w:tcW w:w="619" w:type="dxa"/>
            <w:vAlign w:val="center"/>
            <w:vMerge w:val="continue"/>
            <w:textDirection w:val="lrTb"/>
            <w:noWrap w:val="false"/>
          </w:tcPr>
          <w:p>
            <w:pPr>
              <w:pStyle w:val="1151"/>
              <w:jc w:val="center"/>
              <w:spacing w:line="312" w:lineRule="exact"/>
              <w:rPr>
                <w:sz w:val="18"/>
              </w:rPr>
            </w:pPr>
            <w:r>
              <w:rPr>
                <w:sz w:val="18"/>
              </w:rPr>
            </w:r>
            <w:r/>
          </w:p>
        </w:tc>
        <w:tc>
          <w:tcPr>
            <w:tcW w:w="3804" w:type="dxa"/>
            <w:vAlign w:val="center"/>
            <w:vMerge w:val="continue"/>
            <w:textDirection w:val="lrTb"/>
            <w:noWrap w:val="false"/>
          </w:tcPr>
          <w:p>
            <w:pPr>
              <w:pStyle w:val="1151"/>
              <w:jc w:val="center"/>
              <w:spacing w:line="312" w:lineRule="exact"/>
              <w:widowControl/>
              <w:rPr>
                <w:sz w:val="18"/>
              </w:rPr>
            </w:pPr>
            <w:r>
              <w:rPr>
                <w:sz w:val="18"/>
              </w:rPr>
            </w:r>
            <w:r/>
          </w:p>
        </w:tc>
        <w:tc>
          <w:tcPr>
            <w:tcW w:w="1080" w:type="dxa"/>
            <w:vAlign w:val="center"/>
            <w:textDirection w:val="lrTb"/>
            <w:noWrap w:val="false"/>
          </w:tcPr>
          <w:p>
            <w:pPr>
              <w:pStyle w:val="1151"/>
              <w:jc w:val="center"/>
              <w:spacing w:line="312" w:lineRule="exact"/>
              <w:rPr>
                <w:sz w:val="18"/>
              </w:rPr>
            </w:pPr>
            <w:r>
              <w:rPr>
                <w:sz w:val="18"/>
              </w:rPr>
              <w:t xml:space="preserve">断路器用</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组合电器用</w:t>
            </w:r>
            <w:r>
              <w:rPr>
                <w:sz w:val="18"/>
              </w:rPr>
            </w:r>
            <w:r/>
          </w:p>
        </w:tc>
      </w:tr>
      <w:tr>
        <w:trPr>
          <w:trHeight w:val="338"/>
        </w:trPr>
        <w:tc>
          <w:tcPr>
            <w:tcW w:w="619" w:type="dxa"/>
            <w:vAlign w:val="center"/>
            <w:textDirection w:val="lrTb"/>
            <w:noWrap w:val="false"/>
          </w:tcPr>
          <w:p>
            <w:pPr>
              <w:pStyle w:val="1151"/>
              <w:jc w:val="center"/>
              <w:spacing w:line="312" w:lineRule="exact"/>
              <w:rPr>
                <w:sz w:val="18"/>
              </w:rPr>
            </w:pPr>
            <w:r>
              <w:rPr>
                <w:sz w:val="18"/>
              </w:rPr>
              <w:t xml:space="preserve">1</w:t>
            </w:r>
            <w:r>
              <w:rPr>
                <w:sz w:val="18"/>
              </w:rPr>
            </w:r>
            <w:r/>
          </w:p>
        </w:tc>
        <w:tc>
          <w:tcPr>
            <w:tcW w:w="3804" w:type="dxa"/>
            <w:vAlign w:val="center"/>
            <w:textDirection w:val="lrTb"/>
            <w:noWrap w:val="false"/>
          </w:tcPr>
          <w:p>
            <w:pPr>
              <w:pStyle w:val="1151"/>
              <w:spacing w:line="312" w:lineRule="exact"/>
              <w:rPr>
                <w:sz w:val="18"/>
              </w:rPr>
            </w:pPr>
            <w:r>
              <w:rPr>
                <w:sz w:val="18"/>
              </w:rPr>
              <w:t xml:space="preserve">主回路绝缘试验</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311"/>
        </w:trPr>
        <w:tc>
          <w:tcPr>
            <w:tcW w:w="619" w:type="dxa"/>
            <w:vAlign w:val="center"/>
            <w:textDirection w:val="lrTb"/>
            <w:noWrap w:val="false"/>
          </w:tcPr>
          <w:p>
            <w:pPr>
              <w:pStyle w:val="1151"/>
              <w:jc w:val="center"/>
              <w:spacing w:line="312" w:lineRule="exact"/>
              <w:rPr>
                <w:sz w:val="18"/>
              </w:rPr>
            </w:pPr>
            <w:r>
              <w:rPr>
                <w:sz w:val="18"/>
              </w:rPr>
              <w:t xml:space="preserve">2</w:t>
            </w:r>
            <w:r>
              <w:rPr>
                <w:sz w:val="18"/>
              </w:rPr>
            </w:r>
            <w:r/>
          </w:p>
        </w:tc>
        <w:tc>
          <w:tcPr>
            <w:tcW w:w="3804" w:type="dxa"/>
            <w:vAlign w:val="center"/>
            <w:textDirection w:val="lrTb"/>
            <w:noWrap w:val="false"/>
          </w:tcPr>
          <w:p>
            <w:pPr>
              <w:pStyle w:val="1151"/>
              <w:spacing w:line="312" w:lineRule="exact"/>
              <w:rPr>
                <w:sz w:val="18"/>
              </w:rPr>
            </w:pPr>
            <w:r>
              <w:rPr>
                <w:sz w:val="18"/>
              </w:rPr>
              <w:t xml:space="preserve">辅助回路绝缘试验</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311"/>
        </w:trPr>
        <w:tc>
          <w:tcPr>
            <w:tcW w:w="619" w:type="dxa"/>
            <w:vAlign w:val="center"/>
            <w:textDirection w:val="lrTb"/>
            <w:noWrap w:val="false"/>
          </w:tcPr>
          <w:p>
            <w:pPr>
              <w:pStyle w:val="1151"/>
              <w:jc w:val="center"/>
              <w:spacing w:line="312" w:lineRule="exact"/>
              <w:rPr>
                <w:sz w:val="18"/>
              </w:rPr>
            </w:pPr>
            <w:r>
              <w:rPr>
                <w:sz w:val="18"/>
              </w:rPr>
              <w:t xml:space="preserve">3</w:t>
            </w:r>
            <w:r>
              <w:rPr>
                <w:sz w:val="18"/>
              </w:rPr>
            </w:r>
            <w:r/>
          </w:p>
        </w:tc>
        <w:tc>
          <w:tcPr>
            <w:tcW w:w="3804" w:type="dxa"/>
            <w:vAlign w:val="center"/>
            <w:textDirection w:val="lrTb"/>
            <w:noWrap w:val="false"/>
          </w:tcPr>
          <w:p>
            <w:pPr>
              <w:pStyle w:val="1151"/>
              <w:spacing w:line="312" w:lineRule="exact"/>
              <w:rPr>
                <w:sz w:val="18"/>
              </w:rPr>
            </w:pPr>
            <w:r>
              <w:rPr>
                <w:sz w:val="18"/>
              </w:rPr>
              <w:t xml:space="preserve">主回路电阻测量</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252"/>
        </w:trPr>
        <w:tc>
          <w:tcPr>
            <w:tcW w:w="619" w:type="dxa"/>
            <w:vAlign w:val="center"/>
            <w:textDirection w:val="lrTb"/>
            <w:noWrap w:val="false"/>
          </w:tcPr>
          <w:p>
            <w:pPr>
              <w:pStyle w:val="1151"/>
              <w:jc w:val="center"/>
              <w:spacing w:line="312" w:lineRule="exact"/>
              <w:rPr>
                <w:sz w:val="18"/>
              </w:rPr>
            </w:pPr>
            <w:r>
              <w:rPr>
                <w:sz w:val="18"/>
              </w:rPr>
              <w:t xml:space="preserve">4</w:t>
            </w:r>
            <w:r>
              <w:rPr>
                <w:sz w:val="18"/>
              </w:rPr>
            </w:r>
            <w:r/>
          </w:p>
        </w:tc>
        <w:tc>
          <w:tcPr>
            <w:tcW w:w="3804" w:type="dxa"/>
            <w:vAlign w:val="center"/>
            <w:textDirection w:val="lrTb"/>
            <w:noWrap w:val="false"/>
          </w:tcPr>
          <w:p>
            <w:pPr>
              <w:pStyle w:val="1151"/>
              <w:spacing w:line="312" w:lineRule="exact"/>
              <w:rPr>
                <w:sz w:val="18"/>
              </w:rPr>
            </w:pPr>
            <w:r>
              <w:rPr>
                <w:sz w:val="18"/>
              </w:rPr>
              <w:t xml:space="preserve">检查与核实：内容包括外观检查、图纸与说明书，所有螺栓及接线的紧固情况，控制、测量、保护和调节设备及包括加热器在内的正确功能等</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240"/>
        </w:trPr>
        <w:tc>
          <w:tcPr>
            <w:tcW w:w="619" w:type="dxa"/>
            <w:vAlign w:val="center"/>
            <w:textDirection w:val="lrTb"/>
            <w:noWrap w:val="false"/>
          </w:tcPr>
          <w:p>
            <w:pPr>
              <w:pStyle w:val="1151"/>
              <w:jc w:val="center"/>
              <w:spacing w:line="312" w:lineRule="exact"/>
              <w:rPr>
                <w:sz w:val="18"/>
              </w:rPr>
            </w:pPr>
            <w:r>
              <w:rPr>
                <w:sz w:val="18"/>
              </w:rPr>
              <w:t xml:space="preserve">5</w:t>
            </w:r>
            <w:r>
              <w:rPr>
                <w:sz w:val="18"/>
              </w:rPr>
            </w:r>
            <w:r/>
          </w:p>
        </w:tc>
        <w:tc>
          <w:tcPr>
            <w:tcW w:w="3804" w:type="dxa"/>
            <w:vAlign w:val="center"/>
            <w:textDirection w:val="lrTb"/>
            <w:noWrap w:val="false"/>
          </w:tcPr>
          <w:p>
            <w:pPr>
              <w:pStyle w:val="1151"/>
              <w:spacing w:line="312" w:lineRule="exact"/>
              <w:rPr>
                <w:sz w:val="18"/>
              </w:rPr>
            </w:pPr>
            <w:r>
              <w:rPr>
                <w:sz w:val="18"/>
              </w:rPr>
              <w:t xml:space="preserve">联锁检查</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240"/>
        </w:trPr>
        <w:tc>
          <w:tcPr>
            <w:tcW w:w="619" w:type="dxa"/>
            <w:vAlign w:val="center"/>
            <w:textDirection w:val="lrTb"/>
            <w:noWrap w:val="false"/>
          </w:tcPr>
          <w:p>
            <w:pPr>
              <w:pStyle w:val="1151"/>
              <w:jc w:val="center"/>
              <w:spacing w:line="312" w:lineRule="exact"/>
              <w:rPr>
                <w:sz w:val="18"/>
              </w:rPr>
            </w:pPr>
            <w:r>
              <w:rPr>
                <w:sz w:val="18"/>
              </w:rPr>
              <w:t xml:space="preserve">6</w:t>
            </w:r>
            <w:r>
              <w:rPr>
                <w:sz w:val="18"/>
              </w:rPr>
            </w:r>
            <w:r/>
          </w:p>
        </w:tc>
        <w:tc>
          <w:tcPr>
            <w:tcW w:w="3804" w:type="dxa"/>
            <w:vAlign w:val="center"/>
            <w:textDirection w:val="lrTb"/>
            <w:noWrap w:val="false"/>
          </w:tcPr>
          <w:p>
            <w:pPr>
              <w:pStyle w:val="1151"/>
              <w:spacing w:line="312" w:lineRule="exact"/>
              <w:rPr>
                <w:sz w:val="18"/>
              </w:rPr>
            </w:pPr>
            <w:r>
              <w:rPr>
                <w:sz w:val="18"/>
              </w:rPr>
              <w:t xml:space="preserve">机械操作试验</w:t>
            </w:r>
            <w:r>
              <w:rPr>
                <w:sz w:val="18"/>
              </w:rPr>
            </w:r>
            <w:r/>
          </w:p>
        </w:tc>
        <w:tc>
          <w:tcPr>
            <w:tcW w:w="1080" w:type="dxa"/>
            <w:vAlign w:val="center"/>
            <w:textDirection w:val="lrTb"/>
            <w:noWrap w:val="false"/>
          </w:tcPr>
          <w:p>
            <w:pPr>
              <w:pStyle w:val="1151"/>
              <w:jc w:val="center"/>
              <w:spacing w:line="312" w:lineRule="exact"/>
              <w:rPr>
                <w:sz w:val="18"/>
              </w:rPr>
            </w:pPr>
            <w:r>
              <w:rPr>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384"/>
        </w:trPr>
        <w:tc>
          <w:tcPr>
            <w:tcW w:w="619" w:type="dxa"/>
            <w:vAlign w:val="center"/>
            <w:textDirection w:val="lrTb"/>
            <w:noWrap w:val="false"/>
          </w:tcPr>
          <w:p>
            <w:pPr>
              <w:pStyle w:val="1151"/>
              <w:jc w:val="center"/>
              <w:spacing w:line="312" w:lineRule="exact"/>
              <w:tabs>
                <w:tab w:val="left" w:pos="0" w:leader="none"/>
              </w:tabs>
              <w:rPr>
                <w:sz w:val="18"/>
              </w:rPr>
            </w:pPr>
            <w:r>
              <w:rPr>
                <w:sz w:val="18"/>
              </w:rPr>
              <w:t xml:space="preserve">7</w:t>
            </w:r>
            <w:r>
              <w:rPr>
                <w:sz w:val="18"/>
              </w:rPr>
            </w:r>
            <w:r/>
          </w:p>
        </w:tc>
        <w:tc>
          <w:tcPr>
            <w:tcW w:w="3804" w:type="dxa"/>
            <w:vAlign w:val="center"/>
            <w:textDirection w:val="lrTb"/>
            <w:noWrap w:val="false"/>
          </w:tcPr>
          <w:p>
            <w:pPr>
              <w:pStyle w:val="1151"/>
              <w:spacing w:line="312" w:lineRule="exact"/>
              <w:tabs>
                <w:tab w:val="center" w:pos="1794" w:leader="none"/>
              </w:tabs>
              <w:rPr>
                <w:sz w:val="18"/>
              </w:rPr>
            </w:pPr>
            <w:r>
              <w:rPr>
                <w:sz w:val="18"/>
              </w:rPr>
              <w:t xml:space="preserve">环网柜中断路器、熔断器、电流互感器、电压互感器及避雷器等元件按相关标准应进行的其他现场试验</w:t>
            </w:r>
            <w:r>
              <w:rPr>
                <w:sz w:val="18"/>
              </w:rPr>
            </w:r>
            <w:r/>
          </w:p>
        </w:tc>
        <w:tc>
          <w:tcPr>
            <w:tcW w:w="1080" w:type="dxa"/>
            <w:vAlign w:val="center"/>
            <w:textDirection w:val="lrTb"/>
            <w:noWrap w:val="false"/>
          </w:tcPr>
          <w:p>
            <w:pPr>
              <w:pStyle w:val="1151"/>
              <w:jc w:val="center"/>
              <w:spacing w:line="312" w:lineRule="exact"/>
              <w:rPr>
                <w:sz w:val="18"/>
              </w:rPr>
            </w:pPr>
            <w:r>
              <w:rPr>
                <w:rFonts w:ascii="Cambria Math" w:hAnsi="Cambria Math" w:cs="Cambria Math"/>
                <w:sz w:val="18"/>
              </w:rPr>
              <w:t xml:space="preserve">△</w:t>
            </w:r>
            <w:r>
              <w:rPr>
                <w:sz w:val="18"/>
              </w:rPr>
            </w:r>
            <w:r/>
          </w:p>
        </w:tc>
        <w:tc>
          <w:tcPr>
            <w:tcW w:w="1540" w:type="dxa"/>
            <w:vAlign w:val="center"/>
            <w:textDirection w:val="lrTb"/>
            <w:noWrap w:val="false"/>
          </w:tcPr>
          <w:p>
            <w:pPr>
              <w:pStyle w:val="1151"/>
              <w:jc w:val="center"/>
              <w:spacing w:line="312" w:lineRule="exact"/>
              <w:rPr>
                <w:sz w:val="18"/>
              </w:rPr>
            </w:pPr>
            <w:r>
              <w:rPr>
                <w:sz w:val="18"/>
              </w:rPr>
            </w:r>
            <w:r/>
          </w:p>
        </w:tc>
        <w:tc>
          <w:tcPr>
            <w:tcW w:w="1507" w:type="dxa"/>
            <w:vAlign w:val="center"/>
            <w:textDirection w:val="lrTb"/>
            <w:noWrap w:val="false"/>
          </w:tcPr>
          <w:p>
            <w:pPr>
              <w:pStyle w:val="1151"/>
              <w:jc w:val="center"/>
              <w:spacing w:line="312" w:lineRule="exact"/>
              <w:rPr>
                <w:sz w:val="18"/>
              </w:rPr>
            </w:pPr>
            <w:r>
              <w:rPr>
                <w:sz w:val="18"/>
              </w:rPr>
              <w:t xml:space="preserve">△</w:t>
            </w:r>
            <w:r>
              <w:rPr>
                <w:sz w:val="18"/>
              </w:rPr>
            </w:r>
            <w:r/>
          </w:p>
        </w:tc>
      </w:tr>
      <w:tr>
        <w:trPr>
          <w:trHeight w:val="377"/>
        </w:trPr>
        <w:tc>
          <w:tcPr>
            <w:gridSpan w:val="5"/>
            <w:tcW w:w="8550" w:type="dxa"/>
            <w:vAlign w:val="top"/>
            <w:textDirection w:val="lrTb"/>
            <w:noWrap w:val="false"/>
          </w:tcPr>
          <w:p>
            <w:pPr>
              <w:pStyle w:val="1252"/>
              <w:ind w:left="0" w:firstLine="0"/>
              <w:spacing w:line="312" w:lineRule="exact"/>
              <w:tabs>
                <w:tab w:val="left" w:pos="630" w:leader="none"/>
              </w:tabs>
              <w:rPr>
                <w:rFonts w:ascii="Times New Roman"/>
                <w:sz w:val="21"/>
              </w:rPr>
            </w:pPr>
            <w:r>
              <w:rPr>
                <w:rFonts w:ascii="Times New Roman"/>
              </w:rPr>
              <w:t xml:space="preserve">注： “△”为必试项目。</w:t>
            </w:r>
            <w:r>
              <w:rPr>
                <w:rFonts w:ascii="Times New Roman"/>
                <w:sz w:val="21"/>
              </w:rPr>
            </w:r>
            <w:r/>
          </w:p>
        </w:tc>
      </w:tr>
    </w:tbl>
    <w:p>
      <w:pPr>
        <w:pStyle w:val="1240"/>
        <w:rPr>
          <w:rFonts w:ascii="Times New Roman"/>
          <w:color w:val="000000"/>
        </w:rPr>
      </w:pPr>
      <w:r>
        <w:rPr>
          <w:rFonts w:ascii="Times New Roman"/>
          <w:color w:val="000000"/>
        </w:rPr>
      </w:r>
      <w:r/>
    </w:p>
    <w:p>
      <w:pPr>
        <w:pStyle w:val="1151"/>
        <w:spacing w:line="312" w:lineRule="exact"/>
        <w:rPr>
          <w:rFonts w:eastAsia="黑体"/>
          <w:szCs w:val="21"/>
        </w:rPr>
        <w:outlineLvl w:val="2"/>
      </w:pPr>
      <w:r>
        <w:rPr>
          <w:rFonts w:eastAsia="黑体"/>
          <w:szCs w:val="21"/>
        </w:rPr>
        <w:t xml:space="preserve">6.1.5 试验方法及要求</w:t>
      </w:r>
      <w:r>
        <w:rPr>
          <w:rFonts w:eastAsia="黑体"/>
          <w:szCs w:val="21"/>
        </w:rPr>
      </w:r>
      <w:r/>
    </w:p>
    <w:p>
      <w:pPr>
        <w:pStyle w:val="1151"/>
        <w:spacing w:line="312" w:lineRule="exact"/>
      </w:pPr>
      <w:r>
        <w:t xml:space="preserve">6.1.5</w:t>
      </w:r>
      <w:r>
        <w:rPr>
          <w:szCs w:val="21"/>
        </w:rPr>
        <w:t xml:space="preserve">.1 </w:t>
      </w:r>
      <w:r>
        <w:t xml:space="preserve">绝缘试验</w:t>
      </w:r>
      <w:r/>
    </w:p>
    <w:p>
      <w:pPr>
        <w:pStyle w:val="1151"/>
        <w:ind w:left="420"/>
        <w:spacing w:line="312" w:lineRule="exact"/>
        <w:rPr>
          <w:szCs w:val="21"/>
        </w:rPr>
      </w:pPr>
      <w:r>
        <w:rPr>
          <w:szCs w:val="21"/>
        </w:rPr>
        <w:t xml:space="preserve">a）试验要求按DL/T 593的规定。凝露下的耐压试验，试验方法按DL/T 404的规定进行；</w:t>
      </w:r>
      <w:r>
        <w:rPr>
          <w:szCs w:val="21"/>
        </w:rPr>
      </w:r>
      <w:r/>
    </w:p>
    <w:p>
      <w:pPr>
        <w:pStyle w:val="1151"/>
        <w:ind w:left="420"/>
        <w:spacing w:line="312" w:lineRule="exact"/>
      </w:pPr>
      <w:r>
        <w:rPr>
          <w:szCs w:val="21"/>
        </w:rPr>
        <w:t xml:space="preserve">b）绝</w:t>
      </w:r>
      <w:r>
        <w:t xml:space="preserve">缘试验时，应在元件的布置能提供最不利的绝缘条件的组合方式上进行，如无法证明，应在各种可能的布置方案下进行试验。</w:t>
      </w:r>
      <w:r/>
    </w:p>
    <w:p>
      <w:pPr>
        <w:pStyle w:val="1151"/>
        <w:spacing w:line="312" w:lineRule="exact"/>
      </w:pPr>
      <w:r>
        <w:t xml:space="preserve">6.1.5</w:t>
      </w:r>
      <w:r>
        <w:rPr>
          <w:szCs w:val="21"/>
        </w:rPr>
        <w:t xml:space="preserve">.2 </w:t>
      </w:r>
      <w:r>
        <w:t xml:space="preserve">局部放电试验</w:t>
      </w:r>
      <w:r/>
    </w:p>
    <w:p>
      <w:pPr>
        <w:pStyle w:val="1151"/>
        <w:ind w:left="420"/>
        <w:spacing w:line="312" w:lineRule="exact"/>
        <w:rPr>
          <w:szCs w:val="21"/>
        </w:rPr>
      </w:pPr>
      <w:r>
        <w:rPr>
          <w:szCs w:val="21"/>
        </w:rPr>
        <w:t xml:space="preserve">a）试验要求按GB/T 7354中的规定；</w:t>
      </w:r>
      <w:r>
        <w:rPr>
          <w:szCs w:val="21"/>
        </w:rPr>
      </w:r>
      <w:r/>
    </w:p>
    <w:p>
      <w:pPr>
        <w:pStyle w:val="1151"/>
        <w:ind w:left="420"/>
        <w:spacing w:line="312" w:lineRule="exact"/>
      </w:pPr>
      <w:r>
        <w:rPr>
          <w:szCs w:val="21"/>
        </w:rPr>
        <w:t xml:space="preserve">b）试</w:t>
      </w:r>
      <w:r>
        <w:t xml:space="preserve">验结果判定：1.1Ur下，局部放电量绝缘组件≤5pC。对于非空气绝缘柜，断路器柜、组合电气柜≤20pC。</w:t>
      </w:r>
      <w:r/>
    </w:p>
    <w:p>
      <w:pPr>
        <w:pStyle w:val="1151"/>
        <w:spacing w:line="312" w:lineRule="exact"/>
      </w:pPr>
      <w:r>
        <w:t xml:space="preserve">6.1.5</w:t>
      </w:r>
      <w:r>
        <w:rPr>
          <w:szCs w:val="21"/>
        </w:rPr>
        <w:t xml:space="preserve">.3 </w:t>
      </w:r>
      <w:r>
        <w:t xml:space="preserve">温升试验</w:t>
      </w:r>
      <w:r/>
    </w:p>
    <w:p>
      <w:pPr>
        <w:pStyle w:val="1151"/>
        <w:ind w:left="420"/>
        <w:spacing w:line="312" w:lineRule="exact"/>
        <w:rPr>
          <w:szCs w:val="21"/>
        </w:rPr>
      </w:pPr>
      <w:r>
        <w:rPr>
          <w:szCs w:val="21"/>
        </w:rPr>
        <w:t xml:space="preserve">a）试验要求按DL/T 593的规定，对环网单元通入1.1倍的额定电流进行试验。对组合电器单元（或含有熔断器）的环网单元进行试验时，组合电器应按GB 16926的规定通入1.0倍额定电流进行试验；</w:t>
      </w:r>
      <w:r>
        <w:rPr>
          <w:szCs w:val="21"/>
        </w:rPr>
      </w:r>
      <w:r/>
    </w:p>
    <w:p>
      <w:pPr>
        <w:pStyle w:val="1151"/>
        <w:ind w:left="420"/>
        <w:spacing w:line="312" w:lineRule="exact"/>
        <w:rPr>
          <w:szCs w:val="21"/>
        </w:rPr>
      </w:pPr>
      <w:r>
        <w:rPr>
          <w:szCs w:val="21"/>
        </w:rPr>
        <w:t xml:space="preserve">b）温升试验应按正常使用条件安装，包括所有外壳、隔板等，并且在试验时应将盖板和门关闭；</w:t>
      </w:r>
      <w:r>
        <w:rPr>
          <w:szCs w:val="21"/>
        </w:rPr>
      </w:r>
      <w:r/>
    </w:p>
    <w:p>
      <w:pPr>
        <w:pStyle w:val="1151"/>
        <w:ind w:left="420"/>
        <w:spacing w:line="312" w:lineRule="exact"/>
        <w:rPr>
          <w:szCs w:val="21"/>
        </w:rPr>
      </w:pPr>
      <w:r>
        <w:rPr>
          <w:szCs w:val="21"/>
        </w:rPr>
        <w:t xml:space="preserve">c）对某一单元的环网单元进行温升试验时，主母线及两边相邻的环网单元应通以电流，该电流所产生的功率损耗应与额定情况下相同。如果无法做到与实际工作条件一致，则允许以加热或隔热的方法来模拟其等价条件；</w:t>
      </w:r>
      <w:r>
        <w:rPr>
          <w:szCs w:val="21"/>
        </w:rPr>
      </w:r>
      <w:r/>
    </w:p>
    <w:p>
      <w:pPr>
        <w:pStyle w:val="1151"/>
        <w:ind w:left="420"/>
        <w:spacing w:line="312" w:lineRule="exact"/>
        <w:rPr>
          <w:szCs w:val="21"/>
        </w:rPr>
      </w:pPr>
      <w:r>
        <w:rPr>
          <w:szCs w:val="21"/>
        </w:rPr>
        <w:t xml:space="preserve">d）对于断路器、负荷开关－熔断器组合电器</w:t>
      </w:r>
      <w:r>
        <w:rPr>
          <w:rFonts w:hint="eastAsia"/>
          <w:szCs w:val="21"/>
        </w:rPr>
        <w:t xml:space="preserve">两</w:t>
      </w:r>
      <w:r>
        <w:rPr>
          <w:szCs w:val="21"/>
        </w:rPr>
        <w:t xml:space="preserve">种单元的温升试验应分别进行，不可互相替代；</w:t>
      </w:r>
      <w:r>
        <w:rPr>
          <w:szCs w:val="21"/>
        </w:rPr>
      </w:r>
      <w:r/>
    </w:p>
    <w:p>
      <w:pPr>
        <w:pStyle w:val="1151"/>
        <w:ind w:left="420"/>
        <w:spacing w:line="312" w:lineRule="exact"/>
      </w:pPr>
      <w:r>
        <w:rPr>
          <w:szCs w:val="21"/>
        </w:rPr>
        <w:t xml:space="preserve">e）试验结果判定：按DL/T 593的规定，熔断器的温升应符合GB/T 15166.2中的规定，温升试</w:t>
      </w:r>
      <w:r>
        <w:t xml:space="preserve">验后主回路的电阻变化不得大于温升试验前的20%。</w:t>
      </w:r>
      <w:r/>
    </w:p>
    <w:p>
      <w:pPr>
        <w:pStyle w:val="1151"/>
        <w:ind w:firstLine="16"/>
        <w:spacing w:line="312" w:lineRule="exact"/>
      </w:pPr>
      <w:r>
        <w:t xml:space="preserve">6.1.5</w:t>
      </w:r>
      <w:r>
        <w:rPr>
          <w:szCs w:val="21"/>
        </w:rPr>
        <w:t xml:space="preserve">.4 </w:t>
      </w:r>
      <w:r>
        <w:t xml:space="preserve">主回路电阻测量</w:t>
      </w:r>
      <w:r/>
    </w:p>
    <w:p>
      <w:pPr>
        <w:pStyle w:val="1151"/>
        <w:ind w:left="420"/>
        <w:spacing w:line="312" w:lineRule="exact"/>
        <w:rPr>
          <w:szCs w:val="21"/>
        </w:rPr>
      </w:pPr>
      <w:r>
        <w:rPr>
          <w:szCs w:val="21"/>
        </w:rPr>
        <w:t xml:space="preserve">a）试验要求按DL/T 593的规定进行，其电阻值由产品技术条件规定。短路实验前后电阻变化不得大于20%；</w:t>
      </w:r>
      <w:r>
        <w:rPr>
          <w:szCs w:val="21"/>
        </w:rPr>
      </w:r>
      <w:r/>
    </w:p>
    <w:p>
      <w:pPr>
        <w:pStyle w:val="1151"/>
        <w:ind w:left="420"/>
        <w:spacing w:line="312" w:lineRule="exact"/>
        <w:rPr>
          <w:szCs w:val="21"/>
        </w:rPr>
      </w:pPr>
      <w:r>
        <w:rPr>
          <w:szCs w:val="21"/>
        </w:rPr>
        <w:t xml:space="preserve">b）为了排除熔断器固有电阻分散性对回路电阻的表征产生影响时，可用阻抗可以忽略不计的导电棒代替熔断器后，进行直流电阻测量，此时应对导电棒的直流电阻进行记录；</w:t>
      </w:r>
      <w:r>
        <w:rPr>
          <w:szCs w:val="21"/>
        </w:rPr>
      </w:r>
      <w:r/>
    </w:p>
    <w:p>
      <w:pPr>
        <w:pStyle w:val="1151"/>
        <w:ind w:left="420"/>
        <w:spacing w:line="312" w:lineRule="exact"/>
        <w:rPr>
          <w:szCs w:val="21"/>
        </w:rPr>
      </w:pPr>
      <w:r>
        <w:rPr>
          <w:szCs w:val="21"/>
        </w:rPr>
        <w:t xml:space="preserve">c）当额定电流等于或大于100A时，应以电流、电压法测量。</w:t>
      </w:r>
      <w:r>
        <w:rPr>
          <w:szCs w:val="21"/>
        </w:rPr>
      </w:r>
      <w:r/>
    </w:p>
    <w:p>
      <w:pPr>
        <w:pStyle w:val="1151"/>
        <w:spacing w:line="312" w:lineRule="exact"/>
      </w:pPr>
      <w:r>
        <w:t xml:space="preserve">6.1.5</w:t>
      </w:r>
      <w:r>
        <w:rPr>
          <w:szCs w:val="21"/>
        </w:rPr>
        <w:t xml:space="preserve">.5 </w:t>
      </w:r>
      <w:r>
        <w:t xml:space="preserve">短时耐受电流和峰值耐受电流试验</w:t>
      </w:r>
      <w:r/>
    </w:p>
    <w:p>
      <w:pPr>
        <w:pStyle w:val="1151"/>
        <w:ind w:left="420"/>
        <w:spacing w:line="312" w:lineRule="exact"/>
        <w:rPr>
          <w:szCs w:val="21"/>
        </w:rPr>
      </w:pPr>
      <w:r>
        <w:rPr>
          <w:szCs w:val="21"/>
        </w:rPr>
        <w:t xml:space="preserve">a）短时耐受电流和峰值耐受电流试验适用于断路器，对负荷开关－熔断器组合电器不适用。但考虑到组合电器的其它功能单元或支路（如接地开关、接地回路等），要求进行短时耐受电流和峰值耐受电流试验时，按DL/T 593规定进行；</w:t>
      </w:r>
      <w:r>
        <w:rPr>
          <w:szCs w:val="21"/>
        </w:rPr>
      </w:r>
      <w:r/>
    </w:p>
    <w:p>
      <w:pPr>
        <w:pStyle w:val="1151"/>
        <w:ind w:left="420"/>
        <w:spacing w:line="312" w:lineRule="exact"/>
        <w:rPr>
          <w:szCs w:val="21"/>
        </w:rPr>
      </w:pPr>
      <w:r>
        <w:rPr>
          <w:szCs w:val="21"/>
        </w:rPr>
        <w:t xml:space="preserve">b）环网单元应进行铭牌所规定的峰值耐受电流及短时耐受电流的试验，试验方法应符合DL/T 593中的规定，在三相回路上进行。在同一产品中有两种以上短时耐受电流及峰值耐受电流值时，如果结构及其所有组件和导体截面（如为设计最小截面）规格均相同，若已按规定的最大值进行，并通过了试验，对规定的较低值可以不进行试验；</w:t>
      </w:r>
      <w:r>
        <w:rPr>
          <w:szCs w:val="21"/>
        </w:rPr>
      </w:r>
      <w:r/>
    </w:p>
    <w:p>
      <w:pPr>
        <w:pStyle w:val="1151"/>
        <w:ind w:left="420"/>
        <w:spacing w:line="312" w:lineRule="exact"/>
        <w:rPr>
          <w:szCs w:val="21"/>
        </w:rPr>
      </w:pPr>
      <w:r>
        <w:rPr>
          <w:szCs w:val="21"/>
        </w:rPr>
        <w:t xml:space="preserve">c）在同一系列产品中（包括电压互感器单元在内），在进行出线柜试验时，应采用方案中最小额定电流配置的试品进行试验。在试验中，除为限制短路电流值和短路持续时间而装设的保护装置外，应保证其它的保护设施不动作。试验后，试品内的组件和导体不应产生有损于主回路正常工作的变形和损坏；</w:t>
      </w:r>
      <w:r>
        <w:rPr>
          <w:szCs w:val="21"/>
        </w:rPr>
      </w:r>
      <w:r/>
    </w:p>
    <w:p>
      <w:pPr>
        <w:pStyle w:val="1151"/>
        <w:ind w:left="420"/>
        <w:spacing w:line="312" w:lineRule="exact"/>
        <w:rPr>
          <w:szCs w:val="21"/>
        </w:rPr>
      </w:pPr>
      <w:r>
        <w:rPr>
          <w:szCs w:val="21"/>
        </w:rPr>
        <w:t xml:space="preserve">d）接地回路的试验按DL/T 404的规定进行。试验后，接地导体与接地网连接的汇流排等允许有一定程度的局部变形，但必须维持接地回路能继续正常工作。</w:t>
      </w:r>
      <w:r>
        <w:rPr>
          <w:szCs w:val="21"/>
        </w:rPr>
      </w:r>
      <w:r/>
    </w:p>
    <w:p>
      <w:pPr>
        <w:pStyle w:val="1151"/>
        <w:spacing w:line="312" w:lineRule="exact"/>
      </w:pPr>
      <w:r>
        <w:t xml:space="preserve">6.1.5</w:t>
      </w:r>
      <w:r>
        <w:rPr>
          <w:szCs w:val="21"/>
        </w:rPr>
        <w:t xml:space="preserve">.6 </w:t>
      </w:r>
      <w:r>
        <w:t xml:space="preserve">关合开断与电寿命试验</w:t>
      </w:r>
      <w:r/>
    </w:p>
    <w:p>
      <w:pPr>
        <w:pStyle w:val="1151"/>
        <w:ind w:left="420"/>
        <w:spacing w:line="312" w:lineRule="exact"/>
        <w:rPr>
          <w:szCs w:val="21"/>
        </w:rPr>
      </w:pPr>
      <w:r>
        <w:rPr>
          <w:szCs w:val="21"/>
        </w:rPr>
        <w:t xml:space="preserve">a）断路器的短路关合和开断试验、容性电流开合试验按DL/T 402规定进行，电寿命试验按DL/T 403规定进行；</w:t>
      </w:r>
      <w:r>
        <w:rPr>
          <w:szCs w:val="21"/>
        </w:rPr>
      </w:r>
      <w:r/>
    </w:p>
    <w:p>
      <w:pPr>
        <w:pStyle w:val="1151"/>
        <w:ind w:left="420"/>
        <w:spacing w:line="312" w:lineRule="exact"/>
        <w:rPr>
          <w:szCs w:val="21"/>
        </w:rPr>
      </w:pPr>
      <w:r>
        <w:rPr>
          <w:szCs w:val="21"/>
        </w:rPr>
        <w:t xml:space="preserve">c）负荷开关－熔断器组合电器试验按GB 16926规定进行；</w:t>
      </w:r>
      <w:r>
        <w:rPr>
          <w:szCs w:val="21"/>
        </w:rPr>
      </w:r>
      <w:r/>
    </w:p>
    <w:p>
      <w:pPr>
        <w:pStyle w:val="1151"/>
        <w:ind w:left="420"/>
        <w:spacing w:line="312" w:lineRule="exact"/>
        <w:rPr>
          <w:szCs w:val="21"/>
        </w:rPr>
      </w:pPr>
      <w:r>
        <w:rPr>
          <w:szCs w:val="21"/>
        </w:rPr>
        <w:t xml:space="preserve">d）无论装何种开关设备的环网单元，进行开断试验前、后，均应进行主绝缘对地、相</w:t>
      </w:r>
      <w:r>
        <w:rPr>
          <w:szCs w:val="21"/>
        </w:rPr>
      </w:r>
      <w:r/>
    </w:p>
    <w:p>
      <w:pPr>
        <w:pStyle w:val="1151"/>
        <w:ind w:left="420"/>
        <w:spacing w:line="312" w:lineRule="exact"/>
        <w:rPr>
          <w:szCs w:val="21"/>
        </w:rPr>
      </w:pPr>
      <w:r>
        <w:rPr>
          <w:szCs w:val="21"/>
        </w:rPr>
        <w:t xml:space="preserve">间及断口间的工频和冲击耐压试验。</w:t>
      </w:r>
      <w:r>
        <w:rPr>
          <w:szCs w:val="21"/>
        </w:rPr>
      </w:r>
      <w:r/>
    </w:p>
    <w:p>
      <w:pPr>
        <w:pStyle w:val="1151"/>
        <w:spacing w:line="312" w:lineRule="exact"/>
      </w:pPr>
      <w:r>
        <w:t xml:space="preserve">6.1.5</w:t>
      </w:r>
      <w:r>
        <w:rPr>
          <w:szCs w:val="21"/>
        </w:rPr>
        <w:t xml:space="preserve">.7 </w:t>
      </w:r>
      <w:r>
        <w:t xml:space="preserve">防护等级试验按DL/T 593的规定进行。</w:t>
      </w:r>
      <w:r/>
    </w:p>
    <w:p>
      <w:pPr>
        <w:pStyle w:val="1151"/>
        <w:spacing w:line="312" w:lineRule="exact"/>
      </w:pPr>
      <w:r>
        <w:t xml:space="preserve">6.1.5</w:t>
      </w:r>
      <w:r>
        <w:rPr>
          <w:szCs w:val="21"/>
        </w:rPr>
        <w:t xml:space="preserve">.8 </w:t>
      </w:r>
      <w:r>
        <w:t xml:space="preserve">内部燃弧试验的技术条件、方法及判据，按DL/T 404的规定进行，燃弧持续时间应≥0.5s。</w:t>
      </w:r>
      <w:r/>
    </w:p>
    <w:p>
      <w:pPr>
        <w:pStyle w:val="1151"/>
        <w:spacing w:line="312" w:lineRule="exact"/>
      </w:pPr>
      <w:r>
        <w:t xml:space="preserve">6.1.5</w:t>
      </w:r>
      <w:r>
        <w:rPr>
          <w:szCs w:val="21"/>
        </w:rPr>
        <w:t xml:space="preserve">.9 </w:t>
      </w:r>
      <w:r>
        <w:t xml:space="preserve">机械特性试验</w:t>
      </w:r>
      <w:r/>
    </w:p>
    <w:p>
      <w:pPr>
        <w:pStyle w:val="1151"/>
        <w:ind w:left="420"/>
        <w:spacing w:line="312" w:lineRule="exact"/>
        <w:rPr>
          <w:szCs w:val="21"/>
        </w:rPr>
      </w:pPr>
      <w:r>
        <w:rPr>
          <w:szCs w:val="21"/>
        </w:rPr>
        <w:t xml:space="preserve">a）除另有规定，试验应在试验现场周围空气温度下进行；</w:t>
      </w:r>
      <w:r>
        <w:rPr>
          <w:szCs w:val="21"/>
        </w:rPr>
      </w:r>
      <w:r/>
    </w:p>
    <w:p>
      <w:pPr>
        <w:pStyle w:val="1151"/>
        <w:ind w:left="420"/>
        <w:spacing w:line="312" w:lineRule="exact"/>
        <w:rPr>
          <w:szCs w:val="21"/>
        </w:rPr>
      </w:pPr>
      <w:r>
        <w:rPr>
          <w:szCs w:val="21"/>
        </w:rPr>
        <w:t xml:space="preserve">b）环网单元内主回路所装的断路器、负荷开关、隔离开关、接地开关的机械性能试验，在规定的操作电压范围内进行，应符合各自技术条件的要求；</w:t>
      </w:r>
      <w:r>
        <w:rPr>
          <w:szCs w:val="21"/>
        </w:rPr>
      </w:r>
      <w:r/>
    </w:p>
    <w:p>
      <w:pPr>
        <w:pStyle w:val="1151"/>
        <w:ind w:left="420"/>
        <w:spacing w:line="312" w:lineRule="exact"/>
        <w:rPr>
          <w:szCs w:val="21"/>
        </w:rPr>
      </w:pPr>
      <w:r>
        <w:rPr>
          <w:szCs w:val="21"/>
        </w:rPr>
        <w:t xml:space="preserve">c）断路器、隔离开关、接地开关应操作50次，可插拔部件应插入、抽出各25次，以检验其操作是否良好；</w:t>
      </w:r>
      <w:r>
        <w:rPr>
          <w:szCs w:val="21"/>
        </w:rPr>
      </w:r>
      <w:r/>
    </w:p>
    <w:p>
      <w:pPr>
        <w:pStyle w:val="1151"/>
        <w:ind w:left="420"/>
        <w:spacing w:line="312" w:lineRule="exact"/>
        <w:rPr>
          <w:szCs w:val="21"/>
        </w:rPr>
      </w:pPr>
      <w:r>
        <w:rPr>
          <w:szCs w:val="21"/>
        </w:rPr>
        <w:t xml:space="preserve">d）环网单元中各组件均应按各自要求进行机械稳定性的考核。断路器、隔离开关分别按DL/T 402、DL/T 486中的相关规定进行。接地开关如果与隔离开关组合成一个整体，在进行隔离开关试验时，同时也进行接地开关的试验；如分别为两个组件，应按DL/T 486中的规定进行机械稳定性考核；</w:t>
      </w:r>
      <w:r>
        <w:rPr>
          <w:szCs w:val="21"/>
        </w:rPr>
      </w:r>
      <w:r/>
    </w:p>
    <w:p>
      <w:pPr>
        <w:pStyle w:val="1151"/>
        <w:ind w:left="420"/>
        <w:spacing w:line="312" w:lineRule="exact"/>
        <w:rPr>
          <w:szCs w:val="21"/>
        </w:rPr>
      </w:pPr>
      <w:r>
        <w:rPr>
          <w:szCs w:val="21"/>
        </w:rPr>
        <w:t xml:space="preserve">e）机械联锁部件的机械稳定性考核，按DL/T 593中的规定进行；</w:t>
      </w:r>
      <w:r>
        <w:rPr>
          <w:szCs w:val="21"/>
        </w:rPr>
      </w:r>
      <w:r/>
    </w:p>
    <w:p>
      <w:pPr>
        <w:pStyle w:val="1151"/>
        <w:ind w:left="420"/>
        <w:spacing w:line="312" w:lineRule="exact"/>
        <w:rPr>
          <w:szCs w:val="21"/>
        </w:rPr>
      </w:pPr>
      <w:r>
        <w:rPr>
          <w:szCs w:val="21"/>
        </w:rPr>
        <w:t xml:space="preserve">f）进行机械稳定性试验前后的高压电器组件、部件，均应测量它的主回路电阻，其值应符合各自技术条件的要求，并应按本标准6.6.3的规定进行温升试验，其二次回路应保证性能良好；</w:t>
      </w:r>
      <w:r>
        <w:rPr>
          <w:szCs w:val="21"/>
        </w:rPr>
      </w:r>
      <w:r/>
    </w:p>
    <w:p>
      <w:pPr>
        <w:pStyle w:val="1151"/>
        <w:ind w:left="420"/>
        <w:spacing w:line="312" w:lineRule="exact"/>
        <w:rPr>
          <w:szCs w:val="21"/>
        </w:rPr>
      </w:pPr>
      <w:r>
        <w:rPr>
          <w:szCs w:val="21"/>
        </w:rPr>
        <w:t xml:space="preserve">g）绝缘外壳的机械强度应当用冲击试验来考核，其冲击力应加在外壳最薄弱的地点（如</w:t>
      </w:r>
      <w:r>
        <w:rPr>
          <w:szCs w:val="21"/>
        </w:rPr>
      </w:r>
      <w:r/>
    </w:p>
    <w:p>
      <w:pPr>
        <w:pStyle w:val="1151"/>
        <w:ind w:left="420"/>
        <w:spacing w:line="312" w:lineRule="exact"/>
        <w:rPr>
          <w:szCs w:val="21"/>
        </w:rPr>
      </w:pPr>
      <w:r>
        <w:rPr>
          <w:szCs w:val="21"/>
        </w:rPr>
        <w:t xml:space="preserve">观察窗）。</w:t>
      </w:r>
      <w:r>
        <w:rPr>
          <w:szCs w:val="21"/>
        </w:rPr>
      </w:r>
      <w:r/>
    </w:p>
    <w:p>
      <w:pPr>
        <w:pStyle w:val="1151"/>
        <w:spacing w:line="312" w:lineRule="exact"/>
      </w:pPr>
      <w:r>
        <w:t xml:space="preserve">6.1.5</w:t>
      </w:r>
      <w:r>
        <w:rPr>
          <w:szCs w:val="21"/>
        </w:rPr>
        <w:t xml:space="preserve">.10 </w:t>
      </w:r>
      <w:r>
        <w:t xml:space="preserve">绝缘组件的动、静出线端或两端按各自所能承受的机械力，进行相应的抗弯或抗拉试验，试验参数应符合相关产品的技术条件及设计图样的规定。</w:t>
      </w:r>
      <w:r/>
    </w:p>
    <w:p>
      <w:pPr>
        <w:pStyle w:val="1151"/>
        <w:spacing w:line="312" w:lineRule="exact"/>
      </w:pPr>
      <w:r>
        <w:t xml:space="preserve">6.1.5</w:t>
      </w:r>
      <w:r>
        <w:rPr>
          <w:szCs w:val="21"/>
        </w:rPr>
        <w:t xml:space="preserve">.11 </w:t>
      </w:r>
      <w:r>
        <w:t xml:space="preserve">操作振动试验按DL/T 593的规定进行。</w:t>
      </w:r>
      <w:r/>
    </w:p>
    <w:p>
      <w:pPr>
        <w:pStyle w:val="1151"/>
        <w:spacing w:line="312" w:lineRule="exact"/>
      </w:pPr>
      <w:r>
        <w:t xml:space="preserve">6.1.5</w:t>
      </w:r>
      <w:r>
        <w:rPr>
          <w:szCs w:val="21"/>
        </w:rPr>
        <w:t xml:space="preserve">.12 </w:t>
      </w:r>
      <w:r>
        <w:t xml:space="preserve">联锁试验</w:t>
      </w:r>
      <w:r/>
    </w:p>
    <w:p>
      <w:pPr>
        <w:pStyle w:val="1151"/>
        <w:ind w:firstLine="420"/>
        <w:spacing w:line="312" w:lineRule="exact"/>
      </w:pPr>
      <w:r>
        <w:t xml:space="preserve">a）机械联锁和电气闭锁应符合“五防”规定；</w:t>
      </w:r>
      <w:r/>
    </w:p>
    <w:p>
      <w:pPr>
        <w:pStyle w:val="1201"/>
        <w:spacing w:line="312" w:lineRule="exact"/>
        <w:tabs>
          <w:tab w:val="center" w:pos="4201" w:leader="none"/>
          <w:tab w:val="right" w:pos="9298" w:leader="dot"/>
        </w:tabs>
        <w:rPr>
          <w:rFonts w:ascii="Times New Roman"/>
        </w:rPr>
      </w:pPr>
      <w:r>
        <w:rPr>
          <w:rFonts w:ascii="Times New Roman"/>
        </w:rPr>
        <w:t xml:space="preserve">b</w:t>
      </w:r>
      <w:r>
        <w:rPr>
          <w:rFonts w:ascii="Times New Roman"/>
          <w:szCs w:val="21"/>
        </w:rPr>
        <w:t xml:space="preserve">）</w:t>
      </w:r>
      <w:r>
        <w:rPr>
          <w:rFonts w:ascii="Times New Roman"/>
        </w:rPr>
        <w:t xml:space="preserve">连锁装置的机械操作试验，按DL/T 593的规定进行。</w:t>
      </w:r>
      <w:r>
        <w:rPr>
          <w:rFonts w:ascii="Times New Roman"/>
        </w:rPr>
      </w:r>
      <w:r/>
    </w:p>
    <w:p>
      <w:pPr>
        <w:pStyle w:val="1151"/>
        <w:spacing w:line="312" w:lineRule="exact"/>
      </w:pPr>
      <w:r>
        <w:t xml:space="preserve">6.1.5</w:t>
      </w:r>
      <w:r>
        <w:rPr>
          <w:szCs w:val="21"/>
        </w:rPr>
        <w:t xml:space="preserve">.13 </w:t>
      </w:r>
      <w:r>
        <w:t xml:space="preserve">一次设备与终端联调试验</w:t>
      </w:r>
      <w:r/>
    </w:p>
    <w:p>
      <w:pPr>
        <w:pStyle w:val="1151"/>
        <w:ind w:left="420"/>
        <w:spacing w:line="312" w:lineRule="exact"/>
        <w:rPr>
          <w:szCs w:val="21"/>
        </w:rPr>
      </w:pPr>
      <w:r>
        <w:rPr>
          <w:szCs w:val="21"/>
        </w:rPr>
        <w:t xml:space="preserve">a）对于配备二次终端的环网单元还需要进行一次设备与终端的配合调试；</w:t>
      </w:r>
      <w:r>
        <w:rPr>
          <w:szCs w:val="21"/>
        </w:rPr>
      </w:r>
      <w:r/>
    </w:p>
    <w:p>
      <w:pPr>
        <w:pStyle w:val="1151"/>
        <w:ind w:left="420"/>
        <w:spacing w:line="312" w:lineRule="exact"/>
        <w:rPr>
          <w:szCs w:val="21"/>
        </w:rPr>
      </w:pPr>
      <w:r>
        <w:rPr>
          <w:szCs w:val="21"/>
        </w:rPr>
        <w:t xml:space="preserve">b）指示功能，终端指示状态与一次环网单元的状态应当一致，包括电源指示、位置指示、储能指示、相间过流指示、零序过流指示等；</w:t>
      </w:r>
      <w:r>
        <w:rPr>
          <w:szCs w:val="21"/>
        </w:rPr>
      </w:r>
      <w:r/>
    </w:p>
    <w:p>
      <w:pPr>
        <w:pStyle w:val="1151"/>
        <w:ind w:left="420"/>
        <w:spacing w:line="312" w:lineRule="exact"/>
        <w:rPr>
          <w:szCs w:val="21"/>
        </w:rPr>
      </w:pPr>
      <w:r>
        <w:rPr>
          <w:szCs w:val="21"/>
        </w:rPr>
        <w:t xml:space="preserve">c）控制功能，将环网单元设置为“远方”状态，通过终端进行合分操作不少于5次，环网单元均应当可靠动作；</w:t>
      </w:r>
      <w:r>
        <w:rPr>
          <w:szCs w:val="21"/>
        </w:rPr>
      </w:r>
      <w:r/>
    </w:p>
    <w:p>
      <w:pPr>
        <w:pStyle w:val="1151"/>
        <w:ind w:left="420"/>
        <w:spacing w:line="312" w:lineRule="exact"/>
        <w:rPr>
          <w:szCs w:val="21"/>
        </w:rPr>
      </w:pPr>
      <w:r>
        <w:rPr>
          <w:szCs w:val="21"/>
        </w:rPr>
        <w:t xml:space="preserve">d）电气连锁功能，当环网单元处于分闸接地状态时，终端遥控环网单元合闸时，环网单元应当不动作；</w:t>
      </w:r>
      <w:r>
        <w:rPr>
          <w:szCs w:val="21"/>
        </w:rPr>
      </w:r>
      <w:r/>
    </w:p>
    <w:p>
      <w:pPr>
        <w:pStyle w:val="1151"/>
        <w:ind w:left="420"/>
        <w:spacing w:line="312" w:lineRule="exact"/>
        <w:rPr>
          <w:szCs w:val="21"/>
        </w:rPr>
      </w:pPr>
      <w:r>
        <w:rPr>
          <w:szCs w:val="21"/>
        </w:rPr>
        <w:t xml:space="preserve">e）零序保护动作试验，该项试验适用于分界环网单元。要求该项试验最少分别在3个档位上进行，且环网单元均能够可靠分闸，终端能正确显示零序过流信号；</w:t>
      </w:r>
      <w:r>
        <w:rPr>
          <w:szCs w:val="21"/>
        </w:rPr>
      </w:r>
      <w:r/>
    </w:p>
    <w:p>
      <w:pPr>
        <w:pStyle w:val="1151"/>
        <w:ind w:left="420"/>
        <w:spacing w:line="312" w:lineRule="exact"/>
        <w:rPr>
          <w:szCs w:val="21"/>
        </w:rPr>
      </w:pPr>
      <w:r>
        <w:rPr>
          <w:szCs w:val="21"/>
        </w:rPr>
        <w:t xml:space="preserve">f）相间保护动作试验，该项试验适用于分界环网单元。要求该项试验最少分别在3个档位上进行，且最少在2相上进行重复测试，环网单元均能够可靠分闸，终端能正确显示相间过流信号；</w:t>
      </w:r>
      <w:r>
        <w:rPr>
          <w:szCs w:val="21"/>
        </w:rPr>
      </w:r>
      <w:r/>
    </w:p>
    <w:p>
      <w:pPr>
        <w:pStyle w:val="1151"/>
        <w:ind w:left="420"/>
        <w:spacing w:line="312" w:lineRule="exact"/>
      </w:pPr>
      <w:r>
        <w:rPr>
          <w:szCs w:val="21"/>
        </w:rPr>
        <w:t xml:space="preserve">g）电流闭锁功能，在环网单元上施加大电流至终端上“过流”及“闭锁”指示灯亮时，投入零序保</w:t>
      </w:r>
      <w:r>
        <w:t xml:space="preserve">护，环网单元应当闭锁不动作。</w:t>
      </w:r>
      <w:r/>
    </w:p>
    <w:p>
      <w:pPr>
        <w:pStyle w:val="1151"/>
        <w:spacing w:line="312" w:lineRule="exact"/>
      </w:pPr>
      <w:r>
        <w:t xml:space="preserve">6.1.5</w:t>
      </w:r>
      <w:r>
        <w:rPr>
          <w:szCs w:val="21"/>
        </w:rPr>
        <w:t xml:space="preserve">.14 </w:t>
      </w:r>
      <w:r>
        <w:t xml:space="preserve">电磁兼容测试按GB/T 11022中的规定进行。</w:t>
      </w:r>
      <w:r/>
    </w:p>
    <w:p>
      <w:pPr>
        <w:pStyle w:val="1201"/>
        <w:ind w:firstLine="0"/>
        <w:tabs>
          <w:tab w:val="center" w:pos="4201" w:leader="none"/>
          <w:tab w:val="right" w:pos="9298" w:leader="dot"/>
        </w:tabs>
        <w:rPr>
          <w:rFonts w:ascii="Times New Roman"/>
        </w:rPr>
      </w:pPr>
      <w:r>
        <w:rPr>
          <w:rFonts w:hint="eastAsia" w:ascii="Times New Roman"/>
        </w:rPr>
        <w:t xml:space="preserve">6</w:t>
      </w:r>
      <w:r>
        <w:rPr>
          <w:rFonts w:ascii="Times New Roman"/>
        </w:rPr>
        <w:t xml:space="preserve">.2 </w:t>
      </w:r>
      <w:r>
        <w:rPr>
          <w:rFonts w:hint="eastAsia" w:ascii="Times New Roman"/>
        </w:rPr>
        <w:t xml:space="preserve">集中式DTU</w:t>
      </w:r>
      <w:r>
        <w:rPr>
          <w:rFonts w:ascii="Times New Roman"/>
        </w:rPr>
        <w:t xml:space="preserve">试验包括型式试验、出厂试验和</w:t>
      </w:r>
      <w:r>
        <w:rPr>
          <w:rFonts w:hint="eastAsia" w:ascii="Times New Roman"/>
        </w:rPr>
        <w:t xml:space="preserve">专项检测</w:t>
      </w:r>
      <w:r>
        <w:rPr>
          <w:rFonts w:ascii="Times New Roman"/>
        </w:rPr>
        <w:t xml:space="preserve">试验项目</w:t>
      </w:r>
      <w:r>
        <w:rPr>
          <w:rFonts w:ascii="Times New Roman"/>
        </w:rPr>
      </w:r>
      <w:r/>
    </w:p>
    <w:p>
      <w:pPr>
        <w:pStyle w:val="1245"/>
        <w:rPr>
          <w:rStyle w:val="1246"/>
          <w:rFonts w:ascii="宋体"/>
          <w:b/>
          <w:color w:val="000000"/>
          <w:sz w:val="18"/>
          <w:szCs w:val="20"/>
        </w:rPr>
        <w:outlineLvl w:val="1"/>
      </w:pPr>
      <w:r/>
      <w:bookmarkStart w:id="269" w:name="_Toc377473661"/>
      <w:r/>
      <w:bookmarkStart w:id="270" w:name="_Toc377482816"/>
      <w:r/>
      <w:bookmarkStart w:id="271" w:name="_Toc27423433"/>
      <w:r>
        <w:t xml:space="preserve">6.2.</w:t>
      </w:r>
      <w:r>
        <w:rPr>
          <w:rFonts w:hint="eastAsia"/>
        </w:rPr>
        <w:t xml:space="preserve">1</w:t>
      </w:r>
      <w:r>
        <w:rPr>
          <w:rStyle w:val="1246"/>
          <w:rFonts w:ascii="宋体"/>
          <w:b/>
          <w:color w:val="000000"/>
        </w:rPr>
        <w:t xml:space="preserve">试验要求</w:t>
      </w:r>
      <w:bookmarkEnd w:id="269"/>
      <w:r/>
      <w:bookmarkEnd w:id="270"/>
      <w:r/>
      <w:bookmarkEnd w:id="271"/>
      <w:r>
        <w:rPr>
          <w:rStyle w:val="1246"/>
          <w:rFonts w:ascii="宋体"/>
          <w:b/>
          <w:color w:val="000000"/>
          <w:sz w:val="18"/>
          <w:szCs w:val="20"/>
        </w:rPr>
      </w:r>
      <w:r/>
    </w:p>
    <w:p>
      <w:pPr>
        <w:pStyle w:val="1245"/>
        <w:numPr>
          <w:ilvl w:val="0"/>
          <w:numId w:val="60"/>
        </w:numPr>
        <w:ind w:left="420" w:firstLine="0"/>
        <w:rPr>
          <w:rStyle w:val="1246"/>
          <w:rFonts w:ascii="宋体" w:hAnsi="宋体"/>
          <w:sz w:val="18"/>
          <w:szCs w:val="20"/>
        </w:rPr>
      </w:pPr>
      <w:r>
        <w:rPr>
          <w:rStyle w:val="1246"/>
          <w:rFonts w:hint="eastAsia" w:ascii="宋体" w:hAnsi="宋体"/>
        </w:rPr>
        <w:t xml:space="preserve">卖方提供的每一套设备出厂之前都按相关规范要求进行出厂试验，试验报告应随产品提供；</w:t>
      </w:r>
      <w:r>
        <w:rPr>
          <w:rStyle w:val="1246"/>
          <w:rFonts w:ascii="宋体" w:hAnsi="宋体"/>
          <w:sz w:val="18"/>
          <w:szCs w:val="20"/>
        </w:rPr>
      </w:r>
      <w:r/>
    </w:p>
    <w:p>
      <w:pPr>
        <w:pStyle w:val="1245"/>
        <w:numPr>
          <w:ilvl w:val="0"/>
          <w:numId w:val="60"/>
        </w:numPr>
        <w:ind w:left="420" w:firstLine="0"/>
        <w:rPr>
          <w:rStyle w:val="1246"/>
          <w:rFonts w:ascii="宋体" w:hAnsi="宋体"/>
          <w:sz w:val="18"/>
          <w:szCs w:val="20"/>
        </w:rPr>
      </w:pPr>
      <w:r>
        <w:rPr>
          <w:rStyle w:val="1246"/>
          <w:rFonts w:hint="eastAsia" w:ascii="宋体" w:hAnsi="宋体"/>
        </w:rPr>
        <w:t xml:space="preserve">卖方投标前提供对应型号设备合格型式试验报告；</w:t>
      </w:r>
      <w:r>
        <w:rPr>
          <w:rStyle w:val="1246"/>
          <w:rFonts w:ascii="宋体" w:hAnsi="宋体"/>
          <w:sz w:val="18"/>
          <w:szCs w:val="20"/>
        </w:rPr>
      </w:r>
      <w:r/>
    </w:p>
    <w:p>
      <w:pPr>
        <w:pStyle w:val="1245"/>
        <w:numPr>
          <w:ilvl w:val="0"/>
          <w:numId w:val="60"/>
        </w:numPr>
        <w:ind w:left="420" w:firstLine="0"/>
        <w:rPr>
          <w:rStyle w:val="1246"/>
          <w:rFonts w:ascii="宋体" w:hAnsi="宋体"/>
          <w:sz w:val="18"/>
          <w:szCs w:val="20"/>
        </w:rPr>
      </w:pPr>
      <w:r>
        <w:rPr>
          <w:rStyle w:val="1246"/>
          <w:rFonts w:hint="eastAsia" w:ascii="宋体" w:hAnsi="宋体"/>
        </w:rPr>
        <w:t xml:space="preserve">卖方投标前提供对应型号设备专项检测报告。</w:t>
      </w:r>
      <w:r>
        <w:rPr>
          <w:rStyle w:val="1246"/>
          <w:rFonts w:ascii="宋体" w:hAnsi="宋体"/>
          <w:sz w:val="18"/>
          <w:szCs w:val="20"/>
        </w:rPr>
      </w:r>
      <w:r/>
    </w:p>
    <w:p>
      <w:pPr>
        <w:pStyle w:val="1245"/>
        <w:rPr>
          <w:rStyle w:val="1246"/>
          <w:rFonts w:ascii="宋体"/>
          <w:b/>
          <w:color w:val="000000"/>
          <w:sz w:val="18"/>
          <w:szCs w:val="20"/>
        </w:rPr>
        <w:outlineLvl w:val="1"/>
      </w:pPr>
      <w:r/>
      <w:bookmarkStart w:id="272" w:name="_Toc377482817"/>
      <w:r/>
      <w:bookmarkStart w:id="273" w:name="_Toc377198726"/>
      <w:r/>
      <w:bookmarkStart w:id="274" w:name="_Toc27423434"/>
      <w:r/>
      <w:bookmarkStart w:id="275" w:name="_Toc377473662"/>
      <w:r>
        <w:t xml:space="preserve">6.2.2</w:t>
      </w:r>
      <w:r>
        <w:rPr>
          <w:rStyle w:val="1246"/>
          <w:rFonts w:hint="eastAsia" w:ascii="宋体"/>
          <w:b/>
          <w:color w:val="000000"/>
        </w:rPr>
        <w:t xml:space="preserve">出厂试验</w:t>
      </w:r>
      <w:bookmarkEnd w:id="272"/>
      <w:r/>
      <w:bookmarkEnd w:id="273"/>
      <w:r/>
      <w:bookmarkEnd w:id="274"/>
      <w:r/>
      <w:bookmarkEnd w:id="275"/>
      <w:r>
        <w:rPr>
          <w:rStyle w:val="1246"/>
          <w:rFonts w:ascii="宋体"/>
          <w:b/>
          <w:color w:val="000000"/>
          <w:sz w:val="18"/>
          <w:szCs w:val="20"/>
        </w:rPr>
      </w:r>
      <w:r/>
    </w:p>
    <w:p>
      <w:pPr>
        <w:pStyle w:val="1245"/>
        <w:ind w:firstLine="420"/>
        <w:rPr>
          <w:rStyle w:val="1246"/>
          <w:rFonts w:ascii="宋体" w:hAnsi="宋体"/>
        </w:rPr>
      </w:pPr>
      <w:r>
        <w:rPr>
          <w:rStyle w:val="1246"/>
          <w:rFonts w:hint="eastAsia" w:ascii="宋体" w:hAnsi="宋体"/>
        </w:rPr>
        <w:t xml:space="preserve">出厂试验项目包括：</w:t>
      </w:r>
      <w:r>
        <w:rPr>
          <w:rStyle w:val="1246"/>
          <w:rFonts w:ascii="宋体" w:hAnsi="宋体"/>
        </w:rPr>
      </w:r>
      <w:r/>
    </w:p>
    <w:p>
      <w:pPr>
        <w:pStyle w:val="1245"/>
        <w:numPr>
          <w:ilvl w:val="0"/>
          <w:numId w:val="61"/>
        </w:numPr>
        <w:ind w:left="420" w:firstLine="0"/>
        <w:rPr>
          <w:rStyle w:val="1246"/>
          <w:rFonts w:ascii="宋体" w:hAnsi="宋体"/>
          <w:sz w:val="18"/>
          <w:szCs w:val="20"/>
        </w:rPr>
      </w:pPr>
      <w:r>
        <w:rPr>
          <w:rStyle w:val="1246"/>
          <w:rFonts w:hint="eastAsia" w:ascii="宋体" w:hAnsi="宋体"/>
        </w:rPr>
        <w:t xml:space="preserve">外观试验</w:t>
      </w:r>
      <w:r>
        <w:rPr>
          <w:rStyle w:val="1246"/>
          <w:rFonts w:ascii="宋体" w:hAnsi="宋体"/>
          <w:sz w:val="18"/>
          <w:szCs w:val="20"/>
        </w:rPr>
      </w:r>
      <w:r/>
    </w:p>
    <w:p>
      <w:pPr>
        <w:pStyle w:val="1245"/>
        <w:numPr>
          <w:ilvl w:val="0"/>
          <w:numId w:val="61"/>
        </w:numPr>
        <w:ind w:left="420" w:firstLine="0"/>
        <w:rPr>
          <w:rStyle w:val="1246"/>
          <w:rFonts w:ascii="宋体" w:hAnsi="宋体"/>
          <w:sz w:val="18"/>
          <w:szCs w:val="20"/>
        </w:rPr>
      </w:pPr>
      <w:r>
        <w:rPr>
          <w:rStyle w:val="1246"/>
          <w:rFonts w:hint="eastAsia" w:ascii="宋体" w:hAnsi="宋体"/>
        </w:rPr>
        <w:t xml:space="preserve">功能试验</w:t>
      </w:r>
      <w:r>
        <w:rPr>
          <w:rStyle w:val="1246"/>
          <w:rFonts w:ascii="宋体" w:hAnsi="宋体"/>
          <w:sz w:val="18"/>
          <w:szCs w:val="20"/>
        </w:rPr>
      </w:r>
      <w:r/>
    </w:p>
    <w:p>
      <w:pPr>
        <w:pStyle w:val="1245"/>
        <w:numPr>
          <w:ilvl w:val="0"/>
          <w:numId w:val="61"/>
        </w:numPr>
        <w:ind w:left="420" w:firstLine="0"/>
        <w:rPr>
          <w:rStyle w:val="1246"/>
          <w:rFonts w:ascii="宋体" w:hAnsi="宋体"/>
          <w:sz w:val="18"/>
          <w:szCs w:val="20"/>
        </w:rPr>
      </w:pPr>
      <w:r>
        <w:rPr>
          <w:rStyle w:val="1246"/>
          <w:rFonts w:hint="eastAsia" w:ascii="宋体" w:hAnsi="宋体"/>
        </w:rPr>
        <w:t xml:space="preserve">性能试验</w:t>
      </w:r>
      <w:r>
        <w:rPr>
          <w:rStyle w:val="1246"/>
          <w:rFonts w:ascii="宋体" w:hAnsi="宋体"/>
          <w:sz w:val="18"/>
          <w:szCs w:val="20"/>
        </w:rPr>
      </w:r>
      <w:r/>
    </w:p>
    <w:p>
      <w:pPr>
        <w:pStyle w:val="1245"/>
        <w:numPr>
          <w:ilvl w:val="0"/>
          <w:numId w:val="61"/>
        </w:numPr>
        <w:ind w:left="420" w:firstLine="0"/>
        <w:rPr>
          <w:rStyle w:val="1246"/>
          <w:rFonts w:ascii="宋体" w:hAnsi="宋体"/>
          <w:sz w:val="18"/>
          <w:szCs w:val="20"/>
        </w:rPr>
      </w:pPr>
      <w:r>
        <w:rPr>
          <w:rStyle w:val="1246"/>
          <w:rFonts w:hint="eastAsia" w:ascii="宋体" w:hAnsi="宋体"/>
        </w:rPr>
        <w:t xml:space="preserve">绝缘性能试验</w:t>
      </w:r>
      <w:r>
        <w:rPr>
          <w:rStyle w:val="1246"/>
          <w:rFonts w:ascii="宋体" w:hAnsi="宋体"/>
          <w:sz w:val="18"/>
          <w:szCs w:val="20"/>
        </w:rPr>
      </w:r>
      <w:r/>
    </w:p>
    <w:p>
      <w:pPr>
        <w:pStyle w:val="1245"/>
        <w:rPr>
          <w:rStyle w:val="1246"/>
          <w:rFonts w:ascii="宋体"/>
          <w:b/>
          <w:color w:val="000000"/>
          <w:sz w:val="18"/>
          <w:szCs w:val="20"/>
        </w:rPr>
        <w:outlineLvl w:val="1"/>
      </w:pPr>
      <w:r/>
      <w:bookmarkStart w:id="276" w:name="_Toc27423435"/>
      <w:r/>
      <w:bookmarkStart w:id="277" w:name="_Toc377198723"/>
      <w:r/>
      <w:bookmarkStart w:id="278" w:name="_Toc377482818"/>
      <w:r/>
      <w:bookmarkStart w:id="279" w:name="_Toc377473663"/>
      <w:r/>
      <w:bookmarkStart w:id="280" w:name="_Toc377130799"/>
      <w:r>
        <w:t xml:space="preserve">6.2.3</w:t>
      </w:r>
      <w:r>
        <w:rPr>
          <w:rStyle w:val="1246"/>
          <w:rFonts w:hint="eastAsia" w:ascii="宋体"/>
          <w:b/>
          <w:color w:val="000000"/>
        </w:rPr>
        <w:t xml:space="preserve">型式试验</w:t>
      </w:r>
      <w:bookmarkEnd w:id="276"/>
      <w:r/>
      <w:bookmarkEnd w:id="277"/>
      <w:r/>
      <w:bookmarkEnd w:id="278"/>
      <w:r/>
      <w:bookmarkEnd w:id="279"/>
      <w:r>
        <w:rPr>
          <w:rStyle w:val="1246"/>
          <w:rFonts w:ascii="宋体"/>
          <w:b/>
          <w:color w:val="000000"/>
          <w:sz w:val="18"/>
          <w:szCs w:val="20"/>
        </w:rPr>
      </w:r>
      <w:r/>
    </w:p>
    <w:p>
      <w:pPr>
        <w:pStyle w:val="1245"/>
        <w:numPr>
          <w:ilvl w:val="0"/>
          <w:numId w:val="62"/>
        </w:numPr>
        <w:ind w:left="420" w:firstLine="0"/>
        <w:rPr>
          <w:rStyle w:val="1246"/>
          <w:rFonts w:ascii="宋体" w:hAnsi="宋体"/>
          <w:sz w:val="18"/>
          <w:szCs w:val="20"/>
        </w:rPr>
      </w:pPr>
      <w:r>
        <w:rPr>
          <w:rStyle w:val="1246"/>
          <w:rFonts w:ascii="宋体" w:hAnsi="宋体"/>
        </w:rPr>
        <w:t xml:space="preserve">外观试验</w:t>
      </w:r>
      <w:r>
        <w:rPr>
          <w:rStyle w:val="1246"/>
          <w:rFonts w:ascii="宋体" w:hAnsi="宋体"/>
          <w:sz w:val="18"/>
          <w:szCs w:val="20"/>
        </w:rPr>
      </w:r>
      <w:r/>
    </w:p>
    <w:p>
      <w:pPr>
        <w:pStyle w:val="1245"/>
        <w:numPr>
          <w:ilvl w:val="0"/>
          <w:numId w:val="62"/>
        </w:numPr>
        <w:ind w:left="420" w:firstLine="0"/>
        <w:rPr>
          <w:rStyle w:val="1246"/>
          <w:rFonts w:ascii="宋体" w:hAnsi="宋体"/>
          <w:sz w:val="18"/>
          <w:szCs w:val="20"/>
        </w:rPr>
      </w:pPr>
      <w:r>
        <w:rPr>
          <w:rStyle w:val="1246"/>
          <w:rFonts w:ascii="宋体" w:hAnsi="宋体"/>
        </w:rPr>
        <w:t xml:space="preserve">基本功能试验</w:t>
      </w:r>
      <w:r>
        <w:rPr>
          <w:rStyle w:val="1246"/>
          <w:rFonts w:ascii="宋体" w:hAnsi="宋体"/>
          <w:sz w:val="18"/>
          <w:szCs w:val="20"/>
        </w:rPr>
      </w:r>
      <w:r/>
    </w:p>
    <w:p>
      <w:pPr>
        <w:pStyle w:val="1245"/>
        <w:numPr>
          <w:ilvl w:val="0"/>
          <w:numId w:val="62"/>
        </w:numPr>
        <w:ind w:left="420" w:firstLine="0"/>
        <w:rPr>
          <w:rStyle w:val="1246"/>
          <w:rFonts w:ascii="宋体" w:hAnsi="宋体"/>
          <w:sz w:val="18"/>
          <w:szCs w:val="20"/>
        </w:rPr>
      </w:pPr>
      <w:r>
        <w:rPr>
          <w:rStyle w:val="1246"/>
          <w:rFonts w:hint="eastAsia" w:ascii="宋体" w:hAnsi="宋体"/>
        </w:rPr>
        <w:t xml:space="preserve">主要性能试验</w:t>
      </w:r>
      <w:r>
        <w:rPr>
          <w:rStyle w:val="1246"/>
          <w:rFonts w:ascii="宋体" w:hAnsi="宋体"/>
          <w:sz w:val="18"/>
          <w:szCs w:val="20"/>
        </w:rPr>
      </w:r>
      <w:r/>
    </w:p>
    <w:p>
      <w:pPr>
        <w:pStyle w:val="1245"/>
        <w:numPr>
          <w:ilvl w:val="0"/>
          <w:numId w:val="62"/>
        </w:numPr>
        <w:ind w:left="420" w:firstLine="0"/>
        <w:rPr>
          <w:rStyle w:val="1246"/>
          <w:rFonts w:ascii="宋体" w:hAnsi="宋体"/>
          <w:sz w:val="18"/>
          <w:szCs w:val="20"/>
        </w:rPr>
      </w:pPr>
      <w:r>
        <w:rPr>
          <w:rStyle w:val="1246"/>
          <w:rFonts w:hint="eastAsia" w:ascii="宋体" w:hAnsi="宋体"/>
        </w:rPr>
        <w:t xml:space="preserve">绝缘性能试验</w:t>
      </w:r>
      <w:r>
        <w:rPr>
          <w:rStyle w:val="1246"/>
          <w:rFonts w:ascii="宋体" w:hAnsi="宋体"/>
          <w:sz w:val="18"/>
          <w:szCs w:val="20"/>
        </w:rPr>
      </w:r>
      <w:r/>
    </w:p>
    <w:p>
      <w:pPr>
        <w:pStyle w:val="1245"/>
        <w:numPr>
          <w:ilvl w:val="0"/>
          <w:numId w:val="62"/>
        </w:numPr>
        <w:ind w:left="420" w:firstLine="0"/>
        <w:rPr>
          <w:rStyle w:val="1246"/>
          <w:rFonts w:ascii="宋体" w:hAnsi="宋体"/>
          <w:sz w:val="18"/>
          <w:szCs w:val="20"/>
        </w:rPr>
      </w:pPr>
      <w:r>
        <w:rPr>
          <w:rStyle w:val="1246"/>
          <w:rFonts w:hint="eastAsia" w:ascii="宋体" w:hAnsi="宋体"/>
        </w:rPr>
        <w:t xml:space="preserve">低温试验</w:t>
      </w:r>
      <w:r>
        <w:rPr>
          <w:rStyle w:val="1246"/>
          <w:rFonts w:ascii="宋体" w:hAnsi="宋体"/>
          <w:sz w:val="18"/>
          <w:szCs w:val="20"/>
        </w:rPr>
      </w:r>
      <w:r/>
    </w:p>
    <w:p>
      <w:pPr>
        <w:pStyle w:val="1245"/>
        <w:numPr>
          <w:ilvl w:val="0"/>
          <w:numId w:val="62"/>
        </w:numPr>
        <w:ind w:left="420" w:firstLine="0"/>
        <w:rPr>
          <w:rStyle w:val="1246"/>
          <w:rFonts w:ascii="宋体" w:hAnsi="宋体"/>
          <w:sz w:val="18"/>
          <w:szCs w:val="20"/>
        </w:rPr>
      </w:pPr>
      <w:r>
        <w:rPr>
          <w:rStyle w:val="1246"/>
          <w:rFonts w:hint="eastAsia" w:ascii="宋体" w:hAnsi="宋体"/>
        </w:rPr>
        <w:t xml:space="preserve">高温试验</w:t>
      </w:r>
      <w:r>
        <w:rPr>
          <w:rStyle w:val="1246"/>
          <w:rFonts w:ascii="宋体" w:hAnsi="宋体"/>
          <w:sz w:val="18"/>
          <w:szCs w:val="20"/>
        </w:rPr>
      </w:r>
      <w:r/>
    </w:p>
    <w:p>
      <w:pPr>
        <w:pStyle w:val="1245"/>
        <w:numPr>
          <w:ilvl w:val="0"/>
          <w:numId w:val="62"/>
        </w:numPr>
        <w:ind w:left="420" w:firstLine="0"/>
        <w:rPr>
          <w:rStyle w:val="1246"/>
          <w:rFonts w:ascii="宋体" w:hAnsi="宋体"/>
          <w:sz w:val="18"/>
          <w:szCs w:val="20"/>
        </w:rPr>
      </w:pPr>
      <w:r>
        <w:rPr>
          <w:rStyle w:val="1246"/>
          <w:rFonts w:ascii="宋体" w:hAnsi="宋体"/>
        </w:rPr>
        <w:t xml:space="preserve">电磁兼容性试验</w:t>
      </w:r>
      <w:r>
        <w:rPr>
          <w:rStyle w:val="1246"/>
          <w:rFonts w:ascii="宋体" w:hAnsi="宋体"/>
          <w:sz w:val="18"/>
          <w:szCs w:val="20"/>
        </w:rPr>
      </w:r>
      <w:r/>
    </w:p>
    <w:p>
      <w:pPr>
        <w:pStyle w:val="1245"/>
        <w:numPr>
          <w:ilvl w:val="0"/>
          <w:numId w:val="62"/>
        </w:numPr>
        <w:ind w:left="420" w:firstLine="0"/>
        <w:rPr>
          <w:rStyle w:val="1246"/>
          <w:rFonts w:ascii="宋体" w:hAnsi="宋体"/>
          <w:sz w:val="18"/>
          <w:szCs w:val="20"/>
        </w:rPr>
      </w:pPr>
      <w:r>
        <w:rPr>
          <w:rStyle w:val="1246"/>
          <w:rFonts w:hint="eastAsia" w:ascii="宋体" w:hAnsi="宋体"/>
        </w:rPr>
        <w:t xml:space="preserve">电源影响试验</w:t>
      </w:r>
      <w:r>
        <w:rPr>
          <w:rStyle w:val="1246"/>
          <w:rFonts w:ascii="宋体" w:hAnsi="宋体"/>
          <w:sz w:val="18"/>
          <w:szCs w:val="20"/>
        </w:rPr>
      </w:r>
      <w:r/>
    </w:p>
    <w:p>
      <w:pPr>
        <w:pStyle w:val="1245"/>
        <w:numPr>
          <w:ilvl w:val="0"/>
          <w:numId w:val="62"/>
        </w:numPr>
        <w:ind w:left="420" w:firstLine="0"/>
        <w:rPr>
          <w:rStyle w:val="1246"/>
          <w:rFonts w:ascii="宋体" w:hAnsi="宋体"/>
          <w:sz w:val="18"/>
          <w:szCs w:val="20"/>
        </w:rPr>
      </w:pPr>
      <w:r>
        <w:rPr>
          <w:rStyle w:val="1246"/>
          <w:rFonts w:ascii="宋体" w:hAnsi="宋体"/>
        </w:rPr>
        <w:t xml:space="preserve">机械</w:t>
      </w:r>
      <w:r>
        <w:rPr>
          <w:rStyle w:val="1246"/>
          <w:rFonts w:hint="eastAsia" w:ascii="宋体" w:hAnsi="宋体"/>
        </w:rPr>
        <w:t xml:space="preserve">性能</w:t>
      </w:r>
      <w:r>
        <w:rPr>
          <w:rStyle w:val="1246"/>
          <w:rFonts w:ascii="宋体" w:hAnsi="宋体"/>
        </w:rPr>
        <w:t xml:space="preserve">试验</w:t>
      </w:r>
      <w:r>
        <w:rPr>
          <w:rStyle w:val="1246"/>
          <w:rFonts w:ascii="宋体" w:hAnsi="宋体"/>
          <w:sz w:val="18"/>
          <w:szCs w:val="20"/>
        </w:rPr>
      </w:r>
      <w:r/>
    </w:p>
    <w:p>
      <w:pPr>
        <w:pStyle w:val="1245"/>
        <w:numPr>
          <w:ilvl w:val="0"/>
          <w:numId w:val="62"/>
        </w:numPr>
        <w:ind w:left="420" w:firstLine="0"/>
        <w:rPr>
          <w:rStyle w:val="1246"/>
          <w:rFonts w:ascii="宋体" w:hAnsi="宋体"/>
          <w:sz w:val="18"/>
          <w:szCs w:val="20"/>
        </w:rPr>
      </w:pPr>
      <w:r>
        <w:rPr>
          <w:rStyle w:val="1246"/>
          <w:rFonts w:ascii="宋体" w:hAnsi="宋体"/>
        </w:rPr>
        <w:t xml:space="preserve">连续通电试验</w:t>
      </w:r>
      <w:r>
        <w:rPr>
          <w:rStyle w:val="1246"/>
          <w:rFonts w:ascii="宋体" w:hAnsi="宋体"/>
          <w:sz w:val="18"/>
          <w:szCs w:val="20"/>
        </w:rPr>
      </w:r>
      <w:r/>
    </w:p>
    <w:p>
      <w:pPr>
        <w:pStyle w:val="1245"/>
        <w:rPr>
          <w:rStyle w:val="1246"/>
          <w:rFonts w:ascii="宋体"/>
          <w:b/>
          <w:color w:val="000000"/>
          <w:sz w:val="18"/>
          <w:szCs w:val="20"/>
        </w:rPr>
        <w:outlineLvl w:val="1"/>
      </w:pPr>
      <w:r/>
      <w:bookmarkEnd w:id="280"/>
      <w:r/>
      <w:bookmarkStart w:id="281" w:name="_Toc377198724"/>
      <w:r/>
      <w:bookmarkStart w:id="282" w:name="_Toc377482819"/>
      <w:r/>
      <w:bookmarkStart w:id="283" w:name="_Toc27423436"/>
      <w:r/>
      <w:bookmarkStart w:id="284" w:name="_Toc377473664"/>
      <w:r>
        <w:t xml:space="preserve">6.2.4</w:t>
      </w:r>
      <w:r>
        <w:rPr>
          <w:rStyle w:val="1246"/>
          <w:rFonts w:hint="eastAsia" w:ascii="宋体"/>
          <w:b/>
          <w:color w:val="000000"/>
        </w:rPr>
        <w:t xml:space="preserve">专</w:t>
      </w:r>
      <w:bookmarkEnd w:id="281"/>
      <w:r>
        <w:rPr>
          <w:rStyle w:val="1246"/>
          <w:rFonts w:hint="eastAsia" w:ascii="宋体"/>
          <w:b/>
          <w:color w:val="000000"/>
        </w:rPr>
        <w:t xml:space="preserve">项检测</w:t>
      </w:r>
      <w:bookmarkEnd w:id="282"/>
      <w:r/>
      <w:bookmarkEnd w:id="283"/>
      <w:r/>
      <w:bookmarkEnd w:id="284"/>
      <w:r>
        <w:rPr>
          <w:rStyle w:val="1246"/>
          <w:rFonts w:ascii="宋体"/>
          <w:b/>
          <w:color w:val="000000"/>
          <w:sz w:val="18"/>
          <w:szCs w:val="20"/>
        </w:rPr>
      </w:r>
      <w:r/>
    </w:p>
    <w:p>
      <w:pPr>
        <w:pStyle w:val="1245"/>
        <w:ind w:firstLine="420"/>
      </w:pPr>
      <w:r>
        <w:rPr>
          <w:rStyle w:val="1246"/>
          <w:rFonts w:hint="eastAsia" w:ascii="宋体" w:hAnsi="宋体"/>
        </w:rPr>
        <w:t xml:space="preserve">卖方按买方要求将产品送到具备国家认证认可资质的实验室进行专项检测，并提供专项检测报告。</w:t>
      </w:r>
      <w:r/>
    </w:p>
    <w:p>
      <w:pPr>
        <w:pStyle w:val="1238"/>
        <w:rPr>
          <w:rFonts w:ascii="Times New Roman"/>
        </w:rPr>
        <w:outlineLvl w:val="0"/>
      </w:pPr>
      <w:r/>
      <w:bookmarkStart w:id="285" w:name="_Toc14128"/>
      <w:r/>
      <w:bookmarkStart w:id="286" w:name="_Toc30490"/>
      <w:r/>
      <w:bookmarkStart w:id="287" w:name="_Toc12999"/>
      <w:r/>
      <w:bookmarkStart w:id="288" w:name="_Toc380612195"/>
      <w:r/>
      <w:bookmarkStart w:id="289" w:name="_Toc55057885"/>
      <w:r/>
      <w:bookmarkStart w:id="290" w:name="_Toc379872037"/>
      <w:r/>
      <w:bookmarkStart w:id="291" w:name="_Toc21035"/>
      <w:r>
        <w:rPr>
          <w:rFonts w:ascii="Times New Roman"/>
        </w:rPr>
        <w:t xml:space="preserve">7　技术服务、工厂检验和监造</w:t>
      </w:r>
      <w:bookmarkEnd w:id="285"/>
      <w:r/>
      <w:bookmarkEnd w:id="286"/>
      <w:r/>
      <w:bookmarkEnd w:id="287"/>
      <w:r/>
      <w:bookmarkEnd w:id="288"/>
      <w:r/>
      <w:bookmarkEnd w:id="289"/>
      <w:r/>
      <w:bookmarkEnd w:id="290"/>
      <w:r/>
      <w:bookmarkEnd w:id="291"/>
      <w:r>
        <w:rPr>
          <w:rFonts w:ascii="Times New Roman"/>
        </w:rPr>
      </w:r>
      <w:r/>
    </w:p>
    <w:p>
      <w:pPr>
        <w:pStyle w:val="1245"/>
        <w:outlineLvl w:val="1"/>
      </w:pPr>
      <w:r>
        <w:t xml:space="preserve">7.1技术服务</w:t>
      </w:r>
      <w:r/>
    </w:p>
    <w:p>
      <w:pPr>
        <w:pStyle w:val="1151"/>
        <w:spacing w:line="312" w:lineRule="exact"/>
        <w:rPr>
          <w:szCs w:val="21"/>
        </w:rPr>
      </w:pPr>
      <w:r>
        <w:rPr>
          <w:szCs w:val="21"/>
        </w:rPr>
        <w:t xml:space="preserve">7.1.1概述：</w:t>
      </w:r>
      <w:r>
        <w:rPr>
          <w:szCs w:val="21"/>
        </w:rPr>
      </w:r>
      <w:r/>
    </w:p>
    <w:p>
      <w:pPr>
        <w:pStyle w:val="1151"/>
        <w:ind w:left="840" w:hanging="420"/>
        <w:spacing w:line="312" w:lineRule="exact"/>
        <w:rPr>
          <w:szCs w:val="21"/>
        </w:rPr>
      </w:pPr>
      <w:r>
        <w:rPr>
          <w:szCs w:val="21"/>
        </w:rPr>
        <w:t xml:space="preserve">a）投标人应根据招标人要求，指定售后服务人员，对安装承包商进行相关业务指导；</w:t>
      </w:r>
      <w:r>
        <w:rPr>
          <w:szCs w:val="21"/>
        </w:rPr>
      </w:r>
      <w:r/>
    </w:p>
    <w:p>
      <w:pPr>
        <w:pStyle w:val="1151"/>
        <w:ind w:left="840" w:hanging="420"/>
        <w:spacing w:line="312" w:lineRule="exact"/>
      </w:pPr>
      <w:r>
        <w:rPr>
          <w:szCs w:val="21"/>
        </w:rPr>
        <w:t xml:space="preserve">b）投标人应</w:t>
      </w:r>
      <w:r>
        <w:t xml:space="preserve">该根据工地施工的实际工作进展，及时提供技术服务。</w:t>
      </w:r>
      <w:r/>
    </w:p>
    <w:p>
      <w:pPr>
        <w:pStyle w:val="1151"/>
        <w:spacing w:line="312" w:lineRule="exact"/>
      </w:pPr>
      <w:r>
        <w:rPr>
          <w:szCs w:val="21"/>
        </w:rPr>
        <w:t xml:space="preserve">7.1.2</w:t>
      </w:r>
      <w:r>
        <w:t xml:space="preserve">任务和责任：</w:t>
      </w:r>
      <w:r/>
    </w:p>
    <w:p>
      <w:pPr>
        <w:pStyle w:val="1151"/>
        <w:ind w:left="420"/>
        <w:spacing w:line="312" w:lineRule="exact"/>
        <w:rPr>
          <w:szCs w:val="21"/>
        </w:rPr>
      </w:pPr>
      <w:r>
        <w:rPr>
          <w:szCs w:val="21"/>
        </w:rPr>
        <w:t xml:space="preserve">a）投标人指定的售后服务人员，应在合同范围内全面与招标人代表充分合作与协商，以解决合同有关的技术和工作问题。双方的代表，未经双方授权，无权变更和修改合同；</w:t>
      </w:r>
      <w:r>
        <w:rPr>
          <w:szCs w:val="21"/>
        </w:rPr>
      </w:r>
      <w:r/>
    </w:p>
    <w:p>
      <w:pPr>
        <w:pStyle w:val="1151"/>
        <w:ind w:left="420"/>
        <w:spacing w:line="312" w:lineRule="exact"/>
        <w:rPr>
          <w:szCs w:val="21"/>
        </w:rPr>
      </w:pPr>
      <w:r>
        <w:rPr>
          <w:szCs w:val="21"/>
        </w:rPr>
        <w:t xml:space="preserve">b）投标人售后服务人员代表投标人，完成合同规定有关设备的技术服务；</w:t>
      </w:r>
      <w:r>
        <w:rPr>
          <w:szCs w:val="21"/>
        </w:rPr>
      </w:r>
      <w:r/>
    </w:p>
    <w:p>
      <w:pPr>
        <w:pStyle w:val="1151"/>
        <w:ind w:left="420"/>
        <w:spacing w:line="312" w:lineRule="exact"/>
        <w:rPr>
          <w:szCs w:val="21"/>
        </w:rPr>
      </w:pPr>
      <w:r>
        <w:rPr>
          <w:szCs w:val="21"/>
        </w:rPr>
        <w:t xml:space="preserve">c）投标人售后服务人员有义务协助招标人在现场对运行和维护的人员进行必要的培训；</w:t>
      </w:r>
      <w:r>
        <w:rPr>
          <w:szCs w:val="21"/>
        </w:rPr>
      </w:r>
      <w:r/>
    </w:p>
    <w:p>
      <w:pPr>
        <w:pStyle w:val="1151"/>
        <w:ind w:left="420"/>
        <w:spacing w:line="312" w:lineRule="exact"/>
        <w:rPr>
          <w:szCs w:val="21"/>
        </w:rPr>
      </w:pPr>
      <w:r>
        <w:rPr>
          <w:szCs w:val="21"/>
        </w:rPr>
        <w:t xml:space="preserve">d）投标人售后服务人员的技术指导应是正确的，如因错误指导而引起设备和材料的损坏，投标人应负责修复、更换和/或补充，其费用由投标人承担，该费用中还包括进行修复期间所发生的服务费。招标人的有关技术人员应尊重投标人售后服务人员的技术指导。</w:t>
      </w:r>
      <w:r>
        <w:rPr>
          <w:szCs w:val="21"/>
        </w:rPr>
      </w:r>
      <w:r/>
    </w:p>
    <w:p>
      <w:pPr>
        <w:pStyle w:val="1151"/>
        <w:spacing w:line="312" w:lineRule="exact"/>
        <w:rPr>
          <w:szCs w:val="21"/>
        </w:rPr>
      </w:pPr>
      <w:r>
        <w:rPr>
          <w:szCs w:val="21"/>
        </w:rPr>
        <w:t xml:space="preserve">7.1.3</w:t>
      </w:r>
      <w:r>
        <w:rPr>
          <w:szCs w:val="21"/>
        </w:rPr>
        <w:t xml:space="preserve">在本合同有效期内，招投标双方应及时回答对方提出的技术文件范围内有关设计和技术的问题，由任一方提出的所有有关合同设备设计的修正或修改都应由对方参与讨论并同意。</w:t>
      </w:r>
      <w:r>
        <w:rPr>
          <w:szCs w:val="21"/>
        </w:rPr>
      </w:r>
      <w:r/>
    </w:p>
    <w:p>
      <w:pPr>
        <w:pStyle w:val="1245"/>
        <w:outlineLvl w:val="1"/>
      </w:pPr>
      <w:r>
        <w:t xml:space="preserve">7.2工厂检验和监造</w:t>
      </w:r>
      <w:r/>
    </w:p>
    <w:p>
      <w:pPr>
        <w:pStyle w:val="1151"/>
        <w:spacing w:line="312" w:lineRule="exact"/>
        <w:rPr>
          <w:szCs w:val="21"/>
        </w:rPr>
      </w:pPr>
      <w:r>
        <w:rPr>
          <w:szCs w:val="21"/>
        </w:rPr>
        <w:t xml:space="preserve">7.2.1</w:t>
      </w:r>
      <w:r>
        <w:rPr>
          <w:szCs w:val="21"/>
        </w:rPr>
        <w:t xml:space="preserve">招标人有权对正在制造或制造完毕的产品，选择一定数量，进行抽查测试，检测产品质量或验证供应商试验的真实性，投标人应配合招标人做好抽查测试，费用由招标人承担。</w:t>
      </w:r>
      <w:r>
        <w:rPr>
          <w:szCs w:val="21"/>
        </w:rPr>
      </w:r>
      <w:r/>
    </w:p>
    <w:p>
      <w:pPr>
        <w:pStyle w:val="1151"/>
      </w:pPr>
      <w:r>
        <w:rPr>
          <w:szCs w:val="21"/>
        </w:rPr>
        <w:t xml:space="preserve">7.2.2</w:t>
      </w:r>
      <w:r>
        <w:t xml:space="preserve">若有合同设备经检验和抽检不符合本部分的要求，招标人可以拒收，并不承担费用。</w:t>
      </w:r>
      <w:r/>
    </w:p>
    <w:p>
      <w:pPr>
        <w:pStyle w:val="1245"/>
        <w:rPr>
          <w:rStyle w:val="1246"/>
          <w:rFonts w:ascii="宋体"/>
          <w:b/>
          <w:color w:val="000000"/>
          <w:sz w:val="18"/>
          <w:szCs w:val="20"/>
        </w:rPr>
        <w:outlineLvl w:val="1"/>
      </w:pPr>
      <w:r/>
      <w:bookmarkStart w:id="292" w:name="_Toc256351612"/>
      <w:r/>
      <w:bookmarkStart w:id="293" w:name="_Toc255401357"/>
      <w:r/>
      <w:bookmarkStart w:id="294" w:name="_Toc27423440"/>
      <w:r/>
      <w:bookmarkStart w:id="295" w:name="_Toc250524129"/>
      <w:r/>
      <w:bookmarkStart w:id="296" w:name="_Toc377482823"/>
      <w:r/>
      <w:bookmarkStart w:id="297" w:name="_Toc461210439"/>
      <w:r/>
      <w:bookmarkStart w:id="298" w:name="_Toc377473668"/>
      <w:r>
        <w:t xml:space="preserve">7</w:t>
      </w:r>
      <w:r>
        <w:rPr>
          <w:spacing w:val="20"/>
        </w:rPr>
        <w:t xml:space="preserve">.</w:t>
      </w:r>
      <w:r>
        <w:t xml:space="preserve">3</w:t>
      </w:r>
      <w:r>
        <w:rPr>
          <w:rStyle w:val="1246"/>
          <w:rFonts w:ascii="宋体"/>
          <w:b/>
          <w:color w:val="000000"/>
        </w:rPr>
        <w:t xml:space="preserve">供确认的</w:t>
      </w:r>
      <w:r>
        <w:rPr>
          <w:rStyle w:val="1246"/>
          <w:rFonts w:hint="eastAsia" w:ascii="宋体"/>
          <w:b/>
          <w:color w:val="000000"/>
        </w:rPr>
        <w:t xml:space="preserve">DTU</w:t>
      </w:r>
      <w:r>
        <w:rPr>
          <w:rStyle w:val="1246"/>
          <w:rFonts w:ascii="宋体"/>
          <w:b/>
          <w:color w:val="000000"/>
        </w:rPr>
        <w:t xml:space="preserve">图纸</w:t>
      </w:r>
      <w:bookmarkEnd w:id="292"/>
      <w:r/>
      <w:bookmarkEnd w:id="293"/>
      <w:r/>
      <w:bookmarkEnd w:id="294"/>
      <w:r/>
      <w:bookmarkEnd w:id="295"/>
      <w:r/>
      <w:bookmarkEnd w:id="296"/>
      <w:r/>
      <w:bookmarkEnd w:id="297"/>
      <w:r/>
      <w:bookmarkEnd w:id="298"/>
      <w:r>
        <w:rPr>
          <w:rStyle w:val="1246"/>
          <w:rFonts w:ascii="宋体"/>
          <w:b/>
          <w:color w:val="000000"/>
          <w:sz w:val="18"/>
          <w:szCs w:val="20"/>
        </w:rPr>
      </w:r>
      <w:r/>
    </w:p>
    <w:p>
      <w:pPr>
        <w:pStyle w:val="1245"/>
        <w:ind w:firstLine="420"/>
        <w:rPr>
          <w:rStyle w:val="1246"/>
          <w:rFonts w:ascii="宋体" w:hAnsi="宋体"/>
        </w:rPr>
      </w:pPr>
      <w:r>
        <w:rPr>
          <w:rStyle w:val="1246"/>
          <w:rFonts w:ascii="宋体" w:hAnsi="宋体"/>
        </w:rPr>
        <w:t xml:space="preserve">在合同签字后2周内，卖方</w:t>
      </w:r>
      <w:r>
        <w:rPr>
          <w:rFonts w:hint="eastAsia" w:ascii="宋体" w:hAnsi="宋体"/>
        </w:rPr>
        <w:t xml:space="preserve">至少提供以下供确认和了解的资料和图纸：</w:t>
      </w:r>
      <w:r>
        <w:rPr>
          <w:rStyle w:val="1246"/>
          <w:rFonts w:ascii="宋体" w:hAnsi="宋体"/>
        </w:rPr>
      </w:r>
      <w:r/>
    </w:p>
    <w:p>
      <w:pPr>
        <w:pStyle w:val="1245"/>
        <w:numPr>
          <w:ilvl w:val="0"/>
          <w:numId w:val="63"/>
        </w:numPr>
        <w:ind w:left="420" w:firstLine="0"/>
        <w:rPr>
          <w:rStyle w:val="1246"/>
          <w:rFonts w:ascii="宋体" w:hAnsi="宋体"/>
        </w:rPr>
      </w:pPr>
      <w:r>
        <w:rPr>
          <w:rStyle w:val="1246"/>
          <w:rFonts w:hint="eastAsia" w:ascii="宋体" w:hAnsi="宋体"/>
        </w:rPr>
        <w:t xml:space="preserve">终端</w:t>
      </w:r>
      <w:r>
        <w:rPr>
          <w:rStyle w:val="1246"/>
          <w:rFonts w:ascii="宋体" w:hAnsi="宋体"/>
        </w:rPr>
        <w:t xml:space="preserve">的接线图及</w:t>
      </w:r>
      <w:r>
        <w:rPr>
          <w:rStyle w:val="1246"/>
          <w:rFonts w:hint="eastAsia" w:ascii="宋体" w:hAnsi="宋体"/>
        </w:rPr>
        <w:t xml:space="preserve">其</w:t>
      </w:r>
      <w:r>
        <w:rPr>
          <w:rStyle w:val="1246"/>
          <w:rFonts w:ascii="宋体" w:hAnsi="宋体"/>
        </w:rPr>
        <w:t xml:space="preserve">图例符号说明</w:t>
      </w:r>
      <w:r>
        <w:rPr>
          <w:rStyle w:val="1246"/>
          <w:rFonts w:hint="eastAsia" w:ascii="宋体" w:hAnsi="宋体"/>
        </w:rPr>
        <w:t xml:space="preserve">；</w:t>
      </w:r>
      <w:r>
        <w:rPr>
          <w:rStyle w:val="1246"/>
          <w:rFonts w:ascii="宋体" w:hAnsi="宋体"/>
        </w:rPr>
      </w:r>
      <w:r/>
    </w:p>
    <w:p>
      <w:pPr>
        <w:pStyle w:val="1245"/>
        <w:numPr>
          <w:ilvl w:val="0"/>
          <w:numId w:val="63"/>
        </w:numPr>
        <w:ind w:left="420" w:firstLine="0"/>
        <w:rPr>
          <w:rStyle w:val="1246"/>
          <w:rFonts w:ascii="宋体" w:hAnsi="宋体"/>
        </w:rPr>
      </w:pPr>
      <w:r>
        <w:rPr>
          <w:rStyle w:val="1246"/>
          <w:rFonts w:hint="eastAsia" w:ascii="宋体" w:hAnsi="宋体"/>
        </w:rPr>
        <w:t xml:space="preserve">终端</w:t>
      </w:r>
      <w:r>
        <w:rPr>
          <w:rStyle w:val="1246"/>
          <w:rFonts w:ascii="宋体" w:hAnsi="宋体"/>
        </w:rPr>
        <w:t xml:space="preserve">的安装布置图及图例符号说明和所有元件技术参数表</w:t>
      </w:r>
      <w:r>
        <w:rPr>
          <w:rStyle w:val="1246"/>
          <w:rFonts w:hint="eastAsia" w:ascii="宋体" w:hAnsi="宋体"/>
        </w:rPr>
        <w:t xml:space="preserve">；</w:t>
      </w:r>
      <w:r>
        <w:rPr>
          <w:rStyle w:val="1246"/>
          <w:rFonts w:ascii="宋体" w:hAnsi="宋体"/>
        </w:rPr>
      </w:r>
      <w:r/>
    </w:p>
    <w:p>
      <w:pPr>
        <w:pStyle w:val="1245"/>
        <w:numPr>
          <w:ilvl w:val="0"/>
          <w:numId w:val="63"/>
        </w:numPr>
        <w:ind w:left="420" w:firstLine="0"/>
        <w:rPr>
          <w:rStyle w:val="1246"/>
          <w:rFonts w:ascii="宋体" w:hAnsi="宋体"/>
        </w:rPr>
      </w:pPr>
      <w:r>
        <w:rPr>
          <w:rStyle w:val="1246"/>
          <w:rFonts w:hint="eastAsia" w:ascii="宋体" w:hAnsi="宋体"/>
        </w:rPr>
        <w:t xml:space="preserve">终端</w:t>
      </w:r>
      <w:r>
        <w:rPr>
          <w:rStyle w:val="1246"/>
          <w:rFonts w:ascii="宋体" w:hAnsi="宋体"/>
        </w:rPr>
        <w:t xml:space="preserve">的方框原理图及其说明。</w:t>
      </w:r>
      <w:r>
        <w:rPr>
          <w:rStyle w:val="1246"/>
          <w:rFonts w:ascii="宋体" w:hAnsi="宋体"/>
        </w:rPr>
      </w:r>
      <w:r/>
    </w:p>
    <w:p>
      <w:pPr>
        <w:pStyle w:val="1245"/>
        <w:rPr>
          <w:rStyle w:val="1246"/>
          <w:rFonts w:ascii="宋体"/>
          <w:b/>
          <w:color w:val="000000"/>
          <w:sz w:val="18"/>
          <w:szCs w:val="20"/>
        </w:rPr>
        <w:outlineLvl w:val="1"/>
      </w:pPr>
      <w:r/>
      <w:bookmarkStart w:id="299" w:name="_Toc27423441"/>
      <w:r/>
      <w:bookmarkStart w:id="300" w:name="_Toc250524130"/>
      <w:r/>
      <w:bookmarkStart w:id="301" w:name="_Toc255401358"/>
      <w:r/>
      <w:bookmarkStart w:id="302" w:name="_Toc377482824"/>
      <w:r/>
      <w:bookmarkStart w:id="303" w:name="_Toc377473669"/>
      <w:r/>
      <w:bookmarkStart w:id="304" w:name="_Toc256351613"/>
      <w:r/>
      <w:bookmarkStart w:id="305" w:name="_Toc461210440"/>
      <w:r>
        <w:t xml:space="preserve">7</w:t>
      </w:r>
      <w:r>
        <w:rPr>
          <w:spacing w:val="20"/>
        </w:rPr>
        <w:t xml:space="preserve">.</w:t>
      </w:r>
      <w:r>
        <w:t xml:space="preserve">4</w:t>
      </w:r>
      <w:r>
        <w:rPr>
          <w:rStyle w:val="1246"/>
          <w:rFonts w:ascii="宋体"/>
          <w:b/>
          <w:color w:val="000000"/>
        </w:rPr>
        <w:t xml:space="preserve">买卖双方设计的</w:t>
      </w:r>
      <w:r>
        <w:rPr>
          <w:rStyle w:val="1246"/>
          <w:rFonts w:hint="eastAsia" w:ascii="宋体"/>
          <w:b/>
          <w:color w:val="000000"/>
        </w:rPr>
        <w:t xml:space="preserve">DTU</w:t>
      </w:r>
      <w:r>
        <w:rPr>
          <w:rStyle w:val="1246"/>
          <w:rFonts w:ascii="宋体"/>
          <w:b/>
          <w:color w:val="000000"/>
        </w:rPr>
        <w:t xml:space="preserve">图纸</w:t>
      </w:r>
      <w:bookmarkEnd w:id="299"/>
      <w:r/>
      <w:bookmarkEnd w:id="300"/>
      <w:r/>
      <w:bookmarkEnd w:id="301"/>
      <w:r/>
      <w:bookmarkEnd w:id="302"/>
      <w:r/>
      <w:bookmarkEnd w:id="303"/>
      <w:r/>
      <w:bookmarkEnd w:id="304"/>
      <w:r/>
      <w:bookmarkEnd w:id="305"/>
      <w:r>
        <w:rPr>
          <w:rStyle w:val="1246"/>
          <w:rFonts w:ascii="宋体"/>
          <w:b/>
          <w:color w:val="000000"/>
          <w:sz w:val="18"/>
          <w:szCs w:val="20"/>
        </w:rPr>
      </w:r>
      <w:r/>
    </w:p>
    <w:p>
      <w:pPr>
        <w:pStyle w:val="1245"/>
        <w:ind w:firstLine="420"/>
        <w:rPr>
          <w:rStyle w:val="1246"/>
          <w:rFonts w:ascii="宋体" w:hAnsi="宋体"/>
        </w:rPr>
      </w:pPr>
      <w:r>
        <w:rPr>
          <w:rStyle w:val="1246"/>
          <w:rFonts w:ascii="宋体" w:hAnsi="宋体"/>
        </w:rPr>
        <w:t xml:space="preserve">卖方在联络会议后的2周内，应提供经过联络会议修改后的全部正式图纸及资料，供买方设计。</w:t>
      </w:r>
      <w:r>
        <w:rPr>
          <w:rStyle w:val="1246"/>
          <w:rFonts w:ascii="宋体" w:hAnsi="宋体"/>
        </w:rPr>
      </w:r>
      <w:r/>
    </w:p>
    <w:p>
      <w:pPr>
        <w:pStyle w:val="1245"/>
        <w:ind w:firstLine="420"/>
        <w:rPr>
          <w:rStyle w:val="1246"/>
          <w:rFonts w:ascii="宋体" w:hAnsi="宋体"/>
        </w:rPr>
      </w:pPr>
      <w:r>
        <w:rPr>
          <w:rStyle w:val="1246"/>
          <w:rFonts w:ascii="宋体" w:hAnsi="宋体"/>
        </w:rPr>
        <w:t xml:space="preserve">经过设计联络会议修改后的全部正式图纸及资料</w:t>
      </w:r>
      <w:r>
        <w:rPr>
          <w:rStyle w:val="1246"/>
          <w:rFonts w:hint="eastAsia" w:ascii="宋体" w:hAnsi="宋体"/>
        </w:rPr>
        <w:t xml:space="preserve">如下：</w:t>
      </w:r>
      <w:r>
        <w:rPr>
          <w:rStyle w:val="1246"/>
          <w:rFonts w:ascii="宋体" w:hAnsi="宋体"/>
        </w:rPr>
      </w:r>
      <w:r/>
    </w:p>
    <w:p>
      <w:pPr>
        <w:pStyle w:val="1245"/>
        <w:numPr>
          <w:ilvl w:val="0"/>
          <w:numId w:val="64"/>
        </w:numPr>
        <w:ind w:left="420" w:firstLine="0"/>
        <w:rPr>
          <w:rStyle w:val="1246"/>
          <w:rFonts w:ascii="宋体" w:hAnsi="宋体"/>
        </w:rPr>
      </w:pPr>
      <w:r>
        <w:rPr>
          <w:rStyle w:val="1246"/>
          <w:rFonts w:hint="eastAsia" w:ascii="宋体" w:hAnsi="宋体"/>
        </w:rPr>
        <w:t xml:space="preserve">终端</w:t>
      </w:r>
      <w:r>
        <w:rPr>
          <w:rStyle w:val="1246"/>
          <w:rFonts w:ascii="宋体" w:hAnsi="宋体"/>
        </w:rPr>
        <w:t xml:space="preserve">各个部件的内部接线图和图例符号说明</w:t>
      </w:r>
      <w:r>
        <w:rPr>
          <w:rStyle w:val="1246"/>
          <w:rFonts w:hint="eastAsia" w:ascii="宋体" w:hAnsi="宋体"/>
        </w:rPr>
        <w:t xml:space="preserve">；</w:t>
      </w:r>
      <w:r>
        <w:rPr>
          <w:rStyle w:val="1246"/>
          <w:rFonts w:ascii="宋体" w:hAnsi="宋体"/>
        </w:rPr>
      </w:r>
      <w:r/>
    </w:p>
    <w:p>
      <w:pPr>
        <w:pStyle w:val="1245"/>
        <w:numPr>
          <w:ilvl w:val="0"/>
          <w:numId w:val="64"/>
        </w:numPr>
        <w:ind w:left="420" w:firstLine="0"/>
        <w:rPr>
          <w:rStyle w:val="1246"/>
          <w:rFonts w:ascii="宋体" w:hAnsi="宋体"/>
        </w:rPr>
      </w:pPr>
      <w:r>
        <w:rPr>
          <w:rStyle w:val="1246"/>
          <w:rFonts w:hint="eastAsia" w:ascii="宋体" w:hAnsi="宋体"/>
        </w:rPr>
        <w:t xml:space="preserve">终端</w:t>
      </w:r>
      <w:r>
        <w:rPr>
          <w:rStyle w:val="1246"/>
          <w:rFonts w:ascii="宋体" w:hAnsi="宋体"/>
        </w:rPr>
        <w:t xml:space="preserve">的安装布置图及说明</w:t>
      </w:r>
      <w:r>
        <w:rPr>
          <w:rStyle w:val="1246"/>
          <w:rFonts w:hint="eastAsia" w:ascii="宋体" w:hAnsi="宋体"/>
        </w:rPr>
        <w:t xml:space="preserve">；</w:t>
      </w:r>
      <w:r>
        <w:rPr>
          <w:rStyle w:val="1246"/>
          <w:rFonts w:ascii="宋体" w:hAnsi="宋体"/>
        </w:rPr>
      </w:r>
      <w:r/>
    </w:p>
    <w:p>
      <w:pPr>
        <w:pStyle w:val="1245"/>
        <w:numPr>
          <w:ilvl w:val="0"/>
          <w:numId w:val="64"/>
        </w:numPr>
        <w:ind w:left="420" w:firstLine="0"/>
        <w:rPr>
          <w:rStyle w:val="1246"/>
          <w:rFonts w:ascii="宋体" w:hAnsi="宋体"/>
        </w:rPr>
      </w:pPr>
      <w:r>
        <w:rPr>
          <w:rStyle w:val="1246"/>
          <w:rFonts w:hint="eastAsia" w:ascii="宋体" w:hAnsi="宋体"/>
        </w:rPr>
        <w:t xml:space="preserve">终端</w:t>
      </w:r>
      <w:r>
        <w:rPr>
          <w:rStyle w:val="1246"/>
          <w:rFonts w:ascii="宋体" w:hAnsi="宋体"/>
        </w:rPr>
        <w:t xml:space="preserve">端子排的端子排列图</w:t>
      </w:r>
      <w:r>
        <w:rPr>
          <w:rStyle w:val="1246"/>
          <w:rFonts w:hint="eastAsia" w:ascii="宋体" w:hAnsi="宋体"/>
        </w:rPr>
        <w:t xml:space="preserve">；</w:t>
      </w:r>
      <w:r>
        <w:rPr>
          <w:rStyle w:val="1246"/>
          <w:rFonts w:ascii="宋体" w:hAnsi="宋体"/>
        </w:rPr>
      </w:r>
      <w:r/>
    </w:p>
    <w:p>
      <w:pPr>
        <w:pStyle w:val="1245"/>
        <w:numPr>
          <w:ilvl w:val="0"/>
          <w:numId w:val="64"/>
        </w:numPr>
        <w:ind w:left="420" w:firstLine="0"/>
        <w:rPr>
          <w:rStyle w:val="1246"/>
          <w:rFonts w:ascii="宋体" w:hAnsi="宋体"/>
        </w:rPr>
      </w:pPr>
      <w:r>
        <w:rPr>
          <w:rStyle w:val="1246"/>
          <w:rFonts w:ascii="宋体" w:hAnsi="宋体"/>
        </w:rPr>
        <w:t xml:space="preserve">合同设备施工时所必需的原理图</w:t>
      </w:r>
      <w:r>
        <w:rPr>
          <w:rStyle w:val="1246"/>
          <w:rFonts w:hint="eastAsia" w:ascii="宋体" w:hAnsi="宋体"/>
        </w:rPr>
        <w:t xml:space="preserve">；</w:t>
      </w:r>
      <w:r>
        <w:rPr>
          <w:rStyle w:val="1246"/>
          <w:rFonts w:ascii="宋体" w:hAnsi="宋体"/>
        </w:rPr>
      </w:r>
      <w:r/>
    </w:p>
    <w:p>
      <w:pPr>
        <w:pStyle w:val="1245"/>
        <w:numPr>
          <w:ilvl w:val="0"/>
          <w:numId w:val="64"/>
        </w:numPr>
        <w:ind w:left="420" w:firstLine="0"/>
        <w:rPr>
          <w:rStyle w:val="1246"/>
          <w:rFonts w:ascii="宋体" w:hAnsi="宋体"/>
        </w:rPr>
      </w:pPr>
      <w:r>
        <w:rPr>
          <w:rStyle w:val="1246"/>
          <w:rFonts w:ascii="宋体" w:hAnsi="宋体"/>
        </w:rPr>
        <w:t xml:space="preserve">所有图纸的电子文档及支持软件。</w:t>
      </w:r>
      <w:r>
        <w:rPr>
          <w:rStyle w:val="1246"/>
          <w:rFonts w:ascii="宋体" w:hAnsi="宋体"/>
        </w:rPr>
      </w:r>
      <w:r/>
    </w:p>
    <w:p>
      <w:pPr>
        <w:pStyle w:val="1245"/>
        <w:rPr>
          <w:rStyle w:val="1246"/>
          <w:rFonts w:ascii="宋体"/>
          <w:b/>
          <w:color w:val="000000"/>
          <w:sz w:val="18"/>
          <w:szCs w:val="20"/>
        </w:rPr>
        <w:outlineLvl w:val="1"/>
      </w:pPr>
      <w:r/>
      <w:bookmarkStart w:id="306" w:name="_Toc255401359"/>
      <w:r/>
      <w:bookmarkStart w:id="307" w:name="_Toc461210441"/>
      <w:r/>
      <w:bookmarkStart w:id="308" w:name="_Toc256351614"/>
      <w:r/>
      <w:bookmarkStart w:id="309" w:name="_Toc250524131"/>
      <w:r/>
      <w:bookmarkStart w:id="310" w:name="_Toc27423442"/>
      <w:r/>
      <w:bookmarkStart w:id="311" w:name="_Toc377482825"/>
      <w:r/>
      <w:bookmarkStart w:id="312" w:name="_Toc377473670"/>
      <w:r>
        <w:t xml:space="preserve">7</w:t>
      </w:r>
      <w:r>
        <w:rPr>
          <w:spacing w:val="20"/>
        </w:rPr>
        <w:t xml:space="preserve">.</w:t>
      </w:r>
      <w:r>
        <w:t xml:space="preserve">5</w:t>
      </w:r>
      <w:r>
        <w:rPr>
          <w:rStyle w:val="1246"/>
          <w:rFonts w:hint="eastAsia" w:ascii="宋体"/>
          <w:b/>
          <w:color w:val="000000"/>
        </w:rPr>
        <w:t xml:space="preserve">DTU</w:t>
      </w:r>
      <w:r>
        <w:rPr>
          <w:rStyle w:val="1246"/>
          <w:rFonts w:ascii="宋体"/>
          <w:b/>
          <w:color w:val="000000"/>
        </w:rPr>
        <w:t xml:space="preserve">其他资料和说明书</w:t>
      </w:r>
      <w:bookmarkEnd w:id="306"/>
      <w:r/>
      <w:bookmarkEnd w:id="307"/>
      <w:r/>
      <w:bookmarkEnd w:id="308"/>
      <w:r/>
      <w:bookmarkEnd w:id="309"/>
      <w:r/>
      <w:bookmarkEnd w:id="310"/>
      <w:r/>
      <w:bookmarkEnd w:id="311"/>
      <w:r/>
      <w:bookmarkEnd w:id="312"/>
      <w:r>
        <w:rPr>
          <w:rStyle w:val="1246"/>
          <w:rFonts w:ascii="宋体"/>
          <w:b/>
          <w:color w:val="000000"/>
          <w:sz w:val="18"/>
          <w:szCs w:val="20"/>
        </w:rPr>
      </w:r>
      <w:r/>
    </w:p>
    <w:p>
      <w:pPr>
        <w:pStyle w:val="1245"/>
        <w:numPr>
          <w:ilvl w:val="0"/>
          <w:numId w:val="65"/>
        </w:numPr>
        <w:ind w:left="420" w:firstLine="0"/>
        <w:rPr>
          <w:rStyle w:val="1246"/>
          <w:rFonts w:ascii="宋体" w:hAnsi="宋体"/>
        </w:rPr>
      </w:pPr>
      <w:r>
        <w:rPr>
          <w:rStyle w:val="1246"/>
          <w:rFonts w:ascii="宋体" w:hAnsi="宋体"/>
        </w:rPr>
        <w:t xml:space="preserve">卖方应提供给买方</w:t>
      </w:r>
      <w:r>
        <w:rPr>
          <w:rStyle w:val="1246"/>
          <w:rFonts w:hint="eastAsia" w:ascii="宋体" w:hAnsi="宋体"/>
        </w:rPr>
        <w:t xml:space="preserve">终端</w:t>
      </w:r>
      <w:r>
        <w:rPr>
          <w:rStyle w:val="1246"/>
          <w:rFonts w:ascii="宋体" w:hAnsi="宋体"/>
        </w:rPr>
        <w:t xml:space="preserve">投产前试验用的详细试验说明和技术要求，还应提供卖方提供的特殊试验仪器的使用说明</w:t>
      </w:r>
      <w:r>
        <w:rPr>
          <w:rStyle w:val="1246"/>
          <w:rFonts w:hint="eastAsia" w:ascii="宋体" w:hAnsi="宋体"/>
        </w:rPr>
        <w:t xml:space="preserve">。</w:t>
      </w:r>
      <w:r>
        <w:rPr>
          <w:rStyle w:val="1246"/>
          <w:rFonts w:ascii="宋体" w:hAnsi="宋体"/>
        </w:rPr>
        <w:t xml:space="preserve">卖方还应提供现有终端进行正常试验及运行维护、故障诊断的内容和要求</w:t>
      </w:r>
      <w:r>
        <w:rPr>
          <w:rStyle w:val="1246"/>
          <w:rFonts w:hint="eastAsia" w:ascii="宋体" w:hAnsi="宋体"/>
        </w:rPr>
        <w:t xml:space="preserve">；</w:t>
      </w:r>
      <w:r>
        <w:rPr>
          <w:rStyle w:val="1246"/>
          <w:rFonts w:ascii="宋体" w:hAnsi="宋体"/>
        </w:rPr>
      </w:r>
      <w:r/>
    </w:p>
    <w:p>
      <w:pPr>
        <w:pStyle w:val="1245"/>
        <w:numPr>
          <w:ilvl w:val="0"/>
          <w:numId w:val="65"/>
        </w:numPr>
        <w:ind w:left="420" w:firstLine="0"/>
        <w:rPr>
          <w:rStyle w:val="1246"/>
          <w:rFonts w:ascii="宋体" w:hAnsi="宋体"/>
        </w:rPr>
      </w:pPr>
      <w:r>
        <w:rPr>
          <w:rStyle w:val="1246"/>
          <w:rFonts w:ascii="宋体" w:hAnsi="宋体"/>
        </w:rPr>
        <w:t xml:space="preserve">卖方应提供各</w:t>
      </w:r>
      <w:r>
        <w:rPr>
          <w:rStyle w:val="1246"/>
          <w:rFonts w:hint="eastAsia" w:ascii="宋体" w:hAnsi="宋体"/>
        </w:rPr>
        <w:t xml:space="preserve">终端</w:t>
      </w:r>
      <w:r>
        <w:rPr>
          <w:rStyle w:val="1246"/>
          <w:rFonts w:ascii="宋体" w:hAnsi="宋体"/>
        </w:rPr>
        <w:t xml:space="preserve">的出厂试验报告</w:t>
      </w:r>
      <w:r>
        <w:rPr>
          <w:rStyle w:val="1246"/>
          <w:rFonts w:hint="eastAsia" w:ascii="宋体" w:hAnsi="宋体"/>
        </w:rPr>
        <w:t xml:space="preserve">；</w:t>
      </w:r>
      <w:r>
        <w:rPr>
          <w:rStyle w:val="1246"/>
          <w:rFonts w:ascii="宋体" w:hAnsi="宋体"/>
        </w:rPr>
      </w:r>
      <w:r/>
    </w:p>
    <w:p>
      <w:pPr>
        <w:pStyle w:val="1245"/>
        <w:numPr>
          <w:ilvl w:val="0"/>
          <w:numId w:val="65"/>
        </w:numPr>
        <w:ind w:left="420" w:firstLine="0"/>
        <w:rPr>
          <w:rStyle w:val="1246"/>
          <w:rFonts w:ascii="宋体" w:hAnsi="宋体"/>
        </w:rPr>
      </w:pPr>
      <w:r>
        <w:rPr>
          <w:rStyle w:val="1246"/>
          <w:rFonts w:hint="eastAsia" w:ascii="宋体" w:hAnsi="宋体"/>
        </w:rPr>
        <w:t xml:space="preserve">卖方应提供</w:t>
      </w:r>
      <w:r>
        <w:rPr>
          <w:rStyle w:val="1246"/>
          <w:rFonts w:ascii="宋体" w:hAnsi="宋体"/>
        </w:rPr>
        <w:t xml:space="preserve">专用工具和仪器的说明</w:t>
      </w:r>
      <w:r>
        <w:rPr>
          <w:rStyle w:val="1246"/>
          <w:rFonts w:hint="eastAsia" w:ascii="宋体" w:hAnsi="宋体"/>
        </w:rPr>
        <w:t xml:space="preserve">；</w:t>
      </w:r>
      <w:r>
        <w:rPr>
          <w:rStyle w:val="1246"/>
          <w:rFonts w:ascii="宋体" w:hAnsi="宋体"/>
        </w:rPr>
      </w:r>
      <w:r/>
    </w:p>
    <w:p>
      <w:pPr>
        <w:pStyle w:val="1245"/>
        <w:numPr>
          <w:ilvl w:val="0"/>
          <w:numId w:val="65"/>
        </w:numPr>
        <w:ind w:left="420" w:firstLine="0"/>
        <w:rPr>
          <w:rStyle w:val="1246"/>
          <w:rFonts w:ascii="宋体" w:hAnsi="宋体"/>
        </w:rPr>
      </w:pPr>
      <w:r>
        <w:rPr>
          <w:rStyle w:val="1246"/>
          <w:rFonts w:ascii="宋体" w:hAnsi="宋体"/>
        </w:rPr>
        <w:t xml:space="preserve">卖方</w:t>
      </w:r>
      <w:r>
        <w:rPr>
          <w:rStyle w:val="1246"/>
          <w:rFonts w:hint="eastAsia" w:ascii="宋体" w:hAnsi="宋体"/>
        </w:rPr>
        <w:t xml:space="preserve">应</w:t>
      </w:r>
      <w:r>
        <w:rPr>
          <w:rStyle w:val="1246"/>
          <w:rFonts w:ascii="宋体" w:hAnsi="宋体"/>
        </w:rPr>
        <w:t xml:space="preserve">提供与供货</w:t>
      </w:r>
      <w:r>
        <w:rPr>
          <w:rStyle w:val="1246"/>
          <w:rFonts w:hint="eastAsia" w:ascii="宋体" w:hAnsi="宋体"/>
        </w:rPr>
        <w:t xml:space="preserve">终端</w:t>
      </w:r>
      <w:r>
        <w:rPr>
          <w:rStyle w:val="1246"/>
          <w:rFonts w:ascii="宋体" w:hAnsi="宋体"/>
        </w:rPr>
        <w:t xml:space="preserve">一致的说明书。</w:t>
      </w:r>
      <w:r>
        <w:rPr>
          <w:rStyle w:val="1246"/>
          <w:rFonts w:ascii="宋体" w:hAnsi="宋体"/>
        </w:rPr>
      </w:r>
      <w:r/>
    </w:p>
    <w:p>
      <w:pPr>
        <w:pStyle w:val="1245"/>
        <w:rPr>
          <w:rStyle w:val="1246"/>
          <w:rFonts w:ascii="宋体"/>
          <w:b/>
          <w:sz w:val="18"/>
          <w:szCs w:val="20"/>
        </w:rPr>
        <w:outlineLvl w:val="1"/>
      </w:pPr>
      <w:r/>
      <w:bookmarkStart w:id="313" w:name="_Toc27423443"/>
      <w:r/>
      <w:bookmarkStart w:id="314" w:name="_Toc256351619"/>
      <w:r/>
      <w:bookmarkStart w:id="315" w:name="_Toc461210442"/>
      <w:r/>
      <w:bookmarkStart w:id="316" w:name="_Toc250524132"/>
      <w:r/>
      <w:bookmarkStart w:id="317" w:name="_Toc377473671"/>
      <w:r/>
      <w:bookmarkStart w:id="318" w:name="_Toc377482826"/>
      <w:r/>
      <w:bookmarkStart w:id="319" w:name="_Toc255401360"/>
      <w:r>
        <w:t xml:space="preserve">7</w:t>
      </w:r>
      <w:r>
        <w:rPr>
          <w:spacing w:val="20"/>
        </w:rPr>
        <w:t xml:space="preserve">.</w:t>
      </w:r>
      <w:r>
        <w:t xml:space="preserve">6</w:t>
      </w:r>
      <w:r>
        <w:rPr>
          <w:rStyle w:val="1246"/>
          <w:rFonts w:ascii="宋体"/>
          <w:b/>
        </w:rPr>
        <w:t xml:space="preserve">卖方提供的</w:t>
      </w:r>
      <w:r>
        <w:rPr>
          <w:rStyle w:val="1246"/>
          <w:rFonts w:hint="eastAsia" w:ascii="宋体"/>
          <w:b/>
          <w:color w:val="000000"/>
        </w:rPr>
        <w:t xml:space="preserve">DTU</w:t>
      </w:r>
      <w:r>
        <w:rPr>
          <w:rStyle w:val="1246"/>
          <w:rFonts w:ascii="宋体"/>
          <w:b/>
        </w:rPr>
        <w:t xml:space="preserve">数据</w:t>
      </w:r>
      <w:bookmarkEnd w:id="313"/>
      <w:r/>
      <w:bookmarkEnd w:id="314"/>
      <w:r/>
      <w:bookmarkEnd w:id="315"/>
      <w:r/>
      <w:bookmarkEnd w:id="316"/>
      <w:r/>
      <w:bookmarkEnd w:id="317"/>
      <w:r/>
      <w:bookmarkEnd w:id="318"/>
      <w:r/>
      <w:bookmarkEnd w:id="319"/>
      <w:r>
        <w:rPr>
          <w:rStyle w:val="1246"/>
          <w:rFonts w:ascii="宋体"/>
          <w:b/>
          <w:sz w:val="18"/>
          <w:szCs w:val="20"/>
        </w:rPr>
      </w:r>
      <w:r/>
    </w:p>
    <w:p>
      <w:pPr>
        <w:pStyle w:val="1245"/>
        <w:numPr>
          <w:ilvl w:val="0"/>
          <w:numId w:val="66"/>
        </w:numPr>
        <w:ind w:left="420" w:firstLine="0"/>
        <w:rPr>
          <w:rStyle w:val="1246"/>
          <w:rFonts w:ascii="宋体" w:hAnsi="宋体"/>
        </w:rPr>
      </w:pPr>
      <w:r>
        <w:rPr>
          <w:rStyle w:val="1246"/>
          <w:rFonts w:ascii="宋体" w:hAnsi="宋体"/>
        </w:rPr>
        <w:t xml:space="preserve">卖方还应提供数据</w:t>
      </w:r>
      <w:r>
        <w:rPr>
          <w:rStyle w:val="1246"/>
          <w:rFonts w:hint="eastAsia" w:ascii="宋体" w:hAnsi="宋体"/>
        </w:rPr>
        <w:t xml:space="preserve">终端</w:t>
      </w:r>
      <w:r>
        <w:rPr>
          <w:rStyle w:val="1246"/>
          <w:rFonts w:ascii="宋体" w:hAnsi="宋体"/>
        </w:rPr>
        <w:t xml:space="preserve">的软件版本号</w:t>
      </w:r>
      <w:r>
        <w:rPr>
          <w:rStyle w:val="1246"/>
          <w:rFonts w:hint="eastAsia" w:ascii="宋体" w:hAnsi="宋体"/>
        </w:rPr>
        <w:t xml:space="preserve">、硬件版本号；</w:t>
      </w:r>
      <w:r>
        <w:rPr>
          <w:rStyle w:val="1246"/>
          <w:rFonts w:ascii="宋体" w:hAnsi="宋体"/>
        </w:rPr>
      </w:r>
      <w:r/>
    </w:p>
    <w:p>
      <w:pPr>
        <w:pStyle w:val="1245"/>
        <w:numPr>
          <w:ilvl w:val="0"/>
          <w:numId w:val="66"/>
        </w:numPr>
        <w:ind w:left="420" w:firstLine="0"/>
        <w:rPr>
          <w:rStyle w:val="1246"/>
          <w:rFonts w:ascii="宋体" w:hAnsi="宋体"/>
        </w:rPr>
      </w:pPr>
      <w:r>
        <w:rPr>
          <w:rStyle w:val="1246"/>
          <w:rFonts w:ascii="宋体" w:hAnsi="宋体"/>
        </w:rPr>
        <w:t xml:space="preserve">如买方因设计和其</w:t>
      </w:r>
      <w:r>
        <w:rPr>
          <w:rStyle w:val="1246"/>
          <w:rFonts w:hint="eastAsia" w:ascii="宋体" w:hAnsi="宋体"/>
        </w:rPr>
        <w:t xml:space="preserve">他</w:t>
      </w:r>
      <w:r>
        <w:rPr>
          <w:rStyle w:val="1246"/>
          <w:rFonts w:ascii="宋体" w:hAnsi="宋体"/>
        </w:rPr>
        <w:t xml:space="preserve">需要，要求卖方提供有关技术数据时，卖方应按买方的要求提供</w:t>
      </w:r>
      <w:r>
        <w:rPr>
          <w:rStyle w:val="1246"/>
          <w:rFonts w:hint="eastAsia" w:ascii="宋体" w:hAnsi="宋体"/>
        </w:rPr>
        <w:t xml:space="preserve">相关</w:t>
      </w:r>
      <w:r>
        <w:rPr>
          <w:rStyle w:val="1246"/>
          <w:rFonts w:ascii="宋体" w:hAnsi="宋体"/>
        </w:rPr>
        <w:t xml:space="preserve">资料和技术数据。</w:t>
      </w:r>
      <w:r>
        <w:rPr>
          <w:rStyle w:val="1246"/>
          <w:rFonts w:ascii="宋体" w:hAnsi="宋体"/>
        </w:rPr>
      </w:r>
      <w:r/>
    </w:p>
    <w:p>
      <w:pPr>
        <w:pStyle w:val="1245"/>
        <w:rPr>
          <w:rStyle w:val="1246"/>
          <w:rFonts w:ascii="宋体"/>
          <w:b/>
          <w:color w:val="000000"/>
          <w:sz w:val="18"/>
          <w:szCs w:val="20"/>
        </w:rPr>
        <w:outlineLvl w:val="1"/>
      </w:pPr>
      <w:r/>
      <w:bookmarkStart w:id="320" w:name="_Toc244429030"/>
      <w:r/>
      <w:bookmarkStart w:id="321" w:name="_Toc377482827"/>
      <w:r/>
      <w:bookmarkStart w:id="322" w:name="_Toc244429500"/>
      <w:r/>
      <w:bookmarkStart w:id="323" w:name="_Toc250524133"/>
      <w:r/>
      <w:bookmarkStart w:id="324" w:name="_Toc461210443"/>
      <w:r/>
      <w:bookmarkStart w:id="325" w:name="_Toc27423444"/>
      <w:r/>
      <w:bookmarkStart w:id="326" w:name="_Toc255401361"/>
      <w:r/>
      <w:bookmarkStart w:id="327" w:name="_Toc256351625"/>
      <w:r/>
      <w:bookmarkStart w:id="328" w:name="_Toc377473672"/>
      <w:r>
        <w:t xml:space="preserve">7</w:t>
      </w:r>
      <w:r>
        <w:rPr>
          <w:spacing w:val="20"/>
        </w:rPr>
        <w:t xml:space="preserve">.</w:t>
      </w:r>
      <w:r>
        <w:t xml:space="preserve">7</w:t>
      </w:r>
      <w:r>
        <w:rPr>
          <w:rStyle w:val="1246"/>
          <w:rFonts w:hint="eastAsia" w:ascii="宋体"/>
          <w:b/>
          <w:color w:val="000000"/>
        </w:rPr>
        <w:t xml:space="preserve">DTU的</w:t>
      </w:r>
      <w:r>
        <w:rPr>
          <w:rStyle w:val="1246"/>
          <w:rFonts w:ascii="宋体"/>
          <w:b/>
          <w:color w:val="000000"/>
        </w:rPr>
        <w:t xml:space="preserve">图纸和资料分送单位、套数和地址</w:t>
      </w:r>
      <w:bookmarkEnd w:id="320"/>
      <w:r/>
      <w:bookmarkEnd w:id="321"/>
      <w:r/>
      <w:bookmarkEnd w:id="322"/>
      <w:r/>
      <w:bookmarkEnd w:id="323"/>
      <w:r/>
      <w:bookmarkEnd w:id="324"/>
      <w:r/>
      <w:bookmarkEnd w:id="325"/>
      <w:r/>
      <w:bookmarkEnd w:id="326"/>
      <w:r/>
      <w:bookmarkEnd w:id="327"/>
      <w:r/>
      <w:bookmarkEnd w:id="328"/>
      <w:r>
        <w:rPr>
          <w:rStyle w:val="1246"/>
          <w:rFonts w:ascii="宋体"/>
          <w:b/>
          <w:color w:val="000000"/>
          <w:sz w:val="18"/>
          <w:szCs w:val="20"/>
        </w:rPr>
      </w:r>
      <w:r/>
    </w:p>
    <w:p>
      <w:pPr>
        <w:pStyle w:val="1245"/>
        <w:ind w:firstLine="420"/>
        <w:rPr>
          <w:rStyle w:val="1246"/>
          <w:rFonts w:ascii="宋体" w:hAnsi="宋体"/>
        </w:rPr>
      </w:pPr>
      <w:r>
        <w:rPr>
          <w:rStyle w:val="1246"/>
          <w:rFonts w:ascii="宋体" w:hAnsi="宋体"/>
        </w:rPr>
        <w:t xml:space="preserve">图纸和资料分送单位、套数和地址在专用部分明确。</w:t>
      </w:r>
      <w:r>
        <w:rPr>
          <w:rStyle w:val="1246"/>
          <w:rFonts w:ascii="宋体" w:hAnsi="宋体"/>
        </w:rPr>
      </w:r>
      <w:r/>
    </w:p>
    <w:p>
      <w:pPr>
        <w:pStyle w:val="1238"/>
        <w:rPr>
          <w:rFonts w:ascii="Times New Roman"/>
        </w:rPr>
        <w:outlineLvl w:val="0"/>
      </w:pPr>
      <w:r/>
      <w:bookmarkStart w:id="329" w:name="_Toc379872038"/>
      <w:r/>
      <w:bookmarkStart w:id="330" w:name="_Toc10630"/>
      <w:r/>
      <w:bookmarkStart w:id="331" w:name="_Toc380612196"/>
      <w:r/>
      <w:bookmarkStart w:id="332" w:name="_Toc32589"/>
      <w:r/>
      <w:bookmarkStart w:id="333" w:name="_Toc1290"/>
      <w:r/>
      <w:bookmarkStart w:id="334" w:name="_Toc12808"/>
      <w:r/>
      <w:bookmarkStart w:id="335" w:name="_Toc55057886"/>
      <w:r>
        <w:rPr>
          <w:rFonts w:ascii="Times New Roman"/>
        </w:rPr>
        <w:t xml:space="preserve">8　包装、运输及贮存</w:t>
      </w:r>
      <w:bookmarkEnd w:id="329"/>
      <w:r/>
      <w:bookmarkEnd w:id="330"/>
      <w:r/>
      <w:bookmarkEnd w:id="331"/>
      <w:r/>
      <w:bookmarkEnd w:id="332"/>
      <w:r/>
      <w:bookmarkEnd w:id="333"/>
      <w:r/>
      <w:bookmarkEnd w:id="334"/>
      <w:r/>
      <w:bookmarkEnd w:id="335"/>
      <w:r>
        <w:rPr>
          <w:rFonts w:ascii="Times New Roman"/>
        </w:rPr>
      </w:r>
      <w:r/>
    </w:p>
    <w:p>
      <w:pPr>
        <w:pStyle w:val="1151"/>
        <w:spacing w:line="312" w:lineRule="exact"/>
        <w:rPr>
          <w:szCs w:val="21"/>
        </w:rPr>
      </w:pPr>
      <w:r>
        <w:rPr>
          <w:szCs w:val="21"/>
        </w:rPr>
        <w:t xml:space="preserve">8.1 环网柜的包装应符合GB/T 191规定。所需的备品备件及专用工具与仪器仪表应单独装箱并装在包装箱内，在箱上注明“专用工具”、“仪器仪表”，以与本体相区别；并标明“防尘”、“防潮”、“防止损坏”、“易碎”、“向上”、“勿倒”等字样，同主设备一并发运。</w:t>
      </w:r>
      <w:r>
        <w:rPr>
          <w:szCs w:val="21"/>
        </w:rPr>
      </w:r>
      <w:r/>
    </w:p>
    <w:p>
      <w:pPr>
        <w:pStyle w:val="1151"/>
        <w:spacing w:line="312" w:lineRule="exact"/>
        <w:rPr>
          <w:szCs w:val="21"/>
        </w:rPr>
      </w:pPr>
      <w:r>
        <w:rPr>
          <w:szCs w:val="21"/>
        </w:rPr>
        <w:t xml:space="preserve">8.2 环网柜的随机文件应至少包括：装箱清单、产品合格证书、土建基础图纸、出厂试验报告、操作指南、安装使用说明书、其他仪表的使用说明书及备品备件等清单（如有）。</w:t>
      </w:r>
      <w:r>
        <w:rPr>
          <w:szCs w:val="21"/>
        </w:rPr>
      </w:r>
      <w:r/>
    </w:p>
    <w:p>
      <w:pPr>
        <w:pStyle w:val="1151"/>
        <w:spacing w:line="312" w:lineRule="exact"/>
        <w:rPr>
          <w:szCs w:val="21"/>
        </w:rPr>
      </w:pPr>
      <w:r>
        <w:rPr>
          <w:szCs w:val="21"/>
        </w:rPr>
        <w:t xml:space="preserve">8.3 环网柜应有接线端子、运输及起吊部位、中心线、连接部位、接地部位等标记，标志，标志内容应符合相关标准规定。</w:t>
      </w:r>
      <w:r>
        <w:rPr>
          <w:szCs w:val="21"/>
        </w:rPr>
      </w:r>
      <w:r/>
    </w:p>
    <w:p>
      <w:pPr>
        <w:pStyle w:val="1151"/>
        <w:spacing w:line="312" w:lineRule="exact"/>
        <w:rPr>
          <w:szCs w:val="21"/>
        </w:rPr>
      </w:pPr>
      <w:r>
        <w:rPr>
          <w:szCs w:val="21"/>
        </w:rPr>
        <w:t xml:space="preserve">8.4 环网柜应有能承受整体总重量的起吊装置，应在运输文件中附上尺寸图和重量，并提供起吊图纸和说明，包装箱上应有起吊标志。</w:t>
      </w:r>
      <w:r>
        <w:rPr>
          <w:szCs w:val="21"/>
        </w:rPr>
      </w:r>
      <w:r/>
    </w:p>
    <w:p>
      <w:pPr>
        <w:pStyle w:val="1151"/>
        <w:spacing w:line="312" w:lineRule="exact"/>
        <w:rPr>
          <w:szCs w:val="21"/>
        </w:rPr>
      </w:pPr>
      <w:r>
        <w:rPr>
          <w:szCs w:val="21"/>
        </w:rPr>
        <w:t xml:space="preserve">8.5 环网柜内部结构应在经过正常铁路、公路及水路运输后相互位置不变，紧固件不得松动。变压器运输时，应保护环网单元的所有组、部件以及出厂资料不损坏和不受潮，批量运输时，应使用防撞装置。</w:t>
      </w:r>
      <w:r>
        <w:rPr>
          <w:szCs w:val="21"/>
        </w:rPr>
      </w:r>
      <w:r/>
    </w:p>
    <w:p>
      <w:pPr>
        <w:pStyle w:val="1151"/>
        <w:spacing w:line="312" w:lineRule="exact"/>
        <w:rPr>
          <w:szCs w:val="21"/>
        </w:rPr>
      </w:pPr>
      <w:r>
        <w:rPr>
          <w:szCs w:val="21"/>
        </w:rPr>
        <w:t xml:space="preserve">8.6 环网柜应贮存在通风、干燥、无腐蚀性气体场所。</w:t>
      </w:r>
      <w:r>
        <w:rPr>
          <w:szCs w:val="21"/>
        </w:rPr>
      </w:r>
      <w:r/>
    </w:p>
    <w:p>
      <w:pPr>
        <w:pStyle w:val="1151"/>
        <w:rPr>
          <w:szCs w:val="21"/>
        </w:rPr>
      </w:pPr>
      <w:r>
        <w:rPr>
          <w:szCs w:val="21"/>
        </w:rPr>
        <w:br w:type="page" w:clear="all"/>
      </w:r>
      <w:r>
        <w:rPr>
          <w:szCs w:val="21"/>
        </w:rPr>
      </w:r>
      <w:r/>
    </w:p>
    <w:p>
      <w:pPr>
        <w:pStyle w:val="1245"/>
        <w:rPr>
          <w:rFonts w:ascii="黑体" w:hAnsi="黑体" w:eastAsia="黑体"/>
          <w:color w:val="000000"/>
        </w:rPr>
        <w:outlineLvl w:val="0"/>
      </w:pPr>
      <w:r/>
      <w:bookmarkStart w:id="336" w:name="_Toc8458"/>
      <w:r/>
      <w:bookmarkStart w:id="337" w:name="_Toc55057887"/>
      <w:r/>
      <w:bookmarkStart w:id="338" w:name="_Toc35772961"/>
      <w:r/>
      <w:bookmarkStart w:id="339" w:name="_Toc7113"/>
      <w:r/>
      <w:bookmarkStart w:id="340" w:name="_Toc47551480"/>
      <w:r/>
      <w:bookmarkStart w:id="341" w:name="_Toc20832"/>
      <w:r>
        <w:rPr>
          <w:rFonts w:hint="eastAsia" w:ascii="黑体" w:hAnsi="黑体" w:eastAsia="黑体"/>
          <w:color w:val="000000"/>
        </w:rPr>
        <w:t xml:space="preserve">附录</w:t>
      </w:r>
      <w:r>
        <w:rPr>
          <w:rFonts w:ascii="黑体" w:hAnsi="黑体" w:eastAsia="黑体"/>
          <w:color w:val="000000"/>
        </w:rPr>
        <w:t xml:space="preserve">A </w:t>
      </w:r>
      <w:r>
        <w:rPr>
          <w:rFonts w:hint="eastAsia" w:ascii="黑体" w:hAnsi="黑体" w:eastAsia="黑体"/>
          <w:color w:val="000000"/>
        </w:rPr>
        <w:t xml:space="preserve">环网箱一次设备配置示意图</w:t>
      </w:r>
      <w:bookmarkEnd w:id="336"/>
      <w:r/>
      <w:bookmarkEnd w:id="337"/>
      <w:r/>
      <w:bookmarkEnd w:id="338"/>
      <w:r/>
      <w:bookmarkEnd w:id="339"/>
      <w:r/>
      <w:bookmarkEnd w:id="340"/>
      <w:r/>
      <w:bookmarkEnd w:id="341"/>
      <w:r>
        <w:rPr>
          <w:rFonts w:ascii="黑体" w:hAnsi="黑体" w:eastAsia="黑体"/>
          <w:color w:val="000000"/>
        </w:rPr>
      </w:r>
      <w:r/>
    </w:p>
    <w:p>
      <w:pPr>
        <w:pStyle w:val="1151"/>
        <w:jc w:val="center"/>
        <w:rPr>
          <w:rFonts w:ascii="宋体" w:hAnsi="宋体" w:eastAsia="宋体"/>
          <w:szCs w:val="21"/>
        </w:rPr>
      </w:pPr>
      <w:r>
        <w:rPr>
          <w:rFonts w:ascii="宋体" w:hAnsi="宋体" w:eastAsia="宋体"/>
          <w:szCs w:val="21"/>
        </w:rPr>
      </w:r>
      <w:r/>
    </w:p>
    <w:p>
      <w:pPr>
        <w:pStyle w:val="1151"/>
        <w:spacing w:line="312" w:lineRule="exact"/>
        <w:rPr>
          <w:rFonts w:ascii="黑体" w:hAnsi="黑体"/>
          <w:szCs w:val="21"/>
        </w:rPr>
        <w:outlineLvl w:val="1"/>
      </w:pPr>
      <w:r>
        <w:rPr>
          <w:rFonts w:ascii="黑体" w:hAnsi="黑体" w:eastAsia="黑体"/>
          <w:szCs w:val="21"/>
        </w:rPr>
        <w:t xml:space="preserve">A</w:t>
      </w:r>
      <w:r>
        <w:rPr>
          <w:rFonts w:hint="eastAsia" w:ascii="黑体" w:hAnsi="黑体" w:eastAsia="黑体"/>
          <w:szCs w:val="21"/>
        </w:rPr>
        <w:t xml:space="preserve">.1环网箱</w:t>
      </w:r>
      <w:r>
        <w:rPr>
          <w:rFonts w:ascii="黑体" w:hAnsi="黑体" w:eastAsia="黑体"/>
          <w:szCs w:val="21"/>
        </w:rPr>
        <w:t xml:space="preserve">(AC10kV ,2</w:t>
      </w:r>
      <w:r>
        <w:rPr>
          <w:rFonts w:hint="eastAsia" w:ascii="黑体" w:hAnsi="黑体" w:eastAsia="黑体"/>
          <w:szCs w:val="21"/>
        </w:rPr>
        <w:t xml:space="preserve">进</w:t>
      </w:r>
      <w:r>
        <w:rPr>
          <w:rFonts w:ascii="黑体" w:hAnsi="黑体" w:eastAsia="黑体"/>
          <w:szCs w:val="21"/>
        </w:rPr>
        <w:t xml:space="preserve">,2</w:t>
      </w:r>
      <w:r>
        <w:rPr>
          <w:rFonts w:hint="eastAsia" w:ascii="黑体" w:hAnsi="黑体" w:eastAsia="黑体"/>
          <w:szCs w:val="21"/>
        </w:rPr>
        <w:t xml:space="preserve">出，断路器</w:t>
      </w:r>
      <w:r>
        <w:rPr>
          <w:rFonts w:ascii="黑体" w:hAnsi="黑体" w:eastAsia="黑体"/>
          <w:szCs w:val="21"/>
        </w:rPr>
        <w:t xml:space="preserve">)</w:t>
      </w:r>
      <w:r>
        <w:rPr>
          <w:rFonts w:hint="eastAsia" w:ascii="黑体" w:hAnsi="黑体" w:eastAsia="黑体"/>
          <w:szCs w:val="21"/>
        </w:rPr>
        <w:t xml:space="preserve">示意图</w:t>
      </w:r>
      <w:r>
        <w:rPr>
          <w:rFonts w:ascii="黑体" w:hAnsi="黑体"/>
          <w:szCs w:val="21"/>
        </w:rPr>
      </w:r>
      <w:r/>
    </w:p>
    <w:p>
      <w:pPr>
        <w:pStyle w:val="1151"/>
        <w:ind w:firstLine="567"/>
        <w:rPr>
          <w:rFonts w:ascii="宋体" w:hAnsi="宋体" w:eastAsia="宋体"/>
          <w:szCs w:val="21"/>
        </w:rPr>
      </w:pPr>
      <w:r>
        <w:rPr>
          <w:rFonts w:hint="eastAsia" w:ascii="宋体" w:hAnsi="宋体" w:eastAsia="宋体"/>
          <w:szCs w:val="21"/>
        </w:rPr>
        <w:t xml:space="preserve">常压密封空气绝缘，电动，有自动化接口，进线</w:t>
      </w:r>
      <w:r>
        <w:rPr>
          <w:rFonts w:ascii="宋体" w:hAnsi="宋体" w:eastAsia="宋体"/>
          <w:szCs w:val="21"/>
        </w:rPr>
        <w:t xml:space="preserve">/</w:t>
      </w:r>
      <w:r>
        <w:rPr>
          <w:rFonts w:hint="eastAsia" w:ascii="宋体" w:hAnsi="宋体" w:eastAsia="宋体"/>
          <w:szCs w:val="21"/>
        </w:rPr>
        <w:t xml:space="preserve">出线均为断路器系统配置图。</w:t>
      </w:r>
      <w:r>
        <w:rPr>
          <w:rFonts w:ascii="宋体" w:hAnsi="宋体" w:eastAsia="宋体"/>
          <w:szCs w:val="21"/>
        </w:rPr>
      </w:r>
      <w:r/>
    </w:p>
    <w:p>
      <w:pPr>
        <w:pStyle w:val="1151"/>
        <w:jc w:val="center"/>
        <w:rPr>
          <w:rFonts w:ascii="宋体" w:hAnsi="宋体" w:eastAsia="宋体"/>
          <w:szCs w:val="21"/>
        </w:rPr>
      </w:pPr>
      <w:r>
        <w:rPr>
          <w:rFonts w:ascii="宋体" w:hAnsi="宋体" w:eastAsia="宋体"/>
          <w:szCs w:val="21"/>
        </w:rPr>
        <mc:AlternateContent>
          <mc:Choice Requires="wpg">
            <w:drawing>
              <wp:inline xmlns:wp="http://schemas.openxmlformats.org/drawingml/2006/wordprocessingDrawing" distT="0" distB="0" distL="0" distR="0">
                <wp:extent cx="5867400" cy="4495800"/>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rcRect l="12730" t="4848" r="31766" b="35212"/>
                        <a:stretch/>
                      </pic:blipFill>
                      <pic:spPr bwMode="auto">
                        <a:xfrm>
                          <a:off x="0" y="0"/>
                          <a:ext cx="5867399" cy="449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62.0pt;height:354.0pt;mso-wrap-distance-left:0.0pt;mso-wrap-distance-top:0.0pt;mso-wrap-distance-right:0.0pt;mso-wrap-distance-bottom:0.0pt;" stroked="f">
                <v:path textboxrect="0,0,0,0"/>
                <v:imagedata r:id="rId78" o:title=""/>
              </v:shape>
            </w:pict>
          </mc:Fallback>
        </mc:AlternateContent>
      </w:r>
      <w:r>
        <w:rPr>
          <w:rFonts w:ascii="宋体" w:hAnsi="宋体" w:eastAsia="宋体"/>
          <w:szCs w:val="21"/>
        </w:rPr>
      </w:r>
      <w:r/>
    </w:p>
    <w:p>
      <w:pPr>
        <w:pStyle w:val="1151"/>
        <w:spacing w:line="312" w:lineRule="exact"/>
        <w:rPr>
          <w:rFonts w:ascii="黑体" w:hAnsi="黑体" w:eastAsia="黑体"/>
          <w:szCs w:val="21"/>
        </w:rPr>
        <w:outlineLvl w:val="1"/>
      </w:pPr>
      <w:r>
        <w:rPr>
          <w:rFonts w:ascii="黑体" w:hAnsi="黑体" w:eastAsia="黑体"/>
          <w:szCs w:val="21"/>
        </w:rPr>
        <w:t xml:space="preserve">A</w:t>
      </w:r>
      <w:r>
        <w:rPr>
          <w:rFonts w:hint="eastAsia" w:ascii="黑体" w:hAnsi="黑体" w:eastAsia="黑体"/>
          <w:szCs w:val="21"/>
        </w:rPr>
        <w:t xml:space="preserve">.2</w:t>
      </w:r>
      <w:r>
        <w:rPr>
          <w:rFonts w:ascii="黑体" w:hAnsi="黑体" w:eastAsia="黑体"/>
          <w:szCs w:val="21"/>
        </w:rPr>
        <w:t xml:space="preserve">环网箱(AC10kV ,2进,4出，断路器)示意图</w:t>
      </w:r>
      <w:r>
        <w:rPr>
          <w:rFonts w:ascii="黑体" w:hAnsi="黑体" w:eastAsia="黑体"/>
          <w:szCs w:val="21"/>
        </w:rPr>
      </w:r>
      <w:r/>
    </w:p>
    <w:p>
      <w:pPr>
        <w:pStyle w:val="1151"/>
        <w:ind w:firstLine="567"/>
        <w:rPr>
          <w:rFonts w:ascii="宋体" w:hAnsi="宋体" w:eastAsia="宋体"/>
          <w:szCs w:val="21"/>
        </w:rPr>
      </w:pPr>
      <w:r>
        <w:rPr>
          <w:rFonts w:hint="eastAsia" w:ascii="宋体" w:hAnsi="宋体" w:eastAsia="宋体"/>
          <w:szCs w:val="21"/>
        </w:rPr>
        <w:t xml:space="preserve">常压密封空气绝缘，电动，有自动化接口，进线</w:t>
      </w:r>
      <w:r>
        <w:rPr>
          <w:rFonts w:ascii="宋体" w:hAnsi="宋体" w:eastAsia="宋体"/>
          <w:szCs w:val="21"/>
        </w:rPr>
        <w:t xml:space="preserve">/</w:t>
      </w:r>
      <w:r>
        <w:rPr>
          <w:rFonts w:hint="eastAsia" w:ascii="宋体" w:hAnsi="宋体" w:eastAsia="宋体"/>
          <w:szCs w:val="21"/>
        </w:rPr>
        <w:t xml:space="preserve">出线均为断路器系统配置图。</w:t>
      </w:r>
      <w:r>
        <w:rPr>
          <w:rFonts w:ascii="宋体" w:hAnsi="宋体" w:eastAsia="宋体"/>
          <w:szCs w:val="21"/>
        </w:rPr>
      </w:r>
      <w:r/>
    </w:p>
    <w:p>
      <w:pPr>
        <w:pStyle w:val="1240"/>
        <w:spacing w:before="156" w:after="156" w:line="240" w:lineRule="auto"/>
        <w:tabs>
          <w:tab w:val="left" w:pos="567" w:leader="none"/>
          <w:tab w:val="left" w:pos="850" w:leader="none"/>
        </w:tabs>
        <w:rPr>
          <w:rFonts w:ascii="宋体" w:hAnsi="宋体" w:eastAsia="宋体"/>
        </w:rPr>
      </w:pPr>
      <w:r>
        <w:rPr>
          <w:rFonts w:ascii="宋体" w:hAnsi="宋体" w:eastAsia="宋体"/>
        </w:rPr>
        <mc:AlternateContent>
          <mc:Choice Requires="wpg">
            <w:drawing>
              <wp:inline xmlns:wp="http://schemas.openxmlformats.org/drawingml/2006/wordprocessingDrawing" distT="0" distB="0" distL="0" distR="0">
                <wp:extent cx="5791200" cy="3476625"/>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rcRect l="12993" t="4713" r="16823" b="35852"/>
                        <a:stretch/>
                      </pic:blipFill>
                      <pic:spPr bwMode="auto">
                        <a:xfrm>
                          <a:off x="0" y="0"/>
                          <a:ext cx="5791200" cy="3476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56.0pt;height:273.8pt;mso-wrap-distance-left:0.0pt;mso-wrap-distance-top:0.0pt;mso-wrap-distance-right:0.0pt;mso-wrap-distance-bottom:0.0pt;" stroked="f">
                <v:path textboxrect="0,0,0,0"/>
                <v:imagedata r:id="rId79" o:title=""/>
              </v:shape>
            </w:pict>
          </mc:Fallback>
        </mc:AlternateContent>
      </w:r>
      <w:r>
        <w:rPr>
          <w:rFonts w:ascii="宋体" w:hAnsi="宋体" w:eastAsia="宋体"/>
        </w:rPr>
      </w:r>
      <w:r/>
    </w:p>
    <w:p>
      <w:pPr>
        <w:pStyle w:val="1151"/>
        <w:spacing w:before="156" w:after="156"/>
        <w:rPr>
          <w:rFonts w:ascii="宋体" w:hAnsi="宋体" w:eastAsia="宋体"/>
        </w:rPr>
      </w:pPr>
      <w:r>
        <w:rPr>
          <w:rFonts w:ascii="宋体" w:hAnsi="宋体" w:eastAsia="宋体"/>
        </w:rPr>
        <w:br w:type="page" w:clear="all"/>
      </w:r>
      <w:r>
        <w:rPr>
          <w:rFonts w:ascii="宋体" w:hAnsi="宋体" w:eastAsia="宋体"/>
        </w:rPr>
      </w:r>
      <w:r/>
    </w:p>
    <w:p>
      <w:pPr>
        <w:pStyle w:val="1245"/>
        <w:outlineLvl w:val="0"/>
      </w:pPr>
      <w:r/>
      <w:bookmarkStart w:id="342" w:name="_Toc47551481"/>
      <w:r/>
      <w:bookmarkStart w:id="343" w:name="_Toc25943"/>
      <w:r/>
      <w:bookmarkStart w:id="344" w:name="_Toc15193"/>
      <w:r/>
      <w:bookmarkStart w:id="345" w:name="_Toc26350"/>
      <w:r/>
      <w:bookmarkStart w:id="346" w:name="_Toc55057888"/>
      <w:r>
        <w:rPr>
          <w:rFonts w:hint="eastAsia" w:ascii="黑体" w:hAnsi="黑体" w:eastAsia="黑体"/>
          <w:color w:val="000000"/>
        </w:rPr>
        <w:t xml:space="preserve">附录</w:t>
      </w:r>
      <w:r>
        <w:rPr>
          <w:rFonts w:ascii="黑体" w:hAnsi="黑体" w:eastAsia="黑体"/>
          <w:color w:val="000000"/>
        </w:rPr>
        <w:t xml:space="preserve">B </w:t>
      </w:r>
      <w:r>
        <w:rPr>
          <w:rFonts w:hint="eastAsia" w:ascii="黑体" w:hAnsi="黑体" w:eastAsia="黑体"/>
          <w:color w:val="000000"/>
        </w:rPr>
        <w:t xml:space="preserve">站所终端及辅助设备的结构和安装示意图</w:t>
      </w:r>
      <w:bookmarkEnd w:id="342"/>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4154805</wp:posOffset>
                </wp:positionH>
                <wp:positionV relativeFrom="paragraph">
                  <wp:posOffset>4065905</wp:posOffset>
                </wp:positionV>
                <wp:extent cx="1441450" cy="0"/>
                <wp:effectExtent l="0" t="0" r="0" b="0"/>
                <wp:wrapNone/>
                <wp:docPr id="66" name=""/>
                <wp:cNvGraphicFramePr/>
                <a:graphic xmlns:a="http://schemas.openxmlformats.org/drawingml/2006/main">
                  <a:graphicData uri="http://schemas.microsoft.com/office/word/2010/wordprocessingShape">
                    <wps:wsp>
                      <wps:cNvPr id="0" name=""/>
                      <wps:cNvSpPr/>
                      <wps:spPr bwMode="auto">
                        <a:xfrm>
                          <a:off x="0" y="0"/>
                          <a:ext cx="1441449" cy="0"/>
                        </a:xfrm>
                        <a:prstGeom prst="line">
                          <a:avLst/>
                        </a:prstGeom>
                        <a:solidFill>
                          <a:srgbClr val="FFFFFF"/>
                        </a:solidFill>
                        <a:ln w="12700">
                          <a:solidFill>
                            <a:srgbClr val="000000"/>
                          </a:solidFill>
                          <a:prstDash val="dash"/>
                        </a:ln>
                      </wps:spPr>
                      <wps:bodyPr rot="0">
                        <a:prstTxWarp prst="textNoShape">
                          <a:avLst/>
                        </a:prstTxWarp>
                        <a:noAutofit/>
                      </wps:bodyPr>
                    </wps:wsp>
                  </a:graphicData>
                </a:graphic>
              </wp:anchor>
            </w:drawing>
          </mc:Choice>
          <mc:Fallback>
            <w:pict>
              <v:line id="shape 65" o:spid="_x0000_s65" style="position:absolute;left:0;text-align:left;z-index:251658245;mso-wrap-distance-left:9.0pt;mso-wrap-distance-top:0.0pt;mso-wrap-distance-right:9.0pt;mso-wrap-distance-bottom:0.0pt;visibility:visible;" from="327.1pt,320.1pt" to="440.6pt,320.1pt" fillcolor="#FFFFFF" strokecolor="#000000" strokeweight="1.00pt">
                <v:stroke dashstyle="dash"/>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4166870</wp:posOffset>
                </wp:positionH>
                <wp:positionV relativeFrom="paragraph">
                  <wp:posOffset>3133090</wp:posOffset>
                </wp:positionV>
                <wp:extent cx="0" cy="952500"/>
                <wp:effectExtent l="0" t="0" r="0" b="0"/>
                <wp:wrapNone/>
                <wp:docPr id="67" name=""/>
                <wp:cNvGraphicFramePr/>
                <a:graphic xmlns:a="http://schemas.openxmlformats.org/drawingml/2006/main">
                  <a:graphicData uri="http://schemas.microsoft.com/office/word/2010/wordprocessingShape">
                    <wps:wsp>
                      <wps:cNvPr id="0" name=""/>
                      <wps:cNvSpPr/>
                      <wps:spPr bwMode="auto">
                        <a:xfrm>
                          <a:off x="0" y="0"/>
                          <a:ext cx="0" cy="952500"/>
                        </a:xfrm>
                        <a:prstGeom prst="line">
                          <a:avLst/>
                        </a:prstGeom>
                        <a:solidFill>
                          <a:srgbClr val="FFFFFF"/>
                        </a:solidFill>
                        <a:ln w="12700">
                          <a:solidFill>
                            <a:srgbClr val="000000"/>
                          </a:solidFill>
                          <a:prstDash val="dash"/>
                        </a:ln>
                      </wps:spPr>
                      <wps:bodyPr rot="0">
                        <a:prstTxWarp prst="textNoShape">
                          <a:avLst/>
                        </a:prstTxWarp>
                        <a:noAutofit/>
                      </wps:bodyPr>
                    </wps:wsp>
                  </a:graphicData>
                </a:graphic>
              </wp:anchor>
            </w:drawing>
          </mc:Choice>
          <mc:Fallback>
            <w:pict>
              <v:line id="shape 66" o:spid="_x0000_s66" style="position:absolute;left:0;text-align:left;z-index:251658244;mso-wrap-distance-left:9.0pt;mso-wrap-distance-top:0.0pt;mso-wrap-distance-right:9.0pt;mso-wrap-distance-bottom:0.0pt;visibility:visible;" from="328.1pt,246.7pt" to="328.1pt,321.7pt" fillcolor="#FFFFFF" strokecolor="#000000" strokeweight="1.00pt">
                <v:stroke dashstyle="dash"/>
              </v:line>
            </w:pict>
          </mc:Fallback>
        </mc:AlternateContent>
      </w:r>
      <w:bookmarkEnd w:id="343"/>
      <w:r/>
      <w:bookmarkEnd w:id="344"/>
      <w:r/>
      <w:bookmarkEnd w:id="345"/>
      <w:r/>
      <w:bookmarkEnd w:id="346"/>
      <w:r/>
      <w:r/>
    </w:p>
    <w:p>
      <w:pPr>
        <w:pStyle w:val="1151"/>
        <w:spacing w:line="312" w:lineRule="exact"/>
        <w:rPr>
          <w:rFonts w:ascii="黑体" w:hAnsi="黑体" w:eastAsia="黑体"/>
          <w:szCs w:val="21"/>
        </w:rPr>
        <w:outlineLvl w:val="1"/>
      </w:pPr>
      <w:r>
        <w:rPr>
          <w:rFonts w:ascii="黑体" w:hAnsi="黑体" w:eastAsia="黑体"/>
          <w:szCs w:val="21"/>
        </w:rPr>
        <w:t xml:space="preserve">B.1终端柜体整体结构</w:t>
      </w:r>
      <w:r>
        <w:rPr>
          <w:rFonts w:ascii="黑体" w:hAnsi="黑体" w:eastAsia="黑体"/>
          <w:szCs w:val="21"/>
        </w:rPr>
      </w:r>
      <w:r/>
    </w:p>
    <w:p>
      <w:pPr>
        <w:pStyle w:val="1151"/>
        <w:spacing w:line="312" w:lineRule="exact"/>
        <w:rPr>
          <w:rFonts w:ascii="宋体" w:hAnsi="宋体" w:eastAsia="宋体"/>
          <w:szCs w:val="21"/>
        </w:rPr>
        <w:outlineLvl w:val="2"/>
      </w:pPr>
      <w:r>
        <w:rPr>
          <w:rFonts w:ascii="宋体" w:hAnsi="宋体" w:eastAsia="宋体"/>
          <w:szCs w:val="21"/>
        </w:rPr>
        <w:t xml:space="preserve">B.1.1</w:t>
      </w:r>
      <w:r>
        <w:rPr>
          <w:rFonts w:hint="eastAsia" w:ascii="宋体" w:hAnsi="宋体" w:eastAsia="宋体"/>
          <w:szCs w:val="21"/>
        </w:rPr>
        <w:t xml:space="preserve">终端柜体外观结构</w:t>
      </w:r>
      <w:r>
        <w:rPr>
          <w:rFonts w:ascii="宋体" w:hAnsi="宋体" w:eastAsia="宋体"/>
          <w:szCs w:val="21"/>
        </w:rPr>
      </w:r>
      <w:r/>
    </w:p>
    <w:p>
      <w:pPr>
        <w:pStyle w:val="1151"/>
        <w:jc w:val="left"/>
        <w:widowControl/>
      </w:pPr>
      <w:r>
        <w:rPr>
          <w:rFonts w:hint="eastAsia"/>
        </w:rPr>
        <w:t xml:space="preserve">站所终端柜体外观结构如图B-1所示：</w:t>
      </w:r>
      <w:r/>
    </w:p>
    <w:p>
      <w:pPr>
        <w:pStyle w:val="1151"/>
        <w:jc w:val="center"/>
        <w:widowControl/>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1209675</wp:posOffset>
                </wp:positionH>
                <wp:positionV relativeFrom="paragraph">
                  <wp:posOffset>1638935</wp:posOffset>
                </wp:positionV>
                <wp:extent cx="692150" cy="482600"/>
                <wp:effectExtent l="0" t="0" r="0" b="0"/>
                <wp:wrapNone/>
                <wp:docPr id="68" name=""/>
                <wp:cNvGraphicFramePr/>
                <a:graphic xmlns:a="http://schemas.openxmlformats.org/drawingml/2006/main">
                  <a:graphicData uri="http://schemas.microsoft.com/office/word/2010/wordprocessingShape">
                    <wps:wsp>
                      <wps:cNvPr id="0" name=""/>
                      <wps:cNvSpPr txBox="1"/>
                      <wps:spPr bwMode="auto">
                        <a:xfrm>
                          <a:off x="0" y="0"/>
                          <a:ext cx="692150" cy="482600"/>
                        </a:xfrm>
                        <a:prstGeom prst="rect">
                          <a:avLst/>
                        </a:prstGeom>
                        <a:solidFill>
                          <a:srgbClr val="FFFFFF"/>
                        </a:solidFill>
                        <a:ln w="6350">
                          <a:noFill/>
                        </a:ln>
                      </wps:spPr>
                      <wps:txbx>
                        <w:txbxContent>
                          <w:p>
                            <w:pPr>
                              <w:pStyle w:val="1151"/>
                              <w:jc w:val="center"/>
                            </w:pPr>
                            <w:r>
                              <w:rPr>
                                <w:rFonts w:hint="eastAsia"/>
                              </w:rPr>
                              <w:t xml:space="preserve">DTU</w:t>
                            </w:r>
                            <w:r/>
                          </w:p>
                          <w:p>
                            <w:pPr>
                              <w:pStyle w:val="1151"/>
                            </w:pPr>
                            <w:r/>
                            <w:r/>
                          </w:p>
                        </w:txbxContent>
                      </wps:txbx>
                      <wps:bodyPr wrap="square" upright="1"/>
                    </wps:wsp>
                  </a:graphicData>
                </a:graphic>
              </wp:anchor>
            </w:drawing>
          </mc:Choice>
          <mc:Fallback>
            <w:pict>
              <v:shape id="shape 67" o:spid="_x0000_s67" o:spt="202" type="#_x0000_t202" style="position:absolute;z-index:251658246;o:allowoverlap:true;o:allowincell:true;mso-position-horizontal-relative:text;margin-left:95.2pt;mso-position-horizontal:absolute;mso-position-vertical-relative:text;margin-top:129.0pt;mso-position-vertical:absolute;width:54.5pt;height:38.0pt;mso-wrap-distance-left:9.0pt;mso-wrap-distance-top:0.0pt;mso-wrap-distance-right:9.0pt;mso-wrap-distance-bottom:0.0pt;visibility:visible;" fillcolor="#FFFFFF" stroked="f" strokeweight="0.50pt">
                <v:textbox inset="0,0,0,0">
                  <w:txbxContent>
                    <w:p>
                      <w:pPr>
                        <w:pStyle w:val="1151"/>
                        <w:jc w:val="center"/>
                      </w:pPr>
                      <w:r>
                        <w:rPr>
                          <w:rFonts w:hint="eastAsia"/>
                        </w:rPr>
                        <w:t xml:space="preserve">DTU</w:t>
                      </w:r>
                      <w:r/>
                    </w:p>
                    <w:p>
                      <w:pPr>
                        <w:pStyle w:val="1151"/>
                      </w:pPr>
                      <w:r/>
                      <w:r/>
                    </w:p>
                  </w:txbxContent>
                </v:textbox>
              </v:shape>
            </w:pict>
          </mc:Fallback>
        </mc:AlternateContent>
      </w:r>
      <w:r>
        <mc:AlternateContent>
          <mc:Choice Requires="wpg">
            <w:drawing>
              <wp:inline xmlns:wp="http://schemas.openxmlformats.org/drawingml/2006/wordprocessingDrawing" distT="0" distB="0" distL="0" distR="0">
                <wp:extent cx="5807812" cy="5823725"/>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5807812" cy="5823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57.3pt;height:458.6pt;mso-wrap-distance-left:0.0pt;mso-wrap-distance-top:0.0pt;mso-wrap-distance-right:0.0pt;mso-wrap-distance-bottom:0.0pt;" stroked="f">
                <v:path textboxrect="0,0,0,0"/>
                <v:imagedata r:id="rId80" o:title=""/>
              </v:shape>
            </w:pict>
          </mc:Fallback>
        </mc:AlternateContent>
      </w:r>
      <w:r/>
    </w:p>
    <w:p>
      <w:pPr>
        <w:pStyle w:val="1151"/>
        <w:jc w:val="center"/>
        <w:widowControl/>
      </w:pPr>
      <w:r>
        <w:rPr>
          <w:rFonts w:hint="eastAsia"/>
        </w:rPr>
        <w:t xml:space="preserve">图B-1站所终端柜体外观结构</w:t>
      </w:r>
      <w:r/>
    </w:p>
    <w:p>
      <w:pPr>
        <w:pStyle w:val="1151"/>
        <w:spacing w:line="312" w:lineRule="exact"/>
        <w:rPr>
          <w:rFonts w:ascii="宋体" w:hAnsi="宋体" w:eastAsia="宋体"/>
          <w:szCs w:val="21"/>
        </w:rPr>
        <w:outlineLvl w:val="2"/>
      </w:pPr>
      <w:r>
        <w:rPr>
          <w:rFonts w:ascii="宋体" w:hAnsi="宋体" w:eastAsia="宋体"/>
          <w:szCs w:val="21"/>
        </w:rPr>
        <w:t xml:space="preserve">B.1.2 </w:t>
      </w:r>
      <w:r>
        <w:rPr>
          <w:rFonts w:hint="eastAsia" w:ascii="宋体" w:hAnsi="宋体" w:eastAsia="宋体"/>
          <w:szCs w:val="21"/>
        </w:rPr>
        <w:t xml:space="preserve">配套通信箱外部结构图</w:t>
      </w:r>
      <w:r>
        <w:rPr>
          <w:rFonts w:ascii="宋体" w:hAnsi="宋体" w:eastAsia="宋体"/>
          <w:szCs w:val="21"/>
        </w:rPr>
      </w:r>
      <w:r/>
    </w:p>
    <w:p>
      <w:pPr>
        <w:pStyle w:val="1151"/>
        <w:ind w:firstLine="420"/>
        <w:jc w:val="left"/>
        <w:widowControl/>
      </w:pPr>
      <w:r>
        <w:rPr>
          <w:rFonts w:hint="eastAsia"/>
        </w:rPr>
        <w:t xml:space="preserve">站所终端配套通信箱外部结构如图B-2所示：</w:t>
      </w:r>
      <w:r/>
    </w:p>
    <w:p>
      <w:pPr>
        <w:pStyle w:val="1151"/>
        <w:jc w:val="center"/>
        <w:widowControl/>
        <w:rPr>
          <w:b/>
        </w:rPr>
      </w:pPr>
      <w:r>
        <w:rPr>
          <w:b/>
        </w:rPr>
        <mc:AlternateContent>
          <mc:Choice Requires="wpg">
            <w:drawing>
              <wp:inline xmlns:wp="http://schemas.openxmlformats.org/drawingml/2006/wordprocessingDrawing" distT="0" distB="0" distL="0" distR="0">
                <wp:extent cx="3766706" cy="3229534"/>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3766706" cy="3229533"/>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296.6pt;height:254.3pt;mso-wrap-distance-left:0.0pt;mso-wrap-distance-top:0.0pt;mso-wrap-distance-right:0.0pt;mso-wrap-distance-bottom:0.0pt;" stroked="f">
                <v:path textboxrect="0,0,0,0"/>
                <v:imagedata r:id="rId81" o:title=""/>
              </v:shape>
            </w:pict>
          </mc:Fallback>
        </mc:AlternateContent>
      </w:r>
      <w:r>
        <w:rPr>
          <w:b/>
        </w:rPr>
      </w:r>
      <w:r/>
    </w:p>
    <w:p>
      <w:pPr>
        <w:pStyle w:val="1151"/>
        <w:jc w:val="center"/>
        <w:widowControl/>
      </w:pPr>
      <w:r>
        <w:rPr>
          <w:rFonts w:hint="eastAsia"/>
        </w:rPr>
        <w:t xml:space="preserve">图B-2站所终端配套通信箱外部结构</w:t>
      </w:r>
      <w:r/>
    </w:p>
    <w:p>
      <w:pPr>
        <w:pStyle w:val="1151"/>
        <w:spacing w:line="312" w:lineRule="exact"/>
        <w:rPr>
          <w:rFonts w:ascii="宋体" w:hAnsi="宋体" w:eastAsia="宋体"/>
          <w:szCs w:val="21"/>
        </w:rPr>
        <w:outlineLvl w:val="2"/>
      </w:pPr>
      <w:r>
        <w:rPr>
          <w:rFonts w:ascii="宋体" w:hAnsi="宋体" w:eastAsia="宋体"/>
          <w:szCs w:val="21"/>
        </w:rPr>
        <w:t xml:space="preserve">B.1.3 </w:t>
      </w:r>
      <w:r>
        <w:rPr>
          <w:rFonts w:hint="eastAsia" w:ascii="宋体" w:hAnsi="宋体" w:eastAsia="宋体"/>
          <w:szCs w:val="21"/>
        </w:rPr>
        <w:t xml:space="preserve">站所终端与通信箱组合结构图</w:t>
      </w:r>
      <w:r>
        <w:rPr>
          <w:rFonts w:ascii="宋体" w:hAnsi="宋体" w:eastAsia="宋体"/>
          <w:szCs w:val="21"/>
        </w:rPr>
      </w:r>
      <w:r/>
    </w:p>
    <w:p>
      <w:pPr>
        <w:pStyle w:val="1151"/>
        <w:ind w:firstLine="420"/>
        <w:jc w:val="left"/>
        <w:widowControl/>
      </w:pPr>
      <w:r>
        <w:rPr>
          <w:rFonts w:hint="eastAsia"/>
        </w:rPr>
        <w:t xml:space="preserve">站所终端与通信箱组合结构如图B-3所示：</w:t>
      </w:r>
      <w:r/>
    </w:p>
    <w:p>
      <w:pPr>
        <w:pStyle w:val="1151"/>
        <w:jc w:val="center"/>
        <w:widowControl/>
      </w:pPr>
      <w:r>
        <mc:AlternateContent>
          <mc:Choice Requires="wpg">
            <w:drawing>
              <wp:inline xmlns:wp="http://schemas.openxmlformats.org/drawingml/2006/wordprocessingDrawing" distT="0" distB="0" distL="0" distR="0">
                <wp:extent cx="5088776" cy="5926912"/>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5088776" cy="59269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00.7pt;height:466.7pt;mso-wrap-distance-left:0.0pt;mso-wrap-distance-top:0.0pt;mso-wrap-distance-right:0.0pt;mso-wrap-distance-bottom:0.0pt;" stroked="f">
                <v:path textboxrect="0,0,0,0"/>
                <v:imagedata r:id="rId82" o:title=""/>
              </v:shape>
            </w:pict>
          </mc:Fallback>
        </mc:AlternateContent>
      </w:r>
      <w:r/>
    </w:p>
    <w:p>
      <w:pPr>
        <w:pStyle w:val="1151"/>
        <w:jc w:val="center"/>
        <w:widowControl/>
      </w:pPr>
      <w:r>
        <w:rPr>
          <w:rFonts w:hint="eastAsia"/>
        </w:rPr>
        <w:t xml:space="preserve">图B-3站所终端与通信箱组合结构图</w:t>
      </w:r>
      <w:r/>
    </w:p>
    <w:p>
      <w:pPr>
        <w:pStyle w:val="1151"/>
        <w:spacing w:line="312" w:lineRule="exact"/>
        <w:rPr>
          <w:rFonts w:ascii="宋体" w:hAnsi="宋体" w:eastAsia="宋体"/>
          <w:szCs w:val="21"/>
        </w:rPr>
        <w:outlineLvl w:val="2"/>
      </w:pPr>
      <w:r>
        <w:rPr>
          <w:rFonts w:ascii="宋体" w:hAnsi="宋体" w:eastAsia="宋体"/>
          <w:szCs w:val="21"/>
        </w:rPr>
        <w:t xml:space="preserve">B.1.4 </w:t>
      </w:r>
      <w:r>
        <w:rPr>
          <w:rFonts w:hint="eastAsia" w:ascii="宋体" w:hAnsi="宋体" w:eastAsia="宋体"/>
          <w:szCs w:val="21"/>
        </w:rPr>
        <w:t xml:space="preserve">终端内部布置</w:t>
      </w:r>
      <w:r>
        <w:rPr>
          <w:rFonts w:ascii="宋体" w:hAnsi="宋体" w:eastAsia="宋体"/>
          <w:szCs w:val="21"/>
        </w:rPr>
      </w:r>
      <w:r/>
    </w:p>
    <w:p>
      <w:pPr>
        <w:pStyle w:val="1151"/>
        <w:jc w:val="left"/>
        <w:widowControl/>
      </w:pPr>
      <w:r>
        <mc:AlternateContent>
          <mc:Choice Requires="wpg">
            <w:drawing>
              <wp:inline xmlns:wp="http://schemas.openxmlformats.org/drawingml/2006/wordprocessingDrawing" distT="0" distB="0" distL="0" distR="0">
                <wp:extent cx="5274259" cy="4442587"/>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5274259" cy="44425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15.3pt;height:349.8pt;mso-wrap-distance-left:0.0pt;mso-wrap-distance-top:0.0pt;mso-wrap-distance-right:0.0pt;mso-wrap-distance-bottom:0.0pt;" stroked="f">
                <v:path textboxrect="0,0,0,0"/>
                <v:imagedata r:id="rId83" o:title=""/>
              </v:shape>
            </w:pict>
          </mc:Fallback>
        </mc:AlternateContent>
      </w:r>
      <w:r/>
    </w:p>
    <w:p>
      <w:pPr>
        <w:pStyle w:val="1151"/>
        <w:jc w:val="center"/>
        <w:widowControl/>
      </w:pPr>
      <w:r/>
      <w:r/>
    </w:p>
    <w:p>
      <w:pPr>
        <w:pStyle w:val="1151"/>
        <w:jc w:val="center"/>
        <w:widowControl/>
      </w:pPr>
      <w:r>
        <w:rPr>
          <w:rFonts w:hint="eastAsia"/>
        </w:rPr>
        <w:t xml:space="preserve">图B-4终端内部布置图</w:t>
      </w:r>
      <w:r/>
    </w:p>
    <w:p>
      <w:pPr>
        <w:pStyle w:val="1151"/>
        <w:spacing w:line="312" w:lineRule="exact"/>
        <w:rPr>
          <w:rFonts w:ascii="宋体" w:hAnsi="宋体" w:eastAsia="宋体"/>
          <w:szCs w:val="21"/>
        </w:rPr>
        <w:outlineLvl w:val="2"/>
      </w:pPr>
      <w:r>
        <w:rPr>
          <w:rFonts w:ascii="宋体" w:hAnsi="宋体" w:eastAsia="宋体"/>
          <w:szCs w:val="21"/>
        </w:rPr>
        <w:t xml:space="preserve">B.1.5 </w:t>
      </w:r>
      <w:r>
        <w:rPr>
          <w:rFonts w:hint="eastAsia" w:ascii="宋体" w:hAnsi="宋体" w:eastAsia="宋体"/>
          <w:szCs w:val="21"/>
        </w:rPr>
        <w:t xml:space="preserve">终端安装</w:t>
      </w:r>
      <w:r>
        <w:rPr>
          <w:rFonts w:ascii="宋体" w:hAnsi="宋体" w:eastAsia="宋体"/>
          <w:szCs w:val="21"/>
        </w:rPr>
      </w:r>
      <w:r/>
    </w:p>
    <w:p>
      <w:pPr>
        <w:pStyle w:val="1151"/>
        <w:ind w:firstLine="420"/>
        <w:jc w:val="left"/>
        <w:widowControl/>
      </w:pPr>
      <w:r>
        <w:rPr>
          <w:rFonts w:hint="eastAsia"/>
        </w:rPr>
        <w:t xml:space="preserve">终端安装如图B-5和图B-6所示：</w:t>
      </w:r>
      <w:r/>
    </w:p>
    <w:p>
      <w:pPr>
        <w:pStyle w:val="1151"/>
        <w:jc w:val="center"/>
        <w:widowControl/>
      </w:pPr>
      <w:r>
        <mc:AlternateContent>
          <mc:Choice Requires="wpg">
            <w:drawing>
              <wp:inline xmlns:wp="http://schemas.openxmlformats.org/drawingml/2006/wordprocessingDrawing" distT="0" distB="0" distL="0" distR="0">
                <wp:extent cx="4648200" cy="2400440"/>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4648200" cy="2400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366.0pt;height:189.0pt;mso-wrap-distance-left:0.0pt;mso-wrap-distance-top:0.0pt;mso-wrap-distance-right:0.0pt;mso-wrap-distance-bottom:0.0pt;" stroked="f">
                <v:path textboxrect="0,0,0,0"/>
                <v:imagedata r:id="rId84" o:title=""/>
              </v:shape>
            </w:pict>
          </mc:Fallback>
        </mc:AlternateContent>
      </w:r>
      <w:r/>
    </w:p>
    <w:p>
      <w:pPr>
        <w:pStyle w:val="1151"/>
        <w:jc w:val="center"/>
        <w:widowControl/>
      </w:pPr>
      <w:r>
        <w:rPr>
          <w:rFonts w:hint="eastAsia"/>
        </w:rPr>
        <w:t xml:space="preserve">图B-5 终端安装图1</w:t>
      </w:r>
      <w:r/>
    </w:p>
    <w:p>
      <w:pPr>
        <w:pStyle w:val="1151"/>
        <w:jc w:val="center"/>
        <w:widowControl/>
      </w:pPr>
      <w:r>
        <w:rPr>
          <w:b/>
        </w:rPr>
        <mc:AlternateContent>
          <mc:Choice Requires="wpg">
            <w:drawing>
              <wp:inline xmlns:wp="http://schemas.openxmlformats.org/drawingml/2006/wordprocessingDrawing" distT="0" distB="0" distL="0" distR="0">
                <wp:extent cx="4860379" cy="2868346"/>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4860379" cy="28683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382.7pt;height:225.9pt;mso-wrap-distance-left:0.0pt;mso-wrap-distance-top:0.0pt;mso-wrap-distance-right:0.0pt;mso-wrap-distance-bottom:0.0pt;" stroked="f">
                <v:path textboxrect="0,0,0,0"/>
                <v:imagedata r:id="rId85" o:title=""/>
              </v:shape>
            </w:pict>
          </mc:Fallback>
        </mc:AlternateContent>
      </w:r>
      <w:r/>
    </w:p>
    <w:p>
      <w:pPr>
        <w:pStyle w:val="1151"/>
        <w:jc w:val="center"/>
        <w:widowControl/>
      </w:pPr>
      <w:r>
        <w:rPr>
          <w:rFonts w:hint="eastAsia"/>
        </w:rPr>
        <w:t xml:space="preserve">图B-6 终端安装图2</w:t>
      </w:r>
      <w:r/>
    </w:p>
    <w:p>
      <w:pPr>
        <w:pStyle w:val="1151"/>
        <w:spacing w:line="312" w:lineRule="exact"/>
        <w:rPr>
          <w:rFonts w:ascii="黑体" w:hAnsi="黑体"/>
          <w:szCs w:val="21"/>
        </w:rPr>
        <w:outlineLvl w:val="1"/>
      </w:pPr>
      <w:r/>
      <w:bookmarkStart w:id="347" w:name="_Toc35713670"/>
      <w:r>
        <w:rPr>
          <w:rFonts w:ascii="黑体" w:hAnsi="黑体" w:eastAsia="黑体"/>
          <w:szCs w:val="21"/>
        </w:rPr>
        <w:t xml:space="preserve">B.2 </w:t>
      </w:r>
      <w:r>
        <w:rPr>
          <w:rFonts w:hint="eastAsia" w:ascii="黑体" w:hAnsi="黑体" w:eastAsia="黑体"/>
          <w:szCs w:val="21"/>
        </w:rPr>
        <w:t xml:space="preserve">终端核心单元</w:t>
      </w:r>
      <w:bookmarkEnd w:id="347"/>
      <w:r>
        <w:rPr>
          <w:rFonts w:ascii="黑体" w:hAnsi="黑体"/>
          <w:szCs w:val="21"/>
        </w:rPr>
      </w:r>
      <w:r/>
    </w:p>
    <w:p>
      <w:pPr>
        <w:pStyle w:val="1151"/>
        <w:spacing w:line="312" w:lineRule="exact"/>
        <w:rPr>
          <w:rStyle w:val="1246"/>
          <w:rFonts w:ascii="宋体"/>
          <w:b/>
          <w:color w:val="000000"/>
          <w:szCs w:val="22"/>
        </w:rPr>
        <w:outlineLvl w:val="2"/>
      </w:pPr>
      <w:r/>
      <w:bookmarkStart w:id="348" w:name="_Toc512502889"/>
      <w:r/>
      <w:bookmarkStart w:id="349" w:name="_Toc512518932"/>
      <w:r/>
      <w:bookmarkStart w:id="350" w:name="_Toc509497705"/>
      <w:r>
        <w:rPr>
          <w:rFonts w:ascii="宋体" w:hAnsi="宋体" w:eastAsia="宋体"/>
          <w:szCs w:val="21"/>
        </w:rPr>
        <w:t xml:space="preserve">B.2.1 </w:t>
      </w:r>
      <w:r>
        <w:rPr>
          <w:rFonts w:hint="eastAsia" w:ascii="宋体" w:hAnsi="宋体" w:eastAsia="宋体"/>
          <w:szCs w:val="21"/>
        </w:rPr>
        <w:t xml:space="preserve">终端核心单元外观及尺寸示意图</w:t>
      </w:r>
      <w:bookmarkEnd w:id="348"/>
      <w:r/>
      <w:bookmarkEnd w:id="349"/>
      <w:r/>
      <w:bookmarkEnd w:id="350"/>
      <w:r>
        <w:rPr>
          <w:rStyle w:val="1246"/>
          <w:rFonts w:ascii="宋体"/>
          <w:b/>
          <w:color w:val="000000"/>
          <w:szCs w:val="22"/>
        </w:rPr>
      </w:r>
      <w:r/>
    </w:p>
    <w:p>
      <w:pPr>
        <w:pStyle w:val="1151"/>
        <w:ind w:firstLine="480"/>
        <w:widowControl/>
        <w:tabs>
          <w:tab w:val="center" w:pos="4201" w:leader="none"/>
          <w:tab w:val="right" w:pos="9298" w:leader="dot"/>
        </w:tabs>
      </w:pPr>
      <w:r>
        <w:rPr>
          <w:rFonts w:hint="eastAsia"/>
        </w:rPr>
        <w:t xml:space="preserve">终端核心单元</w:t>
      </w:r>
      <w:r>
        <w:t xml:space="preserve">外观结构见图B</w:t>
      </w:r>
      <w:r>
        <w:rPr>
          <w:rFonts w:hint="eastAsia"/>
        </w:rPr>
        <w:t xml:space="preserve">-7。最大尺寸长宽深分别为449mm/215.5mm/283mm（不含安装耳边尺寸）。</w:t>
      </w:r>
      <w:r/>
    </w:p>
    <w:p>
      <w:pPr>
        <w:pStyle w:val="1151"/>
        <w:widowControl/>
        <w:tabs>
          <w:tab w:val="center" w:pos="4201" w:leader="none"/>
          <w:tab w:val="right" w:pos="9298" w:leader="dot"/>
        </w:tabs>
      </w:pPr>
      <w:r>
        <w:rPr>
          <w:rFonts w:hint="eastAsia"/>
        </w:rPr>
        <mc:AlternateContent>
          <mc:Choice Requires="wpg">
            <w:drawing>
              <wp:inline xmlns:wp="http://schemas.openxmlformats.org/drawingml/2006/wordprocessingDrawing" distT="0" distB="0" distL="0" distR="0">
                <wp:extent cx="5273040" cy="2774937"/>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5273040" cy="2774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15.2pt;height:218.5pt;mso-wrap-distance-left:0.0pt;mso-wrap-distance-top:0.0pt;mso-wrap-distance-right:0.0pt;mso-wrap-distance-bottom:0.0pt;" stroked="f">
                <v:path textboxrect="0,0,0,0"/>
                <v:imagedata r:id="rId86" o:title=""/>
              </v:shape>
            </w:pict>
          </mc:Fallback>
        </mc:AlternateContent>
      </w:r>
      <w:r/>
    </w:p>
    <w:p>
      <w:pPr>
        <w:pStyle w:val="1151"/>
        <w:jc w:val="center"/>
        <w:widowControl/>
        <w:tabs>
          <w:tab w:val="center" w:pos="4201" w:leader="none"/>
          <w:tab w:val="right" w:pos="9298" w:leader="dot"/>
        </w:tabs>
      </w:pPr>
      <w:r>
        <mc:AlternateContent>
          <mc:Choice Requires="wpg">
            <w:drawing>
              <wp:inline xmlns:wp="http://schemas.openxmlformats.org/drawingml/2006/wordprocessingDrawing" distT="0" distB="0" distL="0" distR="0">
                <wp:extent cx="5273040" cy="3262693"/>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5273040" cy="32626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15.2pt;height:256.9pt;mso-wrap-distance-left:0.0pt;mso-wrap-distance-top:0.0pt;mso-wrap-distance-right:0.0pt;mso-wrap-distance-bottom:0.0pt;" stroked="f">
                <v:path textboxrect="0,0,0,0"/>
                <v:imagedata r:id="rId87" o:title=""/>
              </v:shape>
            </w:pict>
          </mc:Fallback>
        </mc:AlternateContent>
      </w:r>
      <w:r/>
    </w:p>
    <w:p>
      <w:pPr>
        <w:pStyle w:val="1151"/>
        <w:jc w:val="center"/>
        <w:spacing w:before="156" w:after="156"/>
        <w:rPr>
          <w:rFonts w:ascii="黑体" w:hAnsi="黑体" w:eastAsia="黑体"/>
          <w:szCs w:val="21"/>
        </w:rPr>
      </w:pPr>
      <w:r>
        <w:rPr>
          <w:rFonts w:ascii="黑体" w:hAnsi="黑体" w:eastAsia="黑体"/>
          <w:szCs w:val="21"/>
        </w:rPr>
        <w:t xml:space="preserve">图B</w:t>
      </w:r>
      <w:r>
        <w:rPr>
          <w:rFonts w:hint="eastAsia" w:ascii="黑体" w:hAnsi="黑体" w:eastAsia="黑体"/>
          <w:szCs w:val="21"/>
        </w:rPr>
        <w:t xml:space="preserve">-7</w:t>
      </w:r>
      <w:r>
        <w:rPr>
          <w:rFonts w:ascii="黑体" w:hAnsi="黑体" w:eastAsia="黑体"/>
          <w:szCs w:val="21"/>
        </w:rPr>
        <w:t xml:space="preserve">终端</w:t>
      </w:r>
      <w:r>
        <w:rPr>
          <w:rFonts w:hint="eastAsia" w:ascii="黑体" w:hAnsi="黑体" w:eastAsia="黑体"/>
          <w:szCs w:val="21"/>
        </w:rPr>
        <w:t xml:space="preserve">核心单元</w:t>
      </w:r>
      <w:r>
        <w:rPr>
          <w:rFonts w:ascii="黑体" w:hAnsi="黑体" w:eastAsia="黑体"/>
          <w:szCs w:val="21"/>
        </w:rPr>
        <w:t xml:space="preserve">外观结构图</w:t>
      </w:r>
      <w:r>
        <w:rPr>
          <w:rFonts w:ascii="黑体" w:hAnsi="黑体" w:eastAsia="黑体"/>
          <w:szCs w:val="21"/>
        </w:rPr>
      </w:r>
      <w:r/>
    </w:p>
    <w:p>
      <w:pPr>
        <w:pStyle w:val="1151"/>
        <w:ind w:firstLine="420"/>
        <w:rPr>
          <w:szCs w:val="21"/>
        </w:rPr>
      </w:pPr>
      <w:r>
        <w:rPr>
          <w:rFonts w:hint="eastAsia"/>
          <w:szCs w:val="21"/>
        </w:rPr>
        <w:t xml:space="preserve">核心单元通信仓内应包含远程通信模块、本地通信模块、以太网口1（RJ45，用于远程通信）、以太网口2（RJ45，用于FA）、以太网口</w:t>
      </w:r>
      <w:r>
        <w:rPr>
          <w:szCs w:val="21"/>
        </w:rPr>
        <w:t xml:space="preserve">3</w:t>
      </w:r>
      <w:r>
        <w:rPr>
          <w:rFonts w:hint="eastAsia"/>
          <w:szCs w:val="21"/>
        </w:rPr>
        <w:t xml:space="preserve">（RJ45，用于液晶屏的调试和连接）、调试串口（RJ45，接口定义应满足附录B.2.10的要求）、脉冲串口（RJ45，接口定义应满足B.2.11的要求），脉冲选择拨码开关（4极盒型DIP开关，义应满足B.2.11的要求）、通信串口（12芯3.81间距双层带法兰接插端子，接口定义应满足本附录的要求）。</w:t>
      </w:r>
      <w:r>
        <w:rPr>
          <w:szCs w:val="21"/>
        </w:rPr>
      </w:r>
      <w:r/>
    </w:p>
    <w:p>
      <w:pPr>
        <w:pStyle w:val="1151"/>
        <w:ind w:firstLine="420"/>
        <w:widowControl/>
        <w:tabs>
          <w:tab w:val="center" w:pos="4201" w:leader="none"/>
          <w:tab w:val="right" w:pos="9298" w:leader="dot"/>
        </w:tabs>
      </w:pPr>
      <w:r>
        <w:rPr>
          <w:rFonts w:hint="eastAsia"/>
          <w:szCs w:val="21"/>
        </w:rPr>
        <w:t xml:space="preserve">其中RJ45接口</w:t>
      </w:r>
      <w:r>
        <w:rPr>
          <w:rFonts w:hint="eastAsia"/>
          <w:szCs w:val="21"/>
          <w:lang w:val="zh-CN"/>
        </w:rPr>
        <w:t xml:space="preserve">要求带簧片，屏蔽外壳材质铜合金，镀镍。</w:t>
      </w:r>
      <w:r/>
    </w:p>
    <w:p>
      <w:pPr>
        <w:pStyle w:val="1151"/>
        <w:spacing w:line="312" w:lineRule="exact"/>
        <w:rPr>
          <w:rFonts w:ascii="宋体" w:hAnsi="宋体" w:eastAsia="宋体"/>
          <w:szCs w:val="21"/>
        </w:rPr>
        <w:outlineLvl w:val="2"/>
      </w:pPr>
      <w:r/>
      <w:bookmarkStart w:id="351" w:name="_Toc512518933"/>
      <w:r/>
      <w:bookmarkStart w:id="352" w:name="_Toc509497706"/>
      <w:r/>
      <w:bookmarkStart w:id="353" w:name="_Toc512502890"/>
      <w:r>
        <w:rPr>
          <w:rFonts w:ascii="宋体" w:hAnsi="宋体" w:eastAsia="宋体"/>
          <w:szCs w:val="21"/>
        </w:rPr>
        <w:t xml:space="preserve">B.2.2 </w:t>
      </w:r>
      <w:r>
        <w:rPr>
          <w:rFonts w:hint="eastAsia" w:ascii="宋体" w:hAnsi="宋体" w:eastAsia="宋体"/>
          <w:szCs w:val="21"/>
        </w:rPr>
        <w:t xml:space="preserve">远程通信模块外形结构和尺寸示意图</w:t>
      </w:r>
      <w:bookmarkEnd w:id="351"/>
      <w:r/>
      <w:bookmarkEnd w:id="352"/>
      <w:r/>
      <w:bookmarkEnd w:id="353"/>
      <w:r>
        <w:rPr>
          <w:rFonts w:ascii="宋体" w:hAnsi="宋体" w:eastAsia="宋体"/>
          <w:szCs w:val="21"/>
        </w:rPr>
      </w:r>
      <w:r/>
    </w:p>
    <w:p>
      <w:pPr>
        <w:pStyle w:val="1151"/>
        <w:ind w:firstLine="420"/>
        <w:widowControl/>
        <w:tabs>
          <w:tab w:val="center" w:pos="4201" w:leader="none"/>
          <w:tab w:val="right" w:pos="9298" w:leader="dot"/>
        </w:tabs>
      </w:pPr>
      <w:r>
        <w:t xml:space="preserve">示意图见图B</w:t>
      </w:r>
      <w:r>
        <w:rPr>
          <w:rFonts w:hint="eastAsia"/>
        </w:rPr>
        <w:t xml:space="preserve">-8</w:t>
      </w:r>
      <w:r>
        <w:t xml:space="preserve">。</w:t>
      </w:r>
      <w:r/>
    </w:p>
    <w:p>
      <w:pPr>
        <w:pStyle w:val="1151"/>
        <w:jc w:val="center"/>
        <w:widowControl/>
        <w:tabs>
          <w:tab w:val="center" w:pos="4201" w:leader="none"/>
          <w:tab w:val="right" w:pos="9298" w:leader="dot"/>
        </w:tabs>
        <w:rPr>
          <w:szCs w:val="21"/>
        </w:rPr>
      </w:pPr>
      <w:r>
        <mc:AlternateContent>
          <mc:Choice Requires="wpg">
            <w:drawing>
              <wp:inline xmlns:wp="http://schemas.openxmlformats.org/drawingml/2006/wordprocessingDrawing" distT="0" distB="0" distL="0" distR="0">
                <wp:extent cx="4617060" cy="2788857"/>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4617060" cy="27888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363.5pt;height:219.6pt;mso-wrap-distance-left:0.0pt;mso-wrap-distance-top:0.0pt;mso-wrap-distance-right:0.0pt;mso-wrap-distance-bottom:0.0pt;" stroked="f">
                <v:path textboxrect="0,0,0,0"/>
                <v:imagedata r:id="rId88" o:title=""/>
              </v:shape>
            </w:pict>
          </mc:Fallback>
        </mc:AlternateContent>
      </w:r>
      <w:r>
        <w:rPr>
          <w:szCs w:val="21"/>
        </w:rPr>
      </w:r>
      <w:r/>
    </w:p>
    <w:p>
      <w:pPr>
        <w:pStyle w:val="1151"/>
        <w:jc w:val="center"/>
        <w:spacing w:before="156" w:after="156"/>
        <w:rPr>
          <w:rFonts w:eastAsia="黑体"/>
          <w:szCs w:val="21"/>
        </w:rPr>
      </w:pPr>
      <w:r>
        <w:rPr>
          <w:rFonts w:ascii="黑体" w:hAnsi="黑体" w:eastAsia="黑体"/>
          <w:szCs w:val="21"/>
        </w:rPr>
        <w:t xml:space="preserve">图B</w:t>
      </w:r>
      <w:r>
        <w:rPr>
          <w:rFonts w:hint="eastAsia" w:ascii="黑体" w:hAnsi="黑体" w:eastAsia="黑体"/>
          <w:szCs w:val="21"/>
        </w:rPr>
        <w:t xml:space="preserve">-8</w:t>
      </w:r>
      <w:r>
        <w:rPr>
          <w:rFonts w:hint="eastAsia" w:eastAsia="黑体"/>
          <w:szCs w:val="21"/>
        </w:rPr>
        <w:t xml:space="preserve">远程无线通信</w:t>
      </w:r>
      <w:r>
        <w:rPr>
          <w:rFonts w:eastAsia="黑体"/>
          <w:szCs w:val="21"/>
        </w:rPr>
        <w:t xml:space="preserve">模块外形结构和尺寸示意图</w:t>
      </w:r>
      <w:r>
        <w:rPr>
          <w:rFonts w:eastAsia="黑体"/>
          <w:szCs w:val="21"/>
        </w:rPr>
      </w:r>
      <w:r/>
    </w:p>
    <w:p>
      <w:pPr>
        <w:pStyle w:val="1151"/>
        <w:spacing w:line="312" w:lineRule="exact"/>
        <w:rPr>
          <w:rFonts w:ascii="宋体" w:hAnsi="宋体" w:eastAsia="宋体"/>
          <w:szCs w:val="21"/>
        </w:rPr>
        <w:outlineLvl w:val="2"/>
      </w:pPr>
      <w:r/>
      <w:bookmarkStart w:id="354" w:name="_Hlk505246098"/>
      <w:r/>
      <w:bookmarkStart w:id="355" w:name="_Toc512518934"/>
      <w:r/>
      <w:bookmarkStart w:id="356" w:name="_Toc509497707"/>
      <w:r/>
      <w:bookmarkStart w:id="357" w:name="_Toc512502891"/>
      <w:r>
        <w:rPr>
          <w:rFonts w:ascii="宋体" w:hAnsi="宋体" w:eastAsia="宋体"/>
          <w:szCs w:val="21"/>
        </w:rPr>
        <w:t xml:space="preserve">B.2.3 </w:t>
      </w:r>
      <w:bookmarkEnd w:id="354"/>
      <w:r>
        <w:rPr>
          <w:rFonts w:hint="eastAsia" w:ascii="宋体" w:hAnsi="宋体" w:eastAsia="宋体"/>
          <w:szCs w:val="21"/>
        </w:rPr>
        <w:t xml:space="preserve">本地通信模块尺寸示意图</w:t>
      </w:r>
      <w:bookmarkEnd w:id="355"/>
      <w:r/>
      <w:bookmarkEnd w:id="356"/>
      <w:r/>
      <w:bookmarkEnd w:id="357"/>
      <w:r>
        <w:rPr>
          <w:rFonts w:ascii="宋体" w:hAnsi="宋体" w:eastAsia="宋体"/>
          <w:szCs w:val="21"/>
        </w:rPr>
      </w:r>
      <w:r/>
    </w:p>
    <w:p>
      <w:pPr>
        <w:pStyle w:val="1151"/>
        <w:ind w:firstLine="420"/>
        <w:widowControl/>
        <w:tabs>
          <w:tab w:val="center" w:pos="4201" w:leader="none"/>
          <w:tab w:val="right" w:pos="9298" w:leader="dot"/>
        </w:tabs>
      </w:pPr>
      <w:r>
        <w:t xml:space="preserve">示意图见图B</w:t>
      </w:r>
      <w:r>
        <w:rPr>
          <w:rFonts w:hint="eastAsia"/>
        </w:rPr>
        <w:t xml:space="preserve">-9</w:t>
      </w:r>
      <w:r>
        <w:t xml:space="preserve">。</w:t>
      </w:r>
      <w:r/>
    </w:p>
    <w:p>
      <w:pPr>
        <w:pStyle w:val="1151"/>
        <w:jc w:val="center"/>
        <w:keepNext/>
        <w:spacing w:before="160" w:after="60"/>
        <w:widowControl/>
        <w:rPr>
          <w:rFonts w:eastAsia="黑体"/>
          <w:szCs w:val="21"/>
        </w:rPr>
      </w:pPr>
      <w:r>
        <w:rPr>
          <w:rFonts w:eastAsia="黑体"/>
          <w:szCs w:val="21"/>
        </w:rPr>
        <mc:AlternateContent>
          <mc:Choice Requires="wpg">
            <w:drawing>
              <wp:inline xmlns:wp="http://schemas.openxmlformats.org/drawingml/2006/wordprocessingDrawing" distT="0" distB="0" distL="0" distR="0">
                <wp:extent cx="5274323" cy="3316732"/>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5274323" cy="33167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15.3pt;height:261.2pt;mso-wrap-distance-left:0.0pt;mso-wrap-distance-top:0.0pt;mso-wrap-distance-right:0.0pt;mso-wrap-distance-bottom:0.0pt;" stroked="f">
                <v:path textboxrect="0,0,0,0"/>
                <v:imagedata r:id="rId89" o:title=""/>
              </v:shape>
            </w:pict>
          </mc:Fallback>
        </mc:AlternateContent>
      </w:r>
      <w:r>
        <w:rPr>
          <w:rFonts w:eastAsia="黑体"/>
          <w:szCs w:val="21"/>
        </w:rPr>
      </w:r>
      <w:r/>
    </w:p>
    <w:p>
      <w:pPr>
        <w:pStyle w:val="1151"/>
        <w:jc w:val="center"/>
        <w:spacing w:before="156" w:after="156"/>
        <w:rPr>
          <w:rFonts w:eastAsia="黑体"/>
          <w:szCs w:val="21"/>
        </w:rPr>
      </w:pPr>
      <w:r>
        <w:rPr>
          <w:rFonts w:ascii="黑体" w:hAnsi="黑体" w:eastAsia="黑体"/>
          <w:szCs w:val="21"/>
        </w:rPr>
        <w:t xml:space="preserve">图B</w:t>
      </w:r>
      <w:r>
        <w:rPr>
          <w:rFonts w:hint="eastAsia" w:ascii="黑体" w:hAnsi="黑体" w:eastAsia="黑体"/>
          <w:szCs w:val="21"/>
        </w:rPr>
        <w:t xml:space="preserve">-9</w:t>
      </w:r>
      <w:r>
        <w:rPr>
          <w:rFonts w:hint="eastAsia" w:eastAsia="黑体"/>
          <w:szCs w:val="21"/>
        </w:rPr>
        <w:t xml:space="preserve">本地</w:t>
      </w:r>
      <w:r>
        <w:rPr>
          <w:rFonts w:eastAsia="黑体"/>
          <w:szCs w:val="21"/>
        </w:rPr>
        <w:t xml:space="preserve">通信模块尺寸示意图</w:t>
      </w:r>
      <w:r>
        <w:rPr>
          <w:rFonts w:eastAsia="黑体"/>
          <w:szCs w:val="21"/>
        </w:rPr>
      </w:r>
      <w:r/>
    </w:p>
    <w:p>
      <w:pPr>
        <w:pStyle w:val="1151"/>
        <w:spacing w:line="312" w:lineRule="exact"/>
        <w:rPr>
          <w:rFonts w:ascii="宋体" w:hAnsi="宋体" w:eastAsia="宋体"/>
          <w:szCs w:val="21"/>
        </w:rPr>
        <w:outlineLvl w:val="2"/>
      </w:pPr>
      <w:r>
        <w:rPr>
          <w:rFonts w:ascii="宋体" w:hAnsi="宋体" w:eastAsia="宋体"/>
          <w:szCs w:val="21"/>
        </w:rPr>
        <w:t xml:space="preserve">B.2.4 </w:t>
      </w:r>
      <w:r>
        <w:rPr>
          <w:rFonts w:hint="eastAsia" w:ascii="宋体" w:hAnsi="宋体" w:eastAsia="宋体"/>
          <w:szCs w:val="21"/>
        </w:rPr>
        <w:t xml:space="preserve">终端核心单元本体指示灯</w:t>
      </w:r>
      <w:r>
        <w:rPr>
          <w:rFonts w:ascii="宋体" w:hAnsi="宋体" w:eastAsia="宋体"/>
          <w:szCs w:val="21"/>
        </w:rPr>
      </w:r>
      <w:r/>
    </w:p>
    <w:p>
      <w:pPr>
        <w:pStyle w:val="1151"/>
        <w:ind w:firstLine="420"/>
        <w:jc w:val="left"/>
        <w:widowControl/>
        <w:rPr>
          <w:szCs w:val="21"/>
        </w:rPr>
      </w:pPr>
      <w:r>
        <w:rPr>
          <w:rFonts w:hint="eastAsia"/>
          <w:szCs w:val="21"/>
        </w:rPr>
        <w:t xml:space="preserve">核心单元本体指示灯布局如</w:t>
      </w:r>
      <w:r>
        <w:rPr>
          <w:szCs w:val="21"/>
        </w:rPr>
        <w:t xml:space="preserve">图</w:t>
      </w:r>
      <w:r>
        <w:rPr>
          <w:rFonts w:hint="eastAsia"/>
        </w:rPr>
        <w:t xml:space="preserve">B</w:t>
      </w:r>
      <w:r>
        <w:t xml:space="preserve">-</w:t>
      </w:r>
      <w:r>
        <w:rPr>
          <w:rFonts w:hint="eastAsia"/>
        </w:rPr>
        <w:t xml:space="preserve">10</w:t>
      </w:r>
      <w:r>
        <w:rPr>
          <w:rFonts w:hint="eastAsia"/>
          <w:szCs w:val="21"/>
        </w:rPr>
        <w:t xml:space="preserve">、</w:t>
      </w:r>
      <w:r>
        <w:rPr>
          <w:szCs w:val="21"/>
        </w:rPr>
        <w:t xml:space="preserve">图</w:t>
      </w:r>
      <w:r>
        <w:rPr>
          <w:rFonts w:hint="eastAsia"/>
        </w:rPr>
        <w:t xml:space="preserve">B</w:t>
      </w:r>
      <w:r>
        <w:t xml:space="preserve">-</w:t>
      </w:r>
      <w:r>
        <w:rPr>
          <w:rFonts w:hint="eastAsia"/>
        </w:rPr>
        <w:t xml:space="preserve">11</w:t>
      </w:r>
      <w:r>
        <w:rPr>
          <w:rFonts w:hint="eastAsia"/>
          <w:szCs w:val="21"/>
        </w:rPr>
        <w:t xml:space="preserve">、</w:t>
      </w:r>
      <w:r>
        <w:rPr>
          <w:szCs w:val="21"/>
        </w:rPr>
        <w:t xml:space="preserve">图</w:t>
      </w:r>
      <w:r>
        <w:rPr>
          <w:rFonts w:hint="eastAsia"/>
        </w:rPr>
        <w:t xml:space="preserve">B</w:t>
      </w:r>
      <w:r>
        <w:t xml:space="preserve">-</w:t>
      </w:r>
      <w:r>
        <w:rPr>
          <w:rFonts w:hint="eastAsia"/>
        </w:rPr>
        <w:t xml:space="preserve">12</w:t>
      </w:r>
      <w:r>
        <w:rPr>
          <w:szCs w:val="21"/>
        </w:rPr>
        <w:t xml:space="preserve">所示</w:t>
      </w:r>
      <w:r>
        <w:rPr>
          <w:rFonts w:hint="eastAsia"/>
          <w:szCs w:val="21"/>
        </w:rPr>
        <w:t xml:space="preserve">，核心单元本体指示灯布局图表示各个区域LED在终端面板上的左右上下的相对位置，并不表示绝对位置。</w:t>
      </w:r>
      <w:r>
        <w:rPr>
          <w:szCs w:val="21"/>
        </w:rPr>
      </w:r>
      <w:r/>
    </w:p>
    <w:p>
      <w:pPr>
        <w:pStyle w:val="1151"/>
        <w:jc w:val="center"/>
        <w:widowControl/>
      </w:pPr>
      <w:r>
        <w:rPr>
          <w:rFonts w:ascii="宋体" w:hAnsi="宋体" w:cs="宋体"/>
        </w:rPr>
        <mc:AlternateContent>
          <mc:Choice Requires="wpg">
            <w:drawing>
              <wp:inline xmlns:wp="http://schemas.openxmlformats.org/drawingml/2006/wordprocessingDrawing" distT="0" distB="0" distL="0" distR="0">
                <wp:extent cx="4632249" cy="569618"/>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4632249" cy="5696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364.7pt;height:44.9pt;mso-wrap-distance-left:0.0pt;mso-wrap-distance-top:0.0pt;mso-wrap-distance-right:0.0pt;mso-wrap-distance-bottom:0.0pt;" stroked="f">
                <v:path textboxrect="0,0,0,0"/>
                <v:imagedata r:id="rId90" o:title=""/>
              </v:shape>
            </w:pict>
          </mc:Fallback>
        </mc:AlternateContent>
      </w:r>
      <w:r/>
    </w:p>
    <w:p>
      <w:pPr>
        <w:pStyle w:val="1151"/>
        <w:jc w:val="center"/>
        <w:widowControl/>
        <w:rPr>
          <w:szCs w:val="21"/>
        </w:rPr>
      </w:pPr>
      <w:r>
        <w:rPr>
          <w:rFonts w:hint="eastAsia"/>
        </w:rPr>
        <w:t xml:space="preserve">图B-10</w:t>
      </w:r>
      <w:r>
        <w:rPr>
          <w:rFonts w:hint="eastAsia"/>
          <w:szCs w:val="21"/>
        </w:rPr>
        <w:t xml:space="preserve">核心单元本体面板公共部分指示灯布局图</w:t>
      </w:r>
      <w:r>
        <w:rPr>
          <w:szCs w:val="21"/>
        </w:rPr>
      </w:r>
      <w:r/>
    </w:p>
    <w:p>
      <w:pPr>
        <w:pStyle w:val="1151"/>
        <w:jc w:val="center"/>
        <w:widowControl/>
        <w:rPr>
          <w:rFonts w:ascii="宋体" w:hAnsi="宋体" w:cs="宋体"/>
          <w:szCs w:val="21"/>
        </w:rPr>
      </w:pPr>
      <w:r>
        <w:rPr>
          <w:rFonts w:ascii="宋体" w:hAnsi="宋体" w:cs="宋体"/>
          <w:szCs w:val="21"/>
        </w:rPr>
        <mc:AlternateContent>
          <mc:Choice Requires="wpg">
            <w:drawing>
              <wp:inline xmlns:wp="http://schemas.openxmlformats.org/drawingml/2006/wordprocessingDrawing" distT="0" distB="0" distL="0" distR="0">
                <wp:extent cx="1691640" cy="1866900"/>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1691640" cy="186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133.2pt;height:147.0pt;mso-wrap-distance-left:0.0pt;mso-wrap-distance-top:0.0pt;mso-wrap-distance-right:0.0pt;mso-wrap-distance-bottom:0.0pt;" stroked="f">
                <v:path textboxrect="0,0,0,0"/>
                <v:imagedata r:id="rId91" o:title=""/>
              </v:shape>
            </w:pict>
          </mc:Fallback>
        </mc:AlternateContent>
      </w:r>
      <w:r>
        <w:rPr>
          <w:rFonts w:ascii="宋体" w:hAnsi="宋体" w:cs="宋体"/>
          <w:szCs w:val="21"/>
        </w:rPr>
      </w:r>
      <w:r/>
    </w:p>
    <w:p>
      <w:pPr>
        <w:pStyle w:val="1151"/>
        <w:jc w:val="center"/>
        <w:widowControl/>
        <w:rPr>
          <w:szCs w:val="21"/>
        </w:rPr>
      </w:pPr>
      <w:r>
        <w:rPr>
          <w:rFonts w:hint="eastAsia"/>
          <w:szCs w:val="21"/>
        </w:rPr>
        <w:t xml:space="preserve">图</w:t>
      </w:r>
      <w:r>
        <w:rPr>
          <w:rFonts w:hint="eastAsia"/>
        </w:rPr>
        <w:t xml:space="preserve">B-11</w:t>
      </w:r>
      <w:r>
        <w:rPr>
          <w:rFonts w:hint="eastAsia"/>
          <w:szCs w:val="21"/>
        </w:rPr>
        <w:t xml:space="preserve">核心单元本体面板电压区域指示灯布局图</w:t>
      </w:r>
      <w:r>
        <w:rPr>
          <w:szCs w:val="21"/>
        </w:rPr>
      </w:r>
      <w:r/>
    </w:p>
    <w:p>
      <w:pPr>
        <w:pStyle w:val="1151"/>
        <w:jc w:val="center"/>
        <w:widowControl/>
        <w:rPr>
          <w:rFonts w:ascii="宋体" w:hAnsi="宋体" w:cs="宋体"/>
          <w:szCs w:val="21"/>
        </w:rPr>
      </w:pPr>
      <w:r>
        <w:rPr>
          <w:rFonts w:ascii="宋体" w:hAnsi="宋体" w:cs="宋体"/>
          <w:szCs w:val="21"/>
        </w:rPr>
        <mc:AlternateContent>
          <mc:Choice Requires="wpg">
            <w:drawing>
              <wp:inline xmlns:wp="http://schemas.openxmlformats.org/drawingml/2006/wordprocessingDrawing" distT="0" distB="0" distL="0" distR="0">
                <wp:extent cx="1691640" cy="2133600"/>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1691640"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133.2pt;height:168.0pt;mso-wrap-distance-left:0.0pt;mso-wrap-distance-top:0.0pt;mso-wrap-distance-right:0.0pt;mso-wrap-distance-bottom:0.0pt;" stroked="f">
                <v:path textboxrect="0,0,0,0"/>
                <v:imagedata r:id="rId92" o:title=""/>
              </v:shape>
            </w:pict>
          </mc:Fallback>
        </mc:AlternateContent>
      </w:r>
      <w:r>
        <w:rPr>
          <w:rFonts w:ascii="宋体" w:hAnsi="宋体" w:cs="宋体"/>
          <w:szCs w:val="21"/>
        </w:rPr>
      </w:r>
      <w:r/>
    </w:p>
    <w:p>
      <w:pPr>
        <w:pStyle w:val="1151"/>
        <w:ind w:firstLine="420"/>
        <w:jc w:val="center"/>
        <w:widowControl/>
        <w:rPr>
          <w:szCs w:val="21"/>
        </w:rPr>
      </w:pPr>
      <w:r>
        <w:rPr>
          <w:rFonts w:hint="eastAsia"/>
          <w:szCs w:val="21"/>
        </w:rPr>
        <w:t xml:space="preserve">图B-12 核心单元本体面板间隔区域指示灯布局图</w:t>
      </w:r>
      <w:r>
        <w:rPr>
          <w:szCs w:val="21"/>
        </w:rPr>
      </w:r>
      <w:r/>
    </w:p>
    <w:p>
      <w:pPr>
        <w:pStyle w:val="1151"/>
        <w:jc w:val="center"/>
        <w:widowControl/>
        <w:rPr>
          <w:rFonts w:ascii="宋体" w:hAnsi="宋体" w:cs="宋体"/>
          <w:szCs w:val="21"/>
        </w:rPr>
      </w:pPr>
      <w:r>
        <w:rPr>
          <w:rFonts w:ascii="宋体" w:hAnsi="宋体" w:cs="宋体"/>
          <w:szCs w:val="21"/>
        </w:rPr>
      </w:r>
      <w:r/>
    </w:p>
    <w:p>
      <w:pPr>
        <w:pStyle w:val="1151"/>
        <w:widowControl/>
      </w:pPr>
      <w:r/>
      <w:r/>
    </w:p>
    <w:p>
      <w:pPr>
        <w:pStyle w:val="1151"/>
        <w:ind w:firstLine="210"/>
        <w:jc w:val="left"/>
        <w:widowControl/>
      </w:pPr>
      <w:r>
        <w:rPr>
          <w:rFonts w:hint="eastAsia"/>
        </w:rPr>
        <w:t xml:space="preserve">核心单元本体面板指示灯定义应如表B-1所示</w:t>
      </w:r>
      <w:r/>
    </w:p>
    <w:p>
      <w:pPr>
        <w:pStyle w:val="1245"/>
        <w:ind w:firstLine="420"/>
        <w:jc w:val="center"/>
        <w:rPr>
          <w:rStyle w:val="1246"/>
          <w:rFonts w:ascii="宋体" w:hAnsi="宋体"/>
        </w:rPr>
      </w:pPr>
      <w:r>
        <w:rPr>
          <w:rStyle w:val="1246"/>
          <w:rFonts w:hint="eastAsia" w:ascii="宋体" w:hAnsi="宋体"/>
        </w:rPr>
        <w:t xml:space="preserve">表B-</w:t>
      </w:r>
      <w:r>
        <w:rPr>
          <w:rStyle w:val="1246"/>
          <w:rFonts w:ascii="宋体" w:hAnsi="宋体"/>
        </w:rPr>
        <w:t xml:space="preserve">1</w:t>
      </w:r>
      <w:r>
        <w:rPr>
          <w:rFonts w:hint="eastAsia"/>
        </w:rPr>
        <w:t xml:space="preserve">核心单元面板指示灯说明</w:t>
      </w:r>
      <w:r>
        <w:rPr>
          <w:rStyle w:val="1246"/>
          <w:rFonts w:ascii="宋体" w:hAnsi="宋体"/>
        </w:rPr>
      </w:r>
      <w:r/>
    </w:p>
    <w:tbl>
      <w:tblPr>
        <w:tblW w:w="8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236"/>
        <w:gridCol w:w="6165"/>
      </w:tblGrid>
      <w:tr>
        <w:trPr>
          <w:trHeight w:val="334" w:hRule="exact"/>
        </w:trPr>
        <w:tc>
          <w:tcPr>
            <w:tcW w:w="816"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序号</w:t>
            </w:r>
            <w:r>
              <w:rPr>
                <w:rStyle w:val="1246"/>
                <w:rFonts w:ascii="宋体" w:hAnsi="宋体"/>
              </w:rPr>
            </w:r>
            <w:r/>
          </w:p>
        </w:tc>
        <w:tc>
          <w:tcPr>
            <w:tcW w:w="1236"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名称</w:t>
            </w:r>
            <w:r>
              <w:rPr>
                <w:rStyle w:val="1246"/>
                <w:rFonts w:ascii="宋体" w:hAnsi="宋体"/>
              </w:rPr>
            </w:r>
            <w:r/>
          </w:p>
        </w:tc>
        <w:tc>
          <w:tcPr>
            <w:tcW w:w="6165"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说明</w:t>
            </w:r>
            <w:r>
              <w:rPr>
                <w:rStyle w:val="1246"/>
                <w:rFonts w:ascii="宋体" w:hAnsi="宋体"/>
              </w:rPr>
            </w:r>
            <w:r/>
          </w:p>
        </w:tc>
      </w:tr>
      <w:tr>
        <w:trPr>
          <w:trHeight w:val="423" w:hRule="exact"/>
        </w:trPr>
        <w:tc>
          <w:tcPr>
            <w:gridSpan w:val="3"/>
            <w:tcW w:w="8217"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公共区域</w:t>
            </w:r>
            <w:r>
              <w:rPr>
                <w:rStyle w:val="1246"/>
                <w:rFonts w:ascii="宋体" w:hAnsi="宋体"/>
              </w:rPr>
            </w:r>
            <w:r/>
          </w:p>
        </w:tc>
      </w:tr>
      <w:tr>
        <w:trPr>
          <w:trHeight w:val="423" w:hRule="exact"/>
        </w:trPr>
        <w:tc>
          <w:tcPr>
            <w:tcW w:w="816"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1</w:t>
            </w:r>
            <w:r>
              <w:rPr>
                <w:rStyle w:val="1246"/>
                <w:rFonts w:ascii="宋体" w:hAnsi="宋体"/>
              </w:rPr>
            </w:r>
            <w:r/>
          </w:p>
        </w:tc>
        <w:tc>
          <w:tcPr>
            <w:tcW w:w="1236"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电源</w:t>
            </w:r>
            <w:r>
              <w:rPr>
                <w:rStyle w:val="1246"/>
                <w:rFonts w:ascii="宋体" w:hAnsi="宋体"/>
              </w:rPr>
            </w:r>
            <w:r/>
          </w:p>
        </w:tc>
        <w:tc>
          <w:tcPr>
            <w:tcW w:w="6165" w:type="dxa"/>
            <w:vAlign w:val="top"/>
            <w:textDirection w:val="lrTb"/>
            <w:noWrap w:val="false"/>
          </w:tcPr>
          <w:p>
            <w:pPr>
              <w:pStyle w:val="1245"/>
              <w:rPr>
                <w:rStyle w:val="1246"/>
                <w:rFonts w:ascii="宋体" w:hAnsi="宋体"/>
              </w:rPr>
            </w:pPr>
            <w:r>
              <w:rPr>
                <w:rStyle w:val="1246"/>
                <w:rFonts w:ascii="宋体" w:hAnsi="宋体"/>
              </w:rPr>
              <w:t xml:space="preserve">绿灯，</w:t>
            </w:r>
            <w:r>
              <w:rPr>
                <w:rStyle w:val="1246"/>
                <w:rFonts w:hint="eastAsia" w:ascii="宋体" w:hAnsi="宋体"/>
              </w:rPr>
              <w:t xml:space="preserve">装置</w:t>
            </w:r>
            <w:r>
              <w:rPr>
                <w:rStyle w:val="1246"/>
                <w:rFonts w:ascii="宋体" w:hAnsi="宋体"/>
              </w:rPr>
              <w:t xml:space="preserve">电源正常</w:t>
            </w:r>
            <w:r>
              <w:rPr>
                <w:rStyle w:val="1246"/>
                <w:rFonts w:hint="eastAsia" w:ascii="宋体" w:hAnsi="宋体"/>
              </w:rPr>
              <w:t xml:space="preserve">时</w:t>
            </w:r>
            <w:r>
              <w:rPr>
                <w:rStyle w:val="1246"/>
                <w:rFonts w:ascii="宋体" w:hAnsi="宋体"/>
              </w:rPr>
              <w:t xml:space="preserve">常亮</w:t>
            </w:r>
            <w:r>
              <w:rPr>
                <w:rStyle w:val="1246"/>
                <w:rFonts w:ascii="宋体" w:hAnsi="宋体"/>
              </w:rPr>
            </w:r>
            <w:r/>
          </w:p>
        </w:tc>
      </w:tr>
      <w:tr>
        <w:trPr>
          <w:trHeight w:val="996" w:hRule="exact"/>
        </w:trPr>
        <w:tc>
          <w:tcPr>
            <w:tcW w:w="816" w:type="dxa"/>
            <w:vAlign w:val="center"/>
            <w:textDirection w:val="lrTb"/>
            <w:noWrap w:val="false"/>
          </w:tcPr>
          <w:p>
            <w:pPr>
              <w:pStyle w:val="1245"/>
              <w:jc w:val="center"/>
              <w:rPr>
                <w:rStyle w:val="1246"/>
                <w:rFonts w:ascii="宋体" w:hAnsi="宋体"/>
              </w:rPr>
            </w:pPr>
            <w:r>
              <w:rPr>
                <w:rStyle w:val="1246"/>
                <w:rFonts w:ascii="宋体" w:hAnsi="宋体"/>
              </w:rPr>
              <w:t xml:space="preserve">2</w:t>
            </w:r>
            <w:r>
              <w:rPr>
                <w:rStyle w:val="1246"/>
                <w:rFonts w:ascii="宋体" w:hAnsi="宋体"/>
              </w:rPr>
            </w:r>
            <w:r/>
          </w:p>
        </w:tc>
        <w:tc>
          <w:tcPr>
            <w:tcW w:w="1236"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运行</w:t>
            </w:r>
            <w:r>
              <w:rPr>
                <w:rStyle w:val="1246"/>
                <w:rFonts w:ascii="宋体" w:hAnsi="宋体"/>
              </w:rPr>
            </w:r>
            <w:r/>
          </w:p>
        </w:tc>
        <w:tc>
          <w:tcPr>
            <w:tcW w:w="6165" w:type="dxa"/>
            <w:vAlign w:val="top"/>
            <w:textDirection w:val="lrTb"/>
            <w:noWrap w:val="false"/>
          </w:tcPr>
          <w:p>
            <w:pPr>
              <w:pStyle w:val="1245"/>
              <w:rPr>
                <w:rStyle w:val="1246"/>
                <w:rFonts w:ascii="宋体" w:hAnsi="宋体"/>
              </w:rPr>
            </w:pPr>
            <w:r>
              <w:rPr>
                <w:rStyle w:val="1246"/>
                <w:rFonts w:hint="eastAsia" w:ascii="宋体" w:hAnsi="宋体"/>
              </w:rPr>
              <w:t xml:space="preserve">绿</w:t>
            </w:r>
            <w:r>
              <w:rPr>
                <w:rStyle w:val="1246"/>
                <w:rFonts w:ascii="宋体" w:hAnsi="宋体"/>
              </w:rPr>
              <w:t xml:space="preserve">灯，</w:t>
            </w:r>
            <w:r>
              <w:rPr>
                <w:rStyle w:val="1246"/>
                <w:rFonts w:hint="eastAsia" w:ascii="宋体" w:hAnsi="宋体"/>
              </w:rPr>
              <w:t xml:space="preserve">装置上电自检</w:t>
            </w:r>
            <w:r>
              <w:rPr>
                <w:rStyle w:val="1246"/>
                <w:rFonts w:ascii="宋体" w:hAnsi="宋体"/>
              </w:rPr>
              <w:t xml:space="preserve">通过，则</w:t>
            </w:r>
            <w:r>
              <w:rPr>
                <w:rStyle w:val="1246"/>
                <w:rFonts w:hint="eastAsia" w:ascii="宋体" w:hAnsi="宋体"/>
              </w:rPr>
              <w:t xml:space="preserve">闪烁</w:t>
            </w:r>
            <w:r>
              <w:rPr>
                <w:rStyle w:val="1246"/>
                <w:rFonts w:ascii="宋体" w:hAnsi="宋体"/>
              </w:rPr>
              <w:t xml:space="preserve">，</w:t>
            </w:r>
            <w:r>
              <w:rPr>
                <w:rStyle w:val="1246"/>
                <w:rFonts w:hint="eastAsia" w:ascii="宋体" w:hAnsi="宋体"/>
              </w:rPr>
              <w:t xml:space="preserve">间隔1</w:t>
            </w:r>
            <w:r>
              <w:rPr>
                <w:rStyle w:val="1246"/>
                <w:rFonts w:ascii="宋体" w:hAnsi="宋体"/>
              </w:rPr>
              <w:t xml:space="preserve">S</w:t>
            </w:r>
            <w:r>
              <w:rPr>
                <w:rStyle w:val="1246"/>
                <w:rFonts w:hint="eastAsia" w:ascii="宋体" w:hAnsi="宋体"/>
              </w:rPr>
              <w:t xml:space="preserve">。装置由于硬件或是软件出现异常时导致装置不能工作或部分功能缺失时，处于常灭状态。</w:t>
            </w:r>
            <w:r>
              <w:rPr>
                <w:rStyle w:val="1246"/>
                <w:rFonts w:ascii="宋体" w:hAnsi="宋体"/>
              </w:rPr>
            </w:r>
            <w:r/>
          </w:p>
        </w:tc>
      </w:tr>
      <w:tr>
        <w:trPr>
          <w:trHeight w:val="454" w:hRule="exact"/>
        </w:trPr>
        <w:tc>
          <w:tcPr>
            <w:tcW w:w="816" w:type="dxa"/>
            <w:vAlign w:val="center"/>
            <w:textDirection w:val="lrTb"/>
            <w:noWrap w:val="false"/>
          </w:tcPr>
          <w:p>
            <w:pPr>
              <w:pStyle w:val="1245"/>
              <w:jc w:val="center"/>
              <w:rPr>
                <w:rStyle w:val="1246"/>
                <w:rFonts w:ascii="宋体" w:hAnsi="宋体"/>
              </w:rPr>
            </w:pPr>
            <w:r>
              <w:rPr>
                <w:rStyle w:val="1246"/>
                <w:rFonts w:ascii="宋体" w:hAnsi="宋体"/>
              </w:rPr>
              <w:t xml:space="preserve">3</w:t>
            </w:r>
            <w:r>
              <w:rPr>
                <w:rStyle w:val="1246"/>
                <w:rFonts w:ascii="宋体" w:hAnsi="宋体"/>
              </w:rPr>
            </w:r>
            <w:r/>
          </w:p>
        </w:tc>
        <w:tc>
          <w:tcPr>
            <w:tcW w:w="1236" w:type="dxa"/>
            <w:vAlign w:val="center"/>
            <w:textDirection w:val="lrTb"/>
            <w:noWrap w:val="false"/>
          </w:tcPr>
          <w:p>
            <w:pPr>
              <w:pStyle w:val="1245"/>
              <w:jc w:val="center"/>
              <w:rPr>
                <w:rFonts w:ascii="宋体" w:hAnsi="宋体"/>
              </w:rPr>
            </w:pPr>
            <w:r>
              <w:rPr>
                <w:rStyle w:val="1246"/>
                <w:rFonts w:hint="eastAsia" w:ascii="宋体" w:hAnsi="宋体"/>
              </w:rPr>
              <w:t xml:space="preserve">告警</w:t>
            </w:r>
            <w:r>
              <w:rPr>
                <w:rFonts w:ascii="宋体" w:hAnsi="宋体"/>
              </w:rPr>
            </w:r>
            <w:r/>
          </w:p>
        </w:tc>
        <w:tc>
          <w:tcPr>
            <w:tcW w:w="6165" w:type="dxa"/>
            <w:vAlign w:val="top"/>
            <w:textDirection w:val="lrTb"/>
            <w:noWrap w:val="false"/>
          </w:tcPr>
          <w:p>
            <w:pPr>
              <w:pStyle w:val="1245"/>
              <w:rPr>
                <w:rFonts w:ascii="宋体" w:hAnsi="宋体"/>
              </w:rPr>
            </w:pPr>
            <w:r>
              <w:rPr>
                <w:rStyle w:val="1246"/>
                <w:rFonts w:hint="eastAsia" w:ascii="宋体" w:hAnsi="宋体"/>
              </w:rPr>
              <w:t xml:space="preserve">红灯</w:t>
            </w:r>
            <w:r>
              <w:rPr>
                <w:rStyle w:val="1246"/>
                <w:rFonts w:ascii="宋体" w:hAnsi="宋体"/>
              </w:rPr>
              <w:t xml:space="preserve">，</w:t>
            </w:r>
            <w:r>
              <w:rPr>
                <w:rStyle w:val="1246"/>
                <w:rFonts w:hint="eastAsia" w:ascii="宋体" w:hAnsi="宋体"/>
              </w:rPr>
              <w:t xml:space="preserve">自检发现</w:t>
            </w:r>
            <w:r>
              <w:rPr>
                <w:rStyle w:val="1246"/>
                <w:rFonts w:ascii="宋体" w:hAnsi="宋体"/>
              </w:rPr>
              <w:t xml:space="preserve">异常</w:t>
            </w:r>
            <w:r>
              <w:rPr>
                <w:rStyle w:val="1246"/>
                <w:rFonts w:hint="eastAsia" w:ascii="宋体" w:hAnsi="宋体"/>
              </w:rPr>
              <w:t xml:space="preserve">时常亮，正常时熄灭</w:t>
            </w:r>
            <w:r>
              <w:rPr>
                <w:rFonts w:ascii="宋体" w:hAnsi="宋体"/>
              </w:rPr>
            </w:r>
            <w:r/>
          </w:p>
        </w:tc>
      </w:tr>
      <w:tr>
        <w:trPr>
          <w:trHeight w:val="454" w:hRule="exact"/>
        </w:trPr>
        <w:tc>
          <w:tcPr>
            <w:tcW w:w="816" w:type="dxa"/>
            <w:vAlign w:val="center"/>
            <w:textDirection w:val="lrTb"/>
            <w:noWrap w:val="false"/>
          </w:tcPr>
          <w:p>
            <w:pPr>
              <w:pStyle w:val="1245"/>
              <w:jc w:val="center"/>
              <w:rPr>
                <w:rStyle w:val="1246"/>
                <w:rFonts w:ascii="宋体" w:hAnsi="宋体"/>
              </w:rPr>
            </w:pPr>
            <w:r>
              <w:rPr>
                <w:rStyle w:val="1246"/>
                <w:rFonts w:ascii="宋体" w:hAnsi="宋体"/>
              </w:rPr>
              <w:t xml:space="preserve">4</w:t>
            </w:r>
            <w:r>
              <w:rPr>
                <w:rStyle w:val="1246"/>
                <w:rFonts w:ascii="宋体" w:hAnsi="宋体"/>
              </w:rPr>
            </w:r>
            <w:r/>
          </w:p>
        </w:tc>
        <w:tc>
          <w:tcPr>
            <w:tcW w:w="1236"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备用</w:t>
            </w:r>
            <w:r>
              <w:rPr>
                <w:rStyle w:val="1246"/>
                <w:rFonts w:ascii="宋体" w:hAnsi="宋体"/>
              </w:rPr>
            </w:r>
            <w:r/>
          </w:p>
        </w:tc>
        <w:tc>
          <w:tcPr>
            <w:tcW w:w="6165" w:type="dxa"/>
            <w:vAlign w:val="top"/>
            <w:textDirection w:val="lrTb"/>
            <w:noWrap w:val="false"/>
          </w:tcPr>
          <w:p>
            <w:pPr>
              <w:pStyle w:val="1245"/>
              <w:rPr>
                <w:rStyle w:val="1246"/>
                <w:rFonts w:ascii="宋体" w:hAnsi="宋体"/>
              </w:rPr>
            </w:pPr>
            <w:r>
              <w:rPr>
                <w:rStyle w:val="1246"/>
                <w:rFonts w:ascii="宋体" w:hAnsi="宋体"/>
              </w:rPr>
            </w:r>
            <w:r/>
          </w:p>
        </w:tc>
      </w:tr>
      <w:tr>
        <w:trPr>
          <w:trHeight w:val="454" w:hRule="exact"/>
        </w:trPr>
        <w:tc>
          <w:tcPr>
            <w:tcW w:w="816"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5</w:t>
            </w:r>
            <w:r>
              <w:rPr>
                <w:rStyle w:val="1246"/>
                <w:rFonts w:ascii="宋体" w:hAnsi="宋体"/>
              </w:rPr>
            </w:r>
            <w:r/>
          </w:p>
        </w:tc>
        <w:tc>
          <w:tcPr>
            <w:tcW w:w="1236" w:type="dxa"/>
            <w:vAlign w:val="center"/>
            <w:textDirection w:val="lrTb"/>
            <w:noWrap w:val="false"/>
          </w:tcPr>
          <w:p>
            <w:pPr>
              <w:pStyle w:val="1245"/>
              <w:jc w:val="center"/>
              <w:rPr>
                <w:rFonts w:ascii="宋体" w:hAnsi="宋体"/>
              </w:rPr>
            </w:pPr>
            <w:r>
              <w:rPr>
                <w:rStyle w:val="1246"/>
                <w:rFonts w:hint="eastAsia" w:ascii="宋体" w:hAnsi="宋体"/>
              </w:rPr>
              <w:t xml:space="preserve">网1</w:t>
            </w:r>
            <w:r>
              <w:rPr>
                <w:rFonts w:ascii="宋体" w:hAnsi="宋体"/>
              </w:rPr>
            </w:r>
            <w:r/>
          </w:p>
        </w:tc>
        <w:tc>
          <w:tcPr>
            <w:tcW w:w="6165" w:type="dxa"/>
            <w:vAlign w:val="top"/>
            <w:textDirection w:val="lrTb"/>
            <w:noWrap w:val="false"/>
          </w:tcPr>
          <w:p>
            <w:pPr>
              <w:pStyle w:val="1245"/>
              <w:rPr>
                <w:rStyle w:val="1246"/>
                <w:rFonts w:ascii="宋体" w:hAnsi="宋体"/>
              </w:rPr>
            </w:pPr>
            <w:r>
              <w:rPr>
                <w:rStyle w:val="1246"/>
                <w:rFonts w:hint="eastAsia" w:ascii="宋体" w:hAnsi="宋体"/>
              </w:rPr>
              <w:t xml:space="preserve">绿</w:t>
            </w:r>
            <w:r>
              <w:rPr>
                <w:rStyle w:val="1246"/>
                <w:rFonts w:ascii="宋体" w:hAnsi="宋体"/>
              </w:rPr>
              <w:t xml:space="preserve">灯，</w:t>
            </w:r>
            <w:r>
              <w:rPr>
                <w:rStyle w:val="1246"/>
                <w:rFonts w:hint="eastAsia" w:ascii="宋体" w:hAnsi="宋体"/>
              </w:rPr>
              <w:t xml:space="preserve">与主站通讯正常时常亮，通讯中断时熄灭</w:t>
            </w:r>
            <w:r>
              <w:rPr>
                <w:rStyle w:val="1246"/>
                <w:rFonts w:ascii="宋体" w:hAnsi="宋体"/>
              </w:rPr>
            </w:r>
            <w:r/>
          </w:p>
        </w:tc>
      </w:tr>
      <w:tr>
        <w:trPr>
          <w:trHeight w:val="454" w:hRule="exact"/>
        </w:trPr>
        <w:tc>
          <w:tcPr>
            <w:tcW w:w="816"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6</w:t>
            </w:r>
            <w:r>
              <w:rPr>
                <w:rStyle w:val="1246"/>
                <w:rFonts w:ascii="宋体" w:hAnsi="宋体"/>
              </w:rPr>
            </w:r>
            <w:r/>
          </w:p>
        </w:tc>
        <w:tc>
          <w:tcPr>
            <w:tcW w:w="1236" w:type="dxa"/>
            <w:vAlign w:val="center"/>
            <w:textDirection w:val="lrTb"/>
            <w:noWrap w:val="false"/>
          </w:tcPr>
          <w:p>
            <w:pPr>
              <w:pStyle w:val="1245"/>
              <w:jc w:val="center"/>
              <w:rPr>
                <w:rFonts w:ascii="宋体" w:hAnsi="宋体"/>
              </w:rPr>
            </w:pPr>
            <w:r>
              <w:rPr>
                <w:rStyle w:val="1246"/>
                <w:rFonts w:hint="eastAsia" w:ascii="宋体" w:hAnsi="宋体"/>
              </w:rPr>
              <w:t xml:space="preserve">网2</w:t>
            </w:r>
            <w:r>
              <w:rPr>
                <w:rFonts w:ascii="宋体" w:hAnsi="宋体"/>
              </w:rPr>
            </w:r>
            <w:r/>
          </w:p>
        </w:tc>
        <w:tc>
          <w:tcPr>
            <w:tcW w:w="6165" w:type="dxa"/>
            <w:vAlign w:val="top"/>
            <w:textDirection w:val="lrTb"/>
            <w:noWrap w:val="false"/>
          </w:tcPr>
          <w:p>
            <w:pPr>
              <w:pStyle w:val="1245"/>
              <w:rPr>
                <w:rStyle w:val="1246"/>
                <w:rFonts w:ascii="宋体" w:hAnsi="宋体"/>
              </w:rPr>
            </w:pPr>
            <w:r>
              <w:rPr>
                <w:rStyle w:val="1246"/>
                <w:rFonts w:hint="eastAsia" w:ascii="宋体" w:hAnsi="宋体"/>
              </w:rPr>
              <w:t xml:space="preserve">红灯，线路</w:t>
            </w:r>
            <w:r>
              <w:rPr>
                <w:rStyle w:val="1246"/>
                <w:rFonts w:ascii="宋体" w:hAnsi="宋体"/>
              </w:rPr>
              <w:t xml:space="preserve">2</w:t>
            </w:r>
            <w:r>
              <w:rPr>
                <w:rStyle w:val="1246"/>
                <w:rFonts w:hint="eastAsia" w:ascii="宋体" w:hAnsi="宋体"/>
              </w:rPr>
              <w:t xml:space="preserve">故障时常亮，否则熄灭</w:t>
            </w:r>
            <w:r>
              <w:rPr>
                <w:rStyle w:val="1246"/>
                <w:rFonts w:ascii="宋体" w:hAnsi="宋体"/>
              </w:rPr>
            </w:r>
            <w:r/>
          </w:p>
        </w:tc>
      </w:tr>
      <w:tr>
        <w:trPr>
          <w:trHeight w:val="454" w:hRule="exact"/>
        </w:trPr>
        <w:tc>
          <w:tcPr>
            <w:tcW w:w="816" w:type="dxa"/>
            <w:vAlign w:val="center"/>
            <w:textDirection w:val="lrTb"/>
            <w:noWrap w:val="false"/>
          </w:tcPr>
          <w:p>
            <w:pPr>
              <w:pStyle w:val="1245"/>
              <w:jc w:val="center"/>
              <w:rPr>
                <w:rFonts w:ascii="宋体" w:hAnsi="宋体"/>
              </w:rPr>
            </w:pPr>
            <w:r>
              <w:rPr>
                <w:rStyle w:val="1246"/>
                <w:rFonts w:hint="eastAsia" w:ascii="宋体" w:hAnsi="宋体"/>
              </w:rPr>
              <w:t xml:space="preserve">7</w:t>
            </w:r>
            <w:r>
              <w:rPr>
                <w:rFonts w:ascii="宋体" w:hAnsi="宋体"/>
              </w:rPr>
            </w:r>
            <w:r/>
          </w:p>
        </w:tc>
        <w:tc>
          <w:tcPr>
            <w:tcW w:w="1236" w:type="dxa"/>
            <w:vAlign w:val="center"/>
            <w:textDirection w:val="lrTb"/>
            <w:noWrap w:val="false"/>
          </w:tcPr>
          <w:p>
            <w:pPr>
              <w:pStyle w:val="1245"/>
              <w:jc w:val="center"/>
              <w:rPr>
                <w:rFonts w:ascii="宋体" w:hAnsi="宋体"/>
              </w:rPr>
            </w:pPr>
            <w:r>
              <w:rPr>
                <w:rStyle w:val="1246"/>
                <w:rFonts w:hint="eastAsia" w:ascii="宋体" w:hAnsi="宋体"/>
              </w:rPr>
              <w:t xml:space="preserve">串口1</w:t>
            </w:r>
            <w:r>
              <w:rPr>
                <w:rFonts w:ascii="宋体" w:hAnsi="宋体"/>
              </w:rPr>
            </w:r>
            <w:r/>
          </w:p>
        </w:tc>
        <w:tc>
          <w:tcPr>
            <w:tcW w:w="6165" w:type="dxa"/>
            <w:vAlign w:val="top"/>
            <w:textDirection w:val="lrTb"/>
            <w:noWrap w:val="false"/>
          </w:tcPr>
          <w:p>
            <w:pPr>
              <w:pStyle w:val="1151"/>
              <w:widowControl/>
              <w:tabs>
                <w:tab w:val="center" w:pos="4201" w:leader="none"/>
                <w:tab w:val="right" w:pos="9298" w:leader="dot"/>
              </w:tabs>
            </w:pPr>
            <w:r>
              <w:rPr>
                <w:rStyle w:val="1246"/>
                <w:rFonts w:hint="eastAsia" w:ascii="宋体" w:hAnsi="宋体"/>
              </w:rPr>
              <w:t xml:space="preserve">绿</w:t>
            </w:r>
            <w:r>
              <w:rPr>
                <w:rStyle w:val="1246"/>
                <w:rFonts w:ascii="宋体" w:hAnsi="宋体"/>
              </w:rPr>
              <w:t xml:space="preserve">灯，</w:t>
            </w:r>
            <w:r>
              <w:t xml:space="preserve">闪烁：</w:t>
            </w:r>
            <w:r>
              <w:t xml:space="preserve">表示有数据传输</w:t>
            </w:r>
            <w:r>
              <w:rPr>
                <w:rFonts w:hint="eastAsia"/>
              </w:rPr>
              <w:t xml:space="preserve">，</w:t>
            </w:r>
            <w:r>
              <w:t xml:space="preserve">常灭：表</w:t>
            </w:r>
            <w:r>
              <w:rPr>
                <w:rFonts w:hint="eastAsia"/>
              </w:rPr>
              <w:t xml:space="preserve">示</w:t>
            </w:r>
            <w:r>
              <w:t xml:space="preserve">无</w:t>
            </w:r>
            <w:r>
              <w:rPr>
                <w:rFonts w:hint="eastAsia"/>
              </w:rPr>
              <w:t xml:space="preserve">数据传输；</w:t>
            </w:r>
            <w:r/>
          </w:p>
          <w:p>
            <w:pPr>
              <w:pStyle w:val="1245"/>
              <w:rPr>
                <w:rFonts w:ascii="宋体" w:hAnsi="宋体"/>
              </w:rPr>
            </w:pPr>
            <w:r>
              <w:rPr>
                <w:rFonts w:ascii="宋体" w:hAnsi="宋体"/>
              </w:rPr>
            </w:r>
            <w:r/>
          </w:p>
        </w:tc>
      </w:tr>
      <w:tr>
        <w:trPr>
          <w:trHeight w:val="454" w:hRule="exact"/>
        </w:trPr>
        <w:tc>
          <w:tcPr>
            <w:tcW w:w="816" w:type="dxa"/>
            <w:vAlign w:val="center"/>
            <w:textDirection w:val="lrTb"/>
            <w:noWrap w:val="false"/>
          </w:tcPr>
          <w:p>
            <w:pPr>
              <w:pStyle w:val="1245"/>
              <w:jc w:val="center"/>
              <w:rPr>
                <w:rFonts w:ascii="宋体" w:hAnsi="宋体"/>
              </w:rPr>
            </w:pPr>
            <w:r>
              <w:rPr>
                <w:rFonts w:hint="eastAsia" w:ascii="宋体" w:hAnsi="宋体"/>
              </w:rPr>
              <w:t xml:space="preserve">8</w:t>
            </w:r>
            <w:r>
              <w:rPr>
                <w:rFonts w:ascii="宋体" w:hAnsi="宋体"/>
              </w:rPr>
            </w:r>
            <w:r/>
          </w:p>
        </w:tc>
        <w:tc>
          <w:tcPr>
            <w:tcW w:w="1236" w:type="dxa"/>
            <w:vAlign w:val="center"/>
            <w:textDirection w:val="lrTb"/>
            <w:noWrap w:val="false"/>
          </w:tcPr>
          <w:p>
            <w:pPr>
              <w:pStyle w:val="1245"/>
              <w:jc w:val="center"/>
              <w:rPr>
                <w:rFonts w:ascii="宋体" w:hAnsi="宋体"/>
              </w:rPr>
            </w:pPr>
            <w:r>
              <w:rPr>
                <w:rStyle w:val="1246"/>
                <w:rFonts w:hint="eastAsia" w:ascii="宋体" w:hAnsi="宋体"/>
              </w:rPr>
              <w:t xml:space="preserve">串口2</w:t>
            </w:r>
            <w:r>
              <w:rPr>
                <w:rFonts w:ascii="宋体" w:hAnsi="宋体"/>
              </w:rPr>
            </w:r>
            <w:r/>
          </w:p>
        </w:tc>
        <w:tc>
          <w:tcPr>
            <w:tcW w:w="6165" w:type="dxa"/>
            <w:vAlign w:val="top"/>
            <w:textDirection w:val="lrTb"/>
            <w:noWrap w:val="false"/>
          </w:tcPr>
          <w:p>
            <w:pPr>
              <w:pStyle w:val="1151"/>
              <w:widowControl/>
              <w:tabs>
                <w:tab w:val="center" w:pos="4201" w:leader="none"/>
                <w:tab w:val="right" w:pos="9298" w:leader="dot"/>
              </w:tabs>
            </w:pPr>
            <w:r>
              <w:rPr>
                <w:rStyle w:val="1246"/>
                <w:rFonts w:hint="eastAsia" w:ascii="宋体" w:hAnsi="宋体"/>
              </w:rPr>
              <w:t xml:space="preserve">绿</w:t>
            </w:r>
            <w:r>
              <w:rPr>
                <w:rStyle w:val="1246"/>
                <w:rFonts w:ascii="宋体" w:hAnsi="宋体"/>
              </w:rPr>
              <w:t xml:space="preserve">灯，</w:t>
            </w:r>
            <w:r>
              <w:t xml:space="preserve">闪烁：</w:t>
            </w:r>
            <w:r>
              <w:t xml:space="preserve">表示有数据传输</w:t>
            </w:r>
            <w:r>
              <w:rPr>
                <w:rFonts w:hint="eastAsia"/>
              </w:rPr>
              <w:t xml:space="preserve">，</w:t>
            </w:r>
            <w:r>
              <w:t xml:space="preserve">常灭：表</w:t>
            </w:r>
            <w:r>
              <w:rPr>
                <w:rFonts w:hint="eastAsia"/>
              </w:rPr>
              <w:t xml:space="preserve">示</w:t>
            </w:r>
            <w:r>
              <w:t xml:space="preserve">无</w:t>
            </w:r>
            <w:r>
              <w:rPr>
                <w:rFonts w:hint="eastAsia"/>
              </w:rPr>
              <w:t xml:space="preserve">数据传输；</w:t>
            </w:r>
            <w:r/>
          </w:p>
          <w:p>
            <w:pPr>
              <w:pStyle w:val="1245"/>
              <w:rPr>
                <w:rFonts w:ascii="宋体" w:hAnsi="宋体"/>
              </w:rPr>
            </w:pPr>
            <w:r>
              <w:rPr>
                <w:rFonts w:ascii="宋体" w:hAnsi="宋体"/>
              </w:rPr>
            </w:r>
            <w:r/>
          </w:p>
        </w:tc>
      </w:tr>
      <w:tr>
        <w:trPr>
          <w:trHeight w:val="454" w:hRule="exact"/>
        </w:trPr>
        <w:tc>
          <w:tcPr>
            <w:tcW w:w="816" w:type="dxa"/>
            <w:vAlign w:val="center"/>
            <w:textDirection w:val="lrTb"/>
            <w:noWrap w:val="false"/>
          </w:tcPr>
          <w:p>
            <w:pPr>
              <w:pStyle w:val="1245"/>
              <w:jc w:val="center"/>
              <w:rPr>
                <w:rFonts w:ascii="宋体" w:hAnsi="宋体"/>
              </w:rPr>
            </w:pPr>
            <w:r>
              <w:rPr>
                <w:rFonts w:hint="eastAsia" w:ascii="宋体" w:hAnsi="宋体"/>
              </w:rPr>
              <w:t xml:space="preserve">9</w:t>
            </w:r>
            <w:r>
              <w:rPr>
                <w:rFonts w:ascii="宋体" w:hAnsi="宋体"/>
              </w:rPr>
            </w:r>
            <w:r/>
          </w:p>
        </w:tc>
        <w:tc>
          <w:tcPr>
            <w:tcW w:w="1236" w:type="dxa"/>
            <w:vAlign w:val="center"/>
            <w:textDirection w:val="lrTb"/>
            <w:noWrap w:val="false"/>
          </w:tcPr>
          <w:p>
            <w:pPr>
              <w:pStyle w:val="1245"/>
              <w:jc w:val="center"/>
              <w:rPr>
                <w:rFonts w:ascii="宋体" w:hAnsi="宋体"/>
              </w:rPr>
            </w:pPr>
            <w:r>
              <w:rPr>
                <w:rStyle w:val="1246"/>
                <w:rFonts w:hint="eastAsia" w:ascii="宋体" w:hAnsi="宋体"/>
              </w:rPr>
              <w:t xml:space="preserve">串口3</w:t>
            </w:r>
            <w:r>
              <w:rPr>
                <w:rFonts w:ascii="宋体" w:hAnsi="宋体"/>
              </w:rPr>
            </w:r>
            <w:r/>
          </w:p>
        </w:tc>
        <w:tc>
          <w:tcPr>
            <w:tcW w:w="6165" w:type="dxa"/>
            <w:vAlign w:val="top"/>
            <w:textDirection w:val="lrTb"/>
            <w:noWrap w:val="false"/>
          </w:tcPr>
          <w:p>
            <w:pPr>
              <w:pStyle w:val="1151"/>
              <w:widowControl/>
              <w:tabs>
                <w:tab w:val="center" w:pos="4201" w:leader="none"/>
                <w:tab w:val="right" w:pos="9298" w:leader="dot"/>
              </w:tabs>
            </w:pPr>
            <w:r>
              <w:rPr>
                <w:rStyle w:val="1246"/>
                <w:rFonts w:hint="eastAsia" w:ascii="宋体" w:hAnsi="宋体"/>
              </w:rPr>
              <w:t xml:space="preserve">绿</w:t>
            </w:r>
            <w:r>
              <w:rPr>
                <w:rStyle w:val="1246"/>
                <w:rFonts w:ascii="宋体" w:hAnsi="宋体"/>
              </w:rPr>
              <w:t xml:space="preserve">灯，</w:t>
            </w:r>
            <w:r>
              <w:t xml:space="preserve">闪烁：</w:t>
            </w:r>
            <w:r>
              <w:t xml:space="preserve">表示有数据传输</w:t>
            </w:r>
            <w:r>
              <w:rPr>
                <w:rFonts w:hint="eastAsia"/>
              </w:rPr>
              <w:t xml:space="preserve">，</w:t>
            </w:r>
            <w:r>
              <w:t xml:space="preserve">常灭：表</w:t>
            </w:r>
            <w:r>
              <w:rPr>
                <w:rFonts w:hint="eastAsia"/>
              </w:rPr>
              <w:t xml:space="preserve">示</w:t>
            </w:r>
            <w:r>
              <w:t xml:space="preserve">无</w:t>
            </w:r>
            <w:r>
              <w:rPr>
                <w:rFonts w:hint="eastAsia"/>
              </w:rPr>
              <w:t xml:space="preserve">数据传输；</w:t>
            </w:r>
            <w:r/>
          </w:p>
          <w:p>
            <w:pPr>
              <w:pStyle w:val="1245"/>
              <w:rPr>
                <w:rFonts w:ascii="宋体" w:hAnsi="宋体"/>
              </w:rPr>
            </w:pPr>
            <w:r>
              <w:rPr>
                <w:rFonts w:ascii="宋体" w:hAnsi="宋体"/>
              </w:rPr>
            </w:r>
            <w:r/>
          </w:p>
        </w:tc>
      </w:tr>
      <w:tr>
        <w:trPr>
          <w:trHeight w:val="454" w:hRule="exact"/>
        </w:trPr>
        <w:tc>
          <w:tcPr>
            <w:tcW w:w="816" w:type="dxa"/>
            <w:vAlign w:val="center"/>
            <w:textDirection w:val="lrTb"/>
            <w:noWrap w:val="false"/>
          </w:tcPr>
          <w:p>
            <w:pPr>
              <w:pStyle w:val="1245"/>
              <w:jc w:val="center"/>
              <w:rPr>
                <w:rFonts w:ascii="宋体" w:hAnsi="宋体"/>
              </w:rPr>
            </w:pPr>
            <w:r>
              <w:rPr>
                <w:rFonts w:hint="eastAsia" w:ascii="宋体" w:hAnsi="宋体"/>
              </w:rPr>
              <w:t xml:space="preserve">10</w:t>
            </w:r>
            <w:r>
              <w:rPr>
                <w:rFonts w:ascii="宋体" w:hAnsi="宋体"/>
              </w:rPr>
            </w:r>
            <w:r/>
          </w:p>
        </w:tc>
        <w:tc>
          <w:tcPr>
            <w:tcW w:w="1236" w:type="dxa"/>
            <w:vAlign w:val="center"/>
            <w:textDirection w:val="lrTb"/>
            <w:noWrap w:val="false"/>
          </w:tcPr>
          <w:p>
            <w:pPr>
              <w:pStyle w:val="1245"/>
              <w:jc w:val="center"/>
              <w:rPr>
                <w:rFonts w:ascii="宋体" w:hAnsi="宋体"/>
              </w:rPr>
            </w:pPr>
            <w:r>
              <w:rPr>
                <w:rStyle w:val="1246"/>
                <w:rFonts w:hint="eastAsia" w:ascii="宋体" w:hAnsi="宋体"/>
              </w:rPr>
              <w:t xml:space="preserve">串口4</w:t>
            </w:r>
            <w:r>
              <w:rPr>
                <w:rFonts w:ascii="宋体" w:hAnsi="宋体"/>
              </w:rPr>
            </w:r>
            <w:r/>
          </w:p>
        </w:tc>
        <w:tc>
          <w:tcPr>
            <w:tcW w:w="6165" w:type="dxa"/>
            <w:vAlign w:val="top"/>
            <w:textDirection w:val="lrTb"/>
            <w:noWrap w:val="false"/>
          </w:tcPr>
          <w:p>
            <w:pPr>
              <w:pStyle w:val="1151"/>
              <w:widowControl/>
              <w:tabs>
                <w:tab w:val="center" w:pos="4201" w:leader="none"/>
                <w:tab w:val="right" w:pos="9298" w:leader="dot"/>
              </w:tabs>
            </w:pPr>
            <w:r>
              <w:rPr>
                <w:rStyle w:val="1246"/>
                <w:rFonts w:hint="eastAsia" w:ascii="宋体" w:hAnsi="宋体"/>
              </w:rPr>
              <w:t xml:space="preserve">绿</w:t>
            </w:r>
            <w:r>
              <w:rPr>
                <w:rStyle w:val="1246"/>
                <w:rFonts w:ascii="宋体" w:hAnsi="宋体"/>
              </w:rPr>
              <w:t xml:space="preserve">灯，</w:t>
            </w:r>
            <w:r>
              <w:t xml:space="preserve">闪烁：</w:t>
            </w:r>
            <w:r>
              <w:t xml:space="preserve">表示有数据传输</w:t>
            </w:r>
            <w:r>
              <w:rPr>
                <w:rFonts w:hint="eastAsia"/>
              </w:rPr>
              <w:t xml:space="preserve">，</w:t>
            </w:r>
            <w:r>
              <w:t xml:space="preserve">常灭：表</w:t>
            </w:r>
            <w:r>
              <w:rPr>
                <w:rFonts w:hint="eastAsia"/>
              </w:rPr>
              <w:t xml:space="preserve">示</w:t>
            </w:r>
            <w:r>
              <w:t xml:space="preserve">无</w:t>
            </w:r>
            <w:r>
              <w:rPr>
                <w:rFonts w:hint="eastAsia"/>
              </w:rPr>
              <w:t xml:space="preserve">数据传输；</w:t>
            </w:r>
            <w:r/>
          </w:p>
          <w:p>
            <w:pPr>
              <w:pStyle w:val="1245"/>
              <w:rPr>
                <w:rFonts w:ascii="宋体" w:hAnsi="宋体"/>
              </w:rPr>
            </w:pPr>
            <w:r>
              <w:rPr>
                <w:rFonts w:ascii="宋体" w:hAnsi="宋体"/>
              </w:rPr>
            </w:r>
            <w:r/>
          </w:p>
        </w:tc>
      </w:tr>
      <w:tr>
        <w:trPr>
          <w:trHeight w:val="454" w:hRule="exact"/>
        </w:trPr>
        <w:tc>
          <w:tcPr>
            <w:gridSpan w:val="3"/>
            <w:tcW w:w="8217" w:type="dxa"/>
            <w:vAlign w:val="center"/>
            <w:textDirection w:val="lrTb"/>
            <w:noWrap w:val="false"/>
          </w:tcPr>
          <w:p>
            <w:pPr>
              <w:pStyle w:val="1245"/>
              <w:ind w:firstLine="630"/>
              <w:rPr>
                <w:rStyle w:val="1246"/>
                <w:rFonts w:ascii="宋体" w:hAnsi="宋体"/>
              </w:rPr>
            </w:pPr>
            <w:r>
              <w:rPr>
                <w:rStyle w:val="1246"/>
                <w:rFonts w:hint="eastAsia" w:ascii="宋体" w:hAnsi="宋体"/>
              </w:rPr>
              <w:t xml:space="preserve">电压区域</w:t>
            </w:r>
            <w:r>
              <w:rPr>
                <w:rStyle w:val="1246"/>
                <w:rFonts w:ascii="宋体" w:hAnsi="宋体"/>
              </w:rPr>
            </w:r>
            <w:r/>
          </w:p>
        </w:tc>
      </w:tr>
      <w:tr>
        <w:trPr>
          <w:trHeight w:val="454" w:hRule="exact"/>
        </w:trPr>
        <w:tc>
          <w:tcPr>
            <w:tcW w:w="816"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1</w:t>
            </w:r>
            <w:r>
              <w:rPr>
                <w:rStyle w:val="1246"/>
                <w:rFonts w:ascii="宋体" w:hAnsi="宋体"/>
              </w:rPr>
            </w:r>
            <w:r/>
          </w:p>
        </w:tc>
        <w:tc>
          <w:tcPr>
            <w:tcW w:w="1236"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A相</w:t>
            </w:r>
            <w:r>
              <w:rPr>
                <w:rStyle w:val="1246"/>
                <w:rFonts w:ascii="宋体" w:hAnsi="宋体"/>
              </w:rPr>
            </w:r>
            <w:r/>
          </w:p>
        </w:tc>
        <w:tc>
          <w:tcPr>
            <w:tcW w:w="6165" w:type="dxa"/>
            <w:vAlign w:val="top"/>
            <w:textDirection w:val="lrTb"/>
            <w:noWrap w:val="false"/>
          </w:tcPr>
          <w:p>
            <w:pPr>
              <w:pStyle w:val="1245"/>
              <w:jc w:val="left"/>
              <w:rPr>
                <w:rStyle w:val="1246"/>
                <w:rFonts w:ascii="宋体" w:hAnsi="宋体"/>
              </w:rPr>
            </w:pPr>
            <w:r>
              <w:rPr>
                <w:rStyle w:val="1246"/>
                <w:rFonts w:hint="eastAsia" w:ascii="宋体" w:hAnsi="宋体"/>
              </w:rPr>
              <w:t xml:space="preserve">红灯，A相无压告警</w:t>
            </w:r>
            <w:r>
              <w:rPr>
                <w:rStyle w:val="1246"/>
                <w:rFonts w:ascii="宋体" w:hAnsi="宋体"/>
              </w:rPr>
            </w:r>
            <w:r/>
          </w:p>
        </w:tc>
      </w:tr>
      <w:tr>
        <w:trPr>
          <w:trHeight w:val="454" w:hRule="exact"/>
        </w:trPr>
        <w:tc>
          <w:tcPr>
            <w:tcW w:w="816"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2</w:t>
            </w:r>
            <w:r>
              <w:rPr>
                <w:rStyle w:val="1246"/>
                <w:rFonts w:ascii="宋体" w:hAnsi="宋体"/>
              </w:rPr>
            </w:r>
            <w:r/>
          </w:p>
        </w:tc>
        <w:tc>
          <w:tcPr>
            <w:tcW w:w="1236"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B相</w:t>
            </w:r>
            <w:r>
              <w:rPr>
                <w:rStyle w:val="1246"/>
                <w:rFonts w:ascii="宋体" w:hAnsi="宋体"/>
              </w:rPr>
            </w:r>
            <w:r/>
          </w:p>
        </w:tc>
        <w:tc>
          <w:tcPr>
            <w:tcW w:w="6165" w:type="dxa"/>
            <w:vAlign w:val="top"/>
            <w:textDirection w:val="lrTb"/>
            <w:noWrap w:val="false"/>
          </w:tcPr>
          <w:p>
            <w:pPr>
              <w:pStyle w:val="1245"/>
              <w:jc w:val="left"/>
              <w:rPr>
                <w:rStyle w:val="1246"/>
                <w:rFonts w:ascii="宋体" w:hAnsi="宋体"/>
              </w:rPr>
            </w:pPr>
            <w:r>
              <w:rPr>
                <w:rStyle w:val="1246"/>
                <w:rFonts w:hint="eastAsia" w:ascii="宋体" w:hAnsi="宋体"/>
              </w:rPr>
              <w:t xml:space="preserve">红灯，B相无压告警</w:t>
            </w:r>
            <w:r>
              <w:rPr>
                <w:rStyle w:val="1246"/>
                <w:rFonts w:ascii="宋体" w:hAnsi="宋体"/>
              </w:rPr>
            </w:r>
            <w:r/>
          </w:p>
        </w:tc>
      </w:tr>
      <w:tr>
        <w:trPr>
          <w:trHeight w:val="427" w:hRule="exact"/>
        </w:trPr>
        <w:tc>
          <w:tcPr>
            <w:tcW w:w="816"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3</w:t>
            </w:r>
            <w:r>
              <w:rPr>
                <w:rStyle w:val="1246"/>
                <w:rFonts w:ascii="宋体" w:hAnsi="宋体"/>
              </w:rPr>
            </w:r>
            <w:r/>
          </w:p>
        </w:tc>
        <w:tc>
          <w:tcPr>
            <w:tcW w:w="1236" w:type="dxa"/>
            <w:vAlign w:val="center"/>
            <w:textDirection w:val="lrTb"/>
            <w:noWrap w:val="false"/>
          </w:tcPr>
          <w:p>
            <w:pPr>
              <w:pStyle w:val="1245"/>
              <w:jc w:val="center"/>
              <w:rPr>
                <w:rFonts w:ascii="宋体" w:hAnsi="宋体"/>
              </w:rPr>
            </w:pPr>
            <w:r>
              <w:rPr>
                <w:rStyle w:val="1246"/>
                <w:rFonts w:hint="eastAsia" w:ascii="宋体" w:hAnsi="宋体"/>
              </w:rPr>
              <w:t xml:space="preserve">C相</w:t>
            </w:r>
            <w:r>
              <w:rPr>
                <w:rFonts w:ascii="宋体" w:hAnsi="宋体"/>
              </w:rPr>
            </w:r>
            <w:r/>
          </w:p>
        </w:tc>
        <w:tc>
          <w:tcPr>
            <w:tcW w:w="6165" w:type="dxa"/>
            <w:vAlign w:val="top"/>
            <w:textDirection w:val="lrTb"/>
            <w:noWrap w:val="false"/>
          </w:tcPr>
          <w:p>
            <w:pPr>
              <w:pStyle w:val="1245"/>
              <w:jc w:val="left"/>
              <w:rPr>
                <w:rFonts w:ascii="宋体" w:hAnsi="宋体"/>
              </w:rPr>
            </w:pPr>
            <w:r>
              <w:rPr>
                <w:rStyle w:val="1246"/>
                <w:rFonts w:hint="eastAsia" w:ascii="宋体" w:hAnsi="宋体"/>
              </w:rPr>
              <w:t xml:space="preserve">红灯，C相无压告警</w:t>
            </w:r>
            <w:r>
              <w:rPr>
                <w:rFonts w:ascii="宋体" w:hAnsi="宋体"/>
              </w:rPr>
            </w:r>
            <w:r/>
          </w:p>
        </w:tc>
      </w:tr>
      <w:tr>
        <w:trPr>
          <w:trHeight w:val="454" w:hRule="exact"/>
        </w:trPr>
        <w:tc>
          <w:tcPr>
            <w:gridSpan w:val="3"/>
            <w:tcW w:w="8217" w:type="dxa"/>
            <w:vAlign w:val="center"/>
            <w:textDirection w:val="lrTb"/>
            <w:noWrap w:val="false"/>
          </w:tcPr>
          <w:p>
            <w:pPr>
              <w:pStyle w:val="1245"/>
              <w:ind w:firstLine="630"/>
              <w:rPr>
                <w:rStyle w:val="1246"/>
                <w:rFonts w:ascii="宋体" w:hAnsi="宋体"/>
              </w:rPr>
            </w:pPr>
            <w:r>
              <w:rPr>
                <w:rStyle w:val="1246"/>
                <w:rFonts w:hint="eastAsia" w:ascii="宋体" w:hAnsi="宋体"/>
              </w:rPr>
              <w:t xml:space="preserve">间隔区域</w:t>
            </w:r>
            <w:r>
              <w:rPr>
                <w:rStyle w:val="1246"/>
                <w:rFonts w:ascii="宋体" w:hAnsi="宋体"/>
              </w:rPr>
            </w:r>
            <w:r/>
          </w:p>
        </w:tc>
      </w:tr>
      <w:tr>
        <w:trPr>
          <w:trHeight w:val="454" w:hRule="exact"/>
        </w:trPr>
        <w:tc>
          <w:tcPr>
            <w:tcW w:w="816"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1</w:t>
            </w:r>
            <w:r>
              <w:rPr>
                <w:rStyle w:val="1246"/>
                <w:rFonts w:ascii="宋体" w:hAnsi="宋体"/>
              </w:rPr>
            </w:r>
            <w:r/>
          </w:p>
        </w:tc>
        <w:tc>
          <w:tcPr>
            <w:tcW w:w="1236" w:type="dxa"/>
            <w:vAlign w:val="center"/>
            <w:textDirection w:val="lrTb"/>
            <w:noWrap w:val="false"/>
          </w:tcPr>
          <w:p>
            <w:pPr>
              <w:pStyle w:val="1245"/>
              <w:jc w:val="center"/>
              <w:rPr>
                <w:rFonts w:ascii="宋体" w:hAnsi="宋体"/>
              </w:rPr>
            </w:pPr>
            <w:r>
              <w:rPr>
                <w:rStyle w:val="1246"/>
                <w:rFonts w:hint="eastAsia" w:ascii="宋体" w:hAnsi="宋体"/>
              </w:rPr>
              <w:t xml:space="preserve">故障</w:t>
            </w:r>
            <w:r>
              <w:rPr>
                <w:rFonts w:ascii="宋体" w:hAnsi="宋体"/>
              </w:rPr>
            </w:r>
            <w:r/>
          </w:p>
        </w:tc>
        <w:tc>
          <w:tcPr>
            <w:tcW w:w="6165" w:type="dxa"/>
            <w:vAlign w:val="top"/>
            <w:textDirection w:val="lrTb"/>
            <w:noWrap w:val="false"/>
          </w:tcPr>
          <w:p>
            <w:pPr>
              <w:pStyle w:val="1245"/>
              <w:rPr>
                <w:rFonts w:ascii="宋体" w:hAnsi="宋体"/>
              </w:rPr>
            </w:pPr>
            <w:r>
              <w:rPr>
                <w:rStyle w:val="1246"/>
                <w:rFonts w:hint="eastAsia" w:ascii="宋体" w:hAnsi="宋体"/>
              </w:rPr>
              <w:t xml:space="preserve">红灯，线路</w:t>
            </w:r>
            <w:r>
              <w:rPr>
                <w:rStyle w:val="1246"/>
                <w:rFonts w:ascii="宋体" w:hAnsi="宋体"/>
              </w:rPr>
              <w:t xml:space="preserve">3</w:t>
            </w:r>
            <w:r>
              <w:rPr>
                <w:rStyle w:val="1246"/>
                <w:rFonts w:hint="eastAsia" w:ascii="宋体" w:hAnsi="宋体"/>
              </w:rPr>
              <w:t xml:space="preserve">故障时（接地除外）常亮，否则熄灭</w:t>
            </w:r>
            <w:r>
              <w:rPr>
                <w:rFonts w:ascii="宋体" w:hAnsi="宋体"/>
              </w:rPr>
            </w:r>
            <w:r/>
          </w:p>
        </w:tc>
      </w:tr>
      <w:tr>
        <w:trPr>
          <w:trHeight w:val="454" w:hRule="exact"/>
        </w:trPr>
        <w:tc>
          <w:tcPr>
            <w:tcW w:w="816"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2</w:t>
            </w:r>
            <w:r>
              <w:rPr>
                <w:rStyle w:val="1246"/>
                <w:rFonts w:ascii="宋体" w:hAnsi="宋体"/>
              </w:rPr>
            </w:r>
            <w:r/>
          </w:p>
        </w:tc>
        <w:tc>
          <w:tcPr>
            <w:tcW w:w="1236"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接地</w:t>
            </w:r>
            <w:r>
              <w:rPr>
                <w:rStyle w:val="1246"/>
                <w:rFonts w:ascii="宋体" w:hAnsi="宋体"/>
              </w:rPr>
            </w:r>
            <w:r/>
          </w:p>
        </w:tc>
        <w:tc>
          <w:tcPr>
            <w:tcW w:w="6165" w:type="dxa"/>
            <w:vAlign w:val="center"/>
            <w:textDirection w:val="lrTb"/>
            <w:noWrap w:val="false"/>
          </w:tcPr>
          <w:p>
            <w:pPr>
              <w:pStyle w:val="1151"/>
              <w:widowControl/>
            </w:pPr>
            <w:r>
              <w:rPr>
                <w:rStyle w:val="1246"/>
                <w:rFonts w:hint="eastAsia" w:ascii="宋体" w:hAnsi="宋体"/>
              </w:rPr>
              <w:t xml:space="preserve">红灯，线路</w:t>
            </w:r>
            <w:r>
              <w:rPr>
                <w:rStyle w:val="1246"/>
                <w:rFonts w:ascii="宋体" w:hAnsi="宋体"/>
              </w:rPr>
              <w:t xml:space="preserve">3</w:t>
            </w:r>
            <w:r>
              <w:rPr>
                <w:rStyle w:val="1246"/>
                <w:rFonts w:hint="eastAsia" w:ascii="宋体" w:hAnsi="宋体"/>
              </w:rPr>
              <w:t xml:space="preserve">接地故障时常亮，否则熄灭</w:t>
            </w:r>
            <w:r/>
          </w:p>
        </w:tc>
      </w:tr>
      <w:tr>
        <w:trPr>
          <w:trHeight w:val="454" w:hRule="exact"/>
        </w:trPr>
        <w:tc>
          <w:tcPr>
            <w:tcW w:w="816"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3</w:t>
            </w:r>
            <w:r>
              <w:rPr>
                <w:rStyle w:val="1246"/>
                <w:rFonts w:ascii="宋体" w:hAnsi="宋体"/>
              </w:rPr>
            </w:r>
            <w:r/>
          </w:p>
        </w:tc>
        <w:tc>
          <w:tcPr>
            <w:tcW w:w="1236" w:type="dxa"/>
            <w:vAlign w:val="center"/>
            <w:textDirection w:val="lrTb"/>
            <w:noWrap w:val="false"/>
          </w:tcPr>
          <w:p>
            <w:pPr>
              <w:pStyle w:val="1245"/>
              <w:jc w:val="center"/>
              <w:rPr>
                <w:rStyle w:val="1246"/>
                <w:rFonts w:ascii="宋体" w:hAnsi="宋体"/>
              </w:rPr>
            </w:pPr>
            <w:r>
              <w:rPr>
                <w:rStyle w:val="1246"/>
                <w:rFonts w:hint="eastAsia" w:ascii="宋体" w:hAnsi="宋体"/>
              </w:rPr>
              <w:t xml:space="preserve">隔开</w:t>
            </w:r>
            <w:r>
              <w:rPr>
                <w:rStyle w:val="1246"/>
                <w:rFonts w:ascii="宋体" w:hAnsi="宋体"/>
              </w:rPr>
            </w:r>
            <w:r/>
          </w:p>
        </w:tc>
        <w:tc>
          <w:tcPr>
            <w:tcW w:w="6165" w:type="dxa"/>
            <w:vAlign w:val="center"/>
            <w:textDirection w:val="lrTb"/>
            <w:noWrap w:val="false"/>
          </w:tcPr>
          <w:p>
            <w:pPr>
              <w:pStyle w:val="1151"/>
              <w:widowControl/>
            </w:pPr>
            <w:r>
              <w:rPr>
                <w:rStyle w:val="1246"/>
                <w:rFonts w:hint="eastAsia" w:ascii="宋体" w:hAnsi="宋体"/>
              </w:rPr>
              <w:t xml:space="preserve">绿灯，</w:t>
            </w:r>
            <w:r>
              <w:rPr>
                <w:rFonts w:hint="eastAsia"/>
              </w:rPr>
              <w:t xml:space="preserve">隔离开关位置合时常量</w:t>
            </w:r>
            <w:r>
              <w:rPr>
                <w:rStyle w:val="1246"/>
                <w:rFonts w:hint="eastAsia" w:ascii="宋体" w:hAnsi="宋体"/>
              </w:rPr>
              <w:t xml:space="preserve">，否则熄灭</w:t>
            </w:r>
            <w:r/>
          </w:p>
        </w:tc>
      </w:tr>
      <w:tr>
        <w:trPr>
          <w:trHeight w:val="454" w:hRule="exact"/>
        </w:trPr>
        <w:tc>
          <w:tcPr>
            <w:tcW w:w="816" w:type="dxa"/>
            <w:vAlign w:val="top"/>
            <w:textDirection w:val="lrTb"/>
            <w:noWrap w:val="false"/>
          </w:tcPr>
          <w:p>
            <w:pPr>
              <w:pStyle w:val="1245"/>
              <w:jc w:val="center"/>
              <w:rPr>
                <w:rStyle w:val="1246"/>
                <w:rFonts w:ascii="宋体" w:hAnsi="宋体"/>
              </w:rPr>
            </w:pPr>
            <w:r>
              <w:rPr>
                <w:rStyle w:val="1246"/>
                <w:rFonts w:hint="eastAsia" w:ascii="宋体" w:hAnsi="宋体"/>
              </w:rPr>
              <w:t xml:space="preserve">4</w:t>
            </w:r>
            <w:r>
              <w:rPr>
                <w:rStyle w:val="1246"/>
                <w:rFonts w:ascii="宋体" w:hAnsi="宋体"/>
              </w:rPr>
            </w:r>
            <w:r/>
          </w:p>
        </w:tc>
        <w:tc>
          <w:tcPr>
            <w:tcW w:w="1236" w:type="dxa"/>
            <w:vAlign w:val="top"/>
            <w:textDirection w:val="lrTb"/>
            <w:noWrap w:val="false"/>
          </w:tcPr>
          <w:p>
            <w:pPr>
              <w:pStyle w:val="1245"/>
              <w:jc w:val="center"/>
              <w:rPr>
                <w:rStyle w:val="1246"/>
                <w:rFonts w:ascii="宋体" w:hAnsi="宋体"/>
              </w:rPr>
            </w:pPr>
            <w:r>
              <w:rPr>
                <w:rStyle w:val="1246"/>
                <w:rFonts w:hint="eastAsia" w:ascii="宋体" w:hAnsi="宋体"/>
              </w:rPr>
              <w:t xml:space="preserve">地开</w:t>
            </w:r>
            <w:r>
              <w:rPr>
                <w:rStyle w:val="1246"/>
                <w:rFonts w:ascii="宋体" w:hAnsi="宋体"/>
              </w:rPr>
            </w:r>
            <w:r/>
          </w:p>
        </w:tc>
        <w:tc>
          <w:tcPr>
            <w:tcW w:w="6165" w:type="dxa"/>
            <w:vAlign w:val="center"/>
            <w:textDirection w:val="lrTb"/>
            <w:noWrap w:val="false"/>
          </w:tcPr>
          <w:p>
            <w:pPr>
              <w:pStyle w:val="1151"/>
              <w:widowControl/>
            </w:pPr>
            <w:r>
              <w:rPr>
                <w:rStyle w:val="1246"/>
                <w:rFonts w:hint="eastAsia" w:ascii="宋体" w:hAnsi="宋体"/>
              </w:rPr>
              <w:t xml:space="preserve">绿灯，</w:t>
            </w:r>
            <w:r>
              <w:rPr>
                <w:rFonts w:hint="eastAsia"/>
              </w:rPr>
              <w:t xml:space="preserve">接地开关位置合时常量</w:t>
            </w:r>
            <w:r>
              <w:rPr>
                <w:rStyle w:val="1246"/>
                <w:rFonts w:hint="eastAsia" w:ascii="宋体" w:hAnsi="宋体"/>
              </w:rPr>
              <w:t xml:space="preserve">，否则熄灭</w:t>
            </w:r>
            <w:r/>
          </w:p>
        </w:tc>
      </w:tr>
      <w:tr>
        <w:trPr>
          <w:trHeight w:val="454" w:hRule="exact"/>
        </w:trPr>
        <w:tc>
          <w:tcPr>
            <w:tcW w:w="816" w:type="dxa"/>
            <w:vAlign w:val="top"/>
            <w:textDirection w:val="lrTb"/>
            <w:noWrap w:val="false"/>
          </w:tcPr>
          <w:p>
            <w:pPr>
              <w:pStyle w:val="1245"/>
              <w:jc w:val="center"/>
              <w:rPr>
                <w:rStyle w:val="1246"/>
                <w:rFonts w:ascii="宋体" w:hAnsi="宋体"/>
              </w:rPr>
            </w:pPr>
            <w:r>
              <w:rPr>
                <w:rStyle w:val="1246"/>
                <w:rFonts w:hint="eastAsia" w:ascii="宋体" w:hAnsi="宋体"/>
              </w:rPr>
              <w:t xml:space="preserve">5</w:t>
            </w:r>
            <w:r>
              <w:rPr>
                <w:rStyle w:val="1246"/>
                <w:rFonts w:ascii="宋体" w:hAnsi="宋体"/>
              </w:rPr>
            </w:r>
            <w:r/>
          </w:p>
        </w:tc>
        <w:tc>
          <w:tcPr>
            <w:tcW w:w="1236" w:type="dxa"/>
            <w:vAlign w:val="top"/>
            <w:textDirection w:val="lrTb"/>
            <w:noWrap w:val="false"/>
          </w:tcPr>
          <w:p>
            <w:pPr>
              <w:pStyle w:val="1245"/>
              <w:jc w:val="center"/>
              <w:rPr>
                <w:rStyle w:val="1246"/>
                <w:rFonts w:ascii="宋体" w:hAnsi="宋体"/>
              </w:rPr>
            </w:pPr>
            <w:r>
              <w:rPr>
                <w:rStyle w:val="1246"/>
                <w:rFonts w:hint="eastAsia" w:ascii="宋体" w:hAnsi="宋体"/>
              </w:rPr>
              <w:t xml:space="preserve">控制回路</w:t>
            </w:r>
            <w:r>
              <w:rPr>
                <w:rStyle w:val="1246"/>
                <w:rFonts w:ascii="宋体" w:hAnsi="宋体"/>
              </w:rPr>
            </w:r>
            <w:r/>
          </w:p>
        </w:tc>
        <w:tc>
          <w:tcPr>
            <w:tcW w:w="6165" w:type="dxa"/>
            <w:vAlign w:val="center"/>
            <w:textDirection w:val="lrTb"/>
            <w:noWrap w:val="false"/>
          </w:tcPr>
          <w:p>
            <w:pPr>
              <w:pStyle w:val="1151"/>
              <w:widowControl/>
            </w:pPr>
            <w:r>
              <w:rPr>
                <w:rStyle w:val="1246"/>
                <w:rFonts w:hint="eastAsia" w:ascii="宋体" w:hAnsi="宋体"/>
              </w:rPr>
              <w:t xml:space="preserve">红灯，控制回路</w:t>
            </w:r>
            <w:r>
              <w:rPr>
                <w:rFonts w:hint="eastAsia"/>
              </w:rPr>
              <w:t xml:space="preserve">报警时常量</w:t>
            </w:r>
            <w:r>
              <w:rPr>
                <w:rStyle w:val="1246"/>
                <w:rFonts w:hint="eastAsia" w:ascii="宋体" w:hAnsi="宋体"/>
              </w:rPr>
              <w:t xml:space="preserve">，否则熄灭</w:t>
            </w:r>
            <w:r/>
          </w:p>
        </w:tc>
      </w:tr>
      <w:tr>
        <w:trPr>
          <w:trHeight w:val="454" w:hRule="exact"/>
        </w:trPr>
        <w:tc>
          <w:tcPr>
            <w:tcW w:w="816" w:type="dxa"/>
            <w:vAlign w:val="top"/>
            <w:textDirection w:val="lrTb"/>
            <w:noWrap w:val="false"/>
          </w:tcPr>
          <w:p>
            <w:pPr>
              <w:pStyle w:val="1245"/>
              <w:jc w:val="center"/>
              <w:rPr>
                <w:rStyle w:val="1246"/>
                <w:rFonts w:ascii="宋体" w:hAnsi="宋体"/>
              </w:rPr>
            </w:pPr>
            <w:r>
              <w:rPr>
                <w:rStyle w:val="1246"/>
                <w:rFonts w:hint="eastAsia" w:ascii="宋体" w:hAnsi="宋体"/>
              </w:rPr>
              <w:t xml:space="preserve">6</w:t>
            </w:r>
            <w:r>
              <w:rPr>
                <w:rStyle w:val="1246"/>
                <w:rFonts w:ascii="宋体" w:hAnsi="宋体"/>
              </w:rPr>
            </w:r>
            <w:r/>
          </w:p>
        </w:tc>
        <w:tc>
          <w:tcPr>
            <w:tcW w:w="1236" w:type="dxa"/>
            <w:vAlign w:val="top"/>
            <w:textDirection w:val="lrTb"/>
            <w:noWrap w:val="false"/>
          </w:tcPr>
          <w:p>
            <w:pPr>
              <w:pStyle w:val="1245"/>
              <w:jc w:val="center"/>
              <w:rPr>
                <w:rStyle w:val="1246"/>
                <w:rFonts w:ascii="宋体" w:hAnsi="宋体"/>
              </w:rPr>
            </w:pPr>
            <w:r>
              <w:rPr>
                <w:rFonts w:hint="eastAsia"/>
              </w:rPr>
              <w:t xml:space="preserve">未储</w:t>
            </w:r>
            <w:r>
              <w:rPr>
                <w:rStyle w:val="1246"/>
                <w:rFonts w:ascii="宋体" w:hAnsi="宋体"/>
              </w:rPr>
            </w:r>
            <w:r/>
          </w:p>
        </w:tc>
        <w:tc>
          <w:tcPr>
            <w:tcW w:w="6165" w:type="dxa"/>
            <w:vAlign w:val="center"/>
            <w:textDirection w:val="lrTb"/>
            <w:noWrap w:val="false"/>
          </w:tcPr>
          <w:p>
            <w:pPr>
              <w:pStyle w:val="1151"/>
              <w:widowControl/>
            </w:pPr>
            <w:r>
              <w:rPr>
                <w:rStyle w:val="1246"/>
                <w:rFonts w:hint="eastAsia" w:ascii="宋体" w:hAnsi="宋体"/>
              </w:rPr>
              <w:t xml:space="preserve">红灯，</w:t>
            </w:r>
            <w:r>
              <w:rPr>
                <w:rFonts w:hint="eastAsia"/>
              </w:rPr>
              <w:t xml:space="preserve">未储能位，未储能常亮，储能熄灭</w:t>
            </w:r>
            <w:r/>
          </w:p>
        </w:tc>
      </w:tr>
      <w:tr>
        <w:trPr>
          <w:trHeight w:val="454" w:hRule="exact"/>
        </w:trPr>
        <w:tc>
          <w:tcPr>
            <w:tcW w:w="816" w:type="dxa"/>
            <w:vAlign w:val="top"/>
            <w:textDirection w:val="lrTb"/>
            <w:noWrap w:val="false"/>
          </w:tcPr>
          <w:p>
            <w:pPr>
              <w:pStyle w:val="1245"/>
              <w:jc w:val="center"/>
              <w:rPr>
                <w:rStyle w:val="1246"/>
                <w:rFonts w:ascii="宋体" w:hAnsi="宋体"/>
              </w:rPr>
            </w:pPr>
            <w:r>
              <w:rPr>
                <w:rStyle w:val="1246"/>
                <w:rFonts w:hint="eastAsia" w:ascii="宋体" w:hAnsi="宋体"/>
              </w:rPr>
              <w:t xml:space="preserve">7</w:t>
            </w:r>
            <w:r>
              <w:rPr>
                <w:rStyle w:val="1246"/>
                <w:rFonts w:ascii="宋体" w:hAnsi="宋体"/>
              </w:rPr>
            </w:r>
            <w:r/>
          </w:p>
        </w:tc>
        <w:tc>
          <w:tcPr>
            <w:tcW w:w="1236" w:type="dxa"/>
            <w:vAlign w:val="top"/>
            <w:textDirection w:val="lrTb"/>
            <w:noWrap w:val="false"/>
          </w:tcPr>
          <w:p>
            <w:pPr>
              <w:pStyle w:val="1245"/>
              <w:jc w:val="center"/>
              <w:rPr>
                <w:rStyle w:val="1246"/>
                <w:rFonts w:ascii="宋体" w:hAnsi="宋体"/>
              </w:rPr>
            </w:pPr>
            <w:r>
              <w:rPr>
                <w:rStyle w:val="1246"/>
                <w:rFonts w:hint="eastAsia" w:ascii="宋体" w:hAnsi="宋体"/>
              </w:rPr>
              <w:t xml:space="preserve">远方</w:t>
            </w:r>
            <w:r>
              <w:rPr>
                <w:rStyle w:val="1246"/>
                <w:rFonts w:ascii="宋体" w:hAnsi="宋体"/>
              </w:rPr>
            </w:r>
            <w:r/>
          </w:p>
        </w:tc>
        <w:tc>
          <w:tcPr>
            <w:tcW w:w="6165" w:type="dxa"/>
            <w:vAlign w:val="center"/>
            <w:textDirection w:val="lrTb"/>
            <w:noWrap w:val="false"/>
          </w:tcPr>
          <w:p>
            <w:pPr>
              <w:pStyle w:val="1151"/>
              <w:widowControl/>
            </w:pPr>
            <w:r>
              <w:rPr>
                <w:rStyle w:val="1246"/>
                <w:rFonts w:hint="eastAsia" w:ascii="宋体" w:hAnsi="宋体"/>
              </w:rPr>
              <w:t xml:space="preserve">绿灯，</w:t>
            </w:r>
            <w:r>
              <w:rPr>
                <w:rFonts w:hint="eastAsia"/>
              </w:rPr>
              <w:t xml:space="preserve">一次设备侧远方</w:t>
            </w:r>
            <w:r>
              <w:t xml:space="preserve">/当地</w:t>
            </w:r>
            <w:r>
              <w:rPr>
                <w:rFonts w:hint="eastAsia"/>
              </w:rPr>
              <w:t xml:space="preserve">，远方常亮，就地</w:t>
            </w:r>
            <w:r>
              <w:rPr>
                <w:rStyle w:val="1246"/>
                <w:rFonts w:hint="eastAsia" w:ascii="宋体" w:hAnsi="宋体"/>
              </w:rPr>
              <w:t xml:space="preserve">熄灭</w:t>
            </w:r>
            <w:r/>
          </w:p>
        </w:tc>
      </w:tr>
      <w:tr>
        <w:trPr>
          <w:trHeight w:val="454" w:hRule="exact"/>
        </w:trPr>
        <w:tc>
          <w:tcPr>
            <w:tcW w:w="816" w:type="dxa"/>
            <w:vAlign w:val="top"/>
            <w:textDirection w:val="lrTb"/>
            <w:noWrap w:val="false"/>
          </w:tcPr>
          <w:p>
            <w:pPr>
              <w:pStyle w:val="1245"/>
              <w:jc w:val="center"/>
              <w:rPr>
                <w:rStyle w:val="1246"/>
                <w:rFonts w:ascii="宋体" w:hAnsi="宋体"/>
              </w:rPr>
            </w:pPr>
            <w:r>
              <w:rPr>
                <w:rStyle w:val="1246"/>
                <w:rFonts w:hint="eastAsia" w:ascii="宋体" w:hAnsi="宋体"/>
              </w:rPr>
              <w:t xml:space="preserve">8</w:t>
            </w:r>
            <w:r>
              <w:rPr>
                <w:rStyle w:val="1246"/>
                <w:rFonts w:ascii="宋体" w:hAnsi="宋体"/>
              </w:rPr>
            </w:r>
            <w:r/>
          </w:p>
        </w:tc>
        <w:tc>
          <w:tcPr>
            <w:tcW w:w="1236" w:type="dxa"/>
            <w:vAlign w:val="top"/>
            <w:textDirection w:val="lrTb"/>
            <w:noWrap w:val="false"/>
          </w:tcPr>
          <w:p>
            <w:pPr>
              <w:pStyle w:val="1245"/>
              <w:jc w:val="center"/>
              <w:rPr>
                <w:rStyle w:val="1246"/>
                <w:rFonts w:ascii="宋体" w:hAnsi="宋体"/>
              </w:rPr>
            </w:pPr>
            <w:r>
              <w:rPr>
                <w:rStyle w:val="1246"/>
                <w:rFonts w:hint="eastAsia" w:ascii="宋体" w:hAnsi="宋体"/>
              </w:rPr>
              <w:t xml:space="preserve">合位</w:t>
            </w:r>
            <w:r>
              <w:rPr>
                <w:rStyle w:val="1246"/>
                <w:rFonts w:ascii="宋体" w:hAnsi="宋体"/>
              </w:rPr>
            </w:r>
            <w:r/>
          </w:p>
        </w:tc>
        <w:tc>
          <w:tcPr>
            <w:tcW w:w="6165" w:type="dxa"/>
            <w:vAlign w:val="center"/>
            <w:textDirection w:val="lrTb"/>
            <w:noWrap w:val="false"/>
          </w:tcPr>
          <w:p>
            <w:pPr>
              <w:pStyle w:val="1151"/>
              <w:widowControl/>
            </w:pPr>
            <w:r>
              <w:rPr>
                <w:rStyle w:val="1246"/>
                <w:rFonts w:hint="eastAsia" w:ascii="宋体" w:hAnsi="宋体"/>
              </w:rPr>
              <w:t xml:space="preserve">红灯，开关处于</w:t>
            </w:r>
            <w:r>
              <w:rPr>
                <w:rFonts w:hint="eastAsia"/>
              </w:rPr>
              <w:t xml:space="preserve">合位常量</w:t>
            </w:r>
            <w:r>
              <w:rPr>
                <w:rStyle w:val="1246"/>
                <w:rFonts w:hint="eastAsia" w:ascii="宋体" w:hAnsi="宋体"/>
              </w:rPr>
              <w:t xml:space="preserve">，否则熄灭</w:t>
            </w:r>
            <w:r/>
          </w:p>
        </w:tc>
      </w:tr>
      <w:tr>
        <w:trPr>
          <w:trHeight w:val="454" w:hRule="exact"/>
        </w:trPr>
        <w:tc>
          <w:tcPr>
            <w:tcW w:w="816" w:type="dxa"/>
            <w:vAlign w:val="top"/>
            <w:textDirection w:val="lrTb"/>
            <w:noWrap w:val="false"/>
          </w:tcPr>
          <w:p>
            <w:pPr>
              <w:pStyle w:val="1245"/>
              <w:jc w:val="center"/>
              <w:rPr>
                <w:rStyle w:val="1246"/>
                <w:rFonts w:ascii="宋体" w:hAnsi="宋体"/>
              </w:rPr>
            </w:pPr>
            <w:r>
              <w:rPr>
                <w:rStyle w:val="1246"/>
                <w:rFonts w:hint="eastAsia" w:ascii="宋体" w:hAnsi="宋体"/>
              </w:rPr>
              <w:t xml:space="preserve">9</w:t>
            </w:r>
            <w:r>
              <w:rPr>
                <w:rStyle w:val="1246"/>
                <w:rFonts w:ascii="宋体" w:hAnsi="宋体"/>
              </w:rPr>
            </w:r>
            <w:r/>
          </w:p>
        </w:tc>
        <w:tc>
          <w:tcPr>
            <w:tcW w:w="1236" w:type="dxa"/>
            <w:vAlign w:val="top"/>
            <w:textDirection w:val="lrTb"/>
            <w:noWrap w:val="false"/>
          </w:tcPr>
          <w:p>
            <w:pPr>
              <w:pStyle w:val="1245"/>
              <w:jc w:val="center"/>
              <w:rPr>
                <w:rStyle w:val="1246"/>
                <w:rFonts w:ascii="宋体" w:hAnsi="宋体"/>
              </w:rPr>
            </w:pPr>
            <w:r>
              <w:rPr>
                <w:rStyle w:val="1246"/>
                <w:rFonts w:hint="eastAsia" w:ascii="宋体" w:hAnsi="宋体"/>
              </w:rPr>
              <w:t xml:space="preserve">分位</w:t>
            </w:r>
            <w:r>
              <w:rPr>
                <w:rStyle w:val="1246"/>
                <w:rFonts w:ascii="宋体" w:hAnsi="宋体"/>
              </w:rPr>
            </w:r>
            <w:r/>
          </w:p>
        </w:tc>
        <w:tc>
          <w:tcPr>
            <w:tcW w:w="6165" w:type="dxa"/>
            <w:vAlign w:val="center"/>
            <w:textDirection w:val="lrTb"/>
            <w:noWrap w:val="false"/>
          </w:tcPr>
          <w:p>
            <w:pPr>
              <w:pStyle w:val="1151"/>
              <w:widowControl/>
            </w:pPr>
            <w:r>
              <w:rPr>
                <w:rStyle w:val="1246"/>
                <w:rFonts w:hint="eastAsia" w:ascii="宋体" w:hAnsi="宋体"/>
              </w:rPr>
              <w:t xml:space="preserve">绿灯，</w:t>
            </w:r>
            <w:r>
              <w:rPr>
                <w:rFonts w:hint="eastAsia"/>
              </w:rPr>
              <w:t xml:space="preserve">分位常量</w:t>
            </w:r>
            <w:r>
              <w:rPr>
                <w:rStyle w:val="1246"/>
                <w:rFonts w:hint="eastAsia" w:ascii="宋体" w:hAnsi="宋体"/>
              </w:rPr>
              <w:t xml:space="preserve">，否则熄灭</w:t>
            </w:r>
            <w:r/>
          </w:p>
        </w:tc>
      </w:tr>
      <w:tr>
        <w:trPr>
          <w:trHeight w:val="454" w:hRule="exact"/>
        </w:trPr>
        <w:tc>
          <w:tcPr>
            <w:tcW w:w="816" w:type="dxa"/>
            <w:vAlign w:val="top"/>
            <w:textDirection w:val="lrTb"/>
            <w:noWrap w:val="false"/>
          </w:tcPr>
          <w:p>
            <w:pPr>
              <w:pStyle w:val="1245"/>
              <w:jc w:val="center"/>
              <w:rPr>
                <w:rStyle w:val="1246"/>
                <w:rFonts w:ascii="宋体" w:hAnsi="宋体"/>
              </w:rPr>
            </w:pPr>
            <w:r>
              <w:rPr>
                <w:rStyle w:val="1246"/>
                <w:rFonts w:hint="eastAsia" w:ascii="宋体" w:hAnsi="宋体"/>
              </w:rPr>
              <w:t xml:space="preserve">10</w:t>
            </w:r>
            <w:r>
              <w:rPr>
                <w:rStyle w:val="1246"/>
                <w:rFonts w:ascii="宋体" w:hAnsi="宋体"/>
              </w:rPr>
            </w:r>
            <w:r/>
          </w:p>
        </w:tc>
        <w:tc>
          <w:tcPr>
            <w:tcW w:w="1236" w:type="dxa"/>
            <w:vAlign w:val="top"/>
            <w:textDirection w:val="lrTb"/>
            <w:noWrap w:val="false"/>
          </w:tcPr>
          <w:p>
            <w:pPr>
              <w:pStyle w:val="1245"/>
              <w:jc w:val="center"/>
              <w:rPr>
                <w:rStyle w:val="1246"/>
                <w:rFonts w:ascii="宋体" w:hAnsi="宋体"/>
              </w:rPr>
            </w:pPr>
            <w:r>
              <w:rPr>
                <w:rStyle w:val="1246"/>
                <w:rFonts w:hint="eastAsia" w:ascii="宋体" w:hAnsi="宋体"/>
              </w:rPr>
              <w:t xml:space="preserve">操作</w:t>
            </w:r>
            <w:r>
              <w:rPr>
                <w:rStyle w:val="1246"/>
                <w:rFonts w:ascii="宋体" w:hAnsi="宋体"/>
              </w:rPr>
            </w:r>
            <w:r/>
          </w:p>
        </w:tc>
        <w:tc>
          <w:tcPr>
            <w:tcW w:w="6165" w:type="dxa"/>
            <w:vAlign w:val="center"/>
            <w:textDirection w:val="lrTb"/>
            <w:noWrap w:val="false"/>
          </w:tcPr>
          <w:p>
            <w:pPr>
              <w:pStyle w:val="1151"/>
              <w:widowControl/>
              <w:rPr>
                <w:rStyle w:val="1246"/>
                <w:rFonts w:ascii="宋体" w:hAnsi="宋体"/>
              </w:rPr>
            </w:pPr>
            <w:r>
              <w:rPr>
                <w:rStyle w:val="1246"/>
                <w:rFonts w:hint="eastAsia" w:ascii="宋体" w:hAnsi="宋体"/>
              </w:rPr>
              <w:t xml:space="preserve">绿灯，操作板处于远方常亮，就地熄灭</w:t>
            </w:r>
            <w:r>
              <w:rPr>
                <w:rStyle w:val="1246"/>
                <w:rFonts w:ascii="宋体" w:hAnsi="宋体"/>
              </w:rPr>
            </w:r>
            <w:r/>
          </w:p>
        </w:tc>
      </w:tr>
    </w:tbl>
    <w:p>
      <w:pPr>
        <w:pStyle w:val="1151"/>
        <w:spacing w:line="312" w:lineRule="exact"/>
        <w:rPr>
          <w:rFonts w:ascii="宋体" w:hAnsi="宋体" w:eastAsia="宋体"/>
          <w:szCs w:val="21"/>
        </w:rPr>
        <w:outlineLvl w:val="2"/>
      </w:pPr>
      <w:r/>
      <w:bookmarkStart w:id="358" w:name="_Toc505074289"/>
      <w:r/>
      <w:bookmarkEnd w:id="358"/>
      <w:r/>
      <w:bookmarkStart w:id="359" w:name="_Toc505088747"/>
      <w:r/>
      <w:bookmarkEnd w:id="359"/>
      <w:r/>
      <w:bookmarkStart w:id="360" w:name="_Toc505088750"/>
      <w:r/>
      <w:bookmarkEnd w:id="360"/>
      <w:r/>
      <w:bookmarkStart w:id="361" w:name="_Toc505088749"/>
      <w:r/>
      <w:bookmarkEnd w:id="361"/>
      <w:r/>
      <w:bookmarkStart w:id="362" w:name="_Toc512502893"/>
      <w:r/>
      <w:bookmarkStart w:id="363" w:name="_Toc512518936"/>
      <w:r/>
      <w:bookmarkStart w:id="364" w:name="_Toc509497709"/>
      <w:r/>
      <w:bookmarkStart w:id="365" w:name="_Toc505074291"/>
      <w:r/>
      <w:bookmarkEnd w:id="365"/>
      <w:r/>
      <w:bookmarkStart w:id="366" w:name="_Toc505074292"/>
      <w:r/>
      <w:bookmarkEnd w:id="366"/>
      <w:r>
        <w:rPr>
          <w:rFonts w:ascii="宋体" w:hAnsi="宋体" w:eastAsia="宋体"/>
          <w:szCs w:val="21"/>
        </w:rPr>
        <w:t xml:space="preserve">B.2.5 </w:t>
      </w:r>
      <w:r>
        <w:rPr>
          <w:rFonts w:hint="eastAsia" w:ascii="宋体" w:hAnsi="宋体" w:eastAsia="宋体"/>
          <w:szCs w:val="21"/>
        </w:rPr>
        <w:t xml:space="preserve">远程通信模块状态指示</w:t>
      </w:r>
      <w:bookmarkEnd w:id="362"/>
      <w:r/>
      <w:bookmarkEnd w:id="363"/>
      <w:r/>
      <w:bookmarkEnd w:id="364"/>
      <w:r>
        <w:rPr>
          <w:rFonts w:ascii="宋体" w:hAnsi="宋体" w:eastAsia="宋体"/>
          <w:szCs w:val="21"/>
        </w:rPr>
      </w:r>
      <w:r/>
    </w:p>
    <w:p>
      <w:pPr>
        <w:pStyle w:val="1151"/>
        <w:jc w:val="center"/>
        <w:spacing w:before="156" w:after="156"/>
        <w:widowControl/>
      </w:pPr>
      <w:r>
        <w:object w:dxaOrig="9907" w:dyaOrig="414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159.0pt;height:64.5pt;mso-wrap-distance-left:0.0pt;mso-wrap-distance-top:0.0pt;mso-wrap-distance-right:0.0pt;mso-wrap-distance-bottom:0.0pt;" filled="f" stroked="f">
            <v:path textboxrect="0,0,0,0"/>
            <v:imagedata r:id="rId93" o:title=""/>
          </v:shape>
          <o:OLEObject DrawAspect="Content" r:id="rId94" ObjectID="_15250481" ProgID="" ShapeID="_x0000_i81" Type="Embed"/>
        </w:object>
      </w:r>
      <w:r/>
    </w:p>
    <w:p>
      <w:pPr>
        <w:pStyle w:val="1151"/>
        <w:ind w:firstLine="420"/>
        <w:jc w:val="center"/>
        <w:spacing w:before="156" w:after="156"/>
        <w:widowControl/>
        <w:tabs>
          <w:tab w:val="center" w:pos="4201" w:leader="none"/>
          <w:tab w:val="right" w:pos="9298" w:leader="dot"/>
        </w:tabs>
        <w:rPr>
          <w:rFonts w:eastAsia="黑体"/>
          <w:szCs w:val="21"/>
        </w:rPr>
      </w:pPr>
      <w:r>
        <w:rPr>
          <w:rFonts w:ascii="黑体" w:hAnsi="黑体" w:eastAsia="黑体"/>
          <w:szCs w:val="21"/>
        </w:rPr>
        <w:t xml:space="preserve">图B</w:t>
      </w:r>
      <w:r>
        <w:rPr>
          <w:rFonts w:hint="eastAsia" w:ascii="黑体" w:hAnsi="黑体" w:eastAsia="黑体"/>
          <w:szCs w:val="21"/>
        </w:rPr>
        <w:t xml:space="preserve">-13</w:t>
      </w:r>
      <w:r>
        <w:rPr>
          <w:rFonts w:eastAsia="黑体"/>
        </w:rPr>
        <w:t xml:space="preserve">远程通信模块</w:t>
      </w:r>
      <w:r>
        <w:rPr>
          <w:rFonts w:eastAsia="黑体"/>
          <w:szCs w:val="21"/>
        </w:rPr>
        <w:t xml:space="preserve">指示灯</w:t>
      </w:r>
      <w:r>
        <w:rPr>
          <w:rFonts w:eastAsia="黑体"/>
          <w:szCs w:val="21"/>
        </w:rPr>
      </w:r>
      <w:r/>
    </w:p>
    <w:p>
      <w:pPr>
        <w:pStyle w:val="1201"/>
        <w:tabs>
          <w:tab w:val="center" w:pos="4201" w:leader="none"/>
          <w:tab w:val="right" w:pos="9298" w:leader="dot"/>
        </w:tabs>
        <w:rPr>
          <w:rFonts w:ascii="Times New Roman"/>
          <w:szCs w:val="21"/>
        </w:rPr>
      </w:pPr>
      <w:r>
        <w:rPr>
          <w:rFonts w:ascii="Times New Roman"/>
          <w:szCs w:val="21"/>
        </w:rPr>
        <w:tab/>
      </w:r>
      <w:r>
        <w:rPr>
          <w:rFonts w:ascii="Times New Roman"/>
          <w:szCs w:val="21"/>
        </w:rPr>
        <w:t xml:space="preserve">PWR——电源状态指示，绿色；常亮：表明系统供电正常，常灭：表明系统无供电</w:t>
      </w:r>
      <w:r>
        <w:rPr>
          <w:rFonts w:hint="eastAsia" w:ascii="Times New Roman"/>
          <w:szCs w:val="21"/>
        </w:rPr>
        <w:t xml:space="preserve">；</w:t>
      </w:r>
      <w:r>
        <w:rPr>
          <w:rFonts w:ascii="Times New Roman"/>
          <w:szCs w:val="21"/>
        </w:rPr>
      </w:r>
      <w:r/>
    </w:p>
    <w:p>
      <w:pPr>
        <w:pStyle w:val="1201"/>
        <w:tabs>
          <w:tab w:val="center" w:pos="4201" w:leader="none"/>
          <w:tab w:val="right" w:pos="9298" w:leader="dot"/>
        </w:tabs>
        <w:rPr>
          <w:rFonts w:ascii="Times New Roman"/>
          <w:szCs w:val="21"/>
        </w:rPr>
      </w:pPr>
      <w:r>
        <w:rPr>
          <w:rFonts w:ascii="Times New Roman"/>
          <w:szCs w:val="21"/>
        </w:rPr>
        <w:t xml:space="preserve">WWAN——模块通信状态指示，绿色；常亮：表明4G模块处于连接/激活状态，闪烁（4Hz）：表明4G模块有数据传输，常灭：表明4G模块处于未连接/未激活状态</w:t>
      </w:r>
      <w:r>
        <w:rPr>
          <w:rFonts w:hint="eastAsia" w:ascii="Times New Roman"/>
          <w:szCs w:val="21"/>
        </w:rPr>
        <w:t xml:space="preserve">；</w:t>
      </w:r>
      <w:r>
        <w:rPr>
          <w:rFonts w:ascii="Times New Roman"/>
          <w:szCs w:val="21"/>
        </w:rPr>
      </w:r>
      <w:r/>
    </w:p>
    <w:p>
      <w:pPr>
        <w:pStyle w:val="1201"/>
        <w:tabs>
          <w:tab w:val="center" w:pos="4201" w:leader="none"/>
          <w:tab w:val="right" w:pos="9298" w:leader="dot"/>
        </w:tabs>
        <w:rPr>
          <w:rFonts w:ascii="Times New Roman"/>
          <w:szCs w:val="21"/>
        </w:rPr>
      </w:pPr>
      <w:r>
        <w:rPr>
          <w:rFonts w:ascii="Times New Roman"/>
          <w:szCs w:val="21"/>
        </w:rPr>
        <w:t xml:space="preserve">2G——模块工作模式状态指示，绿色；常亮：模块工作在2G模式</w:t>
      </w:r>
      <w:r>
        <w:rPr>
          <w:rFonts w:hint="eastAsia" w:ascii="Times New Roman"/>
          <w:szCs w:val="21"/>
        </w:rPr>
        <w:t xml:space="preserve">；</w:t>
      </w:r>
      <w:r>
        <w:rPr>
          <w:rFonts w:ascii="Times New Roman"/>
          <w:szCs w:val="21"/>
        </w:rPr>
      </w:r>
      <w:r/>
    </w:p>
    <w:p>
      <w:pPr>
        <w:pStyle w:val="1201"/>
        <w:tabs>
          <w:tab w:val="center" w:pos="4201" w:leader="none"/>
          <w:tab w:val="right" w:pos="9298" w:leader="dot"/>
        </w:tabs>
        <w:rPr>
          <w:rFonts w:ascii="Times New Roman"/>
          <w:szCs w:val="21"/>
        </w:rPr>
      </w:pPr>
      <w:r>
        <w:rPr>
          <w:rFonts w:ascii="Times New Roman"/>
          <w:szCs w:val="21"/>
        </w:rPr>
        <w:t xml:space="preserve">3G——模块工作模式状态指示，绿色；常亮：模块工作在3G模式</w:t>
      </w:r>
      <w:r>
        <w:rPr>
          <w:rFonts w:hint="eastAsia" w:ascii="Times New Roman"/>
          <w:szCs w:val="21"/>
        </w:rPr>
        <w:t xml:space="preserve">；</w:t>
      </w:r>
      <w:r>
        <w:rPr>
          <w:rFonts w:ascii="Times New Roman"/>
          <w:szCs w:val="21"/>
        </w:rPr>
      </w:r>
      <w:r/>
    </w:p>
    <w:p>
      <w:pPr>
        <w:pStyle w:val="1151"/>
        <w:ind w:firstLine="400"/>
      </w:pPr>
      <w:r>
        <w:rPr>
          <w:szCs w:val="21"/>
        </w:rPr>
        <w:t xml:space="preserve">2G和3G常亮：模块工作在4G模式</w:t>
      </w:r>
      <w:r>
        <w:rPr>
          <w:szCs w:val="21"/>
        </w:rPr>
        <w:t xml:space="preserve">；</w:t>
      </w:r>
      <w:r>
        <w:rPr>
          <w:szCs w:val="21"/>
        </w:rPr>
        <w:t xml:space="preserve">2G和3G常灭：模块工作异常或者未注册。</w:t>
      </w:r>
      <w:r/>
    </w:p>
    <w:p>
      <w:pPr>
        <w:pStyle w:val="1151"/>
        <w:spacing w:line="312" w:lineRule="exact"/>
        <w:rPr>
          <w:rFonts w:ascii="宋体" w:hAnsi="宋体" w:eastAsia="宋体"/>
          <w:szCs w:val="21"/>
        </w:rPr>
        <w:outlineLvl w:val="2"/>
      </w:pPr>
      <w:r/>
      <w:bookmarkStart w:id="367" w:name="_Toc509497710"/>
      <w:r/>
      <w:bookmarkStart w:id="368" w:name="_Toc512518937"/>
      <w:r/>
      <w:bookmarkStart w:id="369" w:name="_Toc512502894"/>
      <w:r>
        <w:rPr>
          <w:rFonts w:ascii="宋体" w:hAnsi="宋体" w:eastAsia="宋体"/>
          <w:szCs w:val="21"/>
        </w:rPr>
        <w:t xml:space="preserve">B.2.6 </w:t>
      </w:r>
      <w:r>
        <w:rPr>
          <w:rFonts w:hint="eastAsia" w:ascii="宋体" w:hAnsi="宋体" w:eastAsia="宋体"/>
          <w:szCs w:val="21"/>
        </w:rPr>
        <w:t xml:space="preserve">本地通信模块状态指示</w:t>
      </w:r>
      <w:bookmarkEnd w:id="367"/>
      <w:r/>
      <w:bookmarkEnd w:id="368"/>
      <w:r/>
      <w:bookmarkEnd w:id="369"/>
      <w:r>
        <w:rPr>
          <w:rFonts w:ascii="宋体" w:hAnsi="宋体" w:eastAsia="宋体"/>
          <w:szCs w:val="21"/>
        </w:rPr>
      </w:r>
      <w:r/>
    </w:p>
    <w:p>
      <w:pPr>
        <w:pStyle w:val="1253"/>
      </w:pPr>
      <w:r>
        <mc:AlternateContent>
          <mc:Choice Requires="wpg">
            <w:drawing>
              <wp:inline xmlns:wp="http://schemas.openxmlformats.org/drawingml/2006/wordprocessingDrawing" distT="0" distB="0" distL="0" distR="0">
                <wp:extent cx="2362098" cy="828657"/>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2362098" cy="8286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86.0pt;height:65.2pt;mso-wrap-distance-left:0.0pt;mso-wrap-distance-top:0.0pt;mso-wrap-distance-right:0.0pt;mso-wrap-distance-bottom:0.0pt;" stroked="f">
                <v:path textboxrect="0,0,0,0"/>
                <v:imagedata r:id="rId95" o:title=""/>
              </v:shape>
            </w:pict>
          </mc:Fallback>
        </mc:AlternateContent>
      </w:r>
      <w:r/>
    </w:p>
    <w:p>
      <w:pPr>
        <w:pStyle w:val="1253"/>
        <w:spacing w:before="156" w:after="156"/>
      </w:pPr>
      <w:r>
        <w:rPr>
          <w:rFonts w:hAnsi="黑体"/>
        </w:rPr>
        <w:t xml:space="preserve">图B</w:t>
      </w:r>
      <w:r>
        <w:rPr>
          <w:rFonts w:hint="eastAsia" w:hAnsi="黑体"/>
        </w:rPr>
        <w:t xml:space="preserve">-14</w:t>
      </w:r>
      <w:r>
        <w:t xml:space="preserve">微功率无线通信模块指示灯</w:t>
      </w:r>
      <w:r/>
    </w:p>
    <w:p>
      <w:pPr>
        <w:pStyle w:val="1201"/>
        <w:tabs>
          <w:tab w:val="center" w:pos="4201" w:leader="none"/>
          <w:tab w:val="right" w:pos="9298" w:leader="dot"/>
        </w:tabs>
        <w:rPr>
          <w:rFonts w:ascii="Times New Roman"/>
          <w:szCs w:val="21"/>
        </w:rPr>
      </w:pPr>
      <w:r>
        <w:rPr>
          <w:rFonts w:ascii="Times New Roman"/>
          <w:szCs w:val="21"/>
        </w:rPr>
        <w:t xml:space="preserve">PWR——模块上电指示灯，绿色，灯亮表示模块上电，灯灭表示模块失电；</w:t>
      </w:r>
      <w:r>
        <w:rPr>
          <w:rFonts w:ascii="Times New Roman"/>
          <w:szCs w:val="21"/>
        </w:rPr>
      </w:r>
      <w:r/>
    </w:p>
    <w:p>
      <w:pPr>
        <w:pStyle w:val="1201"/>
        <w:tabs>
          <w:tab w:val="center" w:pos="4201" w:leader="none"/>
          <w:tab w:val="right" w:pos="9298" w:leader="dot"/>
        </w:tabs>
        <w:rPr>
          <w:rFonts w:ascii="Times New Roman"/>
          <w:szCs w:val="21"/>
        </w:rPr>
      </w:pPr>
      <w:r>
        <w:rPr>
          <w:rFonts w:ascii="Times New Roman"/>
          <w:szCs w:val="21"/>
        </w:rPr>
        <w:t xml:space="preserve">T/R——模块数据通信指示灯，红绿双色，红灯闪烁表示模块接收数据，绿灯闪烁表示模块发送数据；</w:t>
      </w:r>
      <w:r>
        <w:rPr>
          <w:rFonts w:ascii="Times New Roman"/>
          <w:szCs w:val="21"/>
        </w:rPr>
      </w:r>
      <w:r/>
    </w:p>
    <w:p>
      <w:pPr>
        <w:pStyle w:val="1201"/>
        <w:tabs>
          <w:tab w:val="center" w:pos="4201" w:leader="none"/>
          <w:tab w:val="right" w:pos="9298" w:leader="dot"/>
        </w:tabs>
        <w:rPr>
          <w:rFonts w:ascii="Times New Roman"/>
          <w:szCs w:val="21"/>
        </w:rPr>
      </w:pPr>
      <w:r>
        <w:rPr>
          <w:rFonts w:ascii="Times New Roman"/>
          <w:szCs w:val="21"/>
        </w:rPr>
        <w:t xml:space="preserve">NET——通信模块无线网络状态指示灯，绿色；</w:t>
      </w:r>
      <w:r>
        <w:rPr>
          <w:rFonts w:ascii="Times New Roman"/>
          <w:szCs w:val="21"/>
        </w:rPr>
        <w:t xml:space="preserve">常亮：表明模块处于连接/激活状态，闪烁（4Hz）：表明连接/激活中，常灭：表明模块处于未连接/未激活状态</w:t>
      </w:r>
      <w:r>
        <w:rPr>
          <w:rFonts w:ascii="Times New Roman"/>
          <w:szCs w:val="21"/>
        </w:rPr>
        <w:t xml:space="preserve">。</w:t>
      </w:r>
      <w:r>
        <w:rPr>
          <w:rFonts w:ascii="Times New Roman"/>
          <w:szCs w:val="21"/>
        </w:rPr>
      </w:r>
      <w:r/>
    </w:p>
    <w:p>
      <w:pPr>
        <w:pStyle w:val="1151"/>
        <w:spacing w:line="312" w:lineRule="exact"/>
        <w:rPr>
          <w:rStyle w:val="1246"/>
          <w:rFonts w:ascii="宋体"/>
          <w:b/>
          <w:color w:val="000000"/>
          <w:szCs w:val="22"/>
        </w:rPr>
        <w:outlineLvl w:val="2"/>
      </w:pPr>
      <w:r/>
      <w:bookmarkStart w:id="370" w:name="_Toc499555349"/>
      <w:r/>
      <w:bookmarkStart w:id="371" w:name="_Toc512518944"/>
      <w:r/>
      <w:bookmarkStart w:id="372" w:name="_Toc512502902"/>
      <w:r/>
      <w:bookmarkStart w:id="373" w:name="_Toc509497717"/>
      <w:r/>
      <w:bookmarkStart w:id="374" w:name="_Toc501306788"/>
      <w:r>
        <w:rPr>
          <w:rFonts w:ascii="宋体" w:hAnsi="宋体" w:eastAsia="宋体"/>
          <w:szCs w:val="21"/>
        </w:rPr>
        <w:t xml:space="preserve">B.2.7 </w:t>
      </w:r>
      <w:r>
        <w:rPr>
          <w:rFonts w:hint="eastAsia" w:ascii="宋体" w:hAnsi="宋体" w:eastAsia="宋体"/>
          <w:szCs w:val="21"/>
        </w:rPr>
        <w:t xml:space="preserve">远程通信扩展模块</w:t>
      </w:r>
      <w:bookmarkEnd w:id="370"/>
      <w:r>
        <w:rPr>
          <w:rFonts w:hint="eastAsia" w:ascii="宋体" w:hAnsi="宋体" w:eastAsia="宋体"/>
          <w:szCs w:val="21"/>
        </w:rPr>
        <w:t xml:space="preserve">接口</w:t>
      </w:r>
      <w:bookmarkEnd w:id="371"/>
      <w:r/>
      <w:bookmarkEnd w:id="372"/>
      <w:r/>
      <w:bookmarkEnd w:id="373"/>
      <w:r>
        <w:rPr>
          <w:rStyle w:val="1246"/>
          <w:rFonts w:ascii="宋体"/>
          <w:b/>
          <w:color w:val="000000"/>
          <w:szCs w:val="22"/>
        </w:rPr>
      </w:r>
      <w:r/>
    </w:p>
    <w:p>
      <w:pPr>
        <w:pStyle w:val="1151"/>
        <w:ind w:firstLine="420"/>
        <w:widowControl/>
      </w:pPr>
      <w:r>
        <w:t xml:space="preserve">远程通信扩展模块接口应采用2×15双排插针作为连接件，其</w:t>
      </w:r>
      <w:r>
        <w:rPr>
          <w:rFonts w:hint="eastAsia"/>
        </w:rPr>
        <w:t xml:space="preserve">引脚示意图及定义说明如图B-12所示，</w:t>
      </w:r>
      <w:bookmarkEnd w:id="374"/>
      <w:r>
        <w:rPr>
          <w:rFonts w:hint="eastAsia"/>
        </w:rPr>
        <w:t xml:space="preserve">引脚定义说明见表B-2。</w:t>
      </w:r>
      <w:r/>
    </w:p>
    <w:p>
      <w:pPr>
        <w:pStyle w:val="1151"/>
        <w:jc w:val="center"/>
        <w:widowControl/>
        <w:rPr>
          <w:rFonts w:eastAsia="黑体"/>
        </w:rPr>
      </w:pPr>
      <w:r>
        <w:rPr>
          <w:rFonts w:eastAsia="黑体"/>
        </w:rPr>
        <mc:AlternateContent>
          <mc:Choice Requires="wpg">
            <w:drawing>
              <wp:inline xmlns:wp="http://schemas.openxmlformats.org/drawingml/2006/wordprocessingDrawing" distT="0" distB="0" distL="0" distR="0">
                <wp:extent cx="6259411" cy="1066637"/>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6259411" cy="10666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92.9pt;height:84.0pt;mso-wrap-distance-left:0.0pt;mso-wrap-distance-top:0.0pt;mso-wrap-distance-right:0.0pt;mso-wrap-distance-bottom:0.0pt;" stroked="f">
                <v:path textboxrect="0,0,0,0"/>
                <v:imagedata r:id="rId96" o:title=""/>
              </v:shape>
            </w:pict>
          </mc:Fallback>
        </mc:AlternateContent>
      </w:r>
      <w:r>
        <w:rPr>
          <w:rFonts w:eastAsia="黑体"/>
        </w:rPr>
      </w:r>
      <w:r/>
    </w:p>
    <w:p>
      <w:pPr>
        <w:pStyle w:val="1151"/>
        <w:ind w:firstLine="420"/>
        <w:jc w:val="center"/>
        <w:spacing w:before="156" w:after="156"/>
        <w:widowControl/>
        <w:tabs>
          <w:tab w:val="center" w:pos="4201" w:leader="none"/>
          <w:tab w:val="right" w:pos="9298" w:leader="dot"/>
        </w:tabs>
        <w:rPr>
          <w:rFonts w:eastAsia="黑体"/>
          <w:szCs w:val="21"/>
        </w:rPr>
      </w:pPr>
      <w:r>
        <w:rPr>
          <w:rFonts w:ascii="黑体" w:hAnsi="黑体" w:eastAsia="黑体"/>
          <w:szCs w:val="21"/>
        </w:rPr>
        <w:t xml:space="preserve">图</w:t>
      </w:r>
      <w:r>
        <w:rPr>
          <w:rFonts w:hint="eastAsia" w:ascii="黑体" w:hAnsi="黑体" w:eastAsia="黑体"/>
          <w:szCs w:val="21"/>
        </w:rPr>
        <w:t xml:space="preserve">B-</w:t>
      </w:r>
      <w:r>
        <w:rPr>
          <w:rFonts w:ascii="黑体" w:hAnsi="黑体" w:eastAsia="黑体"/>
          <w:szCs w:val="21"/>
        </w:rPr>
        <w:t xml:space="preserve">1</w:t>
      </w:r>
      <w:r>
        <w:rPr>
          <w:rFonts w:hint="eastAsia" w:ascii="黑体" w:hAnsi="黑体" w:eastAsia="黑体"/>
          <w:szCs w:val="21"/>
        </w:rPr>
        <w:t xml:space="preserve">5</w:t>
      </w:r>
      <w:r>
        <w:rPr>
          <w:rFonts w:eastAsia="黑体"/>
          <w:szCs w:val="21"/>
        </w:rPr>
        <w:t xml:space="preserve">远程通信扩展模块</w:t>
      </w:r>
      <w:r>
        <w:rPr>
          <w:rFonts w:hint="eastAsia" w:eastAsia="黑体"/>
          <w:szCs w:val="21"/>
        </w:rPr>
        <w:t xml:space="preserve">接口引脚</w:t>
      </w:r>
      <w:r>
        <w:rPr>
          <w:rFonts w:eastAsia="黑体"/>
          <w:szCs w:val="21"/>
        </w:rPr>
        <w:t xml:space="preserve">示意图</w:t>
      </w:r>
      <w:r>
        <w:rPr>
          <w:rFonts w:eastAsia="黑体"/>
          <w:szCs w:val="21"/>
        </w:rPr>
      </w:r>
      <w:r/>
    </w:p>
    <w:p>
      <w:pPr>
        <w:pStyle w:val="1254"/>
        <w:ind w:left="0" w:firstLine="0"/>
        <w:spacing w:before="156" w:after="156"/>
        <w:rPr>
          <w:rFonts w:hAnsi="黑体"/>
        </w:rPr>
      </w:pPr>
      <w:r>
        <w:rPr>
          <w:rFonts w:hAnsi="黑体"/>
        </w:rPr>
        <w:t xml:space="preserve">表</w:t>
      </w:r>
      <w:r>
        <w:rPr>
          <w:rFonts w:hint="eastAsia" w:hAnsi="黑体"/>
        </w:rPr>
        <w:t xml:space="preserve">B-2 </w:t>
      </w:r>
      <w:r>
        <w:t xml:space="preserve">远程通信扩展模块</w:t>
      </w:r>
      <w:r>
        <w:rPr>
          <w:rFonts w:hint="eastAsia"/>
        </w:rPr>
        <w:t xml:space="preserve">接口引脚定义说明</w:t>
      </w:r>
      <w:r>
        <w:rPr>
          <w:rFonts w:hAnsi="黑体"/>
        </w:rPr>
      </w:r>
      <w:r/>
    </w:p>
    <w:tbl>
      <w:tblPr>
        <w:tblW w:w="9808" w:type="dxa"/>
        <w:jc w:val="center"/>
        <w:tblInd w:w="-85" w:type="dxa"/>
        <w:tblLayout w:type="fixed"/>
        <w:tblCellMar>
          <w:left w:w="85" w:type="dxa"/>
          <w:top w:w="10" w:type="dxa"/>
          <w:right w:w="85" w:type="dxa"/>
          <w:bottom w:w="0" w:type="dxa"/>
        </w:tblCellMar>
        <w:tblLook w:val="04A0" w:firstRow="1" w:lastRow="0" w:firstColumn="1" w:lastColumn="0" w:noHBand="0" w:noVBand="1"/>
      </w:tblPr>
      <w:tblGrid>
        <w:gridCol w:w="932"/>
        <w:gridCol w:w="1134"/>
        <w:gridCol w:w="1134"/>
        <w:gridCol w:w="1417"/>
        <w:gridCol w:w="5191"/>
      </w:tblGrid>
      <w:tr>
        <w:trPr>
          <w:trHeight w:val="361"/>
          <w:tblHeader/>
        </w:trPr>
        <w:tc>
          <w:tcPr>
            <w:tcBorders>
              <w:top w:val="single" w:color="000000" w:sz="8" w:space="0"/>
              <w:left w:val="single" w:color="000000" w:sz="8" w:space="0"/>
              <w:bottom w:val="single" w:color="000000" w:sz="8"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widowControl/>
              <w:rPr>
                <w:sz w:val="18"/>
                <w:szCs w:val="18"/>
              </w:rPr>
            </w:pPr>
            <w:r>
              <w:rPr>
                <w:sz w:val="18"/>
                <w:szCs w:val="18"/>
              </w:rPr>
              <w:t xml:space="preserve">引脚编号</w:t>
            </w:r>
            <w:r>
              <w:rPr>
                <w:sz w:val="18"/>
                <w:szCs w:val="18"/>
              </w:rPr>
            </w:r>
            <w:r/>
          </w:p>
        </w:tc>
        <w:tc>
          <w:tcPr>
            <w:tcBorders>
              <w:top w:val="single" w:color="000000" w:sz="8" w:space="0"/>
              <w:left w:val="single" w:color="000000" w:sz="4" w:space="0"/>
              <w:bottom w:val="single" w:color="000000" w:sz="8"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widowControl/>
              <w:rPr>
                <w:sz w:val="18"/>
                <w:szCs w:val="18"/>
              </w:rPr>
            </w:pPr>
            <w:r>
              <w:rPr>
                <w:sz w:val="18"/>
                <w:szCs w:val="18"/>
              </w:rPr>
              <w:t xml:space="preserve">信号类别</w:t>
            </w:r>
            <w:r>
              <w:rPr>
                <w:sz w:val="18"/>
                <w:szCs w:val="18"/>
              </w:rPr>
            </w:r>
            <w:r/>
          </w:p>
        </w:tc>
        <w:tc>
          <w:tcPr>
            <w:tcBorders>
              <w:top w:val="single" w:color="000000" w:sz="8" w:space="0"/>
              <w:left w:val="single" w:color="000000" w:sz="4" w:space="0"/>
              <w:bottom w:val="single" w:color="000000" w:sz="8"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widowControl/>
              <w:rPr>
                <w:sz w:val="18"/>
                <w:szCs w:val="18"/>
              </w:rPr>
            </w:pPr>
            <w:r>
              <w:rPr>
                <w:sz w:val="18"/>
                <w:szCs w:val="18"/>
              </w:rPr>
              <w:t xml:space="preserve">信号名称</w:t>
            </w:r>
            <w:r>
              <w:rPr>
                <w:sz w:val="18"/>
                <w:szCs w:val="18"/>
              </w:rPr>
            </w:r>
            <w:r/>
          </w:p>
        </w:tc>
        <w:tc>
          <w:tcPr>
            <w:tcBorders>
              <w:top w:val="single" w:color="000000" w:sz="8" w:space="0"/>
              <w:left w:val="single" w:color="000000" w:sz="4" w:space="0"/>
              <w:bottom w:val="single" w:color="000000" w:sz="8"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widowControl/>
              <w:rPr>
                <w:sz w:val="18"/>
                <w:szCs w:val="18"/>
              </w:rPr>
            </w:pPr>
            <w:r>
              <w:rPr>
                <w:sz w:val="18"/>
                <w:szCs w:val="18"/>
              </w:rPr>
              <w:t xml:space="preserve">信号方向</w:t>
            </w:r>
            <w:r>
              <w:rPr>
                <w:sz w:val="18"/>
                <w:szCs w:val="18"/>
              </w:rPr>
              <w:br w:type="textWrapping" w:clear="all"/>
            </w:r>
            <w:r>
              <w:rPr>
                <w:sz w:val="18"/>
                <w:szCs w:val="18"/>
              </w:rPr>
              <w:t xml:space="preserve">（针对模块）</w:t>
            </w:r>
            <w:r>
              <w:rPr>
                <w:sz w:val="18"/>
                <w:szCs w:val="18"/>
              </w:rPr>
            </w:r>
            <w:r/>
          </w:p>
        </w:tc>
        <w:tc>
          <w:tcPr>
            <w:tcBorders>
              <w:top w:val="single" w:color="000000" w:sz="8" w:space="0"/>
              <w:left w:val="single" w:color="000000" w:sz="4" w:space="0"/>
              <w:bottom w:val="single" w:color="000000" w:sz="8" w:space="0"/>
              <w:right w:val="single" w:color="000000" w:sz="8" w:space="0"/>
            </w:tcBorders>
            <w:tcMar>
              <w:left w:w="85" w:type="dxa"/>
              <w:top w:w="10" w:type="dxa"/>
              <w:right w:w="85" w:type="dxa"/>
              <w:bottom w:w="0" w:type="dxa"/>
            </w:tcMar>
            <w:tcW w:w="5191" w:type="dxa"/>
            <w:vAlign w:val="center"/>
            <w:textDirection w:val="lrTb"/>
            <w:noWrap w:val="false"/>
          </w:tcPr>
          <w:p>
            <w:pPr>
              <w:pStyle w:val="1151"/>
              <w:jc w:val="center"/>
              <w:widowControl/>
              <w:rPr>
                <w:sz w:val="18"/>
                <w:szCs w:val="18"/>
              </w:rPr>
            </w:pPr>
            <w:r>
              <w:rPr>
                <w:sz w:val="18"/>
                <w:szCs w:val="18"/>
              </w:rPr>
              <w:t xml:space="preserve">说明</w:t>
            </w:r>
            <w:r>
              <w:rPr>
                <w:sz w:val="18"/>
                <w:szCs w:val="18"/>
              </w:rPr>
            </w:r>
            <w:r/>
          </w:p>
        </w:tc>
      </w:tr>
      <w:tr>
        <w:trPr>
          <w:trHeight w:val="180"/>
        </w:trPr>
        <w:tc>
          <w:tcPr>
            <w:tcBorders>
              <w:top w:val="single" w:color="000000" w:sz="8" w:space="0"/>
              <w:left w:val="single" w:color="000000" w:sz="8" w:space="0"/>
              <w:bottom w:val="single" w:color="000000" w:sz="4" w:space="0"/>
              <w:right w:val="single" w:color="000000" w:sz="4" w:space="0"/>
            </w:tcBorders>
            <w:tcMar>
              <w:left w:w="108" w:type="dxa"/>
              <w:top w:w="10" w:type="dxa"/>
              <w:right w:w="108" w:type="dxa"/>
              <w:bottom w:w="0" w:type="dxa"/>
            </w:tcMar>
            <w:tcW w:w="932" w:type="dxa"/>
            <w:vAlign w:val="center"/>
            <w:textDirection w:val="lrTb"/>
            <w:noWrap w:val="false"/>
          </w:tcPr>
          <w:p>
            <w:pPr>
              <w:pStyle w:val="1151"/>
              <w:jc w:val="center"/>
              <w:spacing w:line="180" w:lineRule="atLeast"/>
              <w:widowControl/>
              <w:rPr>
                <w:sz w:val="18"/>
                <w:szCs w:val="18"/>
              </w:rPr>
            </w:pPr>
            <w:r>
              <w:rPr>
                <w:sz w:val="18"/>
                <w:szCs w:val="18"/>
              </w:rPr>
              <w:t xml:space="preserve">1 </w:t>
            </w:r>
            <w:r>
              <w:rPr>
                <w:sz w:val="18"/>
                <w:szCs w:val="18"/>
              </w:rPr>
            </w:r>
            <w:r/>
          </w:p>
        </w:tc>
        <w:tc>
          <w:tcPr>
            <w:tcBorders>
              <w:top w:val="single" w:color="000000" w:sz="8" w:space="0"/>
              <w:left w:val="single" w:color="000000" w:sz="4" w:space="0"/>
              <w:bottom w:val="single" w:color="000000" w:sz="4" w:space="0"/>
              <w:right w:val="single" w:color="000000" w:sz="4" w:space="0"/>
            </w:tcBorders>
            <w:tcMar>
              <w:left w:w="108" w:type="dxa"/>
              <w:top w:w="10" w:type="dxa"/>
              <w:right w:w="108" w:type="dxa"/>
              <w:bottom w:w="0" w:type="dxa"/>
            </w:tcMar>
            <w:tcW w:w="1134" w:type="dxa"/>
            <w:vAlign w:val="center"/>
            <w:textDirection w:val="lrTb"/>
            <w:noWrap w:val="false"/>
          </w:tcPr>
          <w:p>
            <w:pPr>
              <w:pStyle w:val="1151"/>
              <w:jc w:val="center"/>
              <w:spacing w:line="180" w:lineRule="atLeast"/>
              <w:widowControl/>
              <w:rPr>
                <w:sz w:val="18"/>
                <w:szCs w:val="18"/>
              </w:rPr>
            </w:pPr>
            <w:r>
              <w:rPr>
                <w:sz w:val="18"/>
                <w:szCs w:val="18"/>
              </w:rPr>
              <w:t xml:space="preserve">电源地</w:t>
            </w:r>
            <w:r>
              <w:rPr>
                <w:sz w:val="18"/>
                <w:szCs w:val="18"/>
              </w:rPr>
            </w:r>
            <w:r/>
          </w:p>
        </w:tc>
        <w:tc>
          <w:tcPr>
            <w:tcBorders>
              <w:top w:val="single" w:color="000000" w:sz="8" w:space="0"/>
              <w:left w:val="single" w:color="000000" w:sz="4" w:space="0"/>
              <w:bottom w:val="single" w:color="000000" w:sz="4" w:space="0"/>
              <w:right w:val="single" w:color="000000" w:sz="4" w:space="0"/>
            </w:tcBorders>
            <w:tcMar>
              <w:left w:w="108" w:type="dxa"/>
              <w:top w:w="10" w:type="dxa"/>
              <w:right w:w="108" w:type="dxa"/>
              <w:bottom w:w="0" w:type="dxa"/>
            </w:tcMar>
            <w:tcW w:w="1134" w:type="dxa"/>
            <w:vAlign w:val="center"/>
            <w:textDirection w:val="lrTb"/>
            <w:noWrap w:val="false"/>
          </w:tcPr>
          <w:p>
            <w:pPr>
              <w:pStyle w:val="1151"/>
              <w:jc w:val="center"/>
              <w:spacing w:line="180" w:lineRule="atLeast"/>
              <w:widowControl/>
              <w:rPr>
                <w:sz w:val="18"/>
                <w:szCs w:val="18"/>
              </w:rPr>
            </w:pPr>
            <w:r>
              <w:rPr>
                <w:sz w:val="18"/>
                <w:szCs w:val="18"/>
              </w:rPr>
              <w:t xml:space="preserve">GND </w:t>
            </w:r>
            <w:r>
              <w:rPr>
                <w:sz w:val="18"/>
                <w:szCs w:val="18"/>
              </w:rPr>
            </w:r>
            <w:r/>
          </w:p>
        </w:tc>
        <w:tc>
          <w:tcPr>
            <w:tcBorders>
              <w:top w:val="single" w:color="000000" w:sz="8" w:space="0"/>
              <w:left w:val="single" w:color="000000" w:sz="4" w:space="0"/>
              <w:bottom w:val="single" w:color="000000" w:sz="4" w:space="0"/>
              <w:right w:val="single" w:color="000000" w:sz="4" w:space="0"/>
            </w:tcBorders>
            <w:tcMar>
              <w:left w:w="108" w:type="dxa"/>
              <w:top w:w="10" w:type="dxa"/>
              <w:right w:w="108" w:type="dxa"/>
              <w:bottom w:w="0" w:type="dxa"/>
            </w:tcMar>
            <w:tcW w:w="1417" w:type="dxa"/>
            <w:vAlign w:val="center"/>
            <w:textDirection w:val="lrTb"/>
            <w:noWrap w:val="false"/>
          </w:tcPr>
          <w:p>
            <w:pPr>
              <w:pStyle w:val="1151"/>
              <w:jc w:val="center"/>
              <w:spacing w:line="180" w:lineRule="atLeast"/>
              <w:widowControl/>
              <w:rPr>
                <w:sz w:val="18"/>
                <w:szCs w:val="18"/>
              </w:rPr>
            </w:pPr>
            <w:r>
              <w:rPr>
                <w:sz w:val="18"/>
                <w:szCs w:val="18"/>
              </w:rPr>
              <w:t xml:space="preserve">电源输入</w:t>
            </w:r>
            <w:r>
              <w:rPr>
                <w:sz w:val="18"/>
                <w:szCs w:val="18"/>
              </w:rPr>
            </w:r>
            <w:r/>
          </w:p>
        </w:tc>
        <w:tc>
          <w:tcPr>
            <w:tcBorders>
              <w:top w:val="single" w:color="000000" w:sz="8" w:space="0"/>
              <w:left w:val="single" w:color="000000" w:sz="4" w:space="0"/>
              <w:bottom w:val="single" w:color="000000" w:sz="8" w:space="0"/>
              <w:right w:val="single" w:color="000000" w:sz="8" w:space="0"/>
            </w:tcBorders>
            <w:tcMar>
              <w:left w:w="85" w:type="dxa"/>
              <w:top w:w="10" w:type="dxa"/>
              <w:right w:w="85" w:type="dxa"/>
              <w:bottom w:w="0" w:type="dxa"/>
            </w:tcMar>
            <w:tcW w:w="5191" w:type="dxa"/>
            <w:vAlign w:val="center"/>
            <w:vMerge w:val="restart"/>
            <w:textDirection w:val="lrTb"/>
            <w:noWrap w:val="false"/>
          </w:tcPr>
          <w:p>
            <w:pPr>
              <w:pStyle w:val="1151"/>
              <w:widowControl/>
              <w:rPr>
                <w:sz w:val="18"/>
                <w:szCs w:val="18"/>
              </w:rPr>
            </w:pPr>
            <w:r>
              <w:rPr>
                <w:sz w:val="18"/>
                <w:szCs w:val="18"/>
              </w:rPr>
              <w:t xml:space="preserve">电源地输入</w:t>
            </w:r>
            <w:r>
              <w:rPr>
                <w:rFonts w:hint="eastAsia"/>
                <w:sz w:val="18"/>
                <w:szCs w:val="18"/>
              </w:rPr>
              <w:t xml:space="preserve">，</w:t>
            </w:r>
            <w:r>
              <w:rPr>
                <w:sz w:val="18"/>
                <w:szCs w:val="18"/>
              </w:rPr>
              <w:t xml:space="preserve">比其它信号引脚的插针稍长0.5mm</w:t>
            </w:r>
            <w:r>
              <w:rPr>
                <w:sz w:val="18"/>
                <w:szCs w:val="18"/>
              </w:rPr>
            </w:r>
            <w:r/>
          </w:p>
        </w:tc>
      </w:tr>
      <w:tr>
        <w:trPr>
          <w:trHeight w:val="180"/>
        </w:trPr>
        <w:tc>
          <w:tcPr>
            <w:tcBorders>
              <w:top w:val="single" w:color="000000" w:sz="4" w:space="0"/>
              <w:left w:val="single" w:color="000000" w:sz="8" w:space="0"/>
              <w:bottom w:val="single" w:color="000000" w:sz="4" w:space="0"/>
              <w:right w:val="single" w:color="000000" w:sz="4" w:space="0"/>
            </w:tcBorders>
            <w:tcMar>
              <w:left w:w="108" w:type="dxa"/>
              <w:top w:w="10" w:type="dxa"/>
              <w:right w:w="108" w:type="dxa"/>
              <w:bottom w:w="0" w:type="dxa"/>
            </w:tcMar>
            <w:tcW w:w="932" w:type="dxa"/>
            <w:vAlign w:val="center"/>
            <w:textDirection w:val="lrTb"/>
            <w:noWrap w:val="false"/>
          </w:tcPr>
          <w:p>
            <w:pPr>
              <w:pStyle w:val="1151"/>
              <w:jc w:val="center"/>
              <w:spacing w:line="180" w:lineRule="atLeast"/>
              <w:widowControl/>
              <w:rPr>
                <w:sz w:val="18"/>
                <w:szCs w:val="18"/>
              </w:rPr>
            </w:pPr>
            <w:r>
              <w:rPr>
                <w:sz w:val="18"/>
                <w:szCs w:val="18"/>
              </w:rPr>
              <w:t xml:space="preserve">2 </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10" w:type="dxa"/>
              <w:right w:w="108" w:type="dxa"/>
              <w:bottom w:w="0" w:type="dxa"/>
            </w:tcMar>
            <w:tcW w:w="1134" w:type="dxa"/>
            <w:vAlign w:val="center"/>
            <w:textDirection w:val="lrTb"/>
            <w:noWrap w:val="false"/>
          </w:tcPr>
          <w:p>
            <w:pPr>
              <w:pStyle w:val="1151"/>
              <w:jc w:val="center"/>
              <w:spacing w:line="180" w:lineRule="atLeast"/>
              <w:widowControl/>
              <w:rPr>
                <w:sz w:val="18"/>
                <w:szCs w:val="18"/>
              </w:rPr>
            </w:pPr>
            <w:r>
              <w:rPr>
                <w:sz w:val="18"/>
                <w:szCs w:val="18"/>
              </w:rPr>
              <w:t xml:space="preserve">电源地</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10" w:type="dxa"/>
              <w:right w:w="108" w:type="dxa"/>
              <w:bottom w:w="0" w:type="dxa"/>
            </w:tcMar>
            <w:tcW w:w="1134" w:type="dxa"/>
            <w:vAlign w:val="center"/>
            <w:textDirection w:val="lrTb"/>
            <w:noWrap w:val="false"/>
          </w:tcPr>
          <w:p>
            <w:pPr>
              <w:pStyle w:val="1151"/>
              <w:jc w:val="center"/>
              <w:spacing w:line="180" w:lineRule="atLeast"/>
              <w:widowControl/>
              <w:rPr>
                <w:sz w:val="18"/>
                <w:szCs w:val="18"/>
              </w:rPr>
            </w:pPr>
            <w:r>
              <w:rPr>
                <w:sz w:val="18"/>
                <w:szCs w:val="18"/>
              </w:rPr>
              <w:t xml:space="preserve">GND </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10" w:type="dxa"/>
              <w:right w:w="108" w:type="dxa"/>
              <w:bottom w:w="0" w:type="dxa"/>
            </w:tcMar>
            <w:tcW w:w="1417" w:type="dxa"/>
            <w:vAlign w:val="center"/>
            <w:textDirection w:val="lrTb"/>
            <w:noWrap w:val="false"/>
          </w:tcPr>
          <w:p>
            <w:pPr>
              <w:pStyle w:val="1151"/>
              <w:jc w:val="center"/>
              <w:spacing w:line="180" w:lineRule="atLeast"/>
              <w:widowControl/>
              <w:rPr>
                <w:sz w:val="18"/>
                <w:szCs w:val="18"/>
              </w:rPr>
            </w:pPr>
            <w:r>
              <w:rPr>
                <w:sz w:val="18"/>
                <w:szCs w:val="18"/>
              </w:rPr>
              <w:t xml:space="preserve">电源输入</w:t>
            </w:r>
            <w:r>
              <w:rPr>
                <w:sz w:val="18"/>
                <w:szCs w:val="18"/>
              </w:rPr>
            </w:r>
            <w:r/>
          </w:p>
        </w:tc>
        <w:tc>
          <w:tcPr>
            <w:tcBorders>
              <w:top w:val="single" w:color="000000" w:sz="8" w:space="0"/>
              <w:left w:val="single" w:color="000000" w:sz="4" w:space="0"/>
              <w:bottom w:val="single" w:color="000000" w:sz="4" w:space="0"/>
              <w:right w:val="single" w:color="000000" w:sz="8" w:space="0"/>
            </w:tcBorders>
            <w:tcW w:w="5191" w:type="dxa"/>
            <w:vAlign w:val="center"/>
            <w:vMerge w:val="continue"/>
            <w:textDirection w:val="lrTb"/>
            <w:noWrap w:val="false"/>
          </w:tcPr>
          <w:p>
            <w:pPr>
              <w:pStyle w:val="1151"/>
              <w:widowControl/>
              <w:rPr>
                <w:sz w:val="18"/>
                <w:szCs w:val="18"/>
              </w:rPr>
            </w:pPr>
            <w:r>
              <w:rPr>
                <w:sz w:val="18"/>
                <w:szCs w:val="18"/>
              </w:rPr>
            </w:r>
            <w:r/>
          </w:p>
        </w:tc>
      </w:tr>
      <w:tr>
        <w:trPr>
          <w:trHeight w:val="180"/>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180" w:lineRule="atLeast"/>
              <w:widowControl/>
              <w:rPr>
                <w:sz w:val="18"/>
                <w:szCs w:val="18"/>
              </w:rPr>
            </w:pPr>
            <w:r>
              <w:rPr>
                <w:sz w:val="18"/>
                <w:szCs w:val="18"/>
              </w:rPr>
              <w:t xml:space="preserve">3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sz w:val="18"/>
                <w:szCs w:val="18"/>
              </w:rPr>
              <w:t xml:space="preserve">电源</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sz w:val="18"/>
                <w:szCs w:val="18"/>
              </w:rPr>
              <w:t xml:space="preserve">VCC4V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180" w:lineRule="atLeast"/>
              <w:widowControl/>
              <w:rPr>
                <w:sz w:val="18"/>
                <w:szCs w:val="18"/>
              </w:rPr>
            </w:pPr>
            <w:r>
              <w:rPr>
                <w:sz w:val="18"/>
                <w:szCs w:val="18"/>
              </w:rPr>
              <w:t xml:space="preserve">电源输入</w:t>
            </w:r>
            <w:r>
              <w:rPr>
                <w:sz w:val="18"/>
                <w:szCs w:val="18"/>
              </w:rPr>
            </w:r>
            <w:r/>
          </w:p>
        </w:tc>
        <w:tc>
          <w:tcPr>
            <w:tcBorders>
              <w:top w:val="single" w:color="000000" w:sz="4" w:space="0"/>
              <w:left w:val="single" w:color="000000" w:sz="4" w:space="0"/>
              <w:bottom w:val="single" w:color="000000" w:sz="8" w:space="0"/>
              <w:right w:val="single" w:color="000000" w:sz="8" w:space="0"/>
            </w:tcBorders>
            <w:tcMar>
              <w:left w:w="85" w:type="dxa"/>
              <w:top w:w="10" w:type="dxa"/>
              <w:right w:w="85" w:type="dxa"/>
              <w:bottom w:w="0" w:type="dxa"/>
            </w:tcMar>
            <w:tcW w:w="5191" w:type="dxa"/>
            <w:vAlign w:val="center"/>
            <w:vMerge w:val="restart"/>
            <w:textDirection w:val="lrTb"/>
            <w:noWrap w:val="false"/>
          </w:tcPr>
          <w:p>
            <w:pPr>
              <w:pStyle w:val="1151"/>
              <w:jc w:val="center"/>
              <w:spacing w:line="180" w:lineRule="atLeast"/>
              <w:widowControl/>
              <w:rPr>
                <w:sz w:val="18"/>
                <w:szCs w:val="18"/>
              </w:rPr>
            </w:pPr>
            <w:r>
              <w:rPr>
                <w:sz w:val="18"/>
                <w:szCs w:val="18"/>
              </w:rPr>
              <w:t xml:space="preserve">通信模块电源输入，4V±0.2V，正常工作电流500mA，电压纹波小于30mV；最大电流2A，可持续1ms。</w:t>
            </w:r>
            <w:r>
              <w:rPr>
                <w:sz w:val="18"/>
                <w:szCs w:val="18"/>
              </w:rPr>
            </w:r>
            <w:r/>
          </w:p>
        </w:tc>
      </w:tr>
      <w:tr>
        <w:trPr>
          <w:trHeight w:val="361"/>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widowControl/>
              <w:rPr>
                <w:sz w:val="18"/>
                <w:szCs w:val="18"/>
              </w:rPr>
            </w:pPr>
            <w:r>
              <w:rPr>
                <w:sz w:val="18"/>
                <w:szCs w:val="18"/>
              </w:rPr>
              <w:t xml:space="preserve">4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widowControl/>
              <w:rPr>
                <w:sz w:val="18"/>
                <w:szCs w:val="18"/>
              </w:rPr>
            </w:pPr>
            <w:r>
              <w:rPr>
                <w:sz w:val="18"/>
                <w:szCs w:val="18"/>
              </w:rPr>
              <w:t xml:space="preserve">电源</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widowControl/>
              <w:rPr>
                <w:sz w:val="18"/>
                <w:szCs w:val="18"/>
              </w:rPr>
            </w:pPr>
            <w:r>
              <w:rPr>
                <w:sz w:val="18"/>
                <w:szCs w:val="18"/>
              </w:rPr>
              <w:t xml:space="preserve">VCC4V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widowControl/>
              <w:rPr>
                <w:sz w:val="18"/>
                <w:szCs w:val="18"/>
              </w:rPr>
            </w:pPr>
            <w:r>
              <w:rPr>
                <w:sz w:val="18"/>
                <w:szCs w:val="18"/>
              </w:rPr>
              <w:t xml:space="preserve">电源输入</w:t>
            </w:r>
            <w:r>
              <w:rPr>
                <w:sz w:val="18"/>
                <w:szCs w:val="18"/>
              </w:rPr>
            </w:r>
            <w:r/>
          </w:p>
        </w:tc>
        <w:tc>
          <w:tcPr>
            <w:tcBorders>
              <w:top w:val="single" w:color="000000" w:sz="8" w:space="0"/>
              <w:left w:val="single" w:color="000000" w:sz="4" w:space="0"/>
              <w:bottom w:val="single" w:color="000000" w:sz="4" w:space="0"/>
              <w:right w:val="single" w:color="000000" w:sz="8" w:space="0"/>
            </w:tcBorders>
            <w:tcW w:w="5191" w:type="dxa"/>
            <w:vAlign w:val="center"/>
            <w:vMerge w:val="continue"/>
            <w:textDirection w:val="lrTb"/>
            <w:noWrap w:val="false"/>
          </w:tcPr>
          <w:p>
            <w:pPr>
              <w:pStyle w:val="1151"/>
              <w:widowControl/>
              <w:rPr>
                <w:sz w:val="18"/>
                <w:szCs w:val="18"/>
              </w:rPr>
            </w:pPr>
            <w:r>
              <w:rPr>
                <w:sz w:val="18"/>
                <w:szCs w:val="18"/>
              </w:rPr>
            </w:r>
            <w:r/>
          </w:p>
        </w:tc>
      </w:tr>
      <w:tr>
        <w:trPr>
          <w:trHeight w:val="180"/>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180" w:lineRule="atLeast"/>
              <w:widowControl/>
              <w:rPr>
                <w:sz w:val="18"/>
                <w:szCs w:val="18"/>
              </w:rPr>
            </w:pPr>
            <w:r>
              <w:rPr>
                <w:sz w:val="18"/>
                <w:szCs w:val="18"/>
              </w:rPr>
              <w:t xml:space="preserve">5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sz w:val="18"/>
                <w:szCs w:val="18"/>
              </w:rPr>
              <w:t xml:space="preserve">DCE_TXD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180" w:lineRule="atLeast"/>
              <w:widowControl/>
              <w:rPr>
                <w:sz w:val="18"/>
                <w:szCs w:val="18"/>
              </w:rPr>
            </w:pPr>
            <w:r>
              <w:rPr>
                <w:sz w:val="18"/>
                <w:szCs w:val="18"/>
              </w:rPr>
              <w:t xml:space="preserve">输出</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0" w:type="dxa"/>
              <w:right w:w="85" w:type="dxa"/>
              <w:bottom w:w="0" w:type="dxa"/>
            </w:tcMar>
            <w:tcW w:w="5191" w:type="dxa"/>
            <w:vAlign w:val="center"/>
            <w:textDirection w:val="lrTb"/>
            <w:noWrap w:val="false"/>
          </w:tcPr>
          <w:p>
            <w:pPr>
              <w:pStyle w:val="1151"/>
              <w:jc w:val="center"/>
              <w:spacing w:line="180" w:lineRule="atLeast"/>
              <w:widowControl/>
              <w:rPr>
                <w:sz w:val="18"/>
                <w:szCs w:val="18"/>
              </w:rPr>
            </w:pPr>
            <w:r>
              <w:rPr>
                <w:sz w:val="18"/>
                <w:szCs w:val="18"/>
              </w:rPr>
              <w:t xml:space="preserve">模块串口输出信号（3.3V/TTL）</w:t>
            </w:r>
            <w:r>
              <w:rPr>
                <w:sz w:val="18"/>
                <w:szCs w:val="18"/>
              </w:rPr>
            </w:r>
            <w:r/>
          </w:p>
        </w:tc>
      </w:tr>
      <w:tr>
        <w:trPr>
          <w:trHeight w:val="180"/>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180" w:lineRule="atLeast"/>
              <w:widowControl/>
              <w:rPr>
                <w:sz w:val="18"/>
                <w:szCs w:val="18"/>
              </w:rPr>
            </w:pPr>
            <w:r>
              <w:rPr>
                <w:sz w:val="18"/>
                <w:szCs w:val="18"/>
              </w:rPr>
              <w:t xml:space="preserve">6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sz w:val="18"/>
                <w:szCs w:val="18"/>
              </w:rPr>
              <w:t xml:space="preserve">DCE_RXD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180" w:lineRule="atLeast"/>
              <w:widowControl/>
              <w:rPr>
                <w:sz w:val="18"/>
                <w:szCs w:val="18"/>
              </w:rPr>
            </w:pPr>
            <w:r>
              <w:rPr>
                <w:sz w:val="18"/>
                <w:szCs w:val="18"/>
              </w:rPr>
              <w:t xml:space="preserve">输入</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0" w:type="dxa"/>
              <w:right w:w="85" w:type="dxa"/>
              <w:bottom w:w="0" w:type="dxa"/>
            </w:tcMar>
            <w:tcW w:w="5191" w:type="dxa"/>
            <w:vAlign w:val="center"/>
            <w:textDirection w:val="lrTb"/>
            <w:noWrap w:val="false"/>
          </w:tcPr>
          <w:p>
            <w:pPr>
              <w:pStyle w:val="1151"/>
              <w:jc w:val="center"/>
              <w:spacing w:line="180" w:lineRule="atLeast"/>
              <w:widowControl/>
              <w:rPr>
                <w:sz w:val="18"/>
                <w:szCs w:val="18"/>
              </w:rPr>
            </w:pPr>
            <w:r>
              <w:rPr>
                <w:sz w:val="18"/>
                <w:szCs w:val="18"/>
              </w:rPr>
              <w:t xml:space="preserve">模块串口输入信号（3.3V/TTL）</w:t>
            </w:r>
            <w:r>
              <w:rPr>
                <w:sz w:val="18"/>
                <w:szCs w:val="18"/>
              </w:rPr>
            </w:r>
            <w:r/>
          </w:p>
        </w:tc>
      </w:tr>
      <w:tr>
        <w:trPr>
          <w:trHeight w:val="180"/>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180" w:lineRule="atLeast"/>
              <w:widowControl/>
              <w:rPr>
                <w:sz w:val="18"/>
                <w:szCs w:val="18"/>
              </w:rPr>
            </w:pPr>
            <w:r>
              <w:rPr>
                <w:sz w:val="18"/>
                <w:szCs w:val="18"/>
              </w:rPr>
              <w:t xml:space="preserve">7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sz w:val="18"/>
                <w:szCs w:val="18"/>
              </w:rPr>
              <w:t xml:space="preserve">DCE_RTS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180" w:lineRule="atLeast"/>
              <w:widowControl/>
              <w:rPr>
                <w:sz w:val="18"/>
                <w:szCs w:val="18"/>
              </w:rPr>
            </w:pPr>
            <w:r>
              <w:rPr>
                <w:sz w:val="18"/>
                <w:szCs w:val="18"/>
              </w:rPr>
              <w:t xml:space="preserve">输入</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0" w:type="dxa"/>
              <w:right w:w="85" w:type="dxa"/>
              <w:bottom w:w="0" w:type="dxa"/>
            </w:tcMar>
            <w:tcW w:w="5191" w:type="dxa"/>
            <w:vAlign w:val="center"/>
            <w:textDirection w:val="lrTb"/>
            <w:noWrap w:val="false"/>
          </w:tcPr>
          <w:p>
            <w:pPr>
              <w:pStyle w:val="1151"/>
              <w:jc w:val="center"/>
              <w:spacing w:line="180" w:lineRule="atLeast"/>
              <w:widowControl/>
              <w:rPr>
                <w:sz w:val="18"/>
                <w:szCs w:val="18"/>
              </w:rPr>
            </w:pPr>
            <w:r>
              <w:rPr>
                <w:sz w:val="18"/>
                <w:szCs w:val="18"/>
              </w:rPr>
              <w:t xml:space="preserve">UART增加流控，用于RF输入信号（3.3V/TTL）</w:t>
            </w:r>
            <w:r>
              <w:rPr>
                <w:sz w:val="18"/>
                <w:szCs w:val="18"/>
              </w:rPr>
            </w:r>
            <w:r/>
          </w:p>
        </w:tc>
      </w:tr>
      <w:tr>
        <w:trPr>
          <w:trHeight w:val="449"/>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207" w:lineRule="atLeast"/>
              <w:widowControl/>
              <w:rPr>
                <w:sz w:val="18"/>
                <w:szCs w:val="18"/>
              </w:rPr>
            </w:pPr>
            <w:r>
              <w:rPr>
                <w:sz w:val="18"/>
                <w:szCs w:val="18"/>
              </w:rPr>
              <w:t xml:space="preserve">8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207" w:lineRule="atLeast"/>
              <w:widowControl/>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before="106" w:after="106" w:line="207" w:lineRule="atLeast"/>
              <w:widowControl/>
              <w:rPr>
                <w:sz w:val="18"/>
                <w:szCs w:val="18"/>
              </w:rPr>
            </w:pPr>
            <w:r>
              <w:rPr>
                <w:sz w:val="18"/>
                <w:szCs w:val="18"/>
              </w:rPr>
              <w:t xml:space="preserve">DCE_CTS</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207" w:lineRule="atLeast"/>
              <w:widowControl/>
              <w:rPr>
                <w:sz w:val="18"/>
                <w:szCs w:val="18"/>
              </w:rPr>
            </w:pPr>
            <w:r>
              <w:rPr>
                <w:sz w:val="18"/>
                <w:szCs w:val="18"/>
              </w:rPr>
              <w:t xml:space="preserve">输出</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0" w:type="dxa"/>
              <w:right w:w="85" w:type="dxa"/>
              <w:bottom w:w="0" w:type="dxa"/>
            </w:tcMar>
            <w:tcW w:w="5191" w:type="dxa"/>
            <w:vAlign w:val="center"/>
            <w:textDirection w:val="lrTb"/>
            <w:noWrap w:val="false"/>
          </w:tcPr>
          <w:p>
            <w:pPr>
              <w:pStyle w:val="1151"/>
              <w:jc w:val="center"/>
              <w:spacing w:line="207" w:lineRule="atLeast"/>
              <w:widowControl/>
              <w:rPr>
                <w:sz w:val="18"/>
                <w:szCs w:val="18"/>
              </w:rPr>
            </w:pPr>
            <w:r>
              <w:rPr>
                <w:sz w:val="18"/>
                <w:szCs w:val="18"/>
              </w:rPr>
              <w:t xml:space="preserve">UART增加流控，用于RF输出信号（3.3V/TTL）</w:t>
            </w:r>
            <w:r>
              <w:rPr>
                <w:sz w:val="18"/>
                <w:szCs w:val="18"/>
              </w:rPr>
            </w:r>
            <w:r/>
          </w:p>
        </w:tc>
      </w:tr>
      <w:tr>
        <w:trPr>
          <w:trHeight w:val="188"/>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207" w:lineRule="atLeast"/>
              <w:widowControl/>
              <w:rPr>
                <w:sz w:val="18"/>
                <w:szCs w:val="18"/>
              </w:rPr>
            </w:pPr>
            <w:r>
              <w:rPr>
                <w:sz w:val="18"/>
                <w:szCs w:val="18"/>
              </w:rPr>
              <w:t xml:space="preserve">9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207" w:lineRule="atLeast"/>
              <w:widowControl/>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before="106" w:after="106" w:line="207" w:lineRule="atLeast"/>
              <w:widowControl/>
              <w:rPr>
                <w:sz w:val="18"/>
                <w:szCs w:val="18"/>
              </w:rPr>
            </w:pPr>
            <w:r>
              <w:rPr>
                <w:sz w:val="18"/>
                <w:szCs w:val="18"/>
              </w:rPr>
              <w:t xml:space="preserve">CARD_IN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207" w:lineRule="atLeast"/>
              <w:widowControl/>
              <w:rPr>
                <w:sz w:val="18"/>
                <w:szCs w:val="18"/>
              </w:rPr>
            </w:pPr>
            <w:r>
              <w:rPr>
                <w:sz w:val="18"/>
                <w:szCs w:val="18"/>
              </w:rPr>
              <w:t xml:space="preserve">输出</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0" w:type="dxa"/>
              <w:right w:w="85" w:type="dxa"/>
              <w:bottom w:w="0" w:type="dxa"/>
            </w:tcMar>
            <w:tcW w:w="5191" w:type="dxa"/>
            <w:vAlign w:val="center"/>
            <w:textDirection w:val="lrTb"/>
            <w:noWrap w:val="false"/>
          </w:tcPr>
          <w:p>
            <w:pPr>
              <w:pStyle w:val="1151"/>
              <w:spacing w:line="207" w:lineRule="atLeast"/>
              <w:widowControl/>
              <w:rPr>
                <w:sz w:val="18"/>
                <w:szCs w:val="18"/>
              </w:rPr>
            </w:pPr>
            <w:r>
              <w:rPr>
                <w:sz w:val="18"/>
                <w:szCs w:val="18"/>
              </w:rPr>
              <w:t xml:space="preserve">在位信号，模块接地，主板上拉（3.3V/TTL）</w:t>
            </w:r>
            <w:r>
              <w:rPr>
                <w:sz w:val="18"/>
                <w:szCs w:val="18"/>
              </w:rPr>
            </w:r>
            <w:r/>
          </w:p>
        </w:tc>
      </w:tr>
      <w:tr>
        <w:trPr>
          <w:trHeight w:val="365"/>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207" w:lineRule="atLeast"/>
              <w:widowControl/>
              <w:rPr>
                <w:sz w:val="18"/>
                <w:szCs w:val="18"/>
              </w:rPr>
            </w:pPr>
            <w:r>
              <w:rPr>
                <w:sz w:val="18"/>
                <w:szCs w:val="18"/>
              </w:rPr>
              <w:t xml:space="preserve">10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207" w:lineRule="atLeast"/>
              <w:widowControl/>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before="106" w:after="106" w:line="207" w:lineRule="atLeast"/>
              <w:widowControl/>
              <w:rPr>
                <w:sz w:val="18"/>
                <w:szCs w:val="18"/>
              </w:rPr>
            </w:pPr>
            <w:r>
              <w:rPr>
                <w:sz w:val="18"/>
                <w:szCs w:val="18"/>
              </w:rPr>
              <w:t xml:space="preserve">USB+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207" w:lineRule="atLeast"/>
              <w:widowControl/>
              <w:rPr>
                <w:sz w:val="18"/>
                <w:szCs w:val="18"/>
              </w:rPr>
            </w:pPr>
            <w:r>
              <w:rPr>
                <w:sz w:val="18"/>
                <w:szCs w:val="18"/>
              </w:rPr>
              <w:t xml:space="preserve">输入/输出</w:t>
            </w:r>
            <w:r>
              <w:rPr>
                <w:sz w:val="18"/>
                <w:szCs w:val="18"/>
              </w:rPr>
            </w:r>
            <w:r/>
          </w:p>
        </w:tc>
        <w:tc>
          <w:tcPr>
            <w:tcBorders>
              <w:top w:val="single" w:color="000000" w:sz="4" w:space="0"/>
              <w:left w:val="single" w:color="000000" w:sz="4" w:space="0"/>
              <w:bottom w:val="single" w:color="000000" w:sz="8" w:space="0"/>
              <w:right w:val="single" w:color="000000" w:sz="8" w:space="0"/>
            </w:tcBorders>
            <w:tcMar>
              <w:left w:w="85" w:type="dxa"/>
              <w:top w:w="10" w:type="dxa"/>
              <w:right w:w="85" w:type="dxa"/>
              <w:bottom w:w="0" w:type="dxa"/>
            </w:tcMar>
            <w:tcW w:w="5191" w:type="dxa"/>
            <w:vAlign w:val="center"/>
            <w:vMerge w:val="restart"/>
            <w:textDirection w:val="lrTb"/>
            <w:noWrap w:val="false"/>
          </w:tcPr>
          <w:p>
            <w:pPr>
              <w:pStyle w:val="1151"/>
              <w:jc w:val="center"/>
              <w:spacing w:line="207" w:lineRule="atLeast"/>
              <w:widowControl/>
              <w:rPr>
                <w:sz w:val="18"/>
                <w:szCs w:val="18"/>
              </w:rPr>
            </w:pPr>
            <w:r>
              <w:rPr>
                <w:sz w:val="18"/>
                <w:szCs w:val="18"/>
              </w:rPr>
              <w:t xml:space="preserve">USB2.0 HOST接口，可用于3G/4G等通信。</w:t>
            </w:r>
            <w:r>
              <w:rPr>
                <w:sz w:val="18"/>
                <w:szCs w:val="18"/>
              </w:rPr>
            </w:r>
            <w:r/>
          </w:p>
        </w:tc>
      </w:tr>
      <w:tr>
        <w:trPr>
          <w:trHeight w:val="188"/>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188" w:lineRule="atLeast"/>
              <w:widowControl/>
              <w:rPr>
                <w:sz w:val="18"/>
                <w:szCs w:val="18"/>
              </w:rPr>
            </w:pPr>
            <w:r>
              <w:rPr>
                <w:color w:val="000000"/>
                <w:sz w:val="18"/>
                <w:szCs w:val="18"/>
              </w:rPr>
              <w:t xml:space="preserve">11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8" w:lineRule="atLeast"/>
              <w:widowControl/>
              <w:rPr>
                <w:sz w:val="18"/>
                <w:szCs w:val="18"/>
              </w:rPr>
            </w:pPr>
            <w:r>
              <w:rPr>
                <w:color w:val="000000"/>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before="106" w:after="106" w:line="188" w:lineRule="atLeast"/>
              <w:widowControl/>
              <w:rPr>
                <w:sz w:val="18"/>
                <w:szCs w:val="18"/>
              </w:rPr>
            </w:pPr>
            <w:r>
              <w:rPr>
                <w:color w:val="000000"/>
                <w:sz w:val="18"/>
                <w:szCs w:val="18"/>
              </w:rPr>
              <w:t xml:space="preserve">USB-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188" w:lineRule="atLeast"/>
              <w:widowControl/>
              <w:rPr>
                <w:sz w:val="18"/>
                <w:szCs w:val="18"/>
              </w:rPr>
            </w:pPr>
            <w:r>
              <w:rPr>
                <w:color w:val="000000"/>
                <w:sz w:val="18"/>
                <w:szCs w:val="18"/>
              </w:rPr>
              <w:t xml:space="preserve">输入/输出</w:t>
            </w:r>
            <w:r>
              <w:rPr>
                <w:sz w:val="18"/>
                <w:szCs w:val="18"/>
              </w:rPr>
            </w:r>
            <w:r/>
          </w:p>
        </w:tc>
        <w:tc>
          <w:tcPr>
            <w:tcBorders>
              <w:top w:val="single" w:color="000000" w:sz="8" w:space="0"/>
              <w:left w:val="single" w:color="000000" w:sz="4" w:space="0"/>
              <w:bottom w:val="single" w:color="000000" w:sz="4" w:space="0"/>
              <w:right w:val="single" w:color="000000" w:sz="8" w:space="0"/>
            </w:tcBorders>
            <w:tcW w:w="5191" w:type="dxa"/>
            <w:vAlign w:val="center"/>
            <w:vMerge w:val="continue"/>
            <w:textDirection w:val="lrTb"/>
            <w:noWrap w:val="false"/>
          </w:tcPr>
          <w:p>
            <w:pPr>
              <w:pStyle w:val="1151"/>
              <w:widowControl/>
              <w:rPr>
                <w:sz w:val="18"/>
                <w:szCs w:val="18"/>
              </w:rPr>
            </w:pPr>
            <w:r>
              <w:rPr>
                <w:sz w:val="18"/>
                <w:szCs w:val="18"/>
              </w:rPr>
            </w:r>
            <w:r/>
          </w:p>
        </w:tc>
      </w:tr>
      <w:tr>
        <w:trPr>
          <w:trHeight w:val="301"/>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301" w:lineRule="atLeast"/>
              <w:widowControl/>
              <w:rPr>
                <w:sz w:val="18"/>
                <w:szCs w:val="18"/>
              </w:rPr>
            </w:pPr>
            <w:r>
              <w:rPr>
                <w:color w:val="000000"/>
                <w:sz w:val="18"/>
                <w:szCs w:val="18"/>
              </w:rPr>
              <w:t xml:space="preserve">12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301" w:lineRule="atLeast"/>
              <w:widowControl/>
              <w:rPr>
                <w:sz w:val="18"/>
                <w:szCs w:val="18"/>
              </w:rPr>
            </w:pPr>
            <w:r>
              <w:rPr>
                <w:color w:val="000000"/>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301" w:lineRule="atLeast"/>
              <w:widowControl/>
              <w:rPr>
                <w:sz w:val="18"/>
                <w:szCs w:val="18"/>
              </w:rPr>
            </w:pPr>
            <w:r>
              <w:rPr>
                <w:color w:val="000000"/>
                <w:sz w:val="18"/>
                <w:szCs w:val="18"/>
              </w:rPr>
              <w:t xml:space="preserve">PCTRL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301" w:lineRule="atLeast"/>
              <w:widowControl/>
              <w:rPr>
                <w:sz w:val="18"/>
                <w:szCs w:val="18"/>
              </w:rPr>
            </w:pPr>
            <w:r>
              <w:rPr>
                <w:color w:val="000000"/>
                <w:sz w:val="18"/>
                <w:szCs w:val="18"/>
              </w:rPr>
              <w:t xml:space="preserve">输入</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0" w:type="dxa"/>
              <w:right w:w="85" w:type="dxa"/>
              <w:bottom w:w="0" w:type="dxa"/>
            </w:tcMar>
            <w:tcW w:w="5191" w:type="dxa"/>
            <w:vAlign w:val="top"/>
            <w:textDirection w:val="lrTb"/>
            <w:noWrap w:val="false"/>
          </w:tcPr>
          <w:p>
            <w:pPr>
              <w:pStyle w:val="1151"/>
              <w:jc w:val="center"/>
              <w:spacing w:line="301" w:lineRule="atLeast"/>
              <w:widowControl/>
              <w:rPr>
                <w:sz w:val="18"/>
                <w:szCs w:val="18"/>
              </w:rPr>
            </w:pPr>
            <w:r>
              <w:rPr>
                <w:color w:val="000000"/>
                <w:sz w:val="18"/>
                <w:szCs w:val="18"/>
              </w:rPr>
              <w:t xml:space="preserve">SIM卡加热控制信号，为“0”时关断 (3.3V/TTL) </w:t>
            </w:r>
            <w:r>
              <w:rPr>
                <w:sz w:val="18"/>
                <w:szCs w:val="18"/>
              </w:rPr>
            </w:r>
            <w:r/>
          </w:p>
        </w:tc>
      </w:tr>
      <w:tr>
        <w:trPr>
          <w:trHeight w:val="180"/>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180" w:lineRule="atLeast"/>
              <w:widowControl/>
              <w:rPr>
                <w:sz w:val="18"/>
                <w:szCs w:val="18"/>
              </w:rPr>
            </w:pPr>
            <w:r>
              <w:rPr>
                <w:color w:val="000000"/>
                <w:sz w:val="18"/>
                <w:szCs w:val="18"/>
              </w:rPr>
              <w:t xml:space="preserve">13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color w:val="000000"/>
                <w:sz w:val="18"/>
                <w:szCs w:val="18"/>
              </w:rPr>
              <w:t xml:space="preserve">电源地</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color w:val="000000"/>
                <w:sz w:val="18"/>
                <w:szCs w:val="18"/>
              </w:rPr>
              <w:t xml:space="preserve">GND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180" w:lineRule="atLeast"/>
              <w:widowControl/>
              <w:rPr>
                <w:sz w:val="18"/>
                <w:szCs w:val="18"/>
              </w:rPr>
            </w:pPr>
            <w:r>
              <w:rPr>
                <w:color w:val="000000"/>
                <w:sz w:val="18"/>
                <w:szCs w:val="18"/>
              </w:rPr>
              <w:t xml:space="preserve">电源输入</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0" w:type="dxa"/>
              <w:right w:w="85" w:type="dxa"/>
              <w:bottom w:w="0" w:type="dxa"/>
            </w:tcMar>
            <w:tcW w:w="5191" w:type="dxa"/>
            <w:vAlign w:val="center"/>
            <w:textDirection w:val="lrTb"/>
            <w:noWrap w:val="false"/>
          </w:tcPr>
          <w:p>
            <w:pPr>
              <w:pStyle w:val="1151"/>
              <w:jc w:val="center"/>
              <w:spacing w:line="180" w:lineRule="atLeast"/>
              <w:widowControl/>
              <w:rPr>
                <w:sz w:val="18"/>
                <w:szCs w:val="18"/>
              </w:rPr>
            </w:pPr>
            <w:r>
              <w:rPr>
                <w:color w:val="000000"/>
                <w:sz w:val="18"/>
                <w:szCs w:val="18"/>
              </w:rPr>
              <w:t xml:space="preserve">通信模块电源地输入</w:t>
            </w:r>
            <w:r>
              <w:rPr>
                <w:sz w:val="18"/>
                <w:szCs w:val="18"/>
              </w:rPr>
            </w:r>
            <w:r/>
          </w:p>
        </w:tc>
      </w:tr>
      <w:tr>
        <w:trPr>
          <w:trHeight w:val="361"/>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widowControl/>
              <w:rPr>
                <w:sz w:val="18"/>
                <w:szCs w:val="18"/>
              </w:rPr>
            </w:pPr>
            <w:r>
              <w:rPr>
                <w:color w:val="000000"/>
                <w:sz w:val="18"/>
                <w:szCs w:val="18"/>
              </w:rPr>
              <w:t xml:space="preserve">14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widowControl/>
              <w:rPr>
                <w:sz w:val="18"/>
                <w:szCs w:val="18"/>
              </w:rPr>
            </w:pPr>
            <w:r>
              <w:rPr>
                <w:color w:val="000000"/>
                <w:sz w:val="18"/>
                <w:szCs w:val="18"/>
              </w:rPr>
              <w:t xml:space="preserve">模块控制</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widowControl/>
              <w:rPr>
                <w:sz w:val="18"/>
                <w:szCs w:val="18"/>
              </w:rPr>
            </w:pPr>
            <w:r>
              <w:rPr>
                <w:color w:val="000000"/>
                <w:sz w:val="18"/>
                <w:szCs w:val="18"/>
              </w:rPr>
              <w:t xml:space="preserve">/RST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widowControl/>
              <w:rPr>
                <w:sz w:val="18"/>
                <w:szCs w:val="18"/>
              </w:rPr>
            </w:pPr>
            <w:r>
              <w:rPr>
                <w:color w:val="000000"/>
                <w:sz w:val="18"/>
                <w:szCs w:val="18"/>
              </w:rPr>
              <w:t xml:space="preserve">输入</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0" w:type="dxa"/>
              <w:right w:w="85" w:type="dxa"/>
              <w:bottom w:w="0" w:type="dxa"/>
            </w:tcMar>
            <w:tcW w:w="5191" w:type="dxa"/>
            <w:vAlign w:val="center"/>
            <w:textDirection w:val="lrTb"/>
            <w:noWrap w:val="false"/>
          </w:tcPr>
          <w:p>
            <w:pPr>
              <w:pStyle w:val="1151"/>
              <w:jc w:val="center"/>
              <w:widowControl/>
              <w:rPr>
                <w:sz w:val="18"/>
                <w:szCs w:val="18"/>
              </w:rPr>
            </w:pPr>
            <w:r>
              <w:rPr>
                <w:color w:val="000000"/>
                <w:sz w:val="18"/>
                <w:szCs w:val="18"/>
              </w:rPr>
              <w:t xml:space="preserve">通信模块复位控制信号，为“0”时通信模块处于复位状态（3.3V/TTL）</w:t>
            </w:r>
            <w:r>
              <w:rPr>
                <w:sz w:val="18"/>
                <w:szCs w:val="18"/>
              </w:rPr>
            </w:r>
            <w:r/>
          </w:p>
        </w:tc>
      </w:tr>
      <w:tr>
        <w:trPr>
          <w:trHeight w:val="361"/>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widowControl/>
              <w:rPr>
                <w:sz w:val="18"/>
                <w:szCs w:val="18"/>
              </w:rPr>
            </w:pPr>
            <w:r>
              <w:rPr>
                <w:color w:val="000000"/>
                <w:sz w:val="18"/>
                <w:szCs w:val="18"/>
              </w:rPr>
              <w:t xml:space="preserve">15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widowControl/>
              <w:rPr>
                <w:sz w:val="18"/>
                <w:szCs w:val="18"/>
              </w:rPr>
            </w:pPr>
            <w:r>
              <w:rPr>
                <w:color w:val="000000"/>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widowControl/>
              <w:rPr>
                <w:sz w:val="18"/>
                <w:szCs w:val="18"/>
              </w:rPr>
            </w:pPr>
            <w:r>
              <w:rPr>
                <w:color w:val="000000"/>
                <w:sz w:val="18"/>
                <w:szCs w:val="18"/>
              </w:rPr>
              <w:t xml:space="preserve">ON/OFF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widowControl/>
              <w:rPr>
                <w:sz w:val="18"/>
                <w:szCs w:val="18"/>
              </w:rPr>
            </w:pPr>
            <w:r>
              <w:rPr>
                <w:color w:val="000000"/>
                <w:sz w:val="18"/>
                <w:szCs w:val="18"/>
              </w:rPr>
              <w:t xml:space="preserve">输入</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0" w:type="dxa"/>
              <w:right w:w="85" w:type="dxa"/>
              <w:bottom w:w="0" w:type="dxa"/>
            </w:tcMar>
            <w:tcW w:w="5191" w:type="dxa"/>
            <w:vAlign w:val="center"/>
            <w:textDirection w:val="lrTb"/>
            <w:noWrap w:val="false"/>
          </w:tcPr>
          <w:p>
            <w:pPr>
              <w:pStyle w:val="1151"/>
              <w:jc w:val="center"/>
              <w:widowControl/>
              <w:rPr>
                <w:sz w:val="18"/>
                <w:szCs w:val="18"/>
              </w:rPr>
            </w:pPr>
            <w:r>
              <w:rPr>
                <w:color w:val="000000"/>
                <w:sz w:val="18"/>
                <w:szCs w:val="18"/>
              </w:rPr>
              <w:t xml:space="preserve">通信模块控制信号，低电平持续1s为开机信号(3.3V/TTL) </w:t>
            </w:r>
            <w:r>
              <w:rPr>
                <w:sz w:val="18"/>
                <w:szCs w:val="18"/>
              </w:rPr>
            </w:r>
            <w:r/>
          </w:p>
        </w:tc>
      </w:tr>
      <w:tr>
        <w:trPr>
          <w:trHeight w:val="361"/>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342" w:lineRule="atLeast"/>
              <w:widowControl/>
              <w:rPr>
                <w:sz w:val="18"/>
                <w:szCs w:val="18"/>
              </w:rPr>
            </w:pPr>
            <w:r>
              <w:rPr>
                <w:color w:val="000000"/>
                <w:sz w:val="18"/>
                <w:szCs w:val="18"/>
              </w:rPr>
              <w:t xml:space="preserve">16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342" w:lineRule="atLeast"/>
              <w:widowControl/>
              <w:rPr>
                <w:sz w:val="18"/>
                <w:szCs w:val="18"/>
              </w:rPr>
            </w:pPr>
            <w:r>
              <w:rPr>
                <w:color w:val="000000"/>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342" w:lineRule="atLeast"/>
              <w:widowControl/>
              <w:rPr>
                <w:sz w:val="18"/>
                <w:szCs w:val="18"/>
              </w:rPr>
            </w:pPr>
            <w:r>
              <w:rPr>
                <w:sz w:val="18"/>
              </w:rPr>
              <w:t xml:space="preserve">STATE0</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342" w:lineRule="atLeast"/>
              <w:widowControl/>
              <w:rPr>
                <w:sz w:val="18"/>
                <w:szCs w:val="18"/>
              </w:rPr>
            </w:pPr>
            <w:r>
              <w:rPr>
                <w:sz w:val="18"/>
              </w:rPr>
              <w:t xml:space="preserve">输出</w:t>
            </w:r>
            <w:r>
              <w:rPr>
                <w:sz w:val="18"/>
                <w:szCs w:val="18"/>
              </w:rPr>
            </w:r>
            <w:r/>
          </w:p>
        </w:tc>
        <w:tc>
          <w:tcPr>
            <w:tcBorders>
              <w:top w:val="single" w:color="000000" w:sz="4" w:space="0"/>
              <w:left w:val="single" w:color="000000" w:sz="4" w:space="0"/>
              <w:bottom w:val="none" w:color="000000" w:sz="0" w:space="0"/>
              <w:right w:val="single" w:color="000000" w:sz="8" w:space="0"/>
            </w:tcBorders>
            <w:tcMar>
              <w:left w:w="85" w:type="dxa"/>
              <w:top w:w="10" w:type="dxa"/>
              <w:right w:w="85" w:type="dxa"/>
              <w:bottom w:w="0" w:type="dxa"/>
            </w:tcMar>
            <w:tcW w:w="5191" w:type="dxa"/>
            <w:vAlign w:val="center"/>
            <w:vMerge w:val="restart"/>
            <w:textDirection w:val="lrTb"/>
            <w:noWrap w:val="false"/>
          </w:tcPr>
          <w:p>
            <w:pPr>
              <w:pStyle w:val="1151"/>
              <w:jc w:val="center"/>
              <w:widowControl/>
              <w:rPr>
                <w:color w:val="000000"/>
                <w:sz w:val="18"/>
                <w:szCs w:val="18"/>
              </w:rPr>
            </w:pPr>
            <w:r>
              <w:rPr>
                <w:color w:val="000000"/>
                <w:sz w:val="18"/>
                <w:szCs w:val="18"/>
              </w:rPr>
              <w:t xml:space="preserve">此三位用于兼容《电力用户电信息采集系统形式规范_集中器形式规范_1375.2-2013》所定义远程通信模块；在模块未插入时，其脚不可悬空，在终端侧对状态识别管脚做弱上拉处理，模块侧的状态识别管脚为“0”时做强下拉处理或者直接接地</w:t>
            </w:r>
            <w:r>
              <w:rPr>
                <w:color w:val="000000"/>
                <w:sz w:val="18"/>
                <w:szCs w:val="18"/>
              </w:rPr>
            </w:r>
            <w:r/>
          </w:p>
        </w:tc>
      </w:tr>
      <w:tr>
        <w:trPr>
          <w:trHeight w:val="361"/>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widowControl/>
              <w:rPr>
                <w:sz w:val="18"/>
                <w:szCs w:val="18"/>
              </w:rPr>
            </w:pPr>
            <w:r>
              <w:rPr>
                <w:color w:val="000000"/>
                <w:sz w:val="18"/>
                <w:szCs w:val="18"/>
              </w:rPr>
              <w:t xml:space="preserve">17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widowControl/>
              <w:rPr>
                <w:sz w:val="18"/>
                <w:szCs w:val="18"/>
              </w:rPr>
            </w:pPr>
            <w:r>
              <w:rPr>
                <w:color w:val="000000"/>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widowControl/>
              <w:rPr>
                <w:sz w:val="18"/>
                <w:szCs w:val="18"/>
              </w:rPr>
            </w:pPr>
            <w:r>
              <w:rPr>
                <w:sz w:val="18"/>
              </w:rPr>
              <w:t xml:space="preserve">STATE1</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widowControl/>
              <w:rPr>
                <w:sz w:val="18"/>
                <w:szCs w:val="18"/>
              </w:rPr>
            </w:pPr>
            <w:r>
              <w:rPr>
                <w:sz w:val="18"/>
              </w:rPr>
              <w:t xml:space="preserve">输出</w:t>
            </w:r>
            <w:r>
              <w:rPr>
                <w:sz w:val="18"/>
                <w:szCs w:val="18"/>
              </w:rPr>
            </w:r>
            <w:r/>
          </w:p>
        </w:tc>
        <w:tc>
          <w:tcPr>
            <w:tcBorders>
              <w:top w:val="none" w:color="000000" w:sz="0" w:space="0"/>
              <w:left w:val="single" w:color="000000" w:sz="4" w:space="0"/>
              <w:bottom w:val="none" w:color="000000" w:sz="0" w:space="0"/>
              <w:right w:val="single" w:color="000000" w:sz="8" w:space="0"/>
            </w:tcBorders>
            <w:tcMar>
              <w:left w:w="85" w:type="dxa"/>
              <w:top w:w="10" w:type="dxa"/>
              <w:right w:w="85" w:type="dxa"/>
              <w:bottom w:w="0" w:type="dxa"/>
            </w:tcMar>
            <w:tcW w:w="5191" w:type="dxa"/>
            <w:vAlign w:val="center"/>
            <w:vMerge w:val="continue"/>
            <w:textDirection w:val="lrTb"/>
            <w:noWrap w:val="false"/>
          </w:tcPr>
          <w:p>
            <w:pPr>
              <w:pStyle w:val="1151"/>
              <w:jc w:val="center"/>
              <w:rPr>
                <w:color w:val="000000"/>
                <w:sz w:val="18"/>
                <w:szCs w:val="18"/>
              </w:rPr>
            </w:pPr>
            <w:r>
              <w:rPr>
                <w:color w:val="000000"/>
                <w:sz w:val="18"/>
                <w:szCs w:val="18"/>
              </w:rPr>
            </w:r>
            <w:r/>
          </w:p>
        </w:tc>
      </w:tr>
      <w:tr>
        <w:trPr>
          <w:trHeight w:val="657"/>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widowControl/>
              <w:rPr>
                <w:sz w:val="18"/>
                <w:szCs w:val="18"/>
              </w:rPr>
            </w:pPr>
            <w:r>
              <w:rPr>
                <w:color w:val="000000"/>
                <w:sz w:val="18"/>
                <w:szCs w:val="18"/>
              </w:rPr>
              <w:t xml:space="preserve">18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widowControl/>
              <w:rPr>
                <w:sz w:val="18"/>
                <w:szCs w:val="18"/>
              </w:rPr>
            </w:pPr>
            <w:r>
              <w:rPr>
                <w:color w:val="000000"/>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widowControl/>
              <w:rPr>
                <w:sz w:val="18"/>
                <w:szCs w:val="18"/>
              </w:rPr>
            </w:pPr>
            <w:r>
              <w:rPr>
                <w:sz w:val="18"/>
              </w:rPr>
              <w:t xml:space="preserve">STATE2</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widowControl/>
              <w:rPr>
                <w:sz w:val="18"/>
                <w:szCs w:val="18"/>
              </w:rPr>
            </w:pPr>
            <w:r>
              <w:rPr>
                <w:sz w:val="18"/>
              </w:rPr>
              <w:t xml:space="preserve">输出</w:t>
            </w:r>
            <w:r>
              <w:rPr>
                <w:sz w:val="18"/>
                <w:szCs w:val="18"/>
              </w:rPr>
            </w:r>
            <w:r/>
          </w:p>
        </w:tc>
        <w:tc>
          <w:tcPr>
            <w:tcBorders>
              <w:top w:val="none" w:color="000000" w:sz="0" w:space="0"/>
              <w:left w:val="single" w:color="000000" w:sz="4" w:space="0"/>
              <w:bottom w:val="single" w:color="000000" w:sz="4" w:space="0"/>
              <w:right w:val="single" w:color="000000" w:sz="8" w:space="0"/>
            </w:tcBorders>
            <w:tcMar>
              <w:left w:w="85" w:type="dxa"/>
              <w:top w:w="10" w:type="dxa"/>
              <w:right w:w="85" w:type="dxa"/>
              <w:bottom w:w="0" w:type="dxa"/>
            </w:tcMar>
            <w:tcW w:w="5191" w:type="dxa"/>
            <w:vAlign w:val="center"/>
            <w:vMerge w:val="continue"/>
            <w:textDirection w:val="lrTb"/>
            <w:noWrap w:val="false"/>
          </w:tcPr>
          <w:p>
            <w:pPr>
              <w:pStyle w:val="1151"/>
              <w:jc w:val="center"/>
              <w:widowControl/>
              <w:rPr>
                <w:color w:val="000000"/>
                <w:sz w:val="18"/>
                <w:szCs w:val="18"/>
              </w:rPr>
            </w:pPr>
            <w:r>
              <w:rPr>
                <w:color w:val="000000"/>
                <w:sz w:val="18"/>
                <w:szCs w:val="18"/>
              </w:rPr>
            </w:r>
            <w:r/>
          </w:p>
        </w:tc>
      </w:tr>
      <w:tr>
        <w:trPr>
          <w:trHeight w:val="180"/>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180" w:lineRule="atLeast"/>
              <w:widowControl/>
              <w:rPr>
                <w:sz w:val="18"/>
                <w:szCs w:val="18"/>
              </w:rPr>
            </w:pPr>
            <w:r>
              <w:rPr>
                <w:color w:val="000000"/>
                <w:sz w:val="18"/>
                <w:szCs w:val="18"/>
              </w:rPr>
              <w:t xml:space="preserve">19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color w:val="000000"/>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color w:val="000000"/>
                <w:sz w:val="18"/>
                <w:szCs w:val="18"/>
              </w:rPr>
              <w:t xml:space="preserve">SDA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180" w:lineRule="atLeast"/>
              <w:widowControl/>
              <w:rPr>
                <w:sz w:val="18"/>
                <w:szCs w:val="18"/>
              </w:rPr>
            </w:pPr>
            <w:r>
              <w:rPr>
                <w:color w:val="000000"/>
                <w:sz w:val="18"/>
                <w:szCs w:val="18"/>
              </w:rPr>
              <w:t xml:space="preserve">输入/输出</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0" w:type="dxa"/>
              <w:right w:w="85" w:type="dxa"/>
              <w:bottom w:w="0" w:type="dxa"/>
            </w:tcMar>
            <w:tcW w:w="5191" w:type="dxa"/>
            <w:vAlign w:val="center"/>
            <w:textDirection w:val="lrTb"/>
            <w:noWrap w:val="false"/>
          </w:tcPr>
          <w:p>
            <w:pPr>
              <w:pStyle w:val="1151"/>
              <w:jc w:val="center"/>
              <w:widowControl/>
              <w:rPr>
                <w:color w:val="000000"/>
                <w:sz w:val="18"/>
                <w:szCs w:val="18"/>
              </w:rPr>
            </w:pPr>
            <w:r>
              <w:rPr>
                <w:color w:val="000000"/>
                <w:sz w:val="18"/>
                <w:szCs w:val="18"/>
              </w:rPr>
              <w:t xml:space="preserve">IIC：SDA，输入/输出</w:t>
            </w:r>
            <w:r>
              <w:rPr>
                <w:color w:val="000000"/>
                <w:sz w:val="18"/>
                <w:szCs w:val="18"/>
              </w:rPr>
            </w:r>
            <w:r/>
          </w:p>
        </w:tc>
      </w:tr>
      <w:tr>
        <w:trPr>
          <w:trHeight w:val="180"/>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180" w:lineRule="atLeast"/>
              <w:widowControl/>
              <w:rPr>
                <w:sz w:val="18"/>
                <w:szCs w:val="18"/>
              </w:rPr>
            </w:pPr>
            <w:r>
              <w:rPr>
                <w:color w:val="000000"/>
                <w:sz w:val="18"/>
                <w:szCs w:val="18"/>
              </w:rPr>
              <w:t xml:space="preserve">20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color w:val="000000"/>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color w:val="000000"/>
                <w:sz w:val="18"/>
                <w:szCs w:val="18"/>
              </w:rPr>
              <w:t xml:space="preserve">SCL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180" w:lineRule="atLeast"/>
              <w:widowControl/>
              <w:rPr>
                <w:sz w:val="18"/>
                <w:szCs w:val="18"/>
              </w:rPr>
            </w:pPr>
            <w:r>
              <w:rPr>
                <w:color w:val="000000"/>
                <w:sz w:val="18"/>
                <w:szCs w:val="18"/>
              </w:rPr>
              <w:t xml:space="preserve">输入</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0" w:type="dxa"/>
              <w:right w:w="85" w:type="dxa"/>
              <w:bottom w:w="0" w:type="dxa"/>
            </w:tcMar>
            <w:tcW w:w="5191" w:type="dxa"/>
            <w:vAlign w:val="center"/>
            <w:textDirection w:val="lrTb"/>
            <w:noWrap w:val="false"/>
          </w:tcPr>
          <w:p>
            <w:pPr>
              <w:pStyle w:val="1151"/>
              <w:jc w:val="center"/>
              <w:widowControl/>
              <w:rPr>
                <w:color w:val="000000"/>
                <w:sz w:val="18"/>
                <w:szCs w:val="18"/>
              </w:rPr>
            </w:pPr>
            <w:r>
              <w:rPr>
                <w:color w:val="000000"/>
                <w:sz w:val="18"/>
                <w:szCs w:val="18"/>
              </w:rPr>
              <w:t xml:space="preserve">IIC：SCL，输入</w:t>
            </w:r>
            <w:r>
              <w:rPr>
                <w:color w:val="000000"/>
                <w:sz w:val="18"/>
                <w:szCs w:val="18"/>
              </w:rPr>
            </w:r>
            <w:r/>
          </w:p>
        </w:tc>
      </w:tr>
      <w:tr>
        <w:trPr>
          <w:trHeight w:val="361"/>
        </w:trPr>
        <w:tc>
          <w:tcPr>
            <w:tcBorders>
              <w:top w:val="single" w:color="000000" w:sz="4" w:space="0"/>
              <w:left w:val="single" w:color="000000" w:sz="8" w:space="0"/>
              <w:bottom w:val="single" w:color="000000" w:sz="8"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widowControl/>
              <w:rPr>
                <w:sz w:val="18"/>
                <w:szCs w:val="18"/>
              </w:rPr>
            </w:pPr>
            <w:r>
              <w:rPr>
                <w:color w:val="000000"/>
                <w:sz w:val="18"/>
                <w:szCs w:val="18"/>
              </w:rPr>
              <w:t xml:space="preserve">21 </w:t>
            </w:r>
            <w:r>
              <w:rPr>
                <w:sz w:val="18"/>
                <w:szCs w:val="18"/>
              </w:rPr>
            </w:r>
            <w:r/>
          </w:p>
        </w:tc>
        <w:tc>
          <w:tcPr>
            <w:tcBorders>
              <w:top w:val="single" w:color="000000" w:sz="4" w:space="0"/>
              <w:left w:val="single" w:color="000000" w:sz="4" w:space="0"/>
              <w:bottom w:val="single" w:color="000000" w:sz="8"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widowControl/>
              <w:rPr>
                <w:sz w:val="18"/>
                <w:szCs w:val="18"/>
              </w:rPr>
            </w:pPr>
            <w:r>
              <w:rPr>
                <w:color w:val="000000"/>
                <w:sz w:val="18"/>
                <w:szCs w:val="18"/>
              </w:rPr>
              <w:t xml:space="preserve">网络信号</w:t>
            </w:r>
            <w:r>
              <w:rPr>
                <w:sz w:val="18"/>
                <w:szCs w:val="18"/>
              </w:rPr>
            </w:r>
            <w:r/>
          </w:p>
        </w:tc>
        <w:tc>
          <w:tcPr>
            <w:tcBorders>
              <w:top w:val="single" w:color="000000" w:sz="4" w:space="0"/>
              <w:left w:val="single" w:color="000000" w:sz="4" w:space="0"/>
              <w:bottom w:val="single" w:color="000000" w:sz="8"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widowControl/>
              <w:rPr>
                <w:sz w:val="18"/>
                <w:szCs w:val="18"/>
              </w:rPr>
            </w:pPr>
            <w:r>
              <w:rPr>
                <w:color w:val="000000"/>
                <w:sz w:val="18"/>
                <w:szCs w:val="18"/>
              </w:rPr>
              <w:t xml:space="preserve">/LED_ACT </w:t>
            </w:r>
            <w:r>
              <w:rPr>
                <w:sz w:val="18"/>
                <w:szCs w:val="18"/>
              </w:rPr>
            </w:r>
            <w:r/>
          </w:p>
        </w:tc>
        <w:tc>
          <w:tcPr>
            <w:tcBorders>
              <w:top w:val="single" w:color="000000" w:sz="4" w:space="0"/>
              <w:left w:val="single" w:color="000000" w:sz="4" w:space="0"/>
              <w:bottom w:val="single" w:color="000000" w:sz="8"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widowControl/>
              <w:rPr>
                <w:sz w:val="18"/>
                <w:szCs w:val="18"/>
              </w:rPr>
            </w:pPr>
            <w:r>
              <w:rPr>
                <w:color w:val="000000"/>
                <w:sz w:val="18"/>
                <w:szCs w:val="18"/>
              </w:rPr>
              <w:t xml:space="preserve">输入</w:t>
            </w:r>
            <w:r>
              <w:rPr>
                <w:sz w:val="18"/>
                <w:szCs w:val="18"/>
              </w:rPr>
            </w:r>
            <w:r/>
          </w:p>
        </w:tc>
        <w:tc>
          <w:tcPr>
            <w:tcBorders>
              <w:top w:val="single" w:color="000000" w:sz="4" w:space="0"/>
              <w:left w:val="single" w:color="000000" w:sz="4" w:space="0"/>
              <w:bottom w:val="single" w:color="000000" w:sz="8" w:space="0"/>
              <w:right w:val="single" w:color="000000" w:sz="8" w:space="0"/>
            </w:tcBorders>
            <w:tcMar>
              <w:left w:w="85" w:type="dxa"/>
              <w:top w:w="10" w:type="dxa"/>
              <w:right w:w="85" w:type="dxa"/>
              <w:bottom w:w="0" w:type="dxa"/>
            </w:tcMar>
            <w:tcW w:w="5191" w:type="dxa"/>
            <w:vAlign w:val="center"/>
            <w:textDirection w:val="lrTb"/>
            <w:noWrap w:val="false"/>
          </w:tcPr>
          <w:p>
            <w:pPr>
              <w:pStyle w:val="1151"/>
              <w:jc w:val="center"/>
              <w:widowControl/>
              <w:rPr>
                <w:sz w:val="18"/>
                <w:szCs w:val="18"/>
              </w:rPr>
            </w:pPr>
            <w:r>
              <w:rPr>
                <w:color w:val="000000"/>
                <w:sz w:val="18"/>
                <w:szCs w:val="18"/>
              </w:rPr>
              <w:t xml:space="preserve">网络指示灯输入信号，低电平有效，指示网络有数据正在传输。</w:t>
            </w:r>
            <w:r>
              <w:rPr>
                <w:sz w:val="18"/>
                <w:szCs w:val="18"/>
              </w:rPr>
            </w:r>
            <w:r/>
          </w:p>
        </w:tc>
      </w:tr>
      <w:tr>
        <w:trPr>
          <w:trHeight w:val="361"/>
        </w:trPr>
        <w:tc>
          <w:tcPr>
            <w:tcBorders>
              <w:top w:val="single" w:color="000000" w:sz="8"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widowControl/>
              <w:rPr>
                <w:sz w:val="18"/>
                <w:szCs w:val="18"/>
              </w:rPr>
            </w:pPr>
            <w:r>
              <w:rPr>
                <w:color w:val="000000"/>
                <w:sz w:val="18"/>
                <w:szCs w:val="18"/>
              </w:rPr>
              <w:t xml:space="preserve">22 </w:t>
            </w:r>
            <w:r>
              <w:rPr>
                <w:sz w:val="18"/>
                <w:szCs w:val="18"/>
              </w:rPr>
            </w:r>
            <w:r/>
          </w:p>
        </w:tc>
        <w:tc>
          <w:tcPr>
            <w:tcBorders>
              <w:top w:val="single" w:color="000000" w:sz="8"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widowControl/>
              <w:rPr>
                <w:sz w:val="18"/>
                <w:szCs w:val="18"/>
              </w:rPr>
            </w:pPr>
            <w:r>
              <w:rPr>
                <w:color w:val="000000"/>
                <w:sz w:val="18"/>
                <w:szCs w:val="18"/>
              </w:rPr>
              <w:t xml:space="preserve">网络信号</w:t>
            </w:r>
            <w:r>
              <w:rPr>
                <w:sz w:val="18"/>
                <w:szCs w:val="18"/>
              </w:rPr>
            </w:r>
            <w:r/>
          </w:p>
        </w:tc>
        <w:tc>
          <w:tcPr>
            <w:tcBorders>
              <w:top w:val="single" w:color="000000" w:sz="8"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widowControl/>
              <w:rPr>
                <w:sz w:val="18"/>
                <w:szCs w:val="18"/>
              </w:rPr>
            </w:pPr>
            <w:r>
              <w:rPr>
                <w:color w:val="000000"/>
                <w:sz w:val="18"/>
                <w:szCs w:val="18"/>
              </w:rPr>
              <w:t xml:space="preserve">/LED_LINK </w:t>
            </w:r>
            <w:r>
              <w:rPr>
                <w:sz w:val="18"/>
                <w:szCs w:val="18"/>
              </w:rPr>
            </w:r>
            <w:r/>
          </w:p>
        </w:tc>
        <w:tc>
          <w:tcPr>
            <w:tcBorders>
              <w:top w:val="single" w:color="000000" w:sz="8"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widowControl/>
              <w:rPr>
                <w:sz w:val="18"/>
                <w:szCs w:val="18"/>
              </w:rPr>
            </w:pPr>
            <w:r>
              <w:rPr>
                <w:color w:val="000000"/>
                <w:sz w:val="18"/>
                <w:szCs w:val="18"/>
              </w:rPr>
              <w:t xml:space="preserve">输入</w:t>
            </w:r>
            <w:r>
              <w:rPr>
                <w:sz w:val="18"/>
                <w:szCs w:val="18"/>
              </w:rPr>
            </w:r>
            <w:r/>
          </w:p>
        </w:tc>
        <w:tc>
          <w:tcPr>
            <w:tcBorders>
              <w:top w:val="single" w:color="000000" w:sz="8" w:space="0"/>
              <w:left w:val="single" w:color="000000" w:sz="4" w:space="0"/>
              <w:bottom w:val="single" w:color="000000" w:sz="4" w:space="0"/>
              <w:right w:val="single" w:color="000000" w:sz="8" w:space="0"/>
            </w:tcBorders>
            <w:tcMar>
              <w:left w:w="85" w:type="dxa"/>
              <w:top w:w="10" w:type="dxa"/>
              <w:right w:w="85" w:type="dxa"/>
              <w:bottom w:w="0" w:type="dxa"/>
            </w:tcMar>
            <w:tcW w:w="5191" w:type="dxa"/>
            <w:vAlign w:val="center"/>
            <w:textDirection w:val="lrTb"/>
            <w:noWrap w:val="false"/>
          </w:tcPr>
          <w:p>
            <w:pPr>
              <w:pStyle w:val="1151"/>
              <w:jc w:val="center"/>
              <w:widowControl/>
              <w:rPr>
                <w:sz w:val="18"/>
                <w:szCs w:val="18"/>
              </w:rPr>
            </w:pPr>
            <w:r>
              <w:rPr>
                <w:color w:val="000000"/>
                <w:sz w:val="18"/>
                <w:szCs w:val="18"/>
              </w:rPr>
              <w:t xml:space="preserve">网络指示灯输入信号，低电平有效，指示网络物理连接已建立。</w:t>
            </w:r>
            <w:r>
              <w:rPr>
                <w:sz w:val="18"/>
                <w:szCs w:val="18"/>
              </w:rPr>
            </w:r>
            <w:r/>
          </w:p>
        </w:tc>
      </w:tr>
      <w:tr>
        <w:trPr>
          <w:trHeight w:val="180"/>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180" w:lineRule="atLeast"/>
              <w:widowControl/>
              <w:rPr>
                <w:sz w:val="18"/>
                <w:szCs w:val="18"/>
              </w:rPr>
            </w:pPr>
            <w:r>
              <w:rPr>
                <w:color w:val="000000"/>
                <w:sz w:val="18"/>
                <w:szCs w:val="18"/>
              </w:rPr>
              <w:t xml:space="preserve">23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color w:val="000000"/>
                <w:sz w:val="18"/>
                <w:szCs w:val="18"/>
              </w:rPr>
              <w:t xml:space="preserve">网络信号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color w:val="000000"/>
                <w:sz w:val="18"/>
                <w:szCs w:val="18"/>
              </w:rPr>
              <w:t xml:space="preserve">TD+</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180" w:lineRule="atLeast"/>
              <w:widowControl/>
              <w:rPr>
                <w:sz w:val="18"/>
                <w:szCs w:val="18"/>
              </w:rPr>
            </w:pPr>
            <w:r>
              <w:rPr>
                <w:color w:val="000000"/>
                <w:sz w:val="18"/>
                <w:szCs w:val="18"/>
              </w:rPr>
              <w:t xml:space="preserve">网络差分信号</w:t>
            </w:r>
            <w:r>
              <w:rPr>
                <w:sz w:val="18"/>
                <w:szCs w:val="18"/>
              </w:rPr>
            </w:r>
            <w:r/>
          </w:p>
        </w:tc>
        <w:tc>
          <w:tcPr>
            <w:tcBorders>
              <w:top w:val="single" w:color="000000" w:sz="4" w:space="0"/>
              <w:left w:val="single" w:color="000000" w:sz="4" w:space="0"/>
              <w:bottom w:val="none" w:color="000000" w:sz="0" w:space="0"/>
              <w:right w:val="single" w:color="000000" w:sz="8" w:space="0"/>
            </w:tcBorders>
            <w:tcMar>
              <w:left w:w="85" w:type="dxa"/>
              <w:top w:w="10" w:type="dxa"/>
              <w:right w:w="85" w:type="dxa"/>
              <w:bottom w:w="0" w:type="dxa"/>
            </w:tcMar>
            <w:tcW w:w="5191" w:type="dxa"/>
            <w:vAlign w:val="center"/>
            <w:vMerge w:val="restart"/>
            <w:textDirection w:val="lrTb"/>
            <w:noWrap w:val="false"/>
          </w:tcPr>
          <w:p>
            <w:pPr>
              <w:pStyle w:val="1151"/>
              <w:jc w:val="center"/>
              <w:spacing w:line="180" w:lineRule="atLeast"/>
              <w:rPr>
                <w:sz w:val="18"/>
                <w:szCs w:val="18"/>
              </w:rPr>
            </w:pPr>
            <w:r>
              <w:rPr>
                <w:sz w:val="18"/>
                <w:szCs w:val="18"/>
              </w:rPr>
              <w:t xml:space="preserve">Serdes接口，可预留为XPON/GE光口或者USB3.0</w:t>
            </w:r>
            <w:r>
              <w:rPr>
                <w:sz w:val="18"/>
                <w:szCs w:val="18"/>
              </w:rPr>
            </w:r>
            <w:r/>
          </w:p>
        </w:tc>
      </w:tr>
      <w:tr>
        <w:trPr>
          <w:trHeight w:val="180"/>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180" w:lineRule="atLeast"/>
              <w:widowControl/>
              <w:rPr>
                <w:sz w:val="18"/>
                <w:szCs w:val="18"/>
              </w:rPr>
            </w:pPr>
            <w:r>
              <w:rPr>
                <w:color w:val="000000"/>
                <w:sz w:val="18"/>
                <w:szCs w:val="18"/>
              </w:rPr>
              <w:t xml:space="preserve">24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color w:val="000000"/>
                <w:sz w:val="18"/>
                <w:szCs w:val="18"/>
              </w:rPr>
              <w:t xml:space="preserve">网络信号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color w:val="000000"/>
                <w:sz w:val="18"/>
                <w:szCs w:val="18"/>
              </w:rPr>
              <w:t xml:space="preserve">TD-</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180" w:lineRule="atLeast"/>
              <w:widowControl/>
              <w:rPr>
                <w:sz w:val="18"/>
                <w:szCs w:val="18"/>
              </w:rPr>
            </w:pPr>
            <w:r>
              <w:rPr>
                <w:color w:val="000000"/>
                <w:sz w:val="18"/>
                <w:szCs w:val="18"/>
              </w:rPr>
              <w:t xml:space="preserve">网络差分信号</w:t>
            </w:r>
            <w:r>
              <w:rPr>
                <w:sz w:val="18"/>
                <w:szCs w:val="18"/>
              </w:rPr>
            </w:r>
            <w:r/>
          </w:p>
        </w:tc>
        <w:tc>
          <w:tcPr>
            <w:tcBorders>
              <w:top w:val="none" w:color="000000" w:sz="0" w:space="0"/>
              <w:left w:val="single" w:color="000000" w:sz="4" w:space="0"/>
              <w:bottom w:val="none" w:color="000000" w:sz="0" w:space="0"/>
              <w:right w:val="single" w:color="000000" w:sz="8" w:space="0"/>
            </w:tcBorders>
            <w:tcMar>
              <w:left w:w="85" w:type="dxa"/>
              <w:top w:w="10" w:type="dxa"/>
              <w:right w:w="85" w:type="dxa"/>
              <w:bottom w:w="0" w:type="dxa"/>
            </w:tcMar>
            <w:tcW w:w="5191" w:type="dxa"/>
            <w:vAlign w:val="center"/>
            <w:vMerge w:val="continue"/>
            <w:textDirection w:val="lrTb"/>
            <w:noWrap w:val="false"/>
          </w:tcPr>
          <w:p>
            <w:pPr>
              <w:pStyle w:val="1151"/>
              <w:jc w:val="center"/>
              <w:spacing w:line="180" w:lineRule="atLeast"/>
              <w:rPr>
                <w:sz w:val="18"/>
                <w:szCs w:val="18"/>
              </w:rPr>
            </w:pPr>
            <w:r>
              <w:rPr>
                <w:sz w:val="18"/>
                <w:szCs w:val="18"/>
              </w:rPr>
            </w:r>
            <w:r/>
          </w:p>
        </w:tc>
      </w:tr>
      <w:tr>
        <w:trPr>
          <w:trHeight w:val="180"/>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180" w:lineRule="atLeast"/>
              <w:widowControl/>
              <w:rPr>
                <w:sz w:val="18"/>
                <w:szCs w:val="18"/>
              </w:rPr>
            </w:pPr>
            <w:r>
              <w:rPr>
                <w:color w:val="000000"/>
                <w:sz w:val="18"/>
                <w:szCs w:val="18"/>
              </w:rPr>
              <w:t xml:space="preserve">25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color w:val="000000"/>
                <w:sz w:val="18"/>
                <w:szCs w:val="18"/>
              </w:rPr>
              <w:t xml:space="preserve">网络信号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color w:val="000000"/>
                <w:sz w:val="18"/>
                <w:szCs w:val="18"/>
              </w:rPr>
              <w:t xml:space="preserve">RD+</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180" w:lineRule="atLeast"/>
              <w:widowControl/>
              <w:rPr>
                <w:sz w:val="18"/>
                <w:szCs w:val="18"/>
              </w:rPr>
            </w:pPr>
            <w:r>
              <w:rPr>
                <w:color w:val="000000"/>
                <w:sz w:val="18"/>
                <w:szCs w:val="18"/>
              </w:rPr>
              <w:t xml:space="preserve">网络差分信号</w:t>
            </w:r>
            <w:r>
              <w:rPr>
                <w:sz w:val="18"/>
                <w:szCs w:val="18"/>
              </w:rPr>
            </w:r>
            <w:r/>
          </w:p>
        </w:tc>
        <w:tc>
          <w:tcPr>
            <w:tcBorders>
              <w:top w:val="none" w:color="000000" w:sz="0" w:space="0"/>
              <w:left w:val="single" w:color="000000" w:sz="4" w:space="0"/>
              <w:bottom w:val="none" w:color="000000" w:sz="0" w:space="0"/>
              <w:right w:val="single" w:color="000000" w:sz="8" w:space="0"/>
            </w:tcBorders>
            <w:tcMar>
              <w:left w:w="85" w:type="dxa"/>
              <w:top w:w="10" w:type="dxa"/>
              <w:right w:w="85" w:type="dxa"/>
              <w:bottom w:w="0" w:type="dxa"/>
            </w:tcMar>
            <w:tcW w:w="5191" w:type="dxa"/>
            <w:vAlign w:val="center"/>
            <w:vMerge w:val="continue"/>
            <w:textDirection w:val="lrTb"/>
            <w:noWrap w:val="false"/>
          </w:tcPr>
          <w:p>
            <w:pPr>
              <w:pStyle w:val="1151"/>
              <w:jc w:val="center"/>
              <w:spacing w:line="180" w:lineRule="atLeast"/>
              <w:rPr>
                <w:sz w:val="18"/>
                <w:szCs w:val="18"/>
              </w:rPr>
            </w:pPr>
            <w:r>
              <w:rPr>
                <w:sz w:val="18"/>
                <w:szCs w:val="18"/>
              </w:rPr>
            </w:r>
            <w:r/>
          </w:p>
        </w:tc>
      </w:tr>
      <w:tr>
        <w:trPr>
          <w:trHeight w:val="180"/>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180" w:lineRule="atLeast"/>
              <w:widowControl/>
              <w:rPr>
                <w:sz w:val="18"/>
                <w:szCs w:val="18"/>
              </w:rPr>
            </w:pPr>
            <w:r>
              <w:rPr>
                <w:color w:val="000000"/>
                <w:sz w:val="18"/>
                <w:szCs w:val="18"/>
              </w:rPr>
              <w:t xml:space="preserve">26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color w:val="000000"/>
                <w:sz w:val="18"/>
                <w:szCs w:val="18"/>
              </w:rPr>
              <w:t xml:space="preserve">网络信号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color w:val="000000"/>
                <w:sz w:val="18"/>
                <w:szCs w:val="18"/>
              </w:rPr>
              <w:t xml:space="preserve">RD-</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180" w:lineRule="atLeast"/>
              <w:widowControl/>
              <w:rPr>
                <w:sz w:val="18"/>
                <w:szCs w:val="18"/>
              </w:rPr>
            </w:pPr>
            <w:r>
              <w:rPr>
                <w:color w:val="000000"/>
                <w:sz w:val="18"/>
                <w:szCs w:val="18"/>
              </w:rPr>
              <w:t xml:space="preserve">网络差分信号</w:t>
            </w:r>
            <w:r>
              <w:rPr>
                <w:sz w:val="18"/>
                <w:szCs w:val="18"/>
              </w:rPr>
            </w:r>
            <w:r/>
          </w:p>
        </w:tc>
        <w:tc>
          <w:tcPr>
            <w:tcBorders>
              <w:top w:val="none" w:color="000000" w:sz="0" w:space="0"/>
              <w:left w:val="single" w:color="000000" w:sz="4" w:space="0"/>
              <w:bottom w:val="single" w:color="000000" w:sz="4" w:space="0"/>
              <w:right w:val="single" w:color="000000" w:sz="8" w:space="0"/>
            </w:tcBorders>
            <w:tcMar>
              <w:left w:w="85" w:type="dxa"/>
              <w:top w:w="10" w:type="dxa"/>
              <w:right w:w="85" w:type="dxa"/>
              <w:bottom w:w="0" w:type="dxa"/>
            </w:tcMar>
            <w:tcW w:w="5191" w:type="dxa"/>
            <w:vAlign w:val="center"/>
            <w:vMerge w:val="continue"/>
            <w:textDirection w:val="lrTb"/>
            <w:noWrap w:val="false"/>
          </w:tcPr>
          <w:p>
            <w:pPr>
              <w:pStyle w:val="1151"/>
              <w:jc w:val="center"/>
              <w:spacing w:line="180" w:lineRule="atLeast"/>
              <w:widowControl/>
              <w:rPr>
                <w:sz w:val="18"/>
                <w:szCs w:val="18"/>
              </w:rPr>
            </w:pPr>
            <w:r>
              <w:rPr>
                <w:sz w:val="18"/>
                <w:szCs w:val="18"/>
              </w:rPr>
            </w:r>
            <w:r/>
          </w:p>
        </w:tc>
      </w:tr>
      <w:tr>
        <w:trPr>
          <w:trHeight w:val="180"/>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180" w:lineRule="atLeast"/>
              <w:widowControl/>
              <w:rPr>
                <w:sz w:val="18"/>
                <w:szCs w:val="18"/>
              </w:rPr>
            </w:pPr>
            <w:r>
              <w:rPr>
                <w:color w:val="000000"/>
                <w:sz w:val="18"/>
                <w:szCs w:val="18"/>
              </w:rPr>
              <w:t xml:space="preserve">27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color w:val="000000"/>
                <w:sz w:val="18"/>
                <w:szCs w:val="18"/>
              </w:rPr>
              <w:t xml:space="preserve">电源</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color w:val="000000"/>
                <w:sz w:val="18"/>
                <w:szCs w:val="18"/>
              </w:rPr>
              <w:t xml:space="preserve">VCC3V3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180" w:lineRule="atLeast"/>
              <w:widowControl/>
              <w:rPr>
                <w:sz w:val="18"/>
                <w:szCs w:val="18"/>
              </w:rPr>
            </w:pPr>
            <w:r>
              <w:rPr>
                <w:color w:val="000000"/>
                <w:sz w:val="18"/>
                <w:szCs w:val="18"/>
              </w:rPr>
              <w:t xml:space="preserve">电源输入</w:t>
            </w:r>
            <w:r>
              <w:rPr>
                <w:sz w:val="18"/>
                <w:szCs w:val="18"/>
              </w:rPr>
            </w:r>
            <w:r/>
          </w:p>
        </w:tc>
        <w:tc>
          <w:tcPr>
            <w:tcBorders>
              <w:top w:val="single" w:color="000000" w:sz="4" w:space="0"/>
              <w:left w:val="single" w:color="000000" w:sz="4" w:space="0"/>
              <w:bottom w:val="single" w:color="000000" w:sz="8" w:space="0"/>
              <w:right w:val="single" w:color="000000" w:sz="8" w:space="0"/>
            </w:tcBorders>
            <w:tcMar>
              <w:left w:w="85" w:type="dxa"/>
              <w:top w:w="10" w:type="dxa"/>
              <w:right w:w="85" w:type="dxa"/>
              <w:bottom w:w="0" w:type="dxa"/>
            </w:tcMar>
            <w:tcW w:w="5191" w:type="dxa"/>
            <w:vAlign w:val="center"/>
            <w:vMerge w:val="restart"/>
            <w:textDirection w:val="lrTb"/>
            <w:noWrap w:val="false"/>
          </w:tcPr>
          <w:p>
            <w:pPr>
              <w:pStyle w:val="1151"/>
              <w:jc w:val="center"/>
              <w:spacing w:line="180" w:lineRule="atLeast"/>
              <w:widowControl/>
              <w:rPr>
                <w:sz w:val="18"/>
                <w:szCs w:val="18"/>
              </w:rPr>
            </w:pPr>
            <w:r>
              <w:rPr>
                <w:color w:val="000000"/>
                <w:sz w:val="18"/>
                <w:szCs w:val="18"/>
              </w:rPr>
              <w:t xml:space="preserve">逻辑电路工作电源，可用于网络变压器、电平转换、指示灯驱动等，3.3 V±0.3V，电流不小于50mA，电压纹波小于30mV </w:t>
            </w:r>
            <w:r>
              <w:rPr>
                <w:sz w:val="18"/>
                <w:szCs w:val="18"/>
              </w:rPr>
            </w:r>
            <w:r/>
          </w:p>
        </w:tc>
      </w:tr>
      <w:tr>
        <w:trPr>
          <w:trHeight w:val="361"/>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widowControl/>
              <w:rPr>
                <w:sz w:val="18"/>
                <w:szCs w:val="18"/>
              </w:rPr>
            </w:pPr>
            <w:r>
              <w:rPr>
                <w:color w:val="000000"/>
                <w:sz w:val="18"/>
                <w:szCs w:val="18"/>
              </w:rPr>
              <w:t xml:space="preserve">28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widowControl/>
              <w:rPr>
                <w:sz w:val="18"/>
                <w:szCs w:val="18"/>
              </w:rPr>
            </w:pPr>
            <w:r>
              <w:rPr>
                <w:color w:val="000000"/>
                <w:sz w:val="18"/>
                <w:szCs w:val="18"/>
              </w:rPr>
              <w:t xml:space="preserve">电源</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widowControl/>
              <w:rPr>
                <w:sz w:val="18"/>
                <w:szCs w:val="18"/>
              </w:rPr>
            </w:pPr>
            <w:r>
              <w:rPr>
                <w:color w:val="000000"/>
                <w:sz w:val="18"/>
                <w:szCs w:val="18"/>
              </w:rPr>
              <w:t xml:space="preserve">VCC3V3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widowControl/>
              <w:rPr>
                <w:sz w:val="18"/>
                <w:szCs w:val="18"/>
              </w:rPr>
            </w:pPr>
            <w:r>
              <w:rPr>
                <w:color w:val="000000"/>
                <w:sz w:val="18"/>
                <w:szCs w:val="18"/>
              </w:rPr>
              <w:t xml:space="preserve">电源输入</w:t>
            </w:r>
            <w:r>
              <w:rPr>
                <w:sz w:val="18"/>
                <w:szCs w:val="18"/>
              </w:rPr>
            </w:r>
            <w:r/>
          </w:p>
        </w:tc>
        <w:tc>
          <w:tcPr>
            <w:tcBorders>
              <w:top w:val="single" w:color="000000" w:sz="8" w:space="0"/>
              <w:left w:val="single" w:color="000000" w:sz="4" w:space="0"/>
              <w:bottom w:val="single" w:color="000000" w:sz="4" w:space="0"/>
              <w:right w:val="single" w:color="000000" w:sz="8" w:space="0"/>
            </w:tcBorders>
            <w:tcW w:w="5191" w:type="dxa"/>
            <w:vAlign w:val="center"/>
            <w:vMerge w:val="continue"/>
            <w:textDirection w:val="lrTb"/>
            <w:noWrap w:val="false"/>
          </w:tcPr>
          <w:p>
            <w:pPr>
              <w:pStyle w:val="1151"/>
              <w:widowControl/>
              <w:rPr>
                <w:sz w:val="18"/>
                <w:szCs w:val="18"/>
              </w:rPr>
            </w:pPr>
            <w:r>
              <w:rPr>
                <w:sz w:val="18"/>
                <w:szCs w:val="18"/>
              </w:rPr>
            </w:r>
            <w:r/>
          </w:p>
        </w:tc>
      </w:tr>
      <w:tr>
        <w:trPr>
          <w:trHeight w:val="180"/>
        </w:trPr>
        <w:tc>
          <w:tcPr>
            <w:tcBorders>
              <w:top w:val="single" w:color="000000" w:sz="4" w:space="0"/>
              <w:left w:val="single" w:color="000000" w:sz="8" w:space="0"/>
              <w:bottom w:val="single" w:color="000000" w:sz="4"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180" w:lineRule="atLeast"/>
              <w:widowControl/>
              <w:rPr>
                <w:sz w:val="18"/>
                <w:szCs w:val="18"/>
              </w:rPr>
            </w:pPr>
            <w:r>
              <w:rPr>
                <w:color w:val="000000"/>
                <w:sz w:val="18"/>
                <w:szCs w:val="18"/>
              </w:rPr>
              <w:t xml:space="preserve">29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color w:val="000000"/>
                <w:sz w:val="18"/>
                <w:szCs w:val="18"/>
              </w:rPr>
              <w:t xml:space="preserve">电源地</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sz w:val="18"/>
                <w:szCs w:val="18"/>
              </w:rPr>
            </w:pPr>
            <w:r>
              <w:rPr>
                <w:color w:val="000000"/>
                <w:sz w:val="18"/>
                <w:szCs w:val="18"/>
              </w:rPr>
              <w:t xml:space="preserve">GND </w:t>
            </w:r>
            <w:r>
              <w:rPr>
                <w:sz w:val="18"/>
                <w:szCs w:val="18"/>
              </w:rPr>
            </w:r>
            <w:r/>
          </w:p>
        </w:tc>
        <w:tc>
          <w:tcPr>
            <w:tcBorders>
              <w:top w:val="single" w:color="000000" w:sz="4" w:space="0"/>
              <w:left w:val="single" w:color="000000" w:sz="4" w:space="0"/>
              <w:bottom w:val="single" w:color="000000" w:sz="4"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180" w:lineRule="atLeast"/>
              <w:widowControl/>
              <w:rPr>
                <w:sz w:val="18"/>
                <w:szCs w:val="18"/>
              </w:rPr>
            </w:pPr>
            <w:r>
              <w:rPr>
                <w:color w:val="000000"/>
                <w:sz w:val="18"/>
                <w:szCs w:val="18"/>
              </w:rPr>
              <w:t xml:space="preserve">电源输入</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0" w:type="dxa"/>
              <w:right w:w="85" w:type="dxa"/>
              <w:bottom w:w="0" w:type="dxa"/>
            </w:tcMar>
            <w:tcW w:w="5191" w:type="dxa"/>
            <w:vAlign w:val="center"/>
            <w:textDirection w:val="lrTb"/>
            <w:noWrap w:val="false"/>
          </w:tcPr>
          <w:p>
            <w:pPr>
              <w:pStyle w:val="1151"/>
              <w:jc w:val="center"/>
              <w:spacing w:line="180" w:lineRule="atLeast"/>
              <w:widowControl/>
              <w:rPr>
                <w:sz w:val="18"/>
                <w:szCs w:val="18"/>
              </w:rPr>
            </w:pPr>
            <w:r>
              <w:rPr>
                <w:color w:val="000000"/>
                <w:sz w:val="18"/>
                <w:szCs w:val="18"/>
              </w:rPr>
              <w:t xml:space="preserve">电源地输入</w:t>
            </w:r>
            <w:r>
              <w:rPr>
                <w:rFonts w:hint="eastAsia"/>
                <w:color w:val="000000"/>
                <w:sz w:val="18"/>
                <w:szCs w:val="18"/>
              </w:rPr>
              <w:t xml:space="preserve">，</w:t>
            </w:r>
            <w:r>
              <w:rPr>
                <w:color w:val="000000"/>
                <w:sz w:val="18"/>
                <w:szCs w:val="18"/>
              </w:rPr>
              <w:t xml:space="preserve">比其它信号引脚的插针稍长0.5mm。</w:t>
            </w:r>
            <w:r>
              <w:rPr>
                <w:sz w:val="18"/>
                <w:szCs w:val="18"/>
              </w:rPr>
            </w:r>
            <w:r/>
          </w:p>
        </w:tc>
      </w:tr>
      <w:tr>
        <w:trPr>
          <w:trHeight w:val="180"/>
        </w:trPr>
        <w:tc>
          <w:tcPr>
            <w:tcBorders>
              <w:top w:val="single" w:color="000000" w:sz="4" w:space="0"/>
              <w:left w:val="single" w:color="000000" w:sz="8" w:space="0"/>
              <w:bottom w:val="single" w:color="000000" w:sz="8" w:space="0"/>
              <w:right w:val="single" w:color="000000" w:sz="4" w:space="0"/>
            </w:tcBorders>
            <w:tcMar>
              <w:left w:w="85" w:type="dxa"/>
              <w:top w:w="10" w:type="dxa"/>
              <w:right w:w="85" w:type="dxa"/>
              <w:bottom w:w="0" w:type="dxa"/>
            </w:tcMar>
            <w:tcW w:w="932" w:type="dxa"/>
            <w:vAlign w:val="center"/>
            <w:textDirection w:val="lrTb"/>
            <w:noWrap w:val="false"/>
          </w:tcPr>
          <w:p>
            <w:pPr>
              <w:pStyle w:val="1151"/>
              <w:jc w:val="center"/>
              <w:spacing w:line="180" w:lineRule="atLeast"/>
              <w:widowControl/>
              <w:rPr>
                <w:color w:val="000000"/>
                <w:sz w:val="18"/>
                <w:szCs w:val="18"/>
              </w:rPr>
            </w:pPr>
            <w:r>
              <w:rPr>
                <w:color w:val="000000"/>
                <w:sz w:val="18"/>
                <w:szCs w:val="18"/>
              </w:rPr>
              <w:t xml:space="preserve">30 </w:t>
            </w:r>
            <w:r>
              <w:rPr>
                <w:color w:val="000000"/>
                <w:sz w:val="18"/>
                <w:szCs w:val="18"/>
              </w:rPr>
            </w:r>
            <w:r/>
          </w:p>
        </w:tc>
        <w:tc>
          <w:tcPr>
            <w:tcBorders>
              <w:top w:val="single" w:color="000000" w:sz="4" w:space="0"/>
              <w:left w:val="single" w:color="000000" w:sz="4" w:space="0"/>
              <w:bottom w:val="single" w:color="000000" w:sz="8"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color w:val="000000"/>
                <w:sz w:val="18"/>
                <w:szCs w:val="18"/>
              </w:rPr>
            </w:pPr>
            <w:r>
              <w:rPr>
                <w:color w:val="000000"/>
                <w:sz w:val="18"/>
                <w:szCs w:val="18"/>
              </w:rPr>
              <w:t xml:space="preserve">电源地</w:t>
            </w:r>
            <w:r>
              <w:rPr>
                <w:color w:val="000000"/>
                <w:sz w:val="18"/>
                <w:szCs w:val="18"/>
              </w:rPr>
            </w:r>
            <w:r/>
          </w:p>
        </w:tc>
        <w:tc>
          <w:tcPr>
            <w:tcBorders>
              <w:top w:val="single" w:color="000000" w:sz="4" w:space="0"/>
              <w:left w:val="single" w:color="000000" w:sz="4" w:space="0"/>
              <w:bottom w:val="single" w:color="000000" w:sz="8" w:space="0"/>
              <w:right w:val="single" w:color="000000" w:sz="4" w:space="0"/>
            </w:tcBorders>
            <w:tcMar>
              <w:left w:w="85" w:type="dxa"/>
              <w:top w:w="10" w:type="dxa"/>
              <w:right w:w="85" w:type="dxa"/>
              <w:bottom w:w="0" w:type="dxa"/>
            </w:tcMar>
            <w:tcW w:w="1134" w:type="dxa"/>
            <w:vAlign w:val="center"/>
            <w:textDirection w:val="lrTb"/>
            <w:noWrap w:val="false"/>
          </w:tcPr>
          <w:p>
            <w:pPr>
              <w:pStyle w:val="1151"/>
              <w:jc w:val="center"/>
              <w:spacing w:line="180" w:lineRule="atLeast"/>
              <w:widowControl/>
              <w:rPr>
                <w:color w:val="000000"/>
                <w:sz w:val="18"/>
                <w:szCs w:val="18"/>
              </w:rPr>
            </w:pPr>
            <w:r>
              <w:rPr>
                <w:color w:val="000000"/>
                <w:sz w:val="18"/>
                <w:szCs w:val="18"/>
              </w:rPr>
              <w:t xml:space="preserve">GND </w:t>
            </w:r>
            <w:r>
              <w:rPr>
                <w:color w:val="000000"/>
                <w:sz w:val="18"/>
                <w:szCs w:val="18"/>
              </w:rPr>
            </w:r>
            <w:r/>
          </w:p>
        </w:tc>
        <w:tc>
          <w:tcPr>
            <w:tcBorders>
              <w:top w:val="single" w:color="000000" w:sz="4" w:space="0"/>
              <w:left w:val="single" w:color="000000" w:sz="4" w:space="0"/>
              <w:bottom w:val="single" w:color="000000" w:sz="8" w:space="0"/>
              <w:right w:val="single" w:color="000000" w:sz="4" w:space="0"/>
            </w:tcBorders>
            <w:tcMar>
              <w:left w:w="85" w:type="dxa"/>
              <w:top w:w="10" w:type="dxa"/>
              <w:right w:w="85" w:type="dxa"/>
              <w:bottom w:w="0" w:type="dxa"/>
            </w:tcMar>
            <w:tcW w:w="1417" w:type="dxa"/>
            <w:vAlign w:val="center"/>
            <w:textDirection w:val="lrTb"/>
            <w:noWrap w:val="false"/>
          </w:tcPr>
          <w:p>
            <w:pPr>
              <w:pStyle w:val="1151"/>
              <w:jc w:val="center"/>
              <w:spacing w:line="180" w:lineRule="atLeast"/>
              <w:widowControl/>
              <w:rPr>
                <w:color w:val="000000"/>
                <w:sz w:val="18"/>
                <w:szCs w:val="18"/>
              </w:rPr>
            </w:pPr>
            <w:r>
              <w:rPr>
                <w:color w:val="000000"/>
                <w:sz w:val="18"/>
                <w:szCs w:val="18"/>
              </w:rPr>
              <w:t xml:space="preserve">电源输入</w:t>
            </w:r>
            <w:r>
              <w:rPr>
                <w:color w:val="000000"/>
                <w:sz w:val="18"/>
                <w:szCs w:val="18"/>
              </w:rPr>
            </w:r>
            <w:r/>
          </w:p>
        </w:tc>
        <w:tc>
          <w:tcPr>
            <w:tcBorders>
              <w:top w:val="single" w:color="000000" w:sz="4" w:space="0"/>
              <w:left w:val="single" w:color="000000" w:sz="4" w:space="0"/>
              <w:bottom w:val="single" w:color="000000" w:sz="8" w:space="0"/>
              <w:right w:val="single" w:color="000000" w:sz="8" w:space="0"/>
            </w:tcBorders>
            <w:tcMar>
              <w:left w:w="85" w:type="dxa"/>
              <w:top w:w="10" w:type="dxa"/>
              <w:right w:w="85" w:type="dxa"/>
              <w:bottom w:w="0" w:type="dxa"/>
            </w:tcMar>
            <w:tcW w:w="5191" w:type="dxa"/>
            <w:vAlign w:val="center"/>
            <w:textDirection w:val="lrTb"/>
            <w:noWrap w:val="false"/>
          </w:tcPr>
          <w:p>
            <w:pPr>
              <w:pStyle w:val="1151"/>
              <w:jc w:val="center"/>
              <w:spacing w:line="180" w:lineRule="atLeast"/>
              <w:widowControl/>
              <w:rPr>
                <w:color w:val="000000"/>
                <w:sz w:val="18"/>
                <w:szCs w:val="18"/>
              </w:rPr>
            </w:pPr>
            <w:r>
              <w:rPr>
                <w:color w:val="000000"/>
                <w:sz w:val="18"/>
                <w:szCs w:val="18"/>
              </w:rPr>
              <w:t xml:space="preserve">电源地输入</w:t>
            </w:r>
            <w:r>
              <w:rPr>
                <w:rFonts w:hint="eastAsia"/>
                <w:color w:val="000000"/>
                <w:sz w:val="18"/>
                <w:szCs w:val="18"/>
              </w:rPr>
              <w:t xml:space="preserve">，</w:t>
            </w:r>
            <w:r>
              <w:rPr>
                <w:color w:val="000000"/>
                <w:sz w:val="18"/>
                <w:szCs w:val="18"/>
              </w:rPr>
              <w:t xml:space="preserve">比其它信号引脚的插针稍长0.5mm。</w:t>
            </w:r>
            <w:r>
              <w:rPr>
                <w:color w:val="000000"/>
                <w:sz w:val="18"/>
                <w:szCs w:val="18"/>
              </w:rPr>
            </w:r>
            <w:r/>
          </w:p>
        </w:tc>
      </w:tr>
    </w:tbl>
    <w:p>
      <w:pPr>
        <w:pStyle w:val="1151"/>
        <w:spacing w:line="312" w:lineRule="exact"/>
        <w:rPr>
          <w:rFonts w:ascii="宋体" w:hAnsi="宋体" w:eastAsia="宋体"/>
          <w:szCs w:val="21"/>
        </w:rPr>
        <w:outlineLvl w:val="2"/>
      </w:pPr>
      <w:r/>
      <w:bookmarkStart w:id="375" w:name="_Toc512518945"/>
      <w:r/>
      <w:bookmarkStart w:id="376" w:name="_Toc509497718"/>
      <w:r/>
      <w:bookmarkStart w:id="377" w:name="_Toc501306789"/>
      <w:r/>
      <w:bookmarkStart w:id="378" w:name="_Toc512502903"/>
      <w:r>
        <w:rPr>
          <w:rFonts w:ascii="宋体" w:hAnsi="宋体" w:eastAsia="宋体"/>
          <w:szCs w:val="21"/>
        </w:rPr>
        <w:t xml:space="preserve">B.2.8 </w:t>
      </w:r>
      <w:r>
        <w:rPr>
          <w:rFonts w:hint="eastAsia" w:ascii="宋体" w:hAnsi="宋体" w:eastAsia="宋体"/>
          <w:szCs w:val="21"/>
        </w:rPr>
        <w:t xml:space="preserve">本地通信扩展模块信号接口</w:t>
      </w:r>
      <w:bookmarkEnd w:id="375"/>
      <w:r/>
      <w:bookmarkEnd w:id="376"/>
      <w:r/>
      <w:bookmarkEnd w:id="378"/>
      <w:r>
        <w:rPr>
          <w:rFonts w:ascii="宋体" w:hAnsi="宋体" w:eastAsia="宋体"/>
          <w:szCs w:val="21"/>
        </w:rPr>
      </w:r>
      <w:r/>
    </w:p>
    <w:p>
      <w:pPr>
        <w:pStyle w:val="1151"/>
        <w:ind w:firstLine="420"/>
        <w:widowControl/>
        <w:rPr>
          <w:szCs w:val="21"/>
        </w:rPr>
      </w:pPr>
      <w:r>
        <w:rPr>
          <w:szCs w:val="21"/>
        </w:rPr>
        <w:t xml:space="preserve">本地通信扩展模块信号接口应采用2×13双排插针作为连接件，</w:t>
      </w:r>
      <w:bookmarkEnd w:id="377"/>
      <w:r>
        <w:rPr>
          <w:szCs w:val="21"/>
        </w:rPr>
        <w:t xml:space="preserve">其</w:t>
      </w:r>
      <w:r>
        <w:rPr>
          <w:rFonts w:hint="eastAsia"/>
          <w:szCs w:val="21"/>
        </w:rPr>
        <w:t xml:space="preserve">引脚示意图及定义说明如图B-1</w:t>
      </w:r>
      <w:r>
        <w:rPr>
          <w:szCs w:val="21"/>
        </w:rPr>
        <w:t xml:space="preserve">6</w:t>
      </w:r>
      <w:r>
        <w:rPr>
          <w:rFonts w:hint="eastAsia"/>
          <w:szCs w:val="21"/>
        </w:rPr>
        <w:t xml:space="preserve">所示，引脚定义说明见表B-3。</w:t>
      </w:r>
      <w:r>
        <w:rPr>
          <w:szCs w:val="21"/>
        </w:rPr>
      </w:r>
      <w:r/>
    </w:p>
    <w:p>
      <w:pPr>
        <w:pStyle w:val="1201"/>
        <w:ind w:firstLine="0"/>
        <w:jc w:val="center"/>
        <w:tabs>
          <w:tab w:val="center" w:pos="4201" w:leader="none"/>
          <w:tab w:val="right" w:pos="9298" w:leader="dot"/>
        </w:tabs>
        <w:rPr>
          <w:rFonts w:ascii="Times New Roman" w:eastAsia="黑体"/>
        </w:rPr>
      </w:pPr>
      <w:r>
        <w:rPr>
          <w:rFonts w:ascii="Times New Roman" w:eastAsia="黑体"/>
          <w:szCs w:val="21"/>
        </w:rPr>
        <mc:AlternateContent>
          <mc:Choice Requires="wpg">
            <w:drawing>
              <wp:inline xmlns:wp="http://schemas.openxmlformats.org/drawingml/2006/wordprocessingDrawing" distT="0" distB="0" distL="0" distR="0">
                <wp:extent cx="5361127" cy="1012241"/>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5361127" cy="10122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22.1pt;height:79.7pt;mso-wrap-distance-left:0.0pt;mso-wrap-distance-top:0.0pt;mso-wrap-distance-right:0.0pt;mso-wrap-distance-bottom:0.0pt;" stroked="f">
                <v:path textboxrect="0,0,0,0"/>
                <v:imagedata r:id="rId97" o:title=""/>
              </v:shape>
            </w:pict>
          </mc:Fallback>
        </mc:AlternateContent>
      </w:r>
      <w:r>
        <w:rPr>
          <w:rFonts w:ascii="Times New Roman" w:eastAsia="黑体"/>
        </w:rPr>
      </w:r>
      <w:r/>
    </w:p>
    <w:p>
      <w:pPr>
        <w:pStyle w:val="1151"/>
        <w:ind w:firstLine="420"/>
        <w:jc w:val="center"/>
        <w:spacing w:before="156" w:after="156"/>
        <w:widowControl/>
        <w:tabs>
          <w:tab w:val="center" w:pos="4201" w:leader="none"/>
          <w:tab w:val="right" w:pos="9298" w:leader="dot"/>
        </w:tabs>
        <w:rPr>
          <w:rFonts w:eastAsia="黑体"/>
          <w:szCs w:val="21"/>
        </w:rPr>
      </w:pPr>
      <w:r>
        <w:rPr>
          <w:rFonts w:ascii="黑体" w:hAnsi="黑体" w:eastAsia="黑体"/>
          <w:szCs w:val="21"/>
        </w:rPr>
        <w:t xml:space="preserve">图</w:t>
      </w:r>
      <w:r>
        <w:rPr>
          <w:rFonts w:hint="eastAsia" w:ascii="黑体" w:hAnsi="黑体" w:eastAsia="黑体"/>
          <w:szCs w:val="21"/>
        </w:rPr>
        <w:t xml:space="preserve">B-16</w:t>
      </w:r>
      <w:r>
        <w:rPr>
          <w:rFonts w:eastAsia="黑体"/>
          <w:szCs w:val="21"/>
        </w:rPr>
        <w:t xml:space="preserve">本地通信扩展模块弱电信号接口</w:t>
      </w:r>
      <w:r>
        <w:rPr>
          <w:rFonts w:hint="eastAsia" w:eastAsia="黑体"/>
          <w:szCs w:val="21"/>
        </w:rPr>
        <w:t xml:space="preserve">引脚</w:t>
      </w:r>
      <w:r>
        <w:rPr>
          <w:rFonts w:eastAsia="黑体"/>
          <w:szCs w:val="21"/>
        </w:rPr>
        <w:t xml:space="preserve">示意图</w:t>
      </w:r>
      <w:r>
        <w:rPr>
          <w:rFonts w:eastAsia="黑体"/>
          <w:szCs w:val="21"/>
        </w:rPr>
      </w:r>
      <w:r/>
    </w:p>
    <w:p>
      <w:pPr>
        <w:pStyle w:val="1254"/>
        <w:ind w:left="0" w:firstLine="0"/>
        <w:spacing w:before="156" w:after="156"/>
        <w:rPr>
          <w:rFonts w:hAnsi="黑体"/>
        </w:rPr>
      </w:pPr>
      <w:r>
        <w:rPr>
          <w:rFonts w:hAnsi="黑体"/>
        </w:rPr>
        <w:t xml:space="preserve">表</w:t>
      </w:r>
      <w:r>
        <w:rPr>
          <w:rFonts w:hint="eastAsia" w:hAnsi="黑体"/>
        </w:rPr>
        <w:t xml:space="preserve">B-3</w:t>
      </w:r>
      <w:r>
        <w:rPr>
          <w:rFonts w:ascii="Times New Roman"/>
        </w:rPr>
        <w:t xml:space="preserve">本地通信扩展模块弱电信号接口</w:t>
      </w:r>
      <w:r>
        <w:rPr>
          <w:rFonts w:hint="eastAsia" w:ascii="Times New Roman"/>
        </w:rPr>
        <w:t xml:space="preserve">引脚定义说明</w:t>
      </w:r>
      <w:r>
        <w:rPr>
          <w:rFonts w:hAnsi="黑体"/>
        </w:rPr>
      </w:r>
      <w:r/>
    </w:p>
    <w:tbl>
      <w:tblPr>
        <w:tblW w:w="9716" w:type="dxa"/>
        <w:jc w:val="center"/>
        <w:tblInd w:w="-68" w:type="dxa"/>
        <w:tblLayout w:type="fixed"/>
        <w:tblCellMar>
          <w:left w:w="68" w:type="dxa"/>
          <w:top w:w="12" w:type="dxa"/>
          <w:right w:w="68" w:type="dxa"/>
          <w:bottom w:w="0" w:type="dxa"/>
        </w:tblCellMar>
        <w:tblLook w:val="04A0" w:firstRow="1" w:lastRow="0" w:firstColumn="1" w:lastColumn="0" w:noHBand="0" w:noVBand="1"/>
      </w:tblPr>
      <w:tblGrid>
        <w:gridCol w:w="680"/>
        <w:gridCol w:w="1034"/>
        <w:gridCol w:w="1226"/>
        <w:gridCol w:w="2353"/>
        <w:gridCol w:w="4423"/>
      </w:tblGrid>
      <w:tr>
        <w:trPr>
          <w:trHeight w:val="772"/>
          <w:tblHeader/>
        </w:trPr>
        <w:tc>
          <w:tcPr>
            <w:tcBorders>
              <w:top w:val="single" w:color="000000" w:sz="8" w:space="0"/>
              <w:left w:val="single" w:color="000000" w:sz="8" w:space="0"/>
              <w:bottom w:val="single" w:color="000000" w:sz="8"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widowControl/>
              <w:rPr>
                <w:sz w:val="18"/>
                <w:szCs w:val="18"/>
              </w:rPr>
            </w:pPr>
            <w:r>
              <w:rPr>
                <w:sz w:val="18"/>
                <w:szCs w:val="18"/>
              </w:rPr>
              <w:t xml:space="preserve">引脚编号</w:t>
            </w:r>
            <w:r>
              <w:rPr>
                <w:sz w:val="18"/>
                <w:szCs w:val="18"/>
              </w:rPr>
            </w:r>
            <w:r/>
          </w:p>
        </w:tc>
        <w:tc>
          <w:tcPr>
            <w:tcBorders>
              <w:top w:val="single" w:color="000000" w:sz="8" w:space="0"/>
              <w:left w:val="single" w:color="000000" w:sz="4" w:space="0"/>
              <w:bottom w:val="single" w:color="000000" w:sz="8"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widowControl/>
              <w:rPr>
                <w:sz w:val="18"/>
                <w:szCs w:val="18"/>
              </w:rPr>
            </w:pPr>
            <w:r>
              <w:rPr>
                <w:sz w:val="18"/>
                <w:szCs w:val="18"/>
              </w:rPr>
              <w:t xml:space="preserve">信号类别</w:t>
            </w:r>
            <w:r>
              <w:rPr>
                <w:sz w:val="18"/>
                <w:szCs w:val="18"/>
              </w:rPr>
            </w:r>
            <w:r/>
          </w:p>
        </w:tc>
        <w:tc>
          <w:tcPr>
            <w:tcBorders>
              <w:top w:val="single" w:color="000000" w:sz="8" w:space="0"/>
              <w:left w:val="single" w:color="000000" w:sz="4" w:space="0"/>
              <w:bottom w:val="single" w:color="000000" w:sz="8"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widowControl/>
              <w:rPr>
                <w:sz w:val="18"/>
                <w:szCs w:val="18"/>
              </w:rPr>
            </w:pPr>
            <w:r>
              <w:rPr>
                <w:sz w:val="18"/>
                <w:szCs w:val="18"/>
              </w:rPr>
              <w:t xml:space="preserve">信号名称</w:t>
            </w:r>
            <w:r>
              <w:rPr>
                <w:sz w:val="18"/>
                <w:szCs w:val="18"/>
              </w:rPr>
            </w:r>
            <w:r/>
          </w:p>
        </w:tc>
        <w:tc>
          <w:tcPr>
            <w:tcBorders>
              <w:top w:val="single" w:color="000000" w:sz="8" w:space="0"/>
              <w:left w:val="single" w:color="000000" w:sz="4" w:space="0"/>
              <w:bottom w:val="single" w:color="000000" w:sz="8"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widowControl/>
              <w:rPr>
                <w:sz w:val="18"/>
                <w:szCs w:val="18"/>
              </w:rPr>
            </w:pPr>
            <w:r>
              <w:rPr>
                <w:sz w:val="18"/>
                <w:szCs w:val="18"/>
              </w:rPr>
              <w:t xml:space="preserve">信号方向</w:t>
            </w:r>
            <w:r>
              <w:rPr>
                <w:sz w:val="18"/>
                <w:szCs w:val="18"/>
              </w:rPr>
              <w:br w:type="textWrapping" w:clear="all"/>
            </w:r>
            <w:r>
              <w:rPr>
                <w:sz w:val="18"/>
                <w:szCs w:val="18"/>
              </w:rPr>
              <w:t xml:space="preserve">（针对模块）</w:t>
            </w:r>
            <w:r>
              <w:rPr>
                <w:sz w:val="18"/>
                <w:szCs w:val="18"/>
              </w:rPr>
            </w:r>
            <w:r/>
          </w:p>
        </w:tc>
        <w:tc>
          <w:tcPr>
            <w:tcBorders>
              <w:top w:val="single" w:color="000000" w:sz="8" w:space="0"/>
              <w:left w:val="single" w:color="000000" w:sz="4" w:space="0"/>
              <w:bottom w:val="single" w:color="000000" w:sz="8" w:space="0"/>
              <w:right w:val="single" w:color="000000" w:sz="8" w:space="0"/>
            </w:tcBorders>
            <w:tcMar>
              <w:left w:w="68" w:type="dxa"/>
              <w:top w:w="12" w:type="dxa"/>
              <w:right w:w="68" w:type="dxa"/>
              <w:bottom w:w="0" w:type="dxa"/>
            </w:tcMar>
            <w:tcW w:w="4423" w:type="dxa"/>
            <w:vAlign w:val="center"/>
            <w:textDirection w:val="lrTb"/>
            <w:noWrap w:val="false"/>
          </w:tcPr>
          <w:p>
            <w:pPr>
              <w:pStyle w:val="1151"/>
              <w:jc w:val="center"/>
              <w:widowControl/>
              <w:rPr>
                <w:sz w:val="18"/>
                <w:szCs w:val="18"/>
              </w:rPr>
            </w:pPr>
            <w:r>
              <w:rPr>
                <w:sz w:val="18"/>
                <w:szCs w:val="18"/>
              </w:rPr>
              <w:t xml:space="preserve">说明</w:t>
            </w:r>
            <w:r>
              <w:rPr>
                <w:sz w:val="18"/>
                <w:szCs w:val="18"/>
              </w:rPr>
            </w:r>
            <w:r/>
          </w:p>
        </w:tc>
      </w:tr>
      <w:tr>
        <w:trPr>
          <w:trHeight w:val="388"/>
        </w:trPr>
        <w:tc>
          <w:tcPr>
            <w:tcBorders>
              <w:top w:val="single" w:color="000000" w:sz="8" w:space="0"/>
              <w:left w:val="single" w:color="000000" w:sz="8" w:space="0"/>
              <w:bottom w:val="single" w:color="000000" w:sz="4" w:space="0"/>
              <w:right w:val="single" w:color="000000" w:sz="4" w:space="0"/>
            </w:tcBorders>
            <w:tcMar>
              <w:left w:w="108" w:type="dxa"/>
              <w:top w:w="12" w:type="dxa"/>
              <w:right w:w="108" w:type="dxa"/>
              <w:bottom w:w="0" w:type="dxa"/>
            </w:tcMar>
            <w:tcW w:w="680" w:type="dxa"/>
            <w:vAlign w:val="center"/>
            <w:textDirection w:val="lrTb"/>
            <w:noWrap w:val="false"/>
          </w:tcPr>
          <w:p>
            <w:pPr>
              <w:pStyle w:val="1151"/>
              <w:jc w:val="center"/>
              <w:spacing w:line="179" w:lineRule="atLeast"/>
              <w:widowControl/>
              <w:rPr>
                <w:sz w:val="18"/>
                <w:szCs w:val="18"/>
              </w:rPr>
            </w:pPr>
            <w:r>
              <w:rPr>
                <w:sz w:val="18"/>
                <w:szCs w:val="18"/>
              </w:rPr>
              <w:t xml:space="preserve">1 </w:t>
            </w:r>
            <w:r>
              <w:rPr>
                <w:sz w:val="18"/>
                <w:szCs w:val="18"/>
              </w:rPr>
            </w:r>
            <w:r/>
          </w:p>
        </w:tc>
        <w:tc>
          <w:tcPr>
            <w:tcBorders>
              <w:top w:val="single" w:color="000000" w:sz="8" w:space="0"/>
              <w:left w:val="single" w:color="000000" w:sz="4" w:space="0"/>
              <w:bottom w:val="single" w:color="000000" w:sz="4" w:space="0"/>
              <w:right w:val="single" w:color="000000" w:sz="4" w:space="0"/>
            </w:tcBorders>
            <w:tcMar>
              <w:left w:w="108" w:type="dxa"/>
              <w:top w:w="12" w:type="dxa"/>
              <w:right w:w="108" w:type="dxa"/>
              <w:bottom w:w="0" w:type="dxa"/>
            </w:tcMar>
            <w:tcW w:w="1034" w:type="dxa"/>
            <w:vAlign w:val="center"/>
            <w:textDirection w:val="lrTb"/>
            <w:noWrap w:val="false"/>
          </w:tcPr>
          <w:p>
            <w:pPr>
              <w:pStyle w:val="1151"/>
              <w:jc w:val="center"/>
              <w:spacing w:line="180" w:lineRule="atLeast"/>
              <w:widowControl/>
              <w:rPr>
                <w:sz w:val="18"/>
                <w:szCs w:val="18"/>
              </w:rPr>
            </w:pPr>
            <w:r>
              <w:rPr>
                <w:sz w:val="18"/>
                <w:szCs w:val="18"/>
              </w:rPr>
              <w:t xml:space="preserve">信号</w:t>
            </w:r>
            <w:r>
              <w:rPr>
                <w:sz w:val="18"/>
                <w:szCs w:val="18"/>
              </w:rPr>
            </w:r>
            <w:r/>
          </w:p>
        </w:tc>
        <w:tc>
          <w:tcPr>
            <w:tcBorders>
              <w:top w:val="single" w:color="000000" w:sz="8" w:space="0"/>
              <w:left w:val="single" w:color="000000" w:sz="4" w:space="0"/>
              <w:bottom w:val="single" w:color="000000" w:sz="4" w:space="0"/>
              <w:right w:val="single" w:color="000000" w:sz="4" w:space="0"/>
            </w:tcBorders>
            <w:tcMar>
              <w:left w:w="108" w:type="dxa"/>
              <w:top w:w="12" w:type="dxa"/>
              <w:right w:w="108" w:type="dxa"/>
              <w:bottom w:w="0" w:type="dxa"/>
            </w:tcMar>
            <w:tcW w:w="1226" w:type="dxa"/>
            <w:vAlign w:val="center"/>
            <w:textDirection w:val="lrTb"/>
            <w:noWrap w:val="false"/>
          </w:tcPr>
          <w:p>
            <w:pPr>
              <w:pStyle w:val="1151"/>
              <w:jc w:val="center"/>
              <w:spacing w:line="180" w:lineRule="atLeast"/>
              <w:widowControl/>
              <w:rPr>
                <w:sz w:val="18"/>
                <w:szCs w:val="18"/>
              </w:rPr>
            </w:pPr>
            <w:r>
              <w:rPr>
                <w:sz w:val="18"/>
                <w:szCs w:val="18"/>
              </w:rPr>
              <w:t xml:space="preserve">SDA </w:t>
            </w:r>
            <w:r>
              <w:rPr>
                <w:sz w:val="18"/>
                <w:szCs w:val="18"/>
              </w:rPr>
            </w:r>
            <w:r/>
          </w:p>
        </w:tc>
        <w:tc>
          <w:tcPr>
            <w:tcBorders>
              <w:top w:val="single" w:color="000000" w:sz="8" w:space="0"/>
              <w:left w:val="single" w:color="000000" w:sz="4" w:space="0"/>
              <w:bottom w:val="single" w:color="000000" w:sz="4" w:space="0"/>
              <w:right w:val="single" w:color="000000" w:sz="4" w:space="0"/>
            </w:tcBorders>
            <w:tcMar>
              <w:left w:w="108" w:type="dxa"/>
              <w:top w:w="12" w:type="dxa"/>
              <w:right w:w="108" w:type="dxa"/>
              <w:bottom w:w="0" w:type="dxa"/>
            </w:tcMar>
            <w:tcW w:w="2353" w:type="dxa"/>
            <w:vAlign w:val="center"/>
            <w:textDirection w:val="lrTb"/>
            <w:noWrap w:val="false"/>
          </w:tcPr>
          <w:p>
            <w:pPr>
              <w:pStyle w:val="1151"/>
              <w:jc w:val="center"/>
              <w:spacing w:line="180" w:lineRule="atLeast"/>
              <w:widowControl/>
              <w:rPr>
                <w:sz w:val="18"/>
                <w:szCs w:val="18"/>
              </w:rPr>
            </w:pPr>
            <w:r>
              <w:rPr>
                <w:sz w:val="18"/>
                <w:szCs w:val="18"/>
              </w:rPr>
              <w:t xml:space="preserve">输入/输出</w:t>
            </w:r>
            <w:r>
              <w:rPr>
                <w:sz w:val="18"/>
                <w:szCs w:val="18"/>
              </w:rPr>
            </w:r>
            <w:r/>
          </w:p>
        </w:tc>
        <w:tc>
          <w:tcPr>
            <w:tcBorders>
              <w:top w:val="single" w:color="000000" w:sz="8" w:space="0"/>
              <w:left w:val="single" w:color="000000" w:sz="4" w:space="0"/>
              <w:bottom w:val="single" w:color="000000" w:sz="4" w:space="0"/>
              <w:right w:val="single" w:color="000000" w:sz="8" w:space="0"/>
            </w:tcBorders>
            <w:tcMar>
              <w:left w:w="85" w:type="dxa"/>
              <w:top w:w="12" w:type="dxa"/>
              <w:right w:w="85" w:type="dxa"/>
              <w:bottom w:w="0" w:type="dxa"/>
            </w:tcMar>
            <w:tcW w:w="4423" w:type="dxa"/>
            <w:vAlign w:val="center"/>
            <w:textDirection w:val="lrTb"/>
            <w:noWrap w:val="false"/>
          </w:tcPr>
          <w:p>
            <w:pPr>
              <w:pStyle w:val="1151"/>
              <w:jc w:val="center"/>
              <w:spacing w:line="179" w:lineRule="atLeast"/>
              <w:widowControl/>
              <w:rPr>
                <w:sz w:val="18"/>
                <w:szCs w:val="18"/>
              </w:rPr>
            </w:pPr>
            <w:r>
              <w:rPr>
                <w:sz w:val="18"/>
                <w:szCs w:val="18"/>
              </w:rPr>
              <w:t xml:space="preserve">I2C，SDA，输入/输出</w:t>
            </w:r>
            <w:r>
              <w:rPr>
                <w:sz w:val="18"/>
                <w:szCs w:val="18"/>
              </w:rPr>
            </w:r>
            <w:r/>
          </w:p>
        </w:tc>
      </w:tr>
      <w:tr>
        <w:trPr>
          <w:trHeight w:val="388"/>
        </w:trPr>
        <w:tc>
          <w:tcPr>
            <w:tcBorders>
              <w:top w:val="single" w:color="000000" w:sz="4" w:space="0"/>
              <w:left w:val="single" w:color="000000" w:sz="8" w:space="0"/>
              <w:bottom w:val="single" w:color="000000" w:sz="4" w:space="0"/>
              <w:right w:val="single" w:color="000000" w:sz="4" w:space="0"/>
            </w:tcBorders>
            <w:tcMar>
              <w:left w:w="108" w:type="dxa"/>
              <w:top w:w="12" w:type="dxa"/>
              <w:right w:w="108" w:type="dxa"/>
              <w:bottom w:w="0" w:type="dxa"/>
            </w:tcMar>
            <w:tcW w:w="680" w:type="dxa"/>
            <w:vAlign w:val="center"/>
            <w:textDirection w:val="lrTb"/>
            <w:noWrap w:val="false"/>
          </w:tcPr>
          <w:p>
            <w:pPr>
              <w:pStyle w:val="1151"/>
              <w:jc w:val="center"/>
              <w:spacing w:line="179" w:lineRule="atLeast"/>
              <w:widowControl/>
              <w:rPr>
                <w:sz w:val="18"/>
                <w:szCs w:val="18"/>
              </w:rPr>
            </w:pPr>
            <w:r>
              <w:rPr>
                <w:sz w:val="18"/>
                <w:szCs w:val="18"/>
              </w:rPr>
              <w:t xml:space="preserve">2 </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12" w:type="dxa"/>
              <w:right w:w="108" w:type="dxa"/>
              <w:bottom w:w="0" w:type="dxa"/>
            </w:tcMar>
            <w:tcW w:w="1034" w:type="dxa"/>
            <w:vAlign w:val="center"/>
            <w:textDirection w:val="lrTb"/>
            <w:noWrap w:val="false"/>
          </w:tcPr>
          <w:p>
            <w:pPr>
              <w:pStyle w:val="1151"/>
              <w:jc w:val="center"/>
              <w:spacing w:line="180" w:lineRule="atLeast"/>
              <w:widowControl/>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12" w:type="dxa"/>
              <w:right w:w="108" w:type="dxa"/>
              <w:bottom w:w="0" w:type="dxa"/>
            </w:tcMar>
            <w:tcW w:w="1226" w:type="dxa"/>
            <w:vAlign w:val="center"/>
            <w:textDirection w:val="lrTb"/>
            <w:noWrap w:val="false"/>
          </w:tcPr>
          <w:p>
            <w:pPr>
              <w:pStyle w:val="1151"/>
              <w:jc w:val="center"/>
              <w:spacing w:line="180" w:lineRule="atLeast"/>
              <w:widowControl/>
              <w:rPr>
                <w:sz w:val="18"/>
                <w:szCs w:val="18"/>
              </w:rPr>
            </w:pPr>
            <w:r>
              <w:rPr>
                <w:sz w:val="18"/>
                <w:szCs w:val="18"/>
              </w:rPr>
              <w:t xml:space="preserve">SCL </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12" w:type="dxa"/>
              <w:right w:w="108" w:type="dxa"/>
              <w:bottom w:w="0" w:type="dxa"/>
            </w:tcMar>
            <w:tcW w:w="2353" w:type="dxa"/>
            <w:vAlign w:val="center"/>
            <w:textDirection w:val="lrTb"/>
            <w:noWrap w:val="false"/>
          </w:tcPr>
          <w:p>
            <w:pPr>
              <w:pStyle w:val="1151"/>
              <w:jc w:val="center"/>
              <w:spacing w:line="180" w:lineRule="atLeast"/>
              <w:widowControl/>
              <w:rPr>
                <w:sz w:val="18"/>
                <w:szCs w:val="18"/>
              </w:rPr>
            </w:pPr>
            <w:r>
              <w:rPr>
                <w:sz w:val="18"/>
                <w:szCs w:val="18"/>
              </w:rPr>
              <w:t xml:space="preserve">输入</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2" w:type="dxa"/>
              <w:right w:w="85" w:type="dxa"/>
              <w:bottom w:w="0" w:type="dxa"/>
            </w:tcMar>
            <w:tcW w:w="4423" w:type="dxa"/>
            <w:vAlign w:val="center"/>
            <w:textDirection w:val="lrTb"/>
            <w:noWrap w:val="false"/>
          </w:tcPr>
          <w:p>
            <w:pPr>
              <w:pStyle w:val="1151"/>
              <w:jc w:val="center"/>
              <w:spacing w:line="179" w:lineRule="atLeast"/>
              <w:widowControl/>
              <w:rPr>
                <w:sz w:val="18"/>
                <w:szCs w:val="18"/>
              </w:rPr>
            </w:pPr>
            <w:r>
              <w:rPr>
                <w:sz w:val="18"/>
                <w:szCs w:val="18"/>
              </w:rPr>
              <w:t xml:space="preserve">I2C，SCL，输入</w:t>
            </w:r>
            <w:r>
              <w:rPr>
                <w:sz w:val="18"/>
                <w:szCs w:val="18"/>
              </w:rPr>
            </w:r>
            <w:r/>
          </w:p>
        </w:tc>
      </w:tr>
      <w:tr>
        <w:trPr>
          <w:trHeight w:val="76"/>
        </w:trPr>
        <w:tc>
          <w:tcPr>
            <w:tcBorders>
              <w:top w:val="single" w:color="000000" w:sz="4" w:space="0"/>
              <w:left w:val="single" w:color="000000" w:sz="8" w:space="0"/>
              <w:bottom w:val="single" w:color="000000" w:sz="4" w:space="0"/>
              <w:right w:val="single" w:color="000000" w:sz="4" w:space="0"/>
            </w:tcBorders>
            <w:tcMar>
              <w:left w:w="108" w:type="dxa"/>
              <w:top w:w="12" w:type="dxa"/>
              <w:right w:w="108" w:type="dxa"/>
              <w:bottom w:w="0" w:type="dxa"/>
            </w:tcMar>
            <w:tcW w:w="680" w:type="dxa"/>
            <w:vAlign w:val="center"/>
            <w:textDirection w:val="lrTb"/>
            <w:noWrap w:val="false"/>
          </w:tcPr>
          <w:p>
            <w:pPr>
              <w:pStyle w:val="1151"/>
              <w:jc w:val="center"/>
              <w:spacing w:line="205" w:lineRule="atLeast"/>
              <w:widowControl/>
              <w:rPr>
                <w:sz w:val="18"/>
                <w:szCs w:val="18"/>
              </w:rPr>
            </w:pPr>
            <w:r>
              <w:rPr>
                <w:sz w:val="18"/>
                <w:szCs w:val="18"/>
              </w:rPr>
              <w:t xml:space="preserve">3 </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12" w:type="dxa"/>
              <w:right w:w="108" w:type="dxa"/>
              <w:bottom w:w="0" w:type="dxa"/>
            </w:tcMar>
            <w:tcW w:w="1034" w:type="dxa"/>
            <w:vAlign w:val="center"/>
            <w:textDirection w:val="lrTb"/>
            <w:noWrap w:val="false"/>
          </w:tcPr>
          <w:p>
            <w:pPr>
              <w:pStyle w:val="1151"/>
              <w:jc w:val="center"/>
              <w:spacing w:line="205" w:lineRule="atLeast"/>
              <w:widowControl/>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12" w:type="dxa"/>
              <w:right w:w="108" w:type="dxa"/>
              <w:bottom w:w="0" w:type="dxa"/>
            </w:tcMar>
            <w:tcW w:w="1226" w:type="dxa"/>
            <w:vAlign w:val="center"/>
            <w:textDirection w:val="lrTb"/>
            <w:noWrap w:val="false"/>
          </w:tcPr>
          <w:p>
            <w:pPr>
              <w:pStyle w:val="1151"/>
              <w:jc w:val="center"/>
              <w:spacing w:line="205" w:lineRule="atLeast"/>
              <w:widowControl/>
              <w:rPr>
                <w:sz w:val="18"/>
                <w:szCs w:val="18"/>
              </w:rPr>
            </w:pPr>
            <w:r>
              <w:rPr>
                <w:sz w:val="18"/>
                <w:szCs w:val="18"/>
              </w:rPr>
              <w:t xml:space="preserve">/LED_LINK</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12" w:type="dxa"/>
              <w:right w:w="108" w:type="dxa"/>
              <w:bottom w:w="0" w:type="dxa"/>
            </w:tcMar>
            <w:tcW w:w="2353" w:type="dxa"/>
            <w:vAlign w:val="center"/>
            <w:textDirection w:val="lrTb"/>
            <w:noWrap w:val="false"/>
          </w:tcPr>
          <w:p>
            <w:pPr>
              <w:pStyle w:val="1151"/>
              <w:jc w:val="center"/>
              <w:spacing w:line="205" w:lineRule="atLeast"/>
              <w:widowControl/>
              <w:rPr>
                <w:sz w:val="18"/>
                <w:szCs w:val="18"/>
              </w:rPr>
            </w:pPr>
            <w:r>
              <w:rPr>
                <w:sz w:val="18"/>
                <w:szCs w:val="18"/>
              </w:rPr>
              <w:t xml:space="preserve">输入</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2" w:type="dxa"/>
              <w:right w:w="85" w:type="dxa"/>
              <w:bottom w:w="0" w:type="dxa"/>
            </w:tcMar>
            <w:tcW w:w="4423" w:type="dxa"/>
            <w:vAlign w:val="center"/>
            <w:textDirection w:val="lrTb"/>
            <w:noWrap w:val="false"/>
          </w:tcPr>
          <w:p>
            <w:pPr>
              <w:pStyle w:val="1151"/>
              <w:jc w:val="center"/>
              <w:spacing w:line="205" w:lineRule="atLeast"/>
              <w:widowControl/>
              <w:rPr>
                <w:sz w:val="18"/>
                <w:szCs w:val="18"/>
              </w:rPr>
            </w:pPr>
            <w:r>
              <w:rPr>
                <w:sz w:val="18"/>
                <w:szCs w:val="18"/>
              </w:rPr>
              <w:t xml:space="preserve">/LED_LINK </w:t>
            </w:r>
            <w:r>
              <w:rPr>
                <w:sz w:val="18"/>
                <w:szCs w:val="18"/>
              </w:rPr>
            </w:r>
            <w:r/>
          </w:p>
        </w:tc>
      </w:tr>
      <w:tr>
        <w:trPr>
          <w:trHeight w:val="76"/>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spacing w:line="205" w:lineRule="atLeast"/>
              <w:widowControl/>
              <w:rPr>
                <w:sz w:val="18"/>
                <w:szCs w:val="18"/>
              </w:rPr>
            </w:pPr>
            <w:r>
              <w:rPr>
                <w:sz w:val="18"/>
                <w:szCs w:val="18"/>
              </w:rPr>
              <w:t xml:space="preserve">4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spacing w:line="342" w:lineRule="atLeast"/>
              <w:widowControl/>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spacing w:line="342" w:lineRule="atLeast"/>
              <w:widowControl/>
              <w:rPr>
                <w:sz w:val="18"/>
                <w:szCs w:val="18"/>
              </w:rPr>
            </w:pPr>
            <w:r>
              <w:rPr>
                <w:sz w:val="18"/>
              </w:rPr>
              <w:t xml:space="preserve">保留</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spacing w:line="342" w:lineRule="atLeast"/>
              <w:widowControl/>
              <w:rPr>
                <w:sz w:val="18"/>
                <w:szCs w:val="18"/>
              </w:rPr>
            </w:pPr>
            <w:r>
              <w:t xml:space="preserve">/</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2" w:type="dxa"/>
              <w:right w:w="85" w:type="dxa"/>
              <w:bottom w:w="0" w:type="dxa"/>
            </w:tcMar>
            <w:tcW w:w="4423" w:type="dxa"/>
            <w:vAlign w:val="center"/>
            <w:textDirection w:val="lrTb"/>
            <w:noWrap w:val="false"/>
          </w:tcPr>
          <w:p>
            <w:pPr>
              <w:pStyle w:val="1151"/>
              <w:jc w:val="center"/>
              <w:spacing w:line="205" w:lineRule="atLeast"/>
              <w:widowControl/>
              <w:rPr>
                <w:sz w:val="18"/>
                <w:szCs w:val="18"/>
              </w:rPr>
            </w:pPr>
            <w:r>
              <w:t xml:space="preserve">/</w:t>
            </w:r>
            <w:r>
              <w:rPr>
                <w:sz w:val="18"/>
                <w:szCs w:val="18"/>
              </w:rPr>
            </w:r>
            <w:r/>
          </w:p>
        </w:tc>
      </w:tr>
      <w:tr>
        <w:trPr>
          <w:trHeight w:val="311"/>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spacing w:line="179" w:lineRule="atLeast"/>
              <w:widowControl/>
              <w:rPr>
                <w:sz w:val="18"/>
                <w:szCs w:val="18"/>
              </w:rPr>
            </w:pPr>
            <w:r>
              <w:rPr>
                <w:sz w:val="18"/>
                <w:szCs w:val="18"/>
              </w:rPr>
              <w:t xml:space="preserve">5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widowControl/>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widowControl/>
              <w:rPr>
                <w:sz w:val="18"/>
                <w:szCs w:val="18"/>
              </w:rPr>
            </w:pPr>
            <w:r>
              <w:rPr>
                <w:sz w:val="18"/>
              </w:rPr>
              <w:t xml:space="preserve">空</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widowControl/>
              <w:rPr>
                <w:sz w:val="18"/>
                <w:szCs w:val="18"/>
              </w:rPr>
            </w:pPr>
            <w:r>
              <w:t xml:space="preserve">/</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2" w:type="dxa"/>
              <w:right w:w="85" w:type="dxa"/>
              <w:bottom w:w="0" w:type="dxa"/>
            </w:tcMar>
            <w:tcW w:w="4423" w:type="dxa"/>
            <w:vAlign w:val="center"/>
            <w:textDirection w:val="lrTb"/>
            <w:noWrap w:val="false"/>
          </w:tcPr>
          <w:p>
            <w:pPr>
              <w:pStyle w:val="1151"/>
              <w:jc w:val="center"/>
              <w:spacing w:line="205" w:lineRule="atLeast"/>
              <w:widowControl/>
              <w:rPr>
                <w:sz w:val="18"/>
                <w:szCs w:val="18"/>
              </w:rPr>
            </w:pPr>
            <w:r>
              <w:t xml:space="preserve">/</w:t>
            </w:r>
            <w:r>
              <w:rPr>
                <w:sz w:val="18"/>
                <w:szCs w:val="18"/>
              </w:rPr>
            </w:r>
            <w:r/>
          </w:p>
        </w:tc>
      </w:tr>
      <w:tr>
        <w:trPr>
          <w:trHeight w:val="311"/>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widowControl/>
              <w:rPr>
                <w:sz w:val="18"/>
                <w:szCs w:val="18"/>
              </w:rPr>
            </w:pPr>
            <w:r>
              <w:rPr>
                <w:sz w:val="18"/>
                <w:szCs w:val="18"/>
              </w:rPr>
              <w:t xml:space="preserve">6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widowControl/>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widowControl/>
              <w:rPr>
                <w:sz w:val="18"/>
                <w:szCs w:val="18"/>
              </w:rPr>
            </w:pPr>
            <w:r>
              <w:rPr>
                <w:sz w:val="18"/>
              </w:rPr>
              <w:t xml:space="preserve">空</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widowControl/>
              <w:rPr>
                <w:sz w:val="18"/>
                <w:szCs w:val="18"/>
              </w:rPr>
            </w:pPr>
            <w:r>
              <w:t xml:space="preserve">/</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2" w:type="dxa"/>
              <w:right w:w="85" w:type="dxa"/>
              <w:bottom w:w="0" w:type="dxa"/>
            </w:tcMar>
            <w:tcW w:w="4423" w:type="dxa"/>
            <w:vAlign w:val="center"/>
            <w:textDirection w:val="lrTb"/>
            <w:noWrap w:val="false"/>
          </w:tcPr>
          <w:p>
            <w:pPr>
              <w:pStyle w:val="1151"/>
              <w:jc w:val="center"/>
              <w:spacing w:line="205" w:lineRule="atLeast"/>
              <w:widowControl/>
              <w:rPr>
                <w:sz w:val="18"/>
                <w:szCs w:val="18"/>
              </w:rPr>
            </w:pPr>
            <w:r>
              <w:t xml:space="preserve">/</w:t>
            </w:r>
            <w:r>
              <w:rPr>
                <w:sz w:val="18"/>
                <w:szCs w:val="18"/>
              </w:rPr>
            </w:r>
            <w:r/>
          </w:p>
        </w:tc>
      </w:tr>
      <w:tr>
        <w:trPr>
          <w:trHeight w:val="388"/>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spacing w:line="179" w:lineRule="atLeast"/>
              <w:widowControl/>
              <w:rPr>
                <w:sz w:val="18"/>
                <w:szCs w:val="18"/>
              </w:rPr>
            </w:pPr>
            <w:r>
              <w:rPr>
                <w:sz w:val="18"/>
                <w:szCs w:val="18"/>
              </w:rPr>
              <w:t xml:space="preserve">7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top"/>
            <w:textDirection w:val="lrTb"/>
            <w:noWrap w:val="false"/>
          </w:tcPr>
          <w:p>
            <w:pPr>
              <w:pStyle w:val="1151"/>
              <w:ind w:firstLine="180"/>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spacing w:line="179" w:lineRule="atLeast"/>
              <w:widowControl/>
              <w:rPr>
                <w:sz w:val="18"/>
                <w:szCs w:val="18"/>
              </w:rPr>
            </w:pPr>
            <w:r>
              <w:rPr>
                <w:sz w:val="18"/>
                <w:szCs w:val="18"/>
              </w:rPr>
              <w:t xml:space="preserve">USB+</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spacing w:line="179" w:lineRule="atLeast"/>
              <w:widowControl/>
              <w:rPr>
                <w:sz w:val="18"/>
                <w:szCs w:val="18"/>
              </w:rPr>
            </w:pPr>
            <w:r>
              <w:rPr>
                <w:sz w:val="18"/>
                <w:szCs w:val="18"/>
              </w:rPr>
              <w:t xml:space="preserve">输入/输出</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2" w:type="dxa"/>
              <w:right w:w="85" w:type="dxa"/>
              <w:bottom w:w="0" w:type="dxa"/>
            </w:tcMar>
            <w:tcW w:w="4423" w:type="dxa"/>
            <w:vAlign w:val="center"/>
            <w:textDirection w:val="lrTb"/>
            <w:noWrap w:val="false"/>
          </w:tcPr>
          <w:p>
            <w:pPr>
              <w:pStyle w:val="1151"/>
              <w:jc w:val="center"/>
              <w:spacing w:line="179" w:lineRule="atLeast"/>
              <w:widowControl/>
              <w:rPr>
                <w:sz w:val="18"/>
                <w:szCs w:val="18"/>
              </w:rPr>
            </w:pPr>
            <w:r>
              <w:rPr>
                <w:sz w:val="18"/>
                <w:szCs w:val="18"/>
              </w:rPr>
              <w:t xml:space="preserve">USB+，输入/输出</w:t>
            </w:r>
            <w:r>
              <w:rPr>
                <w:sz w:val="18"/>
                <w:szCs w:val="18"/>
              </w:rPr>
            </w:r>
            <w:r/>
          </w:p>
        </w:tc>
      </w:tr>
      <w:tr>
        <w:trPr>
          <w:trHeight w:val="410"/>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spacing w:line="189" w:lineRule="atLeast"/>
              <w:widowControl/>
              <w:rPr>
                <w:sz w:val="18"/>
                <w:szCs w:val="18"/>
              </w:rPr>
            </w:pPr>
            <w:r>
              <w:rPr>
                <w:sz w:val="18"/>
                <w:szCs w:val="18"/>
              </w:rPr>
              <w:t xml:space="preserve">8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top"/>
            <w:textDirection w:val="lrTb"/>
            <w:noWrap w:val="false"/>
          </w:tcPr>
          <w:p>
            <w:pPr>
              <w:pStyle w:val="1151"/>
              <w:ind w:firstLine="180"/>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spacing w:line="189" w:lineRule="atLeast"/>
              <w:widowControl/>
              <w:rPr>
                <w:sz w:val="18"/>
                <w:szCs w:val="18"/>
              </w:rPr>
            </w:pPr>
            <w:r>
              <w:rPr>
                <w:sz w:val="18"/>
                <w:szCs w:val="18"/>
              </w:rPr>
              <w:t xml:space="preserve">USB-</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spacing w:line="189" w:lineRule="atLeast"/>
              <w:widowControl/>
              <w:rPr>
                <w:sz w:val="18"/>
                <w:szCs w:val="18"/>
              </w:rPr>
            </w:pPr>
            <w:r>
              <w:rPr>
                <w:sz w:val="18"/>
                <w:szCs w:val="18"/>
              </w:rPr>
              <w:t xml:space="preserve">输入/输出</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2" w:type="dxa"/>
              <w:right w:w="85" w:type="dxa"/>
              <w:bottom w:w="0" w:type="dxa"/>
            </w:tcMar>
            <w:tcW w:w="4423" w:type="dxa"/>
            <w:vAlign w:val="center"/>
            <w:textDirection w:val="lrTb"/>
            <w:noWrap w:val="false"/>
          </w:tcPr>
          <w:p>
            <w:pPr>
              <w:pStyle w:val="1151"/>
              <w:jc w:val="center"/>
              <w:spacing w:before="106" w:after="106" w:line="189" w:lineRule="atLeast"/>
              <w:widowControl/>
              <w:rPr>
                <w:sz w:val="18"/>
                <w:szCs w:val="18"/>
              </w:rPr>
            </w:pPr>
            <w:r>
              <w:rPr>
                <w:sz w:val="18"/>
                <w:szCs w:val="18"/>
              </w:rPr>
              <w:t xml:space="preserve">USB-，输入/输出</w:t>
            </w:r>
            <w:r>
              <w:rPr>
                <w:sz w:val="18"/>
                <w:szCs w:val="18"/>
              </w:rPr>
            </w:r>
            <w:r/>
          </w:p>
        </w:tc>
      </w:tr>
      <w:tr>
        <w:trPr>
          <w:trHeight w:val="388"/>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spacing w:line="179" w:lineRule="atLeast"/>
              <w:widowControl/>
              <w:rPr>
                <w:sz w:val="18"/>
                <w:szCs w:val="18"/>
              </w:rPr>
            </w:pPr>
            <w:r>
              <w:rPr>
                <w:sz w:val="18"/>
                <w:szCs w:val="18"/>
              </w:rPr>
              <w:t xml:space="preserve">9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spacing w:line="179" w:lineRule="atLeast"/>
              <w:widowControl/>
              <w:rPr>
                <w:sz w:val="18"/>
                <w:szCs w:val="18"/>
              </w:rPr>
            </w:pPr>
            <w:r>
              <w:rPr>
                <w:sz w:val="18"/>
                <w:szCs w:val="18"/>
              </w:rPr>
              <w:t xml:space="preserve">电源地</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spacing w:line="179" w:lineRule="atLeast"/>
              <w:widowControl/>
              <w:rPr>
                <w:sz w:val="18"/>
                <w:szCs w:val="18"/>
              </w:rPr>
            </w:pPr>
            <w:r>
              <w:rPr>
                <w:sz w:val="18"/>
                <w:szCs w:val="18"/>
              </w:rPr>
              <w:t xml:space="preserve">GND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spacing w:line="179" w:lineRule="atLeast"/>
              <w:widowControl/>
              <w:rPr>
                <w:sz w:val="18"/>
                <w:szCs w:val="18"/>
              </w:rPr>
            </w:pPr>
            <w:r>
              <w:rPr>
                <w:sz w:val="18"/>
                <w:szCs w:val="18"/>
              </w:rPr>
              <w:t xml:space="preserve">电源输入</w:t>
            </w:r>
            <w:r>
              <w:rPr>
                <w:sz w:val="18"/>
                <w:szCs w:val="18"/>
              </w:rPr>
            </w:r>
            <w:r/>
          </w:p>
        </w:tc>
        <w:tc>
          <w:tcPr>
            <w:tcBorders>
              <w:top w:val="single" w:color="000000" w:sz="4" w:space="0"/>
              <w:left w:val="single" w:color="000000" w:sz="4" w:space="0"/>
              <w:bottom w:val="single" w:color="000000" w:sz="8" w:space="0"/>
              <w:right w:val="single" w:color="000000" w:sz="8" w:space="0"/>
            </w:tcBorders>
            <w:tcMar>
              <w:left w:w="68" w:type="dxa"/>
              <w:top w:w="12" w:type="dxa"/>
              <w:right w:w="68" w:type="dxa"/>
              <w:bottom w:w="0" w:type="dxa"/>
            </w:tcMar>
            <w:tcW w:w="4423" w:type="dxa"/>
            <w:vAlign w:val="center"/>
            <w:vMerge w:val="restart"/>
            <w:textDirection w:val="lrTb"/>
            <w:noWrap w:val="false"/>
          </w:tcPr>
          <w:p>
            <w:pPr>
              <w:pStyle w:val="1151"/>
              <w:ind w:firstLine="187"/>
              <w:jc w:val="center"/>
              <w:spacing w:before="60" w:after="60" w:line="179" w:lineRule="atLeast"/>
              <w:widowControl/>
              <w:rPr>
                <w:sz w:val="18"/>
                <w:szCs w:val="18"/>
              </w:rPr>
            </w:pPr>
            <w:r>
              <w:rPr>
                <w:sz w:val="18"/>
                <w:szCs w:val="18"/>
              </w:rPr>
              <w:t xml:space="preserve">系统地</w:t>
            </w:r>
            <w:r>
              <w:rPr>
                <w:sz w:val="18"/>
                <w:szCs w:val="18"/>
              </w:rPr>
            </w:r>
            <w:r/>
          </w:p>
        </w:tc>
      </w:tr>
      <w:tr>
        <w:trPr>
          <w:trHeight w:val="388"/>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spacing w:line="179" w:lineRule="atLeast"/>
              <w:widowControl/>
              <w:rPr>
                <w:sz w:val="18"/>
                <w:szCs w:val="18"/>
              </w:rPr>
            </w:pPr>
            <w:r>
              <w:rPr>
                <w:sz w:val="18"/>
                <w:szCs w:val="18"/>
              </w:rPr>
              <w:t xml:space="preserve">10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spacing w:line="179" w:lineRule="atLeast"/>
              <w:widowControl/>
              <w:rPr>
                <w:sz w:val="18"/>
                <w:szCs w:val="18"/>
              </w:rPr>
            </w:pPr>
            <w:r>
              <w:rPr>
                <w:sz w:val="18"/>
                <w:szCs w:val="18"/>
              </w:rPr>
              <w:t xml:space="preserve">电源地</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spacing w:line="179" w:lineRule="atLeast"/>
              <w:widowControl/>
              <w:rPr>
                <w:sz w:val="18"/>
                <w:szCs w:val="18"/>
              </w:rPr>
            </w:pPr>
            <w:r>
              <w:rPr>
                <w:sz w:val="18"/>
                <w:szCs w:val="18"/>
              </w:rPr>
              <w:t xml:space="preserve">GND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spacing w:line="179" w:lineRule="atLeast"/>
              <w:widowControl/>
              <w:rPr>
                <w:sz w:val="18"/>
                <w:szCs w:val="18"/>
              </w:rPr>
            </w:pPr>
            <w:r>
              <w:rPr>
                <w:sz w:val="18"/>
                <w:szCs w:val="18"/>
              </w:rPr>
              <w:t xml:space="preserve">电源输入</w:t>
            </w:r>
            <w:r>
              <w:rPr>
                <w:sz w:val="18"/>
                <w:szCs w:val="18"/>
              </w:rPr>
            </w:r>
            <w:r/>
          </w:p>
        </w:tc>
        <w:tc>
          <w:tcPr>
            <w:tcBorders>
              <w:top w:val="single" w:color="000000" w:sz="8" w:space="0"/>
              <w:left w:val="single" w:color="000000" w:sz="4" w:space="0"/>
              <w:bottom w:val="single" w:color="000000" w:sz="4" w:space="0"/>
              <w:right w:val="single" w:color="000000" w:sz="8" w:space="0"/>
            </w:tcBorders>
            <w:tcW w:w="4423" w:type="dxa"/>
            <w:vAlign w:val="center"/>
            <w:vMerge w:val="continue"/>
            <w:textDirection w:val="lrTb"/>
            <w:noWrap w:val="false"/>
          </w:tcPr>
          <w:p>
            <w:pPr>
              <w:pStyle w:val="1151"/>
              <w:widowControl/>
              <w:rPr>
                <w:sz w:val="18"/>
                <w:szCs w:val="18"/>
              </w:rPr>
            </w:pPr>
            <w:r>
              <w:rPr>
                <w:sz w:val="18"/>
                <w:szCs w:val="18"/>
              </w:rPr>
            </w:r>
            <w:r/>
          </w:p>
        </w:tc>
      </w:tr>
      <w:tr>
        <w:trPr>
          <w:trHeight w:val="1004"/>
        </w:trPr>
        <w:tc>
          <w:tcPr>
            <w:tcBorders>
              <w:top w:val="single" w:color="000000" w:sz="4" w:space="0"/>
              <w:left w:val="single" w:color="000000" w:sz="8" w:space="0"/>
              <w:bottom w:val="single" w:color="000000" w:sz="8"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widowControl/>
              <w:rPr>
                <w:sz w:val="18"/>
                <w:szCs w:val="18"/>
              </w:rPr>
            </w:pPr>
            <w:r>
              <w:rPr>
                <w:sz w:val="18"/>
                <w:szCs w:val="18"/>
              </w:rPr>
              <w:t xml:space="preserve">11 </w:t>
            </w:r>
            <w:r>
              <w:rPr>
                <w:sz w:val="18"/>
                <w:szCs w:val="18"/>
              </w:rPr>
            </w:r>
            <w:r/>
          </w:p>
        </w:tc>
        <w:tc>
          <w:tcPr>
            <w:tcBorders>
              <w:top w:val="single" w:color="000000" w:sz="4" w:space="0"/>
              <w:left w:val="single" w:color="000000" w:sz="4" w:space="0"/>
              <w:bottom w:val="single" w:color="000000" w:sz="8"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spacing w:before="60" w:after="60" w:line="276" w:lineRule="auto"/>
              <w:widowControl/>
              <w:rPr>
                <w:sz w:val="18"/>
                <w:szCs w:val="18"/>
              </w:rPr>
            </w:pPr>
            <w:r>
              <w:rPr>
                <w:sz w:val="18"/>
                <w:szCs w:val="18"/>
              </w:rPr>
              <w:t xml:space="preserve">电源</w:t>
            </w:r>
            <w:r>
              <w:rPr>
                <w:sz w:val="18"/>
                <w:szCs w:val="18"/>
              </w:rPr>
            </w:r>
            <w:r/>
          </w:p>
        </w:tc>
        <w:tc>
          <w:tcPr>
            <w:tcBorders>
              <w:top w:val="single" w:color="000000" w:sz="4" w:space="0"/>
              <w:left w:val="single" w:color="000000" w:sz="4" w:space="0"/>
              <w:bottom w:val="single" w:color="000000" w:sz="8"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widowControl/>
              <w:rPr>
                <w:sz w:val="18"/>
                <w:szCs w:val="18"/>
              </w:rPr>
            </w:pPr>
            <w:r>
              <w:rPr>
                <w:sz w:val="18"/>
                <w:szCs w:val="18"/>
              </w:rPr>
              <w:t xml:space="preserve">VCC12V </w:t>
            </w:r>
            <w:r>
              <w:rPr>
                <w:sz w:val="18"/>
                <w:szCs w:val="18"/>
              </w:rPr>
            </w:r>
            <w:r/>
          </w:p>
        </w:tc>
        <w:tc>
          <w:tcPr>
            <w:tcBorders>
              <w:top w:val="single" w:color="000000" w:sz="4" w:space="0"/>
              <w:left w:val="single" w:color="000000" w:sz="4" w:space="0"/>
              <w:bottom w:val="single" w:color="000000" w:sz="8"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widowControl/>
              <w:rPr>
                <w:sz w:val="18"/>
                <w:szCs w:val="18"/>
              </w:rPr>
            </w:pPr>
            <w:r>
              <w:rPr>
                <w:sz w:val="18"/>
                <w:szCs w:val="18"/>
              </w:rPr>
              <w:t xml:space="preserve">电源输入</w:t>
            </w:r>
            <w:r>
              <w:rPr>
                <w:sz w:val="18"/>
                <w:szCs w:val="18"/>
              </w:rPr>
            </w:r>
            <w:r/>
          </w:p>
        </w:tc>
        <w:tc>
          <w:tcPr>
            <w:tcBorders>
              <w:top w:val="single" w:color="000000" w:sz="4" w:space="0"/>
              <w:left w:val="single" w:color="000000" w:sz="4" w:space="0"/>
              <w:bottom w:val="single" w:color="000000" w:sz="8" w:space="0"/>
              <w:right w:val="single" w:color="000000" w:sz="8" w:space="0"/>
            </w:tcBorders>
            <w:tcMar>
              <w:left w:w="68" w:type="dxa"/>
              <w:top w:w="12" w:type="dxa"/>
              <w:right w:w="68" w:type="dxa"/>
              <w:bottom w:w="0" w:type="dxa"/>
            </w:tcMar>
            <w:tcW w:w="4423" w:type="dxa"/>
            <w:vAlign w:val="center"/>
            <w:vMerge w:val="restart"/>
            <w:textDirection w:val="lrTb"/>
            <w:noWrap w:val="false"/>
          </w:tcPr>
          <w:p>
            <w:pPr>
              <w:pStyle w:val="1151"/>
              <w:jc w:val="center"/>
              <w:widowControl/>
              <w:rPr>
                <w:sz w:val="18"/>
                <w:szCs w:val="18"/>
              </w:rPr>
            </w:pPr>
            <w:r>
              <w:rPr>
                <w:sz w:val="18"/>
                <w:szCs w:val="18"/>
              </w:rPr>
              <w:t xml:space="preserve">通信电源，集中器提供，直流，电压范围12V±1V，电压纹波不大于120mV，输出电流不小于400mA。应满足离散频率杂音要求：</w:t>
            </w:r>
            <w:r>
              <w:rPr>
                <w:sz w:val="18"/>
                <w:szCs w:val="18"/>
              </w:rPr>
              <w:br w:type="textWrapping" w:clear="all"/>
            </w:r>
            <w:r>
              <w:rPr>
                <w:sz w:val="18"/>
                <w:szCs w:val="18"/>
              </w:rPr>
              <w:t xml:space="preserve">3.0kHz～150kHz≤5mV，</w:t>
            </w:r>
            <w:r>
              <w:rPr>
                <w:sz w:val="18"/>
                <w:szCs w:val="18"/>
              </w:rPr>
              <w:br w:type="textWrapping" w:clear="all"/>
            </w:r>
            <w:r>
              <w:rPr>
                <w:sz w:val="18"/>
                <w:szCs w:val="18"/>
              </w:rPr>
              <w:t xml:space="preserve">150kHz～200kHz≤3mV，</w:t>
            </w:r>
            <w:r>
              <w:rPr>
                <w:sz w:val="18"/>
                <w:szCs w:val="18"/>
              </w:rPr>
              <w:br w:type="textWrapping" w:clear="all"/>
            </w:r>
            <w:r>
              <w:rPr>
                <w:sz w:val="18"/>
                <w:szCs w:val="18"/>
              </w:rPr>
              <w:t xml:space="preserve">200kHz～500kHz≤2mV，</w:t>
            </w:r>
            <w:r>
              <w:rPr>
                <w:sz w:val="18"/>
                <w:szCs w:val="18"/>
              </w:rPr>
              <w:br w:type="textWrapping" w:clear="all"/>
            </w:r>
            <w:r>
              <w:rPr>
                <w:sz w:val="18"/>
                <w:szCs w:val="18"/>
              </w:rPr>
              <w:t xml:space="preserve">0.5MHz～30MHz≤1mV。</w:t>
            </w:r>
            <w:r>
              <w:rPr>
                <w:sz w:val="18"/>
                <w:szCs w:val="18"/>
              </w:rPr>
            </w:r>
            <w:r/>
          </w:p>
        </w:tc>
      </w:tr>
      <w:tr>
        <w:trPr>
          <w:trHeight w:val="1701"/>
        </w:trPr>
        <w:tc>
          <w:tcPr>
            <w:tcBorders>
              <w:top w:val="single" w:color="000000" w:sz="8"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widowControl/>
              <w:rPr>
                <w:sz w:val="18"/>
                <w:szCs w:val="18"/>
              </w:rPr>
            </w:pPr>
            <w:r>
              <w:rPr>
                <w:sz w:val="18"/>
                <w:szCs w:val="18"/>
              </w:rPr>
              <w:t xml:space="preserve">12 </w:t>
            </w:r>
            <w:r>
              <w:rPr>
                <w:sz w:val="18"/>
                <w:szCs w:val="18"/>
              </w:rPr>
            </w:r>
            <w:r/>
          </w:p>
        </w:tc>
        <w:tc>
          <w:tcPr>
            <w:tcBorders>
              <w:top w:val="single" w:color="000000" w:sz="8"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spacing w:before="60" w:after="60" w:line="276" w:lineRule="auto"/>
              <w:widowControl/>
              <w:rPr>
                <w:sz w:val="18"/>
                <w:szCs w:val="18"/>
              </w:rPr>
            </w:pPr>
            <w:r>
              <w:rPr>
                <w:sz w:val="18"/>
                <w:szCs w:val="18"/>
              </w:rPr>
              <w:t xml:space="preserve">电源</w:t>
            </w:r>
            <w:r>
              <w:rPr>
                <w:sz w:val="18"/>
                <w:szCs w:val="18"/>
              </w:rPr>
            </w:r>
            <w:r/>
          </w:p>
        </w:tc>
        <w:tc>
          <w:tcPr>
            <w:tcBorders>
              <w:top w:val="single" w:color="000000" w:sz="8"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widowControl/>
              <w:rPr>
                <w:sz w:val="18"/>
                <w:szCs w:val="18"/>
              </w:rPr>
            </w:pPr>
            <w:r>
              <w:rPr>
                <w:sz w:val="18"/>
                <w:szCs w:val="18"/>
              </w:rPr>
              <w:t xml:space="preserve">VCC12V </w:t>
            </w:r>
            <w:r>
              <w:rPr>
                <w:sz w:val="18"/>
                <w:szCs w:val="18"/>
              </w:rPr>
            </w:r>
            <w:r/>
          </w:p>
        </w:tc>
        <w:tc>
          <w:tcPr>
            <w:tcBorders>
              <w:top w:val="single" w:color="000000" w:sz="8"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widowControl/>
              <w:rPr>
                <w:sz w:val="18"/>
                <w:szCs w:val="18"/>
              </w:rPr>
            </w:pPr>
            <w:r>
              <w:rPr>
                <w:sz w:val="18"/>
                <w:szCs w:val="18"/>
              </w:rPr>
              <w:t xml:space="preserve">电源输入</w:t>
            </w:r>
            <w:r>
              <w:rPr>
                <w:sz w:val="18"/>
                <w:szCs w:val="18"/>
              </w:rPr>
            </w:r>
            <w:r/>
          </w:p>
        </w:tc>
        <w:tc>
          <w:tcPr>
            <w:tcBorders>
              <w:top w:val="single" w:color="000000" w:sz="8" w:space="0"/>
              <w:left w:val="single" w:color="000000" w:sz="4" w:space="0"/>
              <w:bottom w:val="single" w:color="000000" w:sz="4" w:space="0"/>
              <w:right w:val="single" w:color="000000" w:sz="8" w:space="0"/>
            </w:tcBorders>
            <w:tcW w:w="4423" w:type="dxa"/>
            <w:vAlign w:val="center"/>
            <w:vMerge w:val="continue"/>
            <w:textDirection w:val="lrTb"/>
            <w:noWrap w:val="false"/>
          </w:tcPr>
          <w:p>
            <w:pPr>
              <w:pStyle w:val="1151"/>
              <w:widowControl/>
              <w:rPr>
                <w:sz w:val="18"/>
                <w:szCs w:val="18"/>
              </w:rPr>
            </w:pPr>
            <w:r>
              <w:rPr>
                <w:sz w:val="18"/>
                <w:szCs w:val="18"/>
              </w:rPr>
            </w:r>
            <w:r/>
          </w:p>
        </w:tc>
      </w:tr>
      <w:tr>
        <w:trPr>
          <w:trHeight w:val="388"/>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spacing w:line="179" w:lineRule="atLeast"/>
              <w:widowControl/>
              <w:rPr>
                <w:sz w:val="18"/>
                <w:szCs w:val="18"/>
              </w:rPr>
            </w:pPr>
            <w:r>
              <w:rPr>
                <w:sz w:val="18"/>
                <w:szCs w:val="18"/>
              </w:rPr>
              <w:t xml:space="preserve">13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spacing w:line="179" w:lineRule="atLeast"/>
              <w:widowControl/>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spacing w:line="179" w:lineRule="atLeast"/>
              <w:widowControl/>
              <w:rPr>
                <w:sz w:val="18"/>
                <w:szCs w:val="18"/>
              </w:rPr>
            </w:pPr>
            <w:r>
              <w:rPr>
                <w:sz w:val="18"/>
                <w:szCs w:val="18"/>
              </w:rPr>
              <w:t xml:space="preserve">DCE_RTS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spacing w:line="179" w:lineRule="atLeast"/>
              <w:widowControl/>
              <w:rPr>
                <w:sz w:val="18"/>
                <w:szCs w:val="18"/>
              </w:rPr>
            </w:pPr>
            <w:r>
              <w:rPr>
                <w:sz w:val="18"/>
                <w:szCs w:val="18"/>
              </w:rPr>
              <w:t xml:space="preserve">输入</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2" w:type="dxa"/>
              <w:right w:w="85" w:type="dxa"/>
              <w:bottom w:w="0" w:type="dxa"/>
            </w:tcMar>
            <w:tcW w:w="4423" w:type="dxa"/>
            <w:vAlign w:val="center"/>
            <w:textDirection w:val="lrTb"/>
            <w:noWrap w:val="false"/>
          </w:tcPr>
          <w:p>
            <w:pPr>
              <w:pStyle w:val="1151"/>
              <w:jc w:val="center"/>
              <w:spacing w:line="179" w:lineRule="atLeast"/>
              <w:widowControl/>
              <w:rPr>
                <w:sz w:val="18"/>
                <w:szCs w:val="18"/>
              </w:rPr>
            </w:pPr>
            <w:r>
              <w:rPr>
                <w:sz w:val="18"/>
                <w:szCs w:val="18"/>
              </w:rPr>
              <w:t xml:space="preserve">DCE_RTS，输入</w:t>
            </w:r>
            <w:r>
              <w:rPr>
                <w:sz w:val="18"/>
                <w:szCs w:val="18"/>
              </w:rPr>
            </w:r>
            <w:r/>
          </w:p>
        </w:tc>
      </w:tr>
      <w:tr>
        <w:trPr>
          <w:trHeight w:val="388"/>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spacing w:line="179" w:lineRule="atLeast"/>
              <w:widowControl/>
              <w:rPr>
                <w:sz w:val="18"/>
                <w:szCs w:val="18"/>
              </w:rPr>
            </w:pPr>
            <w:r>
              <w:rPr>
                <w:sz w:val="18"/>
                <w:szCs w:val="18"/>
              </w:rPr>
              <w:t xml:space="preserve">14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spacing w:line="179" w:lineRule="atLeast"/>
              <w:widowControl/>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spacing w:line="179" w:lineRule="atLeast"/>
              <w:widowControl/>
              <w:rPr>
                <w:sz w:val="18"/>
                <w:szCs w:val="18"/>
              </w:rPr>
            </w:pPr>
            <w:r>
              <w:rPr>
                <w:sz w:val="18"/>
                <w:szCs w:val="18"/>
              </w:rPr>
              <w:t xml:space="preserve">DCE_CTS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spacing w:line="179" w:lineRule="atLeast"/>
              <w:widowControl/>
              <w:rPr>
                <w:sz w:val="18"/>
                <w:szCs w:val="18"/>
              </w:rPr>
            </w:pPr>
            <w:r>
              <w:rPr>
                <w:sz w:val="18"/>
                <w:szCs w:val="18"/>
              </w:rPr>
              <w:t xml:space="preserve">输出</w:t>
            </w:r>
            <w:r>
              <w:rPr>
                <w:sz w:val="18"/>
                <w:szCs w:val="18"/>
              </w:rPr>
            </w:r>
            <w:r/>
          </w:p>
        </w:tc>
        <w:tc>
          <w:tcPr>
            <w:tcBorders>
              <w:top w:val="single" w:color="000000" w:sz="4" w:space="0"/>
              <w:left w:val="single" w:color="000000" w:sz="4" w:space="0"/>
              <w:bottom w:val="single" w:color="000000" w:sz="4" w:space="0"/>
              <w:right w:val="single" w:color="000000" w:sz="8" w:space="0"/>
            </w:tcBorders>
            <w:tcMar>
              <w:left w:w="85" w:type="dxa"/>
              <w:top w:w="12" w:type="dxa"/>
              <w:right w:w="85" w:type="dxa"/>
              <w:bottom w:w="0" w:type="dxa"/>
            </w:tcMar>
            <w:tcW w:w="4423" w:type="dxa"/>
            <w:vAlign w:val="center"/>
            <w:textDirection w:val="lrTb"/>
            <w:noWrap w:val="false"/>
          </w:tcPr>
          <w:p>
            <w:pPr>
              <w:pStyle w:val="1151"/>
              <w:jc w:val="center"/>
              <w:spacing w:line="179" w:lineRule="atLeast"/>
              <w:widowControl/>
              <w:rPr>
                <w:sz w:val="18"/>
                <w:szCs w:val="18"/>
              </w:rPr>
            </w:pPr>
            <w:r>
              <w:rPr>
                <w:sz w:val="18"/>
                <w:szCs w:val="18"/>
              </w:rPr>
              <w:t xml:space="preserve">DCE_CTS，输出</w:t>
            </w:r>
            <w:r>
              <w:rPr>
                <w:sz w:val="18"/>
                <w:szCs w:val="18"/>
              </w:rPr>
            </w:r>
            <w:r/>
          </w:p>
        </w:tc>
      </w:tr>
      <w:tr>
        <w:trPr>
          <w:trHeight w:val="388"/>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spacing w:line="179" w:lineRule="atLeast"/>
              <w:widowControl/>
              <w:rPr>
                <w:sz w:val="18"/>
                <w:szCs w:val="18"/>
              </w:rPr>
            </w:pPr>
            <w:r>
              <w:rPr>
                <w:sz w:val="18"/>
                <w:szCs w:val="18"/>
              </w:rPr>
              <w:t xml:space="preserve">15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spacing w:line="179" w:lineRule="atLeast"/>
              <w:widowControl/>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spacing w:line="179" w:lineRule="atLeast"/>
              <w:widowControl/>
              <w:rPr>
                <w:sz w:val="18"/>
                <w:szCs w:val="18"/>
              </w:rPr>
            </w:pPr>
            <w:r>
              <w:rPr>
                <w:sz w:val="18"/>
                <w:szCs w:val="18"/>
              </w:rPr>
              <w:t xml:space="preserve">DCE_TXD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spacing w:line="179" w:lineRule="atLeast"/>
              <w:widowControl/>
              <w:rPr>
                <w:sz w:val="18"/>
                <w:szCs w:val="18"/>
              </w:rPr>
            </w:pPr>
            <w:r>
              <w:rPr>
                <w:sz w:val="18"/>
                <w:szCs w:val="18"/>
              </w:rPr>
              <w:t xml:space="preserve">输出</w:t>
            </w:r>
            <w:r>
              <w:rPr>
                <w:sz w:val="18"/>
                <w:szCs w:val="18"/>
              </w:rPr>
            </w:r>
            <w:r/>
          </w:p>
        </w:tc>
        <w:tc>
          <w:tcPr>
            <w:tcBorders>
              <w:top w:val="single" w:color="000000" w:sz="4" w:space="0"/>
              <w:left w:val="single" w:color="000000" w:sz="4" w:space="0"/>
              <w:bottom w:val="single" w:color="000000" w:sz="4" w:space="0"/>
              <w:right w:val="single" w:color="000000" w:sz="8" w:space="0"/>
            </w:tcBorders>
            <w:tcMar>
              <w:left w:w="68" w:type="dxa"/>
              <w:top w:w="12" w:type="dxa"/>
              <w:right w:w="68" w:type="dxa"/>
              <w:bottom w:w="0" w:type="dxa"/>
            </w:tcMar>
            <w:tcW w:w="4423" w:type="dxa"/>
            <w:vAlign w:val="center"/>
            <w:textDirection w:val="lrTb"/>
            <w:noWrap w:val="false"/>
          </w:tcPr>
          <w:p>
            <w:pPr>
              <w:pStyle w:val="1151"/>
              <w:jc w:val="center"/>
              <w:spacing w:line="179" w:lineRule="atLeast"/>
              <w:widowControl/>
              <w:rPr>
                <w:sz w:val="18"/>
                <w:szCs w:val="18"/>
              </w:rPr>
            </w:pPr>
            <w:r>
              <w:rPr>
                <w:sz w:val="18"/>
                <w:szCs w:val="18"/>
              </w:rPr>
              <w:t xml:space="preserve">模块数据发送（3.3V TTL电平）</w:t>
            </w:r>
            <w:r>
              <w:rPr>
                <w:sz w:val="18"/>
                <w:szCs w:val="18"/>
              </w:rPr>
            </w:r>
            <w:r/>
          </w:p>
        </w:tc>
      </w:tr>
      <w:tr>
        <w:trPr>
          <w:trHeight w:val="388"/>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spacing w:line="179" w:lineRule="atLeast"/>
              <w:widowControl/>
              <w:rPr>
                <w:sz w:val="18"/>
                <w:szCs w:val="18"/>
              </w:rPr>
            </w:pPr>
            <w:r>
              <w:rPr>
                <w:sz w:val="18"/>
                <w:szCs w:val="18"/>
              </w:rPr>
              <w:t xml:space="preserve">16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spacing w:line="179" w:lineRule="atLeast"/>
              <w:widowControl/>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left"/>
              <w:spacing w:line="179" w:lineRule="atLeast"/>
              <w:widowControl/>
              <w:rPr>
                <w:sz w:val="18"/>
                <w:szCs w:val="18"/>
              </w:rPr>
            </w:pPr>
            <w:r>
              <w:rPr>
                <w:sz w:val="18"/>
                <w:szCs w:val="18"/>
              </w:rPr>
              <w:t xml:space="preserve">DCE_RXD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spacing w:line="179" w:lineRule="atLeast"/>
              <w:widowControl/>
              <w:rPr>
                <w:sz w:val="18"/>
                <w:szCs w:val="18"/>
              </w:rPr>
            </w:pPr>
            <w:r>
              <w:rPr>
                <w:sz w:val="18"/>
                <w:szCs w:val="18"/>
              </w:rPr>
              <w:t xml:space="preserve">输入</w:t>
            </w:r>
            <w:r>
              <w:rPr>
                <w:sz w:val="18"/>
                <w:szCs w:val="18"/>
              </w:rPr>
            </w:r>
            <w:r/>
          </w:p>
        </w:tc>
        <w:tc>
          <w:tcPr>
            <w:tcBorders>
              <w:top w:val="single" w:color="000000" w:sz="4" w:space="0"/>
              <w:left w:val="single" w:color="000000" w:sz="4" w:space="0"/>
              <w:bottom w:val="single" w:color="000000" w:sz="4" w:space="0"/>
              <w:right w:val="single" w:color="000000" w:sz="8" w:space="0"/>
            </w:tcBorders>
            <w:tcMar>
              <w:left w:w="68" w:type="dxa"/>
              <w:top w:w="12" w:type="dxa"/>
              <w:right w:w="68" w:type="dxa"/>
              <w:bottom w:w="0" w:type="dxa"/>
            </w:tcMar>
            <w:tcW w:w="4423" w:type="dxa"/>
            <w:vAlign w:val="center"/>
            <w:textDirection w:val="lrTb"/>
            <w:noWrap w:val="false"/>
          </w:tcPr>
          <w:p>
            <w:pPr>
              <w:pStyle w:val="1151"/>
              <w:jc w:val="center"/>
              <w:spacing w:line="179" w:lineRule="atLeast"/>
              <w:widowControl/>
              <w:rPr>
                <w:sz w:val="18"/>
                <w:szCs w:val="18"/>
              </w:rPr>
            </w:pPr>
            <w:r>
              <w:rPr>
                <w:sz w:val="18"/>
                <w:szCs w:val="18"/>
              </w:rPr>
              <w:t xml:space="preserve">模块数据接收（3.3V TTL电平）</w:t>
            </w:r>
            <w:r>
              <w:rPr>
                <w:sz w:val="18"/>
                <w:szCs w:val="18"/>
              </w:rPr>
            </w:r>
            <w:r/>
          </w:p>
        </w:tc>
      </w:tr>
      <w:tr>
        <w:trPr>
          <w:trHeight w:val="388"/>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spacing w:line="179" w:lineRule="atLeast"/>
              <w:widowControl/>
              <w:rPr>
                <w:sz w:val="18"/>
                <w:szCs w:val="18"/>
              </w:rPr>
            </w:pPr>
            <w:r>
              <w:rPr>
                <w:sz w:val="18"/>
                <w:szCs w:val="18"/>
              </w:rPr>
              <w:t xml:space="preserve">17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spacing w:line="179" w:lineRule="atLeast"/>
              <w:widowControl/>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spacing w:line="179" w:lineRule="atLeast"/>
              <w:widowControl/>
              <w:rPr>
                <w:sz w:val="18"/>
                <w:szCs w:val="18"/>
              </w:rPr>
            </w:pPr>
            <w:r>
              <w:rPr>
                <w:sz w:val="18"/>
                <w:szCs w:val="18"/>
              </w:rPr>
              <w:t xml:space="preserve">/LED_ACT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spacing w:line="179" w:lineRule="atLeast"/>
              <w:widowControl/>
              <w:rPr>
                <w:sz w:val="18"/>
                <w:szCs w:val="18"/>
              </w:rPr>
            </w:pPr>
            <w:r>
              <w:rPr>
                <w:sz w:val="18"/>
                <w:szCs w:val="18"/>
              </w:rPr>
              <w:t xml:space="preserve">输出</w:t>
            </w:r>
            <w:r>
              <w:rPr>
                <w:sz w:val="18"/>
                <w:szCs w:val="18"/>
              </w:rPr>
            </w:r>
            <w:r/>
          </w:p>
        </w:tc>
        <w:tc>
          <w:tcPr>
            <w:tcBorders>
              <w:top w:val="single" w:color="000000" w:sz="4" w:space="0"/>
              <w:left w:val="single" w:color="000000" w:sz="4" w:space="0"/>
              <w:bottom w:val="single" w:color="000000" w:sz="4" w:space="0"/>
              <w:right w:val="single" w:color="000000" w:sz="8" w:space="0"/>
            </w:tcBorders>
            <w:tcMar>
              <w:left w:w="68" w:type="dxa"/>
              <w:top w:w="12" w:type="dxa"/>
              <w:right w:w="68" w:type="dxa"/>
              <w:bottom w:w="0" w:type="dxa"/>
            </w:tcMar>
            <w:tcW w:w="4423" w:type="dxa"/>
            <w:vAlign w:val="center"/>
            <w:textDirection w:val="lrTb"/>
            <w:noWrap w:val="false"/>
          </w:tcPr>
          <w:p>
            <w:pPr>
              <w:pStyle w:val="1151"/>
              <w:jc w:val="center"/>
              <w:spacing w:line="179" w:lineRule="atLeast"/>
              <w:widowControl/>
              <w:rPr>
                <w:sz w:val="18"/>
                <w:szCs w:val="18"/>
              </w:rPr>
            </w:pPr>
            <w:r>
              <w:rPr>
                <w:sz w:val="18"/>
                <w:szCs w:val="18"/>
              </w:rPr>
              <w:t xml:space="preserve">/LED_ACT </w:t>
            </w:r>
            <w:r>
              <w:rPr>
                <w:sz w:val="18"/>
                <w:szCs w:val="18"/>
              </w:rPr>
            </w:r>
            <w:r/>
          </w:p>
        </w:tc>
      </w:tr>
      <w:tr>
        <w:trPr>
          <w:trHeight w:val="772"/>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widowControl/>
              <w:rPr>
                <w:sz w:val="18"/>
                <w:szCs w:val="18"/>
              </w:rPr>
            </w:pPr>
            <w:r>
              <w:rPr>
                <w:sz w:val="18"/>
                <w:szCs w:val="18"/>
              </w:rPr>
              <w:t xml:space="preserve">18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spacing w:before="60" w:after="60" w:line="276" w:lineRule="auto"/>
              <w:widowControl/>
              <w:rPr>
                <w:sz w:val="18"/>
                <w:szCs w:val="18"/>
              </w:rPr>
            </w:pPr>
            <w:r>
              <w:rPr>
                <w:sz w:val="18"/>
                <w:szCs w:val="18"/>
              </w:rPr>
              <w:t xml:space="preserve">电源</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widowControl/>
              <w:rPr>
                <w:sz w:val="18"/>
                <w:szCs w:val="18"/>
              </w:rPr>
            </w:pPr>
            <w:r>
              <w:rPr>
                <w:sz w:val="18"/>
                <w:szCs w:val="18"/>
              </w:rPr>
              <w:t xml:space="preserve">VCC3V3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widowControl/>
              <w:rPr>
                <w:sz w:val="18"/>
                <w:szCs w:val="18"/>
              </w:rPr>
            </w:pPr>
            <w:r>
              <w:rPr>
                <w:sz w:val="18"/>
                <w:szCs w:val="18"/>
              </w:rPr>
              <w:t xml:space="preserve">电源输入</w:t>
            </w:r>
            <w:r>
              <w:rPr>
                <w:sz w:val="18"/>
                <w:szCs w:val="18"/>
              </w:rPr>
            </w:r>
            <w:r/>
          </w:p>
        </w:tc>
        <w:tc>
          <w:tcPr>
            <w:tcBorders>
              <w:top w:val="single" w:color="000000" w:sz="4" w:space="0"/>
              <w:left w:val="single" w:color="000000" w:sz="4" w:space="0"/>
              <w:bottom w:val="single" w:color="000000" w:sz="4" w:space="0"/>
              <w:right w:val="single" w:color="000000" w:sz="8" w:space="0"/>
            </w:tcBorders>
            <w:tcMar>
              <w:left w:w="68" w:type="dxa"/>
              <w:top w:w="12" w:type="dxa"/>
              <w:right w:w="68" w:type="dxa"/>
              <w:bottom w:w="0" w:type="dxa"/>
            </w:tcMar>
            <w:tcW w:w="4423" w:type="dxa"/>
            <w:vAlign w:val="center"/>
            <w:textDirection w:val="lrTb"/>
            <w:noWrap w:val="false"/>
          </w:tcPr>
          <w:p>
            <w:pPr>
              <w:pStyle w:val="1151"/>
              <w:jc w:val="center"/>
              <w:widowControl/>
              <w:rPr>
                <w:sz w:val="18"/>
                <w:szCs w:val="18"/>
              </w:rPr>
            </w:pPr>
            <w:r>
              <w:rPr>
                <w:sz w:val="18"/>
                <w:szCs w:val="18"/>
              </w:rPr>
              <w:t xml:space="preserve">3.3V±0.3V信号电源，电流150mA，电压纹波30mV</w:t>
            </w:r>
            <w:r>
              <w:rPr>
                <w:rFonts w:hint="eastAsia"/>
                <w:sz w:val="18"/>
                <w:szCs w:val="18"/>
              </w:rPr>
              <w:t xml:space="preserve">，</w:t>
            </w:r>
            <w:r>
              <w:rPr>
                <w:sz w:val="18"/>
                <w:szCs w:val="18"/>
              </w:rPr>
              <w:t xml:space="preserve">由终端本体提供给模块。</w:t>
            </w:r>
            <w:r>
              <w:rPr>
                <w:sz w:val="18"/>
                <w:szCs w:val="18"/>
              </w:rPr>
            </w:r>
            <w:r/>
          </w:p>
        </w:tc>
      </w:tr>
      <w:tr>
        <w:trPr>
          <w:trHeight w:val="388"/>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spacing w:line="179" w:lineRule="atLeast"/>
              <w:widowControl/>
              <w:rPr>
                <w:sz w:val="18"/>
                <w:szCs w:val="18"/>
              </w:rPr>
            </w:pPr>
            <w:r>
              <w:rPr>
                <w:sz w:val="18"/>
                <w:szCs w:val="18"/>
              </w:rPr>
              <w:t xml:space="preserve">19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spacing w:line="179" w:lineRule="atLeast"/>
              <w:widowControl/>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spacing w:line="179" w:lineRule="atLeast"/>
              <w:widowControl/>
              <w:rPr>
                <w:sz w:val="18"/>
                <w:szCs w:val="18"/>
              </w:rPr>
            </w:pPr>
            <w:r>
              <w:rPr>
                <w:sz w:val="18"/>
                <w:szCs w:val="18"/>
              </w:rPr>
              <w:t xml:space="preserve">/RST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spacing w:line="179" w:lineRule="atLeast"/>
              <w:widowControl/>
              <w:rPr>
                <w:sz w:val="18"/>
                <w:szCs w:val="18"/>
              </w:rPr>
            </w:pPr>
            <w:r>
              <w:rPr>
                <w:sz w:val="18"/>
                <w:szCs w:val="18"/>
              </w:rPr>
              <w:t xml:space="preserve">输入</w:t>
            </w:r>
            <w:r>
              <w:rPr>
                <w:sz w:val="18"/>
                <w:szCs w:val="18"/>
              </w:rPr>
            </w:r>
            <w:r/>
          </w:p>
        </w:tc>
        <w:tc>
          <w:tcPr>
            <w:tcBorders>
              <w:top w:val="single" w:color="000000" w:sz="4" w:space="0"/>
              <w:left w:val="single" w:color="000000" w:sz="4" w:space="0"/>
              <w:bottom w:val="single" w:color="000000" w:sz="4" w:space="0"/>
              <w:right w:val="single" w:color="000000" w:sz="8" w:space="0"/>
            </w:tcBorders>
            <w:tcMar>
              <w:left w:w="68" w:type="dxa"/>
              <w:top w:w="12" w:type="dxa"/>
              <w:right w:w="68" w:type="dxa"/>
              <w:bottom w:w="0" w:type="dxa"/>
            </w:tcMar>
            <w:tcW w:w="4423" w:type="dxa"/>
            <w:vAlign w:val="center"/>
            <w:textDirection w:val="lrTb"/>
            <w:noWrap w:val="false"/>
          </w:tcPr>
          <w:p>
            <w:pPr>
              <w:pStyle w:val="1151"/>
              <w:jc w:val="center"/>
              <w:spacing w:line="179" w:lineRule="atLeast"/>
              <w:widowControl/>
              <w:rPr>
                <w:sz w:val="18"/>
                <w:szCs w:val="18"/>
              </w:rPr>
            </w:pPr>
            <w:r>
              <w:rPr>
                <w:sz w:val="18"/>
                <w:szCs w:val="18"/>
              </w:rPr>
              <w:t xml:space="preserve">复位输入（低电平有效）（3.3V TTL电平）</w:t>
            </w:r>
            <w:r>
              <w:rPr>
                <w:sz w:val="18"/>
                <w:szCs w:val="18"/>
              </w:rPr>
            </w:r>
            <w:r/>
          </w:p>
        </w:tc>
      </w:tr>
      <w:tr>
        <w:trPr>
          <w:trHeight w:val="772"/>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widowControl/>
              <w:rPr>
                <w:sz w:val="18"/>
                <w:szCs w:val="18"/>
              </w:rPr>
            </w:pPr>
            <w:r>
              <w:rPr>
                <w:sz w:val="18"/>
                <w:szCs w:val="18"/>
              </w:rPr>
              <w:t xml:space="preserve">20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widowControl/>
              <w:rPr>
                <w:sz w:val="18"/>
                <w:szCs w:val="18"/>
              </w:rPr>
            </w:pPr>
            <w:r>
              <w:rPr>
                <w:sz w:val="18"/>
                <w:szCs w:val="18"/>
              </w:rPr>
              <w:t xml:space="preserve">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widowControl/>
              <w:rPr>
                <w:sz w:val="18"/>
                <w:szCs w:val="18"/>
              </w:rPr>
            </w:pPr>
            <w:r>
              <w:rPr>
                <w:sz w:val="18"/>
                <w:szCs w:val="18"/>
              </w:rPr>
              <w:t xml:space="preserve">CARD_IN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widowControl/>
              <w:rPr>
                <w:sz w:val="18"/>
                <w:szCs w:val="18"/>
              </w:rPr>
            </w:pPr>
            <w:r>
              <w:rPr>
                <w:sz w:val="18"/>
                <w:szCs w:val="18"/>
              </w:rPr>
              <w:t xml:space="preserve">输出</w:t>
            </w:r>
            <w:r>
              <w:rPr>
                <w:sz w:val="18"/>
                <w:szCs w:val="18"/>
              </w:rPr>
            </w:r>
            <w:r/>
          </w:p>
        </w:tc>
        <w:tc>
          <w:tcPr>
            <w:tcBorders>
              <w:top w:val="single" w:color="000000" w:sz="4" w:space="0"/>
              <w:left w:val="single" w:color="000000" w:sz="4" w:space="0"/>
              <w:bottom w:val="single" w:color="000000" w:sz="4" w:space="0"/>
              <w:right w:val="single" w:color="000000" w:sz="8" w:space="0"/>
            </w:tcBorders>
            <w:tcMar>
              <w:left w:w="68" w:type="dxa"/>
              <w:top w:w="12" w:type="dxa"/>
              <w:right w:w="68" w:type="dxa"/>
              <w:bottom w:w="0" w:type="dxa"/>
            </w:tcMar>
            <w:tcW w:w="4423" w:type="dxa"/>
            <w:vAlign w:val="center"/>
            <w:textDirection w:val="lrTb"/>
            <w:noWrap w:val="false"/>
          </w:tcPr>
          <w:p>
            <w:pPr>
              <w:pStyle w:val="1151"/>
              <w:jc w:val="center"/>
              <w:widowControl/>
              <w:rPr>
                <w:sz w:val="18"/>
                <w:szCs w:val="18"/>
              </w:rPr>
            </w:pPr>
            <w:r>
              <w:rPr>
                <w:sz w:val="18"/>
                <w:szCs w:val="18"/>
              </w:rPr>
              <w:t xml:space="preserve">CARD_IN在位信号，模块接地，主板上拉</w:t>
            </w:r>
            <w:r>
              <w:rPr>
                <w:sz w:val="18"/>
                <w:szCs w:val="18"/>
              </w:rPr>
            </w:r>
            <w:r/>
          </w:p>
        </w:tc>
      </w:tr>
      <w:tr>
        <w:trPr>
          <w:trHeight w:val="388"/>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spacing w:line="179" w:lineRule="atLeast"/>
              <w:widowControl/>
              <w:rPr>
                <w:sz w:val="18"/>
                <w:szCs w:val="18"/>
              </w:rPr>
            </w:pPr>
            <w:r>
              <w:rPr>
                <w:sz w:val="18"/>
                <w:szCs w:val="18"/>
              </w:rPr>
              <w:t xml:space="preserve">21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spacing w:line="179" w:lineRule="atLeast"/>
              <w:widowControl/>
              <w:rPr>
                <w:sz w:val="18"/>
                <w:szCs w:val="18"/>
              </w:rPr>
            </w:pPr>
            <w:r>
              <w:rPr>
                <w:sz w:val="18"/>
                <w:szCs w:val="18"/>
              </w:rPr>
              <w:t xml:space="preserve">网络信号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spacing w:line="179" w:lineRule="atLeast"/>
              <w:widowControl/>
              <w:rPr>
                <w:sz w:val="18"/>
                <w:szCs w:val="18"/>
              </w:rPr>
            </w:pPr>
            <w:r>
              <w:rPr>
                <w:sz w:val="18"/>
                <w:szCs w:val="18"/>
              </w:rPr>
              <w:t xml:space="preserve">TD+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spacing w:line="179" w:lineRule="atLeast"/>
              <w:widowControl/>
              <w:rPr>
                <w:sz w:val="18"/>
                <w:szCs w:val="18"/>
              </w:rPr>
            </w:pPr>
            <w:r>
              <w:rPr>
                <w:sz w:val="18"/>
                <w:szCs w:val="18"/>
              </w:rPr>
              <w:t xml:space="preserve">网络差分信号</w:t>
            </w:r>
            <w:r>
              <w:rPr>
                <w:sz w:val="18"/>
                <w:szCs w:val="18"/>
              </w:rPr>
            </w:r>
            <w:r/>
          </w:p>
        </w:tc>
        <w:tc>
          <w:tcPr>
            <w:tcBorders>
              <w:top w:val="single" w:color="000000" w:sz="4" w:space="0"/>
              <w:left w:val="single" w:color="000000" w:sz="4" w:space="0"/>
              <w:bottom w:val="single" w:color="000000" w:sz="8" w:space="0"/>
              <w:right w:val="single" w:color="000000" w:sz="8" w:space="0"/>
            </w:tcBorders>
            <w:tcMar>
              <w:left w:w="68" w:type="dxa"/>
              <w:top w:w="12" w:type="dxa"/>
              <w:right w:w="68" w:type="dxa"/>
              <w:bottom w:w="0" w:type="dxa"/>
            </w:tcMar>
            <w:tcW w:w="4423" w:type="dxa"/>
            <w:vAlign w:val="center"/>
            <w:vMerge w:val="restart"/>
            <w:textDirection w:val="lrTb"/>
            <w:noWrap w:val="false"/>
          </w:tcPr>
          <w:p>
            <w:pPr>
              <w:pStyle w:val="1151"/>
              <w:widowControl/>
              <w:rPr>
                <w:sz w:val="18"/>
                <w:szCs w:val="18"/>
              </w:rPr>
            </w:pPr>
            <w:r>
              <w:rPr>
                <w:rFonts w:hint="eastAsia"/>
                <w:sz w:val="18"/>
                <w:szCs w:val="18"/>
              </w:rPr>
              <w:t xml:space="preserve">预留</w:t>
            </w:r>
            <w:r>
              <w:rPr>
                <w:sz w:val="18"/>
                <w:szCs w:val="18"/>
              </w:rPr>
            </w:r>
            <w:r/>
          </w:p>
        </w:tc>
      </w:tr>
      <w:tr>
        <w:trPr>
          <w:trHeight w:val="388"/>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spacing w:line="179" w:lineRule="atLeast"/>
              <w:widowControl/>
              <w:rPr>
                <w:sz w:val="18"/>
                <w:szCs w:val="18"/>
              </w:rPr>
            </w:pPr>
            <w:r>
              <w:rPr>
                <w:sz w:val="18"/>
                <w:szCs w:val="18"/>
              </w:rPr>
              <w:t xml:space="preserve">22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spacing w:line="179" w:lineRule="atLeast"/>
              <w:widowControl/>
              <w:rPr>
                <w:sz w:val="18"/>
                <w:szCs w:val="18"/>
              </w:rPr>
            </w:pPr>
            <w:r>
              <w:rPr>
                <w:sz w:val="18"/>
                <w:szCs w:val="18"/>
              </w:rPr>
              <w:t xml:space="preserve">网络信号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spacing w:line="179" w:lineRule="atLeast"/>
              <w:widowControl/>
              <w:rPr>
                <w:sz w:val="18"/>
                <w:szCs w:val="18"/>
              </w:rPr>
            </w:pPr>
            <w:r>
              <w:rPr>
                <w:sz w:val="18"/>
                <w:szCs w:val="18"/>
              </w:rPr>
              <w:t xml:space="preserve">TD-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spacing w:line="179" w:lineRule="atLeast"/>
              <w:widowControl/>
              <w:rPr>
                <w:sz w:val="18"/>
                <w:szCs w:val="18"/>
              </w:rPr>
            </w:pPr>
            <w:r>
              <w:rPr>
                <w:sz w:val="18"/>
                <w:szCs w:val="18"/>
              </w:rPr>
              <w:t xml:space="preserve">网络差分信号</w:t>
            </w:r>
            <w:r>
              <w:rPr>
                <w:sz w:val="18"/>
                <w:szCs w:val="18"/>
              </w:rPr>
            </w:r>
            <w:r/>
          </w:p>
        </w:tc>
        <w:tc>
          <w:tcPr>
            <w:tcBorders>
              <w:top w:val="single" w:color="000000" w:sz="8" w:space="0"/>
              <w:left w:val="single" w:color="000000" w:sz="4" w:space="0"/>
              <w:bottom w:val="single" w:color="000000" w:sz="8" w:space="0"/>
              <w:right w:val="single" w:color="000000" w:sz="8" w:space="0"/>
            </w:tcBorders>
            <w:tcW w:w="4423" w:type="dxa"/>
            <w:vAlign w:val="center"/>
            <w:vMerge w:val="continue"/>
            <w:textDirection w:val="lrTb"/>
            <w:noWrap w:val="false"/>
          </w:tcPr>
          <w:p>
            <w:pPr>
              <w:pStyle w:val="1151"/>
              <w:widowControl/>
              <w:rPr>
                <w:sz w:val="18"/>
                <w:szCs w:val="18"/>
              </w:rPr>
            </w:pPr>
            <w:r>
              <w:rPr>
                <w:sz w:val="18"/>
                <w:szCs w:val="18"/>
              </w:rPr>
            </w:r>
            <w:r/>
          </w:p>
        </w:tc>
      </w:tr>
      <w:tr>
        <w:trPr>
          <w:trHeight w:val="388"/>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spacing w:line="179" w:lineRule="atLeast"/>
              <w:widowControl/>
              <w:rPr>
                <w:sz w:val="18"/>
                <w:szCs w:val="18"/>
              </w:rPr>
            </w:pPr>
            <w:r>
              <w:rPr>
                <w:sz w:val="18"/>
                <w:szCs w:val="18"/>
              </w:rPr>
              <w:t xml:space="preserve">23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spacing w:line="179" w:lineRule="atLeast"/>
              <w:widowControl/>
              <w:rPr>
                <w:sz w:val="18"/>
                <w:szCs w:val="18"/>
              </w:rPr>
            </w:pPr>
            <w:r>
              <w:rPr>
                <w:sz w:val="18"/>
                <w:szCs w:val="18"/>
              </w:rPr>
              <w:t xml:space="preserve">网络信号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spacing w:line="179" w:lineRule="atLeast"/>
              <w:widowControl/>
              <w:rPr>
                <w:sz w:val="18"/>
                <w:szCs w:val="18"/>
              </w:rPr>
            </w:pPr>
            <w:r>
              <w:rPr>
                <w:sz w:val="18"/>
                <w:szCs w:val="18"/>
              </w:rPr>
              <w:t xml:space="preserve">RD+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spacing w:line="179" w:lineRule="atLeast"/>
              <w:widowControl/>
              <w:rPr>
                <w:sz w:val="18"/>
                <w:szCs w:val="18"/>
              </w:rPr>
            </w:pPr>
            <w:r>
              <w:rPr>
                <w:sz w:val="18"/>
                <w:szCs w:val="18"/>
              </w:rPr>
              <w:t xml:space="preserve">网络差分信号</w:t>
            </w:r>
            <w:r>
              <w:rPr>
                <w:sz w:val="18"/>
                <w:szCs w:val="18"/>
              </w:rPr>
            </w:r>
            <w:r/>
          </w:p>
        </w:tc>
        <w:tc>
          <w:tcPr>
            <w:tcBorders>
              <w:top w:val="single" w:color="000000" w:sz="8" w:space="0"/>
              <w:left w:val="single" w:color="000000" w:sz="4" w:space="0"/>
              <w:bottom w:val="single" w:color="000000" w:sz="8" w:space="0"/>
              <w:right w:val="single" w:color="000000" w:sz="8" w:space="0"/>
            </w:tcBorders>
            <w:tcW w:w="4423" w:type="dxa"/>
            <w:vAlign w:val="center"/>
            <w:vMerge w:val="continue"/>
            <w:textDirection w:val="lrTb"/>
            <w:noWrap w:val="false"/>
          </w:tcPr>
          <w:p>
            <w:pPr>
              <w:pStyle w:val="1151"/>
              <w:widowControl/>
              <w:rPr>
                <w:sz w:val="18"/>
                <w:szCs w:val="18"/>
              </w:rPr>
            </w:pPr>
            <w:r>
              <w:rPr>
                <w:sz w:val="18"/>
                <w:szCs w:val="18"/>
              </w:rPr>
            </w:r>
            <w:r/>
          </w:p>
        </w:tc>
      </w:tr>
      <w:tr>
        <w:trPr>
          <w:trHeight w:val="388"/>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spacing w:line="179" w:lineRule="atLeast"/>
              <w:widowControl/>
              <w:rPr>
                <w:sz w:val="18"/>
                <w:szCs w:val="18"/>
              </w:rPr>
            </w:pPr>
            <w:r>
              <w:rPr>
                <w:sz w:val="18"/>
                <w:szCs w:val="18"/>
              </w:rPr>
              <w:t xml:space="preserve">24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spacing w:line="179" w:lineRule="atLeast"/>
              <w:widowControl/>
              <w:rPr>
                <w:sz w:val="18"/>
                <w:szCs w:val="18"/>
              </w:rPr>
            </w:pPr>
            <w:r>
              <w:rPr>
                <w:sz w:val="18"/>
                <w:szCs w:val="18"/>
              </w:rPr>
              <w:t xml:space="preserve">网络信号</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spacing w:line="179" w:lineRule="atLeast"/>
              <w:widowControl/>
              <w:rPr>
                <w:sz w:val="18"/>
                <w:szCs w:val="18"/>
              </w:rPr>
            </w:pPr>
            <w:r>
              <w:rPr>
                <w:sz w:val="18"/>
                <w:szCs w:val="18"/>
              </w:rPr>
              <w:t xml:space="preserve">RD-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spacing w:line="179" w:lineRule="atLeast"/>
              <w:widowControl/>
              <w:rPr>
                <w:sz w:val="18"/>
                <w:szCs w:val="18"/>
              </w:rPr>
            </w:pPr>
            <w:r>
              <w:rPr>
                <w:sz w:val="18"/>
                <w:szCs w:val="18"/>
              </w:rPr>
              <w:t xml:space="preserve">网络差分信号</w:t>
            </w:r>
            <w:r>
              <w:rPr>
                <w:sz w:val="18"/>
                <w:szCs w:val="18"/>
              </w:rPr>
            </w:r>
            <w:r/>
          </w:p>
        </w:tc>
        <w:tc>
          <w:tcPr>
            <w:tcBorders>
              <w:top w:val="single" w:color="000000" w:sz="8" w:space="0"/>
              <w:left w:val="single" w:color="000000" w:sz="4" w:space="0"/>
              <w:bottom w:val="single" w:color="000000" w:sz="4" w:space="0"/>
              <w:right w:val="single" w:color="000000" w:sz="8" w:space="0"/>
            </w:tcBorders>
            <w:tcW w:w="4423" w:type="dxa"/>
            <w:vAlign w:val="center"/>
            <w:vMerge w:val="continue"/>
            <w:textDirection w:val="lrTb"/>
            <w:noWrap w:val="false"/>
          </w:tcPr>
          <w:p>
            <w:pPr>
              <w:pStyle w:val="1151"/>
              <w:widowControl/>
              <w:rPr>
                <w:sz w:val="18"/>
                <w:szCs w:val="18"/>
              </w:rPr>
            </w:pPr>
            <w:r>
              <w:rPr>
                <w:sz w:val="18"/>
                <w:szCs w:val="18"/>
              </w:rPr>
            </w:r>
            <w:r/>
          </w:p>
        </w:tc>
      </w:tr>
      <w:tr>
        <w:trPr>
          <w:trHeight w:val="388"/>
        </w:trPr>
        <w:tc>
          <w:tcPr>
            <w:tcBorders>
              <w:top w:val="single" w:color="000000" w:sz="4" w:space="0"/>
              <w:left w:val="single" w:color="000000" w:sz="8" w:space="0"/>
              <w:bottom w:val="single" w:color="000000" w:sz="4"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spacing w:line="179" w:lineRule="atLeast"/>
              <w:widowControl/>
              <w:rPr>
                <w:sz w:val="18"/>
                <w:szCs w:val="18"/>
              </w:rPr>
            </w:pPr>
            <w:r>
              <w:rPr>
                <w:sz w:val="18"/>
                <w:szCs w:val="18"/>
              </w:rPr>
              <w:t xml:space="preserve">25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spacing w:line="179" w:lineRule="atLeast"/>
              <w:widowControl/>
              <w:rPr>
                <w:sz w:val="18"/>
                <w:szCs w:val="18"/>
              </w:rPr>
            </w:pPr>
            <w:r>
              <w:rPr>
                <w:sz w:val="18"/>
                <w:szCs w:val="18"/>
              </w:rPr>
              <w:t xml:space="preserve">电源地</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spacing w:line="179" w:lineRule="atLeast"/>
              <w:widowControl/>
              <w:rPr>
                <w:sz w:val="18"/>
                <w:szCs w:val="18"/>
              </w:rPr>
            </w:pPr>
            <w:r>
              <w:rPr>
                <w:sz w:val="18"/>
                <w:szCs w:val="18"/>
              </w:rPr>
              <w:t xml:space="preserve">GND </w:t>
            </w:r>
            <w:r>
              <w:rPr>
                <w:sz w:val="18"/>
                <w:szCs w:val="18"/>
              </w:rPr>
            </w:r>
            <w:r/>
          </w:p>
        </w:tc>
        <w:tc>
          <w:tcPr>
            <w:tcBorders>
              <w:top w:val="single" w:color="000000" w:sz="4" w:space="0"/>
              <w:left w:val="single" w:color="000000" w:sz="4" w:space="0"/>
              <w:bottom w:val="single" w:color="000000" w:sz="4"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spacing w:line="179" w:lineRule="atLeast"/>
              <w:widowControl/>
              <w:rPr>
                <w:sz w:val="18"/>
                <w:szCs w:val="18"/>
              </w:rPr>
            </w:pPr>
            <w:r>
              <w:rPr>
                <w:sz w:val="18"/>
                <w:szCs w:val="18"/>
              </w:rPr>
              <w:t xml:space="preserve">电源地</w:t>
            </w:r>
            <w:r>
              <w:rPr>
                <w:sz w:val="18"/>
                <w:szCs w:val="18"/>
              </w:rPr>
            </w:r>
            <w:r/>
          </w:p>
        </w:tc>
        <w:tc>
          <w:tcPr>
            <w:tcBorders>
              <w:top w:val="single" w:color="000000" w:sz="4" w:space="0"/>
              <w:left w:val="single" w:color="000000" w:sz="4" w:space="0"/>
              <w:bottom w:val="single" w:color="000000" w:sz="8" w:space="0"/>
              <w:right w:val="single" w:color="000000" w:sz="8" w:space="0"/>
            </w:tcBorders>
            <w:tcMar>
              <w:left w:w="68" w:type="dxa"/>
              <w:top w:w="12" w:type="dxa"/>
              <w:right w:w="68" w:type="dxa"/>
              <w:bottom w:w="0" w:type="dxa"/>
            </w:tcMar>
            <w:tcW w:w="4423" w:type="dxa"/>
            <w:vAlign w:val="center"/>
            <w:vMerge w:val="restart"/>
            <w:textDirection w:val="lrTb"/>
            <w:noWrap w:val="false"/>
          </w:tcPr>
          <w:p>
            <w:pPr>
              <w:pStyle w:val="1151"/>
              <w:widowControl/>
              <w:rPr>
                <w:sz w:val="18"/>
                <w:szCs w:val="18"/>
              </w:rPr>
            </w:pPr>
            <w:r>
              <w:rPr>
                <w:sz w:val="18"/>
                <w:szCs w:val="18"/>
              </w:rPr>
              <w:t xml:space="preserve">系统地，25、26脚比其它脚长0.5mm</w:t>
            </w:r>
            <w:r>
              <w:rPr>
                <w:sz w:val="18"/>
                <w:szCs w:val="18"/>
              </w:rPr>
            </w:r>
            <w:r/>
          </w:p>
        </w:tc>
      </w:tr>
      <w:tr>
        <w:trPr>
          <w:trHeight w:val="388"/>
        </w:trPr>
        <w:tc>
          <w:tcPr>
            <w:tcBorders>
              <w:top w:val="single" w:color="000000" w:sz="4" w:space="0"/>
              <w:left w:val="single" w:color="000000" w:sz="8" w:space="0"/>
              <w:bottom w:val="single" w:color="000000" w:sz="8" w:space="0"/>
              <w:right w:val="single" w:color="000000" w:sz="4" w:space="0"/>
            </w:tcBorders>
            <w:tcMar>
              <w:left w:w="68" w:type="dxa"/>
              <w:top w:w="12" w:type="dxa"/>
              <w:right w:w="68" w:type="dxa"/>
              <w:bottom w:w="0" w:type="dxa"/>
            </w:tcMar>
            <w:tcW w:w="680" w:type="dxa"/>
            <w:vAlign w:val="center"/>
            <w:textDirection w:val="lrTb"/>
            <w:noWrap w:val="false"/>
          </w:tcPr>
          <w:p>
            <w:pPr>
              <w:pStyle w:val="1151"/>
              <w:jc w:val="center"/>
              <w:spacing w:line="179" w:lineRule="atLeast"/>
              <w:widowControl/>
              <w:rPr>
                <w:sz w:val="18"/>
                <w:szCs w:val="18"/>
              </w:rPr>
            </w:pPr>
            <w:r>
              <w:rPr>
                <w:color w:val="000000"/>
                <w:sz w:val="18"/>
                <w:szCs w:val="18"/>
              </w:rPr>
              <w:t xml:space="preserve">26 </w:t>
            </w:r>
            <w:r>
              <w:rPr>
                <w:sz w:val="18"/>
                <w:szCs w:val="18"/>
              </w:rPr>
            </w:r>
            <w:r/>
          </w:p>
        </w:tc>
        <w:tc>
          <w:tcPr>
            <w:tcBorders>
              <w:top w:val="single" w:color="000000" w:sz="4" w:space="0"/>
              <w:left w:val="single" w:color="000000" w:sz="4" w:space="0"/>
              <w:bottom w:val="single" w:color="000000" w:sz="8" w:space="0"/>
              <w:right w:val="single" w:color="000000" w:sz="4" w:space="0"/>
            </w:tcBorders>
            <w:tcMar>
              <w:left w:w="68" w:type="dxa"/>
              <w:top w:w="12" w:type="dxa"/>
              <w:right w:w="68" w:type="dxa"/>
              <w:bottom w:w="0" w:type="dxa"/>
            </w:tcMar>
            <w:tcW w:w="1034" w:type="dxa"/>
            <w:vAlign w:val="center"/>
            <w:textDirection w:val="lrTb"/>
            <w:noWrap w:val="false"/>
          </w:tcPr>
          <w:p>
            <w:pPr>
              <w:pStyle w:val="1151"/>
              <w:jc w:val="center"/>
              <w:spacing w:line="179" w:lineRule="atLeast"/>
              <w:widowControl/>
              <w:rPr>
                <w:sz w:val="18"/>
                <w:szCs w:val="18"/>
              </w:rPr>
            </w:pPr>
            <w:r>
              <w:rPr>
                <w:color w:val="000000"/>
                <w:sz w:val="18"/>
                <w:szCs w:val="18"/>
              </w:rPr>
              <w:t xml:space="preserve">电源地</w:t>
            </w:r>
            <w:r>
              <w:rPr>
                <w:sz w:val="18"/>
                <w:szCs w:val="18"/>
              </w:rPr>
            </w:r>
            <w:r/>
          </w:p>
        </w:tc>
        <w:tc>
          <w:tcPr>
            <w:tcBorders>
              <w:top w:val="single" w:color="000000" w:sz="4" w:space="0"/>
              <w:left w:val="single" w:color="000000" w:sz="4" w:space="0"/>
              <w:bottom w:val="single" w:color="000000" w:sz="8" w:space="0"/>
              <w:right w:val="single" w:color="000000" w:sz="4" w:space="0"/>
            </w:tcBorders>
            <w:tcMar>
              <w:left w:w="68" w:type="dxa"/>
              <w:top w:w="12" w:type="dxa"/>
              <w:right w:w="68" w:type="dxa"/>
              <w:bottom w:w="0" w:type="dxa"/>
            </w:tcMar>
            <w:tcW w:w="1226" w:type="dxa"/>
            <w:vAlign w:val="center"/>
            <w:textDirection w:val="lrTb"/>
            <w:noWrap w:val="false"/>
          </w:tcPr>
          <w:p>
            <w:pPr>
              <w:pStyle w:val="1151"/>
              <w:jc w:val="center"/>
              <w:spacing w:line="179" w:lineRule="atLeast"/>
              <w:widowControl/>
              <w:rPr>
                <w:sz w:val="18"/>
                <w:szCs w:val="18"/>
              </w:rPr>
            </w:pPr>
            <w:r>
              <w:rPr>
                <w:color w:val="000000"/>
                <w:sz w:val="18"/>
                <w:szCs w:val="18"/>
              </w:rPr>
              <w:t xml:space="preserve">GND </w:t>
            </w:r>
            <w:r>
              <w:rPr>
                <w:sz w:val="18"/>
                <w:szCs w:val="18"/>
              </w:rPr>
            </w:r>
            <w:r/>
          </w:p>
        </w:tc>
        <w:tc>
          <w:tcPr>
            <w:tcBorders>
              <w:top w:val="single" w:color="000000" w:sz="4" w:space="0"/>
              <w:left w:val="single" w:color="000000" w:sz="4" w:space="0"/>
              <w:bottom w:val="single" w:color="000000" w:sz="8" w:space="0"/>
              <w:right w:val="single" w:color="000000" w:sz="4" w:space="0"/>
            </w:tcBorders>
            <w:tcMar>
              <w:left w:w="68" w:type="dxa"/>
              <w:top w:w="12" w:type="dxa"/>
              <w:right w:w="68" w:type="dxa"/>
              <w:bottom w:w="0" w:type="dxa"/>
            </w:tcMar>
            <w:tcW w:w="2353" w:type="dxa"/>
            <w:vAlign w:val="center"/>
            <w:textDirection w:val="lrTb"/>
            <w:noWrap w:val="false"/>
          </w:tcPr>
          <w:p>
            <w:pPr>
              <w:pStyle w:val="1151"/>
              <w:jc w:val="center"/>
              <w:spacing w:line="179" w:lineRule="atLeast"/>
              <w:widowControl/>
              <w:rPr>
                <w:sz w:val="18"/>
                <w:szCs w:val="18"/>
              </w:rPr>
            </w:pPr>
            <w:r>
              <w:rPr>
                <w:color w:val="000000"/>
                <w:sz w:val="18"/>
                <w:szCs w:val="18"/>
              </w:rPr>
              <w:t xml:space="preserve">电源地</w:t>
            </w:r>
            <w:r>
              <w:rPr>
                <w:sz w:val="18"/>
                <w:szCs w:val="18"/>
              </w:rPr>
            </w:r>
            <w:r/>
          </w:p>
        </w:tc>
        <w:tc>
          <w:tcPr>
            <w:tcBorders>
              <w:top w:val="single" w:color="000000" w:sz="8" w:space="0"/>
              <w:left w:val="single" w:color="000000" w:sz="4" w:space="0"/>
              <w:bottom w:val="single" w:color="000000" w:sz="8" w:space="0"/>
              <w:right w:val="single" w:color="000000" w:sz="8" w:space="0"/>
            </w:tcBorders>
            <w:tcW w:w="4423" w:type="dxa"/>
            <w:vAlign w:val="center"/>
            <w:vMerge w:val="continue"/>
            <w:textDirection w:val="lrTb"/>
            <w:noWrap w:val="false"/>
          </w:tcPr>
          <w:p>
            <w:pPr>
              <w:pStyle w:val="1151"/>
              <w:widowControl/>
              <w:rPr>
                <w:sz w:val="18"/>
                <w:szCs w:val="18"/>
              </w:rPr>
            </w:pPr>
            <w:r>
              <w:rPr>
                <w:sz w:val="18"/>
                <w:szCs w:val="18"/>
              </w:rPr>
            </w:r>
            <w:r/>
          </w:p>
        </w:tc>
      </w:tr>
    </w:tbl>
    <w:p>
      <w:pPr>
        <w:pStyle w:val="1201"/>
        <w:ind w:firstLine="0"/>
        <w:tabs>
          <w:tab w:val="center" w:pos="4201" w:leader="none"/>
          <w:tab w:val="right" w:pos="9298" w:leader="dot"/>
        </w:tabs>
        <w:rPr>
          <w:rFonts w:ascii="Times New Roman"/>
        </w:rPr>
      </w:pPr>
      <w:r>
        <w:rPr>
          <w:rFonts w:ascii="Times New Roman"/>
        </w:rPr>
      </w:r>
      <w:r/>
    </w:p>
    <w:p>
      <w:pPr>
        <w:pStyle w:val="1151"/>
        <w:spacing w:line="312" w:lineRule="exact"/>
        <w:rPr>
          <w:rFonts w:ascii="宋体" w:hAnsi="宋体" w:eastAsia="宋体"/>
          <w:szCs w:val="21"/>
        </w:rPr>
        <w:outlineLvl w:val="2"/>
      </w:pPr>
      <w:r/>
      <w:bookmarkStart w:id="379" w:name="_Toc512518946"/>
      <w:r/>
      <w:bookmarkStart w:id="380" w:name="_Toc509497719"/>
      <w:r/>
      <w:bookmarkStart w:id="381" w:name="_Toc512502904"/>
      <w:r/>
      <w:bookmarkStart w:id="382" w:name="_Toc501306790"/>
      <w:r>
        <w:rPr>
          <w:rFonts w:ascii="宋体" w:hAnsi="宋体" w:eastAsia="宋体"/>
          <w:szCs w:val="21"/>
        </w:rPr>
        <w:t xml:space="preserve">B.2.9 </w:t>
      </w:r>
      <w:r>
        <w:rPr>
          <w:rFonts w:hint="eastAsia" w:ascii="宋体" w:hAnsi="宋体" w:eastAsia="宋体"/>
          <w:szCs w:val="21"/>
        </w:rPr>
        <w:t xml:space="preserve">本地通信扩展模块预留信号接口</w:t>
      </w:r>
      <w:bookmarkEnd w:id="379"/>
      <w:r/>
      <w:bookmarkEnd w:id="380"/>
      <w:r/>
      <w:bookmarkEnd w:id="381"/>
      <w:r>
        <w:rPr>
          <w:rFonts w:ascii="宋体" w:hAnsi="宋体" w:eastAsia="宋体"/>
          <w:szCs w:val="21"/>
        </w:rPr>
      </w:r>
      <w:r/>
    </w:p>
    <w:p>
      <w:pPr>
        <w:pStyle w:val="1151"/>
        <w:widowControl/>
      </w:pPr>
      <w:r>
        <w:t xml:space="preserve">本地通信扩展模块</w:t>
      </w:r>
      <w:r>
        <w:rPr>
          <w:rFonts w:hint="eastAsia"/>
        </w:rPr>
        <w:t xml:space="preserve">预留</w:t>
      </w:r>
      <w:r>
        <w:t xml:space="preserve">信号接口应采用2×10双排插针作为连接件，</w:t>
      </w:r>
      <w:bookmarkEnd w:id="382"/>
      <w:r>
        <w:rPr>
          <w:rFonts w:hint="eastAsia"/>
        </w:rPr>
        <w:t xml:space="preserve">暂不做规定。</w:t>
      </w:r>
      <w:r/>
    </w:p>
    <w:p>
      <w:pPr>
        <w:pStyle w:val="1201"/>
        <w:ind w:firstLine="0"/>
        <w:tabs>
          <w:tab w:val="center" w:pos="4201" w:leader="none"/>
          <w:tab w:val="right" w:pos="9298" w:leader="dot"/>
        </w:tabs>
        <w:rPr>
          <w:rFonts w:ascii="Times New Roman"/>
          <w:szCs w:val="21"/>
        </w:rPr>
      </w:pPr>
      <w:r>
        <w:rPr>
          <w:rFonts w:ascii="Times New Roman"/>
          <w:szCs w:val="21"/>
        </w:rPr>
      </w:r>
      <w:r/>
    </w:p>
    <w:p>
      <w:pPr>
        <w:pStyle w:val="1151"/>
        <w:spacing w:line="312" w:lineRule="exact"/>
        <w:rPr>
          <w:rFonts w:ascii="宋体" w:hAnsi="宋体" w:eastAsia="宋体"/>
          <w:szCs w:val="21"/>
        </w:rPr>
        <w:outlineLvl w:val="2"/>
      </w:pPr>
      <w:r/>
      <w:bookmarkStart w:id="383" w:name="_Toc512502896"/>
      <w:r/>
      <w:bookmarkStart w:id="384" w:name="_Toc512518939"/>
      <w:r/>
      <w:bookmarkStart w:id="385" w:name="_Toc509497712"/>
      <w:r>
        <w:rPr>
          <w:rFonts w:ascii="宋体" w:hAnsi="宋体" w:eastAsia="宋体"/>
          <w:szCs w:val="21"/>
        </w:rPr>
        <w:t xml:space="preserve">B.2.10 </w:t>
      </w:r>
      <w:r>
        <w:rPr>
          <w:rFonts w:hint="eastAsia" w:ascii="宋体" w:hAnsi="宋体" w:eastAsia="宋体"/>
          <w:szCs w:val="21"/>
        </w:rPr>
        <w:t xml:space="preserve">终端调试串口RS-232接口管脚定义</w:t>
      </w:r>
      <w:bookmarkEnd w:id="383"/>
      <w:r/>
      <w:bookmarkEnd w:id="384"/>
      <w:r/>
      <w:bookmarkEnd w:id="385"/>
      <w:r>
        <w:rPr>
          <w:rFonts w:ascii="宋体" w:hAnsi="宋体" w:eastAsia="宋体"/>
          <w:szCs w:val="21"/>
        </w:rPr>
      </w:r>
      <w:r/>
    </w:p>
    <w:p>
      <w:pPr>
        <w:pStyle w:val="1151"/>
      </w:pPr>
      <w:r>
        <w:t xml:space="preserve">调试串口配置线缆的结构如图B</w:t>
      </w:r>
      <w:r>
        <w:rPr>
          <w:rFonts w:hint="eastAsia"/>
        </w:rPr>
        <w:t xml:space="preserve">-</w:t>
      </w:r>
      <w:r>
        <w:t xml:space="preserve">1</w:t>
      </w:r>
      <w:r>
        <w:rPr>
          <w:rFonts w:hint="eastAsia"/>
        </w:rPr>
        <w:t xml:space="preserve">7</w:t>
      </w:r>
      <w:r>
        <w:t xml:space="preserve">所示。</w:t>
      </w:r>
      <w:r/>
    </w:p>
    <w:p>
      <w:pPr>
        <w:pStyle w:val="1151"/>
        <w:ind w:firstLine="420"/>
        <w:jc w:val="center"/>
        <w:spacing w:before="156" w:after="156"/>
        <w:widowControl/>
        <w:tabs>
          <w:tab w:val="center" w:pos="4201" w:leader="none"/>
          <w:tab w:val="right" w:pos="9298" w:leader="dot"/>
        </w:tabs>
        <w:rPr>
          <w:rFonts w:eastAsia="黑体"/>
        </w:rPr>
      </w:pPr>
      <w:r/>
      <w:bookmarkStart w:id="386" w:name="fig_dc_ar_hw_02060701"/>
      <w:r/>
      <w:bookmarkEnd w:id="386"/>
      <w:r>
        <w:rPr>
          <w:rFonts w:eastAsia="黑体"/>
          <w:szCs w:val="21"/>
        </w:rPr>
        <mc:AlternateContent>
          <mc:Choice Requires="wpg">
            <w:drawing>
              <wp:inline xmlns:wp="http://schemas.openxmlformats.org/drawingml/2006/wordprocessingDrawing" distT="0" distB="0" distL="0" distR="0">
                <wp:extent cx="4288549" cy="1191682"/>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4288549" cy="11916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337.7pt;height:93.8pt;mso-wrap-distance-left:0.0pt;mso-wrap-distance-top:0.0pt;mso-wrap-distance-right:0.0pt;mso-wrap-distance-bottom:0.0pt;" stroked="f">
                <v:path textboxrect="0,0,0,0"/>
                <v:imagedata r:id="rId98" o:title=""/>
              </v:shape>
            </w:pict>
          </mc:Fallback>
        </mc:AlternateContent>
      </w:r>
      <w:r>
        <w:rPr>
          <w:rFonts w:eastAsia="黑体"/>
        </w:rPr>
      </w:r>
      <w:r/>
    </w:p>
    <w:p>
      <w:pPr>
        <w:pStyle w:val="1151"/>
        <w:ind w:firstLine="420"/>
        <w:jc w:val="center"/>
        <w:spacing w:before="156" w:after="156"/>
        <w:widowControl/>
        <w:tabs>
          <w:tab w:val="center" w:pos="4201" w:leader="none"/>
          <w:tab w:val="right" w:pos="9298" w:leader="dot"/>
        </w:tabs>
      </w:pPr>
      <w:r>
        <w:rPr>
          <w:rFonts w:eastAsia="黑体"/>
          <w:szCs w:val="21"/>
        </w:rPr>
        <w:t xml:space="preserve">图B-17  </w:t>
      </w:r>
      <w:r>
        <w:rPr>
          <w:rFonts w:hint="eastAsia" w:eastAsia="黑体"/>
          <w:szCs w:val="21"/>
        </w:rPr>
        <w:t xml:space="preserve">调试串口配置线缆结构图</w:t>
      </w:r>
      <w:r/>
    </w:p>
    <w:p>
      <w:pPr>
        <w:pStyle w:val="1151"/>
      </w:pPr>
      <w:r>
        <w:t xml:space="preserve">调试串口配置线缆的针脚关系如</w:t>
      </w:r>
      <w:r>
        <w:fldChar w:fldCharType="begin"/>
      </w:r>
      <w:r>
        <w:instrText xml:space="preserve"> HYPERLINK \l "tab_dc_ar_hw_02060701" </w:instrText>
      </w:r>
      <w:r>
        <w:fldChar w:fldCharType="separate"/>
      </w:r>
      <w:r>
        <w:t xml:space="preserve">表</w:t>
      </w:r>
      <w:r>
        <w:fldChar w:fldCharType="end"/>
      </w:r>
      <w:r>
        <w:rPr>
          <w:rFonts w:hint="eastAsia"/>
        </w:rPr>
        <w:t xml:space="preserve">B-4</w:t>
      </w:r>
      <w:r>
        <w:t xml:space="preserve">所示。</w:t>
      </w:r>
      <w:r/>
    </w:p>
    <w:p>
      <w:pPr>
        <w:pStyle w:val="1151"/>
        <w:jc w:val="center"/>
      </w:pPr>
      <w:r/>
      <w:bookmarkStart w:id="387" w:name="tab_dc_ar_hw_02060701"/>
      <w:r/>
      <w:bookmarkEnd w:id="387"/>
      <w:r>
        <w:t xml:space="preserve">表B-4 调试串口配置线缆针脚关系表</w:t>
      </w:r>
      <w:r/>
    </w:p>
    <w:tbl>
      <w:tblPr>
        <w:tblW w:w="9346"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35"/>
        <w:gridCol w:w="2473"/>
        <w:gridCol w:w="2475"/>
        <w:gridCol w:w="1963"/>
      </w:tblGrid>
      <w:tr>
        <w:trPr>
          <w:tblHeader/>
        </w:trPr>
        <w:tc>
          <w:tcPr>
            <w:shd w:val="clear" w:color="auto" w:fill="ffffff"/>
            <w:tcW w:w="2435" w:type="dxa"/>
            <w:vAlign w:val="top"/>
            <w:textDirection w:val="lrTb"/>
            <w:noWrap w:val="false"/>
          </w:tcPr>
          <w:p>
            <w:pPr>
              <w:pStyle w:val="1255"/>
              <w:jc w:val="center"/>
              <w:rPr>
                <w:rFonts w:ascii="Times New Roman" w:hAnsi="Times New Roman" w:eastAsia="宋体" w:cs="Times New Roman"/>
                <w:sz w:val="18"/>
                <w:szCs w:val="18"/>
              </w:rPr>
            </w:pPr>
            <w:r>
              <w:rPr>
                <w:rFonts w:ascii="Times New Roman" w:hAnsi="Times New Roman" w:eastAsia="宋体" w:cs="Times New Roman"/>
                <w:sz w:val="18"/>
                <w:szCs w:val="18"/>
              </w:rPr>
              <w:t xml:space="preserve">X1（RJ45）</w:t>
            </w:r>
            <w:r>
              <w:rPr>
                <w:rFonts w:ascii="Times New Roman" w:hAnsi="Times New Roman" w:eastAsia="宋体" w:cs="Times New Roman"/>
                <w:sz w:val="18"/>
                <w:szCs w:val="18"/>
              </w:rPr>
            </w:r>
            <w:r/>
          </w:p>
        </w:tc>
        <w:tc>
          <w:tcPr>
            <w:shd w:val="clear" w:color="auto" w:fill="ffffff"/>
            <w:tcW w:w="2473" w:type="dxa"/>
            <w:vAlign w:val="top"/>
            <w:textDirection w:val="lrTb"/>
            <w:noWrap w:val="false"/>
          </w:tcPr>
          <w:p>
            <w:pPr>
              <w:pStyle w:val="1255"/>
              <w:jc w:val="center"/>
              <w:rPr>
                <w:rFonts w:ascii="Times New Roman" w:hAnsi="Times New Roman" w:eastAsia="宋体" w:cs="Times New Roman"/>
                <w:sz w:val="18"/>
                <w:szCs w:val="18"/>
              </w:rPr>
            </w:pPr>
            <w:r>
              <w:rPr>
                <w:rFonts w:ascii="Times New Roman" w:hAnsi="Times New Roman" w:eastAsia="宋体" w:cs="Times New Roman"/>
                <w:sz w:val="18"/>
                <w:szCs w:val="18"/>
              </w:rPr>
              <w:t xml:space="preserve">信号</w:t>
            </w:r>
            <w:r>
              <w:rPr>
                <w:rFonts w:ascii="Times New Roman" w:hAnsi="Times New Roman" w:eastAsia="宋体" w:cs="Times New Roman"/>
                <w:sz w:val="18"/>
                <w:szCs w:val="18"/>
              </w:rPr>
            </w:r>
            <w:r/>
          </w:p>
        </w:tc>
        <w:tc>
          <w:tcPr>
            <w:shd w:val="clear" w:color="auto" w:fill="ffffff"/>
            <w:tcW w:w="2475" w:type="dxa"/>
            <w:vAlign w:val="top"/>
            <w:textDirection w:val="lrTb"/>
            <w:noWrap w:val="false"/>
          </w:tcPr>
          <w:p>
            <w:pPr>
              <w:pStyle w:val="1255"/>
              <w:jc w:val="center"/>
              <w:rPr>
                <w:rFonts w:ascii="Times New Roman" w:hAnsi="Times New Roman" w:eastAsia="宋体" w:cs="Times New Roman"/>
                <w:sz w:val="18"/>
                <w:szCs w:val="18"/>
              </w:rPr>
            </w:pPr>
            <w:r>
              <w:rPr>
                <w:rFonts w:ascii="Times New Roman" w:hAnsi="Times New Roman" w:eastAsia="宋体" w:cs="Times New Roman"/>
                <w:sz w:val="18"/>
                <w:szCs w:val="18"/>
              </w:rPr>
              <w:t xml:space="preserve">信号方向</w:t>
            </w:r>
            <w:r>
              <w:rPr>
                <w:rFonts w:ascii="Times New Roman" w:hAnsi="Times New Roman" w:eastAsia="宋体" w:cs="Times New Roman"/>
                <w:sz w:val="18"/>
                <w:szCs w:val="18"/>
              </w:rPr>
            </w:r>
            <w:r/>
          </w:p>
        </w:tc>
        <w:tc>
          <w:tcPr>
            <w:shd w:val="clear" w:color="auto" w:fill="ffffff"/>
            <w:tcW w:w="1963" w:type="dxa"/>
            <w:vAlign w:val="top"/>
            <w:textDirection w:val="lrTb"/>
            <w:noWrap w:val="false"/>
          </w:tcPr>
          <w:p>
            <w:pPr>
              <w:pStyle w:val="1255"/>
              <w:jc w:val="center"/>
              <w:rPr>
                <w:rFonts w:ascii="Times New Roman" w:hAnsi="Times New Roman" w:eastAsia="宋体" w:cs="Times New Roman"/>
                <w:sz w:val="18"/>
                <w:szCs w:val="18"/>
              </w:rPr>
            </w:pPr>
            <w:r>
              <w:rPr>
                <w:rFonts w:ascii="Times New Roman" w:hAnsi="Times New Roman" w:eastAsia="宋体" w:cs="Times New Roman"/>
                <w:sz w:val="18"/>
                <w:szCs w:val="18"/>
              </w:rPr>
              <w:t xml:space="preserve">X2（DB9）</w:t>
            </w:r>
            <w:r>
              <w:rPr>
                <w:rFonts w:ascii="Times New Roman" w:hAnsi="Times New Roman" w:eastAsia="宋体" w:cs="Times New Roman"/>
                <w:sz w:val="18"/>
                <w:szCs w:val="18"/>
              </w:rPr>
            </w:r>
            <w:r/>
          </w:p>
        </w:tc>
      </w:tr>
      <w:tr>
        <w:trPr/>
        <w:tc>
          <w:tcPr>
            <w:tcW w:w="2435" w:type="dxa"/>
            <w:vAlign w:val="top"/>
            <w:textDirection w:val="lrTb"/>
            <w:noWrap w:val="false"/>
          </w:tcPr>
          <w:p>
            <w:pPr>
              <w:pStyle w:val="1222"/>
              <w:jc w:val="center"/>
              <w:rPr>
                <w:rFonts w:cs="Times New Roman"/>
                <w:sz w:val="18"/>
                <w:szCs w:val="18"/>
              </w:rPr>
            </w:pPr>
            <w:r>
              <w:rPr>
                <w:rFonts w:cs="Times New Roman"/>
                <w:sz w:val="18"/>
                <w:szCs w:val="18"/>
              </w:rPr>
              <w:t xml:space="preserve">3</w:t>
            </w:r>
            <w:r>
              <w:rPr>
                <w:rFonts w:cs="Times New Roman"/>
                <w:sz w:val="18"/>
                <w:szCs w:val="18"/>
              </w:rPr>
            </w:r>
            <w:r/>
          </w:p>
        </w:tc>
        <w:tc>
          <w:tcPr>
            <w:tcW w:w="2473" w:type="dxa"/>
            <w:vAlign w:val="top"/>
            <w:textDirection w:val="lrTb"/>
            <w:noWrap w:val="false"/>
          </w:tcPr>
          <w:p>
            <w:pPr>
              <w:pStyle w:val="1222"/>
              <w:jc w:val="center"/>
              <w:rPr>
                <w:rFonts w:cs="Times New Roman"/>
                <w:sz w:val="18"/>
                <w:szCs w:val="18"/>
              </w:rPr>
            </w:pPr>
            <w:r>
              <w:rPr>
                <w:rFonts w:cs="Times New Roman"/>
                <w:sz w:val="18"/>
                <w:szCs w:val="18"/>
              </w:rPr>
              <w:t xml:space="preserve">TXD</w:t>
            </w:r>
            <w:r>
              <w:rPr>
                <w:rFonts w:cs="Times New Roman"/>
                <w:sz w:val="18"/>
                <w:szCs w:val="18"/>
              </w:rPr>
            </w:r>
            <w:r/>
          </w:p>
        </w:tc>
        <w:tc>
          <w:tcPr>
            <w:tcW w:w="2475" w:type="dxa"/>
            <w:vAlign w:val="top"/>
            <w:textDirection w:val="lrTb"/>
            <w:noWrap w:val="false"/>
          </w:tcPr>
          <w:p>
            <w:pPr>
              <w:pStyle w:val="1222"/>
              <w:jc w:val="center"/>
              <w:rPr>
                <w:rFonts w:cs="Times New Roman"/>
                <w:sz w:val="18"/>
                <w:szCs w:val="18"/>
              </w:rPr>
            </w:pPr>
            <w:r>
              <w:rPr>
                <w:rFonts w:cs="Times New Roman"/>
                <w:sz w:val="18"/>
                <w:szCs w:val="18"/>
              </w:rPr>
              <w:t xml:space="preserve">→</w:t>
            </w:r>
            <w:r>
              <w:rPr>
                <w:rFonts w:cs="Times New Roman"/>
                <w:sz w:val="18"/>
                <w:szCs w:val="18"/>
              </w:rPr>
            </w:r>
            <w:r/>
          </w:p>
        </w:tc>
        <w:tc>
          <w:tcPr>
            <w:tcW w:w="1963" w:type="dxa"/>
            <w:vAlign w:val="top"/>
            <w:textDirection w:val="lrTb"/>
            <w:noWrap w:val="false"/>
          </w:tcPr>
          <w:p>
            <w:pPr>
              <w:pStyle w:val="1222"/>
              <w:jc w:val="center"/>
              <w:rPr>
                <w:rFonts w:cs="Times New Roman"/>
                <w:sz w:val="18"/>
                <w:szCs w:val="18"/>
              </w:rPr>
            </w:pPr>
            <w:r>
              <w:rPr>
                <w:rFonts w:cs="Times New Roman"/>
                <w:sz w:val="18"/>
                <w:szCs w:val="18"/>
              </w:rPr>
              <w:t xml:space="preserve">2</w:t>
            </w:r>
            <w:r>
              <w:rPr>
                <w:rFonts w:cs="Times New Roman"/>
                <w:sz w:val="18"/>
                <w:szCs w:val="18"/>
              </w:rPr>
            </w:r>
            <w:r/>
          </w:p>
        </w:tc>
      </w:tr>
      <w:tr>
        <w:trPr/>
        <w:tc>
          <w:tcPr>
            <w:tcW w:w="2435" w:type="dxa"/>
            <w:vAlign w:val="top"/>
            <w:textDirection w:val="lrTb"/>
            <w:noWrap w:val="false"/>
          </w:tcPr>
          <w:p>
            <w:pPr>
              <w:pStyle w:val="1222"/>
              <w:jc w:val="center"/>
              <w:rPr>
                <w:rFonts w:cs="Times New Roman"/>
                <w:sz w:val="18"/>
                <w:szCs w:val="18"/>
              </w:rPr>
            </w:pPr>
            <w:r>
              <w:rPr>
                <w:rFonts w:cs="Times New Roman"/>
                <w:sz w:val="18"/>
                <w:szCs w:val="18"/>
              </w:rPr>
              <w:t xml:space="preserve">4</w:t>
            </w:r>
            <w:r>
              <w:rPr>
                <w:rFonts w:cs="Times New Roman"/>
                <w:sz w:val="18"/>
                <w:szCs w:val="18"/>
              </w:rPr>
            </w:r>
            <w:r/>
          </w:p>
        </w:tc>
        <w:tc>
          <w:tcPr>
            <w:tcW w:w="2473" w:type="dxa"/>
            <w:vAlign w:val="top"/>
            <w:textDirection w:val="lrTb"/>
            <w:noWrap w:val="false"/>
          </w:tcPr>
          <w:p>
            <w:pPr>
              <w:pStyle w:val="1222"/>
              <w:jc w:val="center"/>
              <w:rPr>
                <w:rFonts w:cs="Times New Roman"/>
                <w:sz w:val="18"/>
                <w:szCs w:val="18"/>
              </w:rPr>
            </w:pPr>
            <w:r>
              <w:rPr>
                <w:rFonts w:cs="Times New Roman"/>
                <w:sz w:val="18"/>
                <w:szCs w:val="18"/>
              </w:rPr>
              <w:t xml:space="preserve">GND</w:t>
            </w:r>
            <w:r>
              <w:rPr>
                <w:rFonts w:cs="Times New Roman"/>
                <w:sz w:val="18"/>
                <w:szCs w:val="18"/>
              </w:rPr>
            </w:r>
            <w:r/>
          </w:p>
        </w:tc>
        <w:tc>
          <w:tcPr>
            <w:tcW w:w="2475" w:type="dxa"/>
            <w:vAlign w:val="top"/>
            <w:textDirection w:val="lrTb"/>
            <w:noWrap w:val="false"/>
          </w:tcPr>
          <w:p>
            <w:pPr>
              <w:pStyle w:val="1222"/>
              <w:jc w:val="center"/>
              <w:rPr>
                <w:rFonts w:cs="Times New Roman"/>
                <w:sz w:val="18"/>
                <w:szCs w:val="18"/>
              </w:rPr>
            </w:pPr>
            <w:r>
              <w:rPr>
                <w:rFonts w:cs="Times New Roman"/>
                <w:sz w:val="18"/>
                <w:szCs w:val="18"/>
              </w:rPr>
              <w:t xml:space="preserve">-</w:t>
            </w:r>
            <w:r>
              <w:rPr>
                <w:rFonts w:cs="Times New Roman"/>
                <w:sz w:val="18"/>
                <w:szCs w:val="18"/>
              </w:rPr>
            </w:r>
            <w:r/>
          </w:p>
        </w:tc>
        <w:tc>
          <w:tcPr>
            <w:tcW w:w="1963" w:type="dxa"/>
            <w:vAlign w:val="top"/>
            <w:textDirection w:val="lrTb"/>
            <w:noWrap w:val="false"/>
          </w:tcPr>
          <w:p>
            <w:pPr>
              <w:pStyle w:val="1222"/>
              <w:jc w:val="center"/>
              <w:rPr>
                <w:rFonts w:cs="Times New Roman"/>
                <w:sz w:val="18"/>
                <w:szCs w:val="18"/>
              </w:rPr>
            </w:pPr>
            <w:r>
              <w:rPr>
                <w:rFonts w:cs="Times New Roman"/>
                <w:sz w:val="18"/>
                <w:szCs w:val="18"/>
              </w:rPr>
              <w:t xml:space="preserve">5</w:t>
            </w:r>
            <w:r>
              <w:rPr>
                <w:rFonts w:cs="Times New Roman"/>
                <w:sz w:val="18"/>
                <w:szCs w:val="18"/>
              </w:rPr>
            </w:r>
            <w:r/>
          </w:p>
        </w:tc>
      </w:tr>
      <w:tr>
        <w:trPr/>
        <w:tc>
          <w:tcPr>
            <w:tcW w:w="2435" w:type="dxa"/>
            <w:vAlign w:val="top"/>
            <w:textDirection w:val="lrTb"/>
            <w:noWrap w:val="false"/>
          </w:tcPr>
          <w:p>
            <w:pPr>
              <w:pStyle w:val="1222"/>
              <w:jc w:val="center"/>
              <w:rPr>
                <w:rFonts w:cs="Times New Roman"/>
                <w:sz w:val="18"/>
                <w:szCs w:val="18"/>
              </w:rPr>
            </w:pPr>
            <w:r>
              <w:rPr>
                <w:rFonts w:cs="Times New Roman"/>
                <w:sz w:val="18"/>
                <w:szCs w:val="18"/>
              </w:rPr>
              <w:t xml:space="preserve">5</w:t>
            </w:r>
            <w:r>
              <w:rPr>
                <w:rFonts w:cs="Times New Roman"/>
                <w:sz w:val="18"/>
                <w:szCs w:val="18"/>
              </w:rPr>
            </w:r>
            <w:r/>
          </w:p>
        </w:tc>
        <w:tc>
          <w:tcPr>
            <w:tcW w:w="2473" w:type="dxa"/>
            <w:vAlign w:val="top"/>
            <w:textDirection w:val="lrTb"/>
            <w:noWrap w:val="false"/>
          </w:tcPr>
          <w:p>
            <w:pPr>
              <w:pStyle w:val="1222"/>
              <w:jc w:val="center"/>
              <w:rPr>
                <w:rFonts w:cs="Times New Roman"/>
                <w:sz w:val="18"/>
                <w:szCs w:val="18"/>
              </w:rPr>
            </w:pPr>
            <w:r>
              <w:rPr>
                <w:rFonts w:cs="Times New Roman"/>
                <w:sz w:val="18"/>
                <w:szCs w:val="18"/>
              </w:rPr>
              <w:t xml:space="preserve">GND</w:t>
            </w:r>
            <w:r>
              <w:rPr>
                <w:rFonts w:cs="Times New Roman"/>
                <w:sz w:val="18"/>
                <w:szCs w:val="18"/>
              </w:rPr>
            </w:r>
            <w:r/>
          </w:p>
        </w:tc>
        <w:tc>
          <w:tcPr>
            <w:tcW w:w="2475" w:type="dxa"/>
            <w:vAlign w:val="top"/>
            <w:textDirection w:val="lrTb"/>
            <w:noWrap w:val="false"/>
          </w:tcPr>
          <w:p>
            <w:pPr>
              <w:pStyle w:val="1222"/>
              <w:jc w:val="center"/>
              <w:rPr>
                <w:rFonts w:cs="Times New Roman"/>
                <w:sz w:val="18"/>
                <w:szCs w:val="18"/>
              </w:rPr>
            </w:pPr>
            <w:r>
              <w:rPr>
                <w:rFonts w:cs="Times New Roman"/>
                <w:sz w:val="18"/>
                <w:szCs w:val="18"/>
              </w:rPr>
              <w:t xml:space="preserve">-</w:t>
            </w:r>
            <w:r>
              <w:rPr>
                <w:rFonts w:cs="Times New Roman"/>
                <w:sz w:val="18"/>
                <w:szCs w:val="18"/>
              </w:rPr>
            </w:r>
            <w:r/>
          </w:p>
        </w:tc>
        <w:tc>
          <w:tcPr>
            <w:tcW w:w="1963" w:type="dxa"/>
            <w:vAlign w:val="top"/>
            <w:textDirection w:val="lrTb"/>
            <w:noWrap w:val="false"/>
          </w:tcPr>
          <w:p>
            <w:pPr>
              <w:pStyle w:val="1222"/>
              <w:jc w:val="center"/>
              <w:rPr>
                <w:rFonts w:cs="Times New Roman"/>
                <w:sz w:val="18"/>
                <w:szCs w:val="18"/>
              </w:rPr>
            </w:pPr>
            <w:r>
              <w:rPr>
                <w:rFonts w:cs="Times New Roman"/>
                <w:sz w:val="18"/>
                <w:szCs w:val="18"/>
              </w:rPr>
              <w:t xml:space="preserve">5</w:t>
            </w:r>
            <w:r>
              <w:rPr>
                <w:rFonts w:cs="Times New Roman"/>
                <w:sz w:val="18"/>
                <w:szCs w:val="18"/>
              </w:rPr>
            </w:r>
            <w:r/>
          </w:p>
        </w:tc>
      </w:tr>
      <w:tr>
        <w:trPr/>
        <w:tc>
          <w:tcPr>
            <w:tcW w:w="2435" w:type="dxa"/>
            <w:vAlign w:val="top"/>
            <w:textDirection w:val="lrTb"/>
            <w:noWrap w:val="false"/>
          </w:tcPr>
          <w:p>
            <w:pPr>
              <w:pStyle w:val="1222"/>
              <w:jc w:val="center"/>
              <w:rPr>
                <w:rFonts w:cs="Times New Roman"/>
                <w:sz w:val="18"/>
                <w:szCs w:val="18"/>
              </w:rPr>
            </w:pPr>
            <w:r>
              <w:rPr>
                <w:rFonts w:cs="Times New Roman"/>
                <w:sz w:val="18"/>
                <w:szCs w:val="18"/>
              </w:rPr>
              <w:t xml:space="preserve">6</w:t>
            </w:r>
            <w:r>
              <w:rPr>
                <w:rFonts w:cs="Times New Roman"/>
                <w:sz w:val="18"/>
                <w:szCs w:val="18"/>
              </w:rPr>
            </w:r>
            <w:r/>
          </w:p>
        </w:tc>
        <w:tc>
          <w:tcPr>
            <w:tcW w:w="2473" w:type="dxa"/>
            <w:vAlign w:val="top"/>
            <w:textDirection w:val="lrTb"/>
            <w:noWrap w:val="false"/>
          </w:tcPr>
          <w:p>
            <w:pPr>
              <w:pStyle w:val="1222"/>
              <w:jc w:val="center"/>
              <w:rPr>
                <w:rFonts w:cs="Times New Roman"/>
                <w:sz w:val="18"/>
                <w:szCs w:val="18"/>
              </w:rPr>
            </w:pPr>
            <w:r>
              <w:rPr>
                <w:rFonts w:cs="Times New Roman"/>
                <w:sz w:val="18"/>
                <w:szCs w:val="18"/>
              </w:rPr>
              <w:t xml:space="preserve">RXD</w:t>
            </w:r>
            <w:r>
              <w:rPr>
                <w:rFonts w:cs="Times New Roman"/>
                <w:sz w:val="18"/>
                <w:szCs w:val="18"/>
              </w:rPr>
            </w:r>
            <w:r/>
          </w:p>
        </w:tc>
        <w:tc>
          <w:tcPr>
            <w:tcW w:w="2475" w:type="dxa"/>
            <w:vAlign w:val="top"/>
            <w:textDirection w:val="lrTb"/>
            <w:noWrap w:val="false"/>
          </w:tcPr>
          <w:p>
            <w:pPr>
              <w:pStyle w:val="1222"/>
              <w:jc w:val="center"/>
              <w:rPr>
                <w:rFonts w:cs="Times New Roman"/>
                <w:sz w:val="18"/>
                <w:szCs w:val="18"/>
              </w:rPr>
            </w:pPr>
            <w:r>
              <w:rPr>
                <w:rFonts w:cs="Times New Roman"/>
                <w:sz w:val="18"/>
                <w:szCs w:val="18"/>
              </w:rPr>
              <w:t xml:space="preserve">←</w:t>
            </w:r>
            <w:r>
              <w:rPr>
                <w:rFonts w:cs="Times New Roman"/>
                <w:sz w:val="18"/>
                <w:szCs w:val="18"/>
              </w:rPr>
            </w:r>
            <w:r/>
          </w:p>
        </w:tc>
        <w:tc>
          <w:tcPr>
            <w:tcW w:w="1963" w:type="dxa"/>
            <w:vAlign w:val="top"/>
            <w:textDirection w:val="lrTb"/>
            <w:noWrap w:val="false"/>
          </w:tcPr>
          <w:p>
            <w:pPr>
              <w:pStyle w:val="1222"/>
              <w:jc w:val="center"/>
              <w:rPr>
                <w:rFonts w:cs="Times New Roman"/>
                <w:sz w:val="18"/>
                <w:szCs w:val="18"/>
              </w:rPr>
            </w:pPr>
            <w:r>
              <w:rPr>
                <w:rFonts w:cs="Times New Roman"/>
                <w:sz w:val="18"/>
                <w:szCs w:val="18"/>
              </w:rPr>
              <w:t xml:space="preserve">3</w:t>
            </w:r>
            <w:r>
              <w:rPr>
                <w:rFonts w:cs="Times New Roman"/>
                <w:sz w:val="18"/>
                <w:szCs w:val="18"/>
              </w:rPr>
            </w:r>
            <w:r/>
          </w:p>
        </w:tc>
      </w:tr>
      <w:tr>
        <w:trPr/>
        <w:tc>
          <w:tcPr>
            <w:gridSpan w:val="4"/>
            <w:tcW w:w="9346" w:type="dxa"/>
            <w:vAlign w:val="top"/>
            <w:textDirection w:val="lrTb"/>
            <w:noWrap w:val="false"/>
          </w:tcPr>
          <w:p>
            <w:pPr>
              <w:pStyle w:val="1222"/>
              <w:ind w:firstLine="180"/>
              <w:rPr>
                <w:rFonts w:cs="Times New Roman"/>
                <w:sz w:val="18"/>
                <w:szCs w:val="18"/>
              </w:rPr>
            </w:pPr>
            <w:r>
              <w:rPr>
                <w:rFonts w:ascii="黑体" w:hAnsi="黑体" w:eastAsia="黑体" w:cs="Times New Roman"/>
                <w:sz w:val="18"/>
                <w:szCs w:val="18"/>
              </w:rPr>
              <w:t xml:space="preserve">注1</w:t>
            </w:r>
            <w:r>
              <w:rPr>
                <w:rFonts w:cs="Times New Roman"/>
                <w:sz w:val="18"/>
                <w:szCs w:val="18"/>
              </w:rPr>
              <w:t xml:space="preserve">：TXD、RXD是相对站所终端核心单元定义的，应分别连接到对接终端设备的RXD和TXD。</w:t>
            </w:r>
            <w:r>
              <w:rPr>
                <w:rFonts w:cs="Times New Roman"/>
                <w:sz w:val="18"/>
                <w:szCs w:val="18"/>
              </w:rPr>
            </w:r>
            <w:r/>
          </w:p>
          <w:p>
            <w:pPr>
              <w:pStyle w:val="1222"/>
              <w:ind w:firstLine="180"/>
              <w:rPr>
                <w:rFonts w:cs="Times New Roman"/>
                <w:sz w:val="18"/>
                <w:szCs w:val="18"/>
              </w:rPr>
            </w:pPr>
            <w:r>
              <w:rPr>
                <w:rFonts w:cs="Times New Roman"/>
                <w:sz w:val="18"/>
                <w:szCs w:val="18"/>
              </w:rPr>
              <w:t xml:space="preserve">注2：未描述的管脚表示未连接。</w:t>
            </w:r>
            <w:r>
              <w:rPr>
                <w:rFonts w:cs="Times New Roman"/>
                <w:sz w:val="18"/>
                <w:szCs w:val="18"/>
              </w:rPr>
            </w:r>
            <w:r/>
          </w:p>
        </w:tc>
      </w:tr>
    </w:tbl>
    <w:p>
      <w:pPr>
        <w:pStyle w:val="1151"/>
        <w:widowControl/>
      </w:pPr>
      <w:r/>
      <w:r/>
    </w:p>
    <w:p>
      <w:pPr>
        <w:pStyle w:val="1151"/>
        <w:spacing w:line="312" w:lineRule="exact"/>
        <w:rPr>
          <w:rFonts w:ascii="宋体" w:hAnsi="宋体" w:eastAsia="宋体"/>
          <w:szCs w:val="21"/>
        </w:rPr>
        <w:outlineLvl w:val="2"/>
      </w:pPr>
      <w:r>
        <w:rPr>
          <w:rFonts w:ascii="宋体" w:hAnsi="宋体" w:eastAsia="宋体"/>
          <w:szCs w:val="21"/>
        </w:rPr>
        <w:t xml:space="preserve">B.2.11</w:t>
      </w:r>
      <w:r>
        <w:rPr>
          <w:rFonts w:hint="eastAsia" w:ascii="宋体" w:hAnsi="宋体" w:eastAsia="宋体"/>
          <w:szCs w:val="21"/>
        </w:rPr>
        <w:t xml:space="preserve">终端脉冲串口管脚及脉冲选择拨码开关定义</w:t>
      </w:r>
      <w:r>
        <w:rPr>
          <w:rFonts w:ascii="宋体" w:hAnsi="宋体" w:eastAsia="宋体"/>
          <w:szCs w:val="21"/>
        </w:rPr>
      </w:r>
      <w:r/>
    </w:p>
    <w:p>
      <w:pPr>
        <w:pStyle w:val="1256"/>
        <w:spacing w:line="360" w:lineRule="auto"/>
      </w:pPr>
      <w:r>
        <w:rPr>
          <w:rFonts w:hint="eastAsia"/>
        </w:rPr>
        <w:t xml:space="preserve">脉冲串口主要完成电能量检定，采用RJ45接口，其管脚定义见表B-5.</w:t>
      </w:r>
      <w:r/>
    </w:p>
    <w:p>
      <w:pPr>
        <w:pStyle w:val="1256"/>
        <w:ind w:firstLine="0"/>
        <w:jc w:val="center"/>
        <w:spacing w:line="360" w:lineRule="auto"/>
      </w:pPr>
      <w:r>
        <w:rPr>
          <w:rFonts w:hint="eastAsia"/>
        </w:rPr>
        <w:t xml:space="preserve">表B-5 脉冲串口管脚定义</w:t>
      </w:r>
      <w:r/>
    </w:p>
    <w:tbl>
      <w:tblPr>
        <w:tblW w:w="76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1"/>
        <w:gridCol w:w="981"/>
        <w:gridCol w:w="2971"/>
        <w:gridCol w:w="2268"/>
      </w:tblGrid>
      <w:tr>
        <w:trPr/>
        <w:tc>
          <w:tcPr>
            <w:tcW w:w="1401" w:type="dxa"/>
            <w:vAlign w:val="center"/>
            <w:textDirection w:val="lrTb"/>
            <w:noWrap w:val="false"/>
          </w:tcPr>
          <w:p>
            <w:pPr>
              <w:pStyle w:val="1256"/>
              <w:ind w:firstLine="0"/>
              <w:jc w:val="center"/>
              <w:spacing w:line="360" w:lineRule="auto"/>
            </w:pPr>
            <w:r>
              <w:rPr>
                <w:rFonts w:hint="eastAsia"/>
              </w:rPr>
              <w:t xml:space="preserve">端子序号</w:t>
            </w:r>
            <w:r/>
          </w:p>
        </w:tc>
        <w:tc>
          <w:tcPr>
            <w:tcW w:w="981" w:type="dxa"/>
            <w:vAlign w:val="center"/>
            <w:textDirection w:val="lrTb"/>
            <w:noWrap w:val="false"/>
          </w:tcPr>
          <w:p>
            <w:pPr>
              <w:pStyle w:val="1256"/>
              <w:ind w:firstLine="0"/>
              <w:jc w:val="center"/>
              <w:spacing w:line="360" w:lineRule="auto"/>
            </w:pPr>
            <w:r>
              <w:rPr>
                <w:rFonts w:hint="eastAsia"/>
              </w:rPr>
              <w:t xml:space="preserve">定义</w:t>
            </w:r>
            <w:r/>
          </w:p>
        </w:tc>
        <w:tc>
          <w:tcPr>
            <w:tcW w:w="2971" w:type="dxa"/>
            <w:vAlign w:val="center"/>
            <w:textDirection w:val="lrTb"/>
            <w:noWrap w:val="false"/>
          </w:tcPr>
          <w:p>
            <w:pPr>
              <w:pStyle w:val="1256"/>
              <w:ind w:firstLine="0"/>
              <w:jc w:val="center"/>
              <w:spacing w:line="360" w:lineRule="auto"/>
            </w:pPr>
            <w:r>
              <w:rPr>
                <w:rFonts w:hint="eastAsia"/>
              </w:rPr>
              <w:t xml:space="preserve">说明</w:t>
            </w:r>
            <w:r/>
          </w:p>
        </w:tc>
        <w:tc>
          <w:tcPr>
            <w:tcW w:w="2268" w:type="dxa"/>
            <w:vAlign w:val="top"/>
            <w:textDirection w:val="lrTb"/>
            <w:noWrap w:val="false"/>
          </w:tcPr>
          <w:p>
            <w:pPr>
              <w:pStyle w:val="1256"/>
              <w:ind w:firstLine="0"/>
              <w:jc w:val="center"/>
              <w:spacing w:line="360" w:lineRule="auto"/>
            </w:pPr>
            <w:r>
              <w:rPr>
                <w:rFonts w:hint="eastAsia"/>
              </w:rPr>
              <w:t xml:space="preserve">图例</w:t>
            </w:r>
            <w:r/>
          </w:p>
        </w:tc>
      </w:tr>
      <w:tr>
        <w:trPr/>
        <w:tc>
          <w:tcPr>
            <w:tcW w:w="1401" w:type="dxa"/>
            <w:vAlign w:val="center"/>
            <w:textDirection w:val="lrTb"/>
            <w:noWrap w:val="false"/>
          </w:tcPr>
          <w:p>
            <w:pPr>
              <w:pStyle w:val="1256"/>
              <w:ind w:firstLine="0"/>
              <w:jc w:val="center"/>
              <w:spacing w:line="360" w:lineRule="auto"/>
            </w:pPr>
            <w:r>
              <w:t xml:space="preserve">1</w:t>
            </w:r>
            <w:r/>
          </w:p>
        </w:tc>
        <w:tc>
          <w:tcPr>
            <w:tcW w:w="981" w:type="dxa"/>
            <w:vAlign w:val="center"/>
            <w:textDirection w:val="lrTb"/>
            <w:noWrap w:val="false"/>
          </w:tcPr>
          <w:p>
            <w:pPr>
              <w:pStyle w:val="1151"/>
              <w:jc w:val="center"/>
              <w:spacing w:line="360" w:lineRule="auto"/>
              <w:rPr>
                <w:rFonts w:ascii="宋体" w:hAnsi="宋体"/>
                <w:sz w:val="18"/>
                <w:szCs w:val="18"/>
              </w:rPr>
            </w:pPr>
            <w:r>
              <w:rPr>
                <w:rFonts w:ascii="宋体" w:hAnsi="宋体"/>
                <w:sz w:val="18"/>
                <w:szCs w:val="18"/>
              </w:rPr>
              <w:t xml:space="preserve">P</w:t>
            </w:r>
            <w:r>
              <w:rPr>
                <w:rFonts w:ascii="宋体" w:hAnsi="宋体"/>
                <w:sz w:val="18"/>
                <w:szCs w:val="18"/>
              </w:rPr>
            </w:r>
            <w:r/>
          </w:p>
        </w:tc>
        <w:tc>
          <w:tcPr>
            <w:tcW w:w="2971" w:type="dxa"/>
            <w:vAlign w:val="center"/>
            <w:textDirection w:val="lrTb"/>
            <w:noWrap w:val="false"/>
          </w:tcPr>
          <w:p>
            <w:pPr>
              <w:pStyle w:val="1151"/>
              <w:ind w:firstLine="360"/>
              <w:jc w:val="center"/>
              <w:spacing w:line="360" w:lineRule="auto"/>
              <w:rPr>
                <w:rFonts w:ascii="宋体" w:hAnsi="宋体"/>
                <w:sz w:val="18"/>
                <w:szCs w:val="18"/>
              </w:rPr>
            </w:pPr>
            <w:r>
              <w:rPr>
                <w:rFonts w:hint="eastAsia" w:ascii="宋体" w:hAnsi="宋体"/>
                <w:sz w:val="18"/>
                <w:szCs w:val="18"/>
              </w:rPr>
              <w:t xml:space="preserve">有功脉冲输出</w:t>
            </w:r>
            <w:r>
              <w:rPr>
                <w:rFonts w:ascii="宋体" w:hAnsi="宋体"/>
                <w:sz w:val="18"/>
                <w:szCs w:val="18"/>
              </w:rPr>
            </w:r>
            <w:r/>
          </w:p>
        </w:tc>
        <w:tc>
          <w:tcPr>
            <w:tcW w:w="2268" w:type="dxa"/>
            <w:vAlign w:val="top"/>
            <w:vMerge w:val="restart"/>
            <w:textDirection w:val="lrTb"/>
            <w:noWrap w:val="false"/>
          </w:tcPr>
          <w:p>
            <w:pPr>
              <w:pStyle w:val="1151"/>
              <w:ind w:firstLine="360"/>
              <w:jc w:val="center"/>
              <w:spacing w:line="360" w:lineRule="auto"/>
              <w:rPr>
                <w:rFonts w:ascii="宋体" w:hAnsi="宋体"/>
                <w:sz w:val="18"/>
                <w:szCs w:val="18"/>
              </w:rPr>
            </w:pPr>
            <w:r>
              <w:rPr>
                <w:rFonts w:hint="eastAsia" w:ascii="宋体" w:hAnsi="宋体"/>
                <w:sz w:val="18"/>
                <w:szCs w:val="18"/>
              </w:rPr>
              <w:t xml:space="preserve">RJ45接口</w:t>
            </w:r>
            <w:r>
              <w:rPr>
                <w:rFonts w:ascii="宋体" w:hAnsi="宋体"/>
                <w:sz w:val="18"/>
                <w:szCs w:val="18"/>
              </w:rPr>
            </w:r>
            <w:r/>
          </w:p>
          <w:p>
            <w:pPr>
              <w:pStyle w:val="1151"/>
              <w:jc w:val="center"/>
              <w:spacing w:line="360" w:lineRule="auto"/>
              <w:rPr>
                <w:rFonts w:ascii="宋体" w:hAnsi="宋体"/>
                <w:sz w:val="18"/>
                <w:szCs w:val="18"/>
              </w:rPr>
            </w:pPr>
            <w:r>
              <w:object w:dxaOrig="1660" w:dyaOrig="135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4.2pt;height:36.8pt;mso-wrap-distance-left:0.0pt;mso-wrap-distance-top:0.0pt;mso-wrap-distance-right:0.0pt;mso-wrap-distance-bottom:0.0pt;" filled="f" stroked="f">
                  <v:path textboxrect="0,0,0,0"/>
                  <v:imagedata r:id="rId99" o:title=""/>
                </v:shape>
                <o:OLEObject DrawAspect="Content" r:id="rId100" ObjectID="_15250486" ProgID="" ShapeID="_x0000_i86" Type="Embed"/>
              </w:object>
            </w:r>
            <w:r>
              <w:rPr>
                <w:rFonts w:ascii="宋体" w:hAnsi="宋体"/>
                <w:sz w:val="18"/>
                <w:szCs w:val="18"/>
              </w:rPr>
            </w:r>
            <w:r/>
          </w:p>
        </w:tc>
      </w:tr>
      <w:tr>
        <w:trPr/>
        <w:tc>
          <w:tcPr>
            <w:tcW w:w="1401" w:type="dxa"/>
            <w:vAlign w:val="center"/>
            <w:textDirection w:val="lrTb"/>
            <w:noWrap w:val="false"/>
          </w:tcPr>
          <w:p>
            <w:pPr>
              <w:pStyle w:val="1256"/>
              <w:ind w:firstLine="0"/>
              <w:jc w:val="center"/>
              <w:spacing w:line="360" w:lineRule="auto"/>
            </w:pPr>
            <w:r>
              <w:t xml:space="preserve">2</w:t>
            </w:r>
            <w:r/>
          </w:p>
        </w:tc>
        <w:tc>
          <w:tcPr>
            <w:tcW w:w="981" w:type="dxa"/>
            <w:vAlign w:val="center"/>
            <w:textDirection w:val="lrTb"/>
            <w:noWrap w:val="false"/>
          </w:tcPr>
          <w:p>
            <w:pPr>
              <w:pStyle w:val="1151"/>
              <w:jc w:val="center"/>
              <w:spacing w:line="360" w:lineRule="auto"/>
              <w:rPr>
                <w:rFonts w:ascii="宋体" w:hAnsi="宋体"/>
                <w:sz w:val="18"/>
                <w:szCs w:val="18"/>
              </w:rPr>
            </w:pPr>
            <w:r>
              <w:rPr>
                <w:rFonts w:hint="eastAsia" w:ascii="宋体" w:hAnsi="宋体"/>
                <w:sz w:val="18"/>
                <w:szCs w:val="18"/>
              </w:rPr>
              <w:t xml:space="preserve">Q</w:t>
            </w:r>
            <w:r>
              <w:rPr>
                <w:rFonts w:ascii="宋体" w:hAnsi="宋体"/>
                <w:sz w:val="18"/>
                <w:szCs w:val="18"/>
              </w:rPr>
            </w:r>
            <w:r/>
          </w:p>
        </w:tc>
        <w:tc>
          <w:tcPr>
            <w:tcW w:w="2971" w:type="dxa"/>
            <w:vAlign w:val="center"/>
            <w:textDirection w:val="lrTb"/>
            <w:noWrap w:val="false"/>
          </w:tcPr>
          <w:p>
            <w:pPr>
              <w:pStyle w:val="1151"/>
              <w:ind w:firstLine="360"/>
              <w:jc w:val="center"/>
              <w:spacing w:line="360" w:lineRule="auto"/>
              <w:rPr>
                <w:rFonts w:ascii="宋体" w:hAnsi="宋体"/>
                <w:sz w:val="18"/>
                <w:szCs w:val="18"/>
              </w:rPr>
            </w:pPr>
            <w:r>
              <w:rPr>
                <w:rFonts w:hint="eastAsia" w:ascii="宋体" w:hAnsi="宋体"/>
                <w:sz w:val="18"/>
                <w:szCs w:val="18"/>
              </w:rPr>
              <w:t xml:space="preserve">无功脉冲输出</w:t>
            </w:r>
            <w:r>
              <w:rPr>
                <w:rFonts w:ascii="宋体" w:hAnsi="宋体"/>
                <w:sz w:val="18"/>
                <w:szCs w:val="18"/>
              </w:rPr>
            </w:r>
            <w:r/>
          </w:p>
        </w:tc>
        <w:tc>
          <w:tcPr>
            <w:tcW w:w="2268" w:type="dxa"/>
            <w:vAlign w:val="top"/>
            <w:vMerge w:val="continue"/>
            <w:textDirection w:val="lrTb"/>
            <w:noWrap w:val="false"/>
          </w:tcPr>
          <w:p>
            <w:pPr>
              <w:pStyle w:val="1151"/>
              <w:ind w:firstLine="360"/>
              <w:jc w:val="center"/>
              <w:spacing w:line="360" w:lineRule="auto"/>
              <w:rPr>
                <w:rFonts w:ascii="宋体" w:hAnsi="宋体"/>
                <w:sz w:val="18"/>
                <w:szCs w:val="18"/>
              </w:rPr>
            </w:pPr>
            <w:r>
              <w:rPr>
                <w:rFonts w:ascii="宋体" w:hAnsi="宋体"/>
                <w:sz w:val="18"/>
                <w:szCs w:val="18"/>
              </w:rPr>
            </w:r>
            <w:r/>
          </w:p>
        </w:tc>
      </w:tr>
      <w:tr>
        <w:trPr/>
        <w:tc>
          <w:tcPr>
            <w:tcW w:w="1401" w:type="dxa"/>
            <w:vAlign w:val="center"/>
            <w:textDirection w:val="lrTb"/>
            <w:noWrap w:val="false"/>
          </w:tcPr>
          <w:p>
            <w:pPr>
              <w:pStyle w:val="1256"/>
              <w:ind w:firstLine="0"/>
              <w:jc w:val="center"/>
              <w:spacing w:line="360" w:lineRule="auto"/>
            </w:pPr>
            <w:r>
              <w:t xml:space="preserve">3</w:t>
            </w:r>
            <w:r/>
          </w:p>
        </w:tc>
        <w:tc>
          <w:tcPr>
            <w:tcW w:w="981" w:type="dxa"/>
            <w:vAlign w:val="center"/>
            <w:textDirection w:val="lrTb"/>
            <w:noWrap w:val="false"/>
          </w:tcPr>
          <w:p>
            <w:pPr>
              <w:pStyle w:val="1151"/>
              <w:jc w:val="center"/>
              <w:spacing w:line="360" w:lineRule="auto"/>
              <w:rPr>
                <w:rFonts w:ascii="宋体" w:hAnsi="宋体"/>
                <w:sz w:val="18"/>
                <w:szCs w:val="18"/>
              </w:rPr>
            </w:pPr>
            <w:r>
              <w:rPr>
                <w:rFonts w:hint="eastAsia" w:ascii="宋体" w:hAnsi="宋体"/>
                <w:sz w:val="18"/>
                <w:szCs w:val="18"/>
              </w:rPr>
              <w:t xml:space="preserve">S</w:t>
            </w:r>
            <w:r>
              <w:rPr>
                <w:rFonts w:ascii="宋体" w:hAnsi="宋体"/>
                <w:sz w:val="18"/>
                <w:szCs w:val="18"/>
              </w:rPr>
            </w:r>
            <w:r/>
          </w:p>
        </w:tc>
        <w:tc>
          <w:tcPr>
            <w:tcW w:w="2971" w:type="dxa"/>
            <w:vAlign w:val="center"/>
            <w:textDirection w:val="lrTb"/>
            <w:noWrap w:val="false"/>
          </w:tcPr>
          <w:p>
            <w:pPr>
              <w:pStyle w:val="1151"/>
              <w:ind w:firstLine="360"/>
              <w:jc w:val="center"/>
              <w:spacing w:line="360" w:lineRule="auto"/>
              <w:rPr>
                <w:rFonts w:ascii="宋体" w:hAnsi="宋体"/>
                <w:sz w:val="18"/>
                <w:szCs w:val="18"/>
              </w:rPr>
            </w:pPr>
            <w:r>
              <w:rPr>
                <w:rFonts w:hint="eastAsia" w:ascii="宋体" w:hAnsi="宋体"/>
                <w:sz w:val="18"/>
                <w:szCs w:val="18"/>
              </w:rPr>
              <w:t xml:space="preserve">秒脉冲输出</w:t>
            </w:r>
            <w:r>
              <w:rPr>
                <w:rFonts w:ascii="宋体" w:hAnsi="宋体"/>
                <w:sz w:val="18"/>
                <w:szCs w:val="18"/>
              </w:rPr>
            </w:r>
            <w:r/>
          </w:p>
        </w:tc>
        <w:tc>
          <w:tcPr>
            <w:tcW w:w="2268" w:type="dxa"/>
            <w:vAlign w:val="top"/>
            <w:vMerge w:val="continue"/>
            <w:textDirection w:val="lrTb"/>
            <w:noWrap w:val="false"/>
          </w:tcPr>
          <w:p>
            <w:pPr>
              <w:pStyle w:val="1151"/>
              <w:ind w:firstLine="360"/>
              <w:jc w:val="center"/>
              <w:spacing w:line="360" w:lineRule="auto"/>
              <w:rPr>
                <w:rFonts w:ascii="宋体" w:hAnsi="宋体"/>
                <w:sz w:val="18"/>
                <w:szCs w:val="18"/>
              </w:rPr>
            </w:pPr>
            <w:r>
              <w:rPr>
                <w:rFonts w:ascii="宋体" w:hAnsi="宋体"/>
                <w:sz w:val="18"/>
                <w:szCs w:val="18"/>
              </w:rPr>
            </w:r>
            <w:r/>
          </w:p>
        </w:tc>
      </w:tr>
      <w:tr>
        <w:trPr/>
        <w:tc>
          <w:tcPr>
            <w:tcW w:w="1401" w:type="dxa"/>
            <w:vAlign w:val="center"/>
            <w:textDirection w:val="lrTb"/>
            <w:noWrap w:val="false"/>
          </w:tcPr>
          <w:p>
            <w:pPr>
              <w:pStyle w:val="1256"/>
              <w:ind w:firstLine="0"/>
              <w:jc w:val="center"/>
              <w:spacing w:line="360" w:lineRule="auto"/>
            </w:pPr>
            <w:r>
              <w:t xml:space="preserve">4</w:t>
            </w:r>
            <w:r/>
          </w:p>
        </w:tc>
        <w:tc>
          <w:tcPr>
            <w:tcW w:w="981" w:type="dxa"/>
            <w:vAlign w:val="center"/>
            <w:textDirection w:val="lrTb"/>
            <w:noWrap w:val="false"/>
          </w:tcPr>
          <w:p>
            <w:pPr>
              <w:pStyle w:val="1151"/>
              <w:jc w:val="center"/>
              <w:spacing w:line="360" w:lineRule="auto"/>
              <w:rPr>
                <w:rFonts w:ascii="宋体" w:hAnsi="宋体"/>
                <w:sz w:val="18"/>
                <w:szCs w:val="18"/>
              </w:rPr>
            </w:pPr>
            <w:r>
              <w:rPr>
                <w:rFonts w:ascii="宋体" w:hAnsi="宋体"/>
                <w:sz w:val="18"/>
                <w:szCs w:val="18"/>
              </w:rPr>
              <w:t xml:space="preserve">NC</w:t>
            </w:r>
            <w:r>
              <w:rPr>
                <w:rFonts w:ascii="宋体" w:hAnsi="宋体"/>
                <w:sz w:val="18"/>
                <w:szCs w:val="18"/>
              </w:rPr>
            </w:r>
            <w:r/>
          </w:p>
        </w:tc>
        <w:tc>
          <w:tcPr>
            <w:tcW w:w="2971" w:type="dxa"/>
            <w:vAlign w:val="center"/>
            <w:textDirection w:val="lrTb"/>
            <w:noWrap w:val="false"/>
          </w:tcPr>
          <w:p>
            <w:pPr>
              <w:pStyle w:val="1151"/>
              <w:ind w:firstLine="360"/>
              <w:jc w:val="center"/>
              <w:spacing w:line="360" w:lineRule="auto"/>
              <w:rPr>
                <w:rFonts w:ascii="宋体" w:hAnsi="宋体"/>
                <w:sz w:val="18"/>
                <w:szCs w:val="18"/>
              </w:rPr>
            </w:pPr>
            <w:r>
              <w:rPr>
                <w:rFonts w:ascii="宋体" w:hAnsi="宋体"/>
                <w:sz w:val="18"/>
                <w:szCs w:val="18"/>
              </w:rPr>
              <w:t xml:space="preserve">备用</w:t>
            </w:r>
            <w:r>
              <w:rPr>
                <w:rFonts w:ascii="宋体" w:hAnsi="宋体"/>
                <w:sz w:val="18"/>
                <w:szCs w:val="18"/>
              </w:rPr>
            </w:r>
            <w:r/>
          </w:p>
        </w:tc>
        <w:tc>
          <w:tcPr>
            <w:tcW w:w="2268" w:type="dxa"/>
            <w:vAlign w:val="top"/>
            <w:vMerge w:val="continue"/>
            <w:textDirection w:val="lrTb"/>
            <w:noWrap w:val="false"/>
          </w:tcPr>
          <w:p>
            <w:pPr>
              <w:pStyle w:val="1151"/>
              <w:ind w:firstLine="360"/>
              <w:jc w:val="center"/>
              <w:spacing w:line="360" w:lineRule="auto"/>
              <w:rPr>
                <w:rFonts w:ascii="宋体" w:hAnsi="宋体"/>
                <w:sz w:val="18"/>
                <w:szCs w:val="18"/>
              </w:rPr>
            </w:pPr>
            <w:r>
              <w:rPr>
                <w:rFonts w:ascii="宋体" w:hAnsi="宋体"/>
                <w:sz w:val="18"/>
                <w:szCs w:val="18"/>
              </w:rPr>
            </w:r>
            <w:r/>
          </w:p>
        </w:tc>
      </w:tr>
      <w:tr>
        <w:trPr/>
        <w:tc>
          <w:tcPr>
            <w:tcW w:w="1401" w:type="dxa"/>
            <w:vAlign w:val="center"/>
            <w:textDirection w:val="lrTb"/>
            <w:noWrap w:val="false"/>
          </w:tcPr>
          <w:p>
            <w:pPr>
              <w:pStyle w:val="1256"/>
              <w:ind w:firstLine="0"/>
              <w:jc w:val="center"/>
              <w:spacing w:line="360" w:lineRule="auto"/>
            </w:pPr>
            <w:r>
              <w:t xml:space="preserve">5</w:t>
            </w:r>
            <w:r/>
          </w:p>
        </w:tc>
        <w:tc>
          <w:tcPr>
            <w:tcW w:w="981" w:type="dxa"/>
            <w:vAlign w:val="center"/>
            <w:textDirection w:val="lrTb"/>
            <w:noWrap w:val="false"/>
          </w:tcPr>
          <w:p>
            <w:pPr>
              <w:pStyle w:val="1151"/>
              <w:spacing w:line="360" w:lineRule="auto"/>
              <w:rPr>
                <w:rFonts w:ascii="宋体" w:hAnsi="宋体"/>
                <w:sz w:val="18"/>
                <w:szCs w:val="18"/>
              </w:rPr>
            </w:pPr>
            <w:r>
              <w:rPr>
                <w:rFonts w:ascii="宋体" w:hAnsi="宋体"/>
                <w:sz w:val="18"/>
                <w:szCs w:val="18"/>
              </w:rPr>
              <w:t xml:space="preserve">   NC</w:t>
            </w:r>
            <w:r>
              <w:rPr>
                <w:rFonts w:ascii="宋体" w:hAnsi="宋体"/>
                <w:sz w:val="18"/>
                <w:szCs w:val="18"/>
              </w:rPr>
            </w:r>
            <w:r/>
          </w:p>
        </w:tc>
        <w:tc>
          <w:tcPr>
            <w:tcW w:w="2971" w:type="dxa"/>
            <w:vAlign w:val="center"/>
            <w:textDirection w:val="lrTb"/>
            <w:noWrap w:val="false"/>
          </w:tcPr>
          <w:p>
            <w:pPr>
              <w:pStyle w:val="1151"/>
              <w:ind w:firstLine="360"/>
              <w:jc w:val="center"/>
              <w:spacing w:line="360" w:lineRule="auto"/>
              <w:rPr>
                <w:rFonts w:ascii="宋体" w:hAnsi="宋体"/>
                <w:sz w:val="18"/>
                <w:szCs w:val="18"/>
              </w:rPr>
            </w:pPr>
            <w:r>
              <w:rPr>
                <w:rFonts w:ascii="宋体" w:hAnsi="宋体"/>
                <w:sz w:val="18"/>
                <w:szCs w:val="18"/>
              </w:rPr>
              <w:t xml:space="preserve">备用</w:t>
            </w:r>
            <w:r>
              <w:rPr>
                <w:rFonts w:ascii="宋体" w:hAnsi="宋体"/>
                <w:sz w:val="18"/>
                <w:szCs w:val="18"/>
              </w:rPr>
            </w:r>
            <w:r/>
          </w:p>
        </w:tc>
        <w:tc>
          <w:tcPr>
            <w:tcW w:w="2268" w:type="dxa"/>
            <w:vAlign w:val="top"/>
            <w:vMerge w:val="continue"/>
            <w:textDirection w:val="lrTb"/>
            <w:noWrap w:val="false"/>
          </w:tcPr>
          <w:p>
            <w:pPr>
              <w:pStyle w:val="1151"/>
              <w:ind w:firstLine="360"/>
              <w:jc w:val="center"/>
              <w:spacing w:line="360" w:lineRule="auto"/>
              <w:rPr>
                <w:rFonts w:ascii="宋体" w:hAnsi="宋体"/>
                <w:sz w:val="18"/>
                <w:szCs w:val="18"/>
              </w:rPr>
            </w:pPr>
            <w:r>
              <w:rPr>
                <w:rFonts w:ascii="宋体" w:hAnsi="宋体"/>
                <w:sz w:val="18"/>
                <w:szCs w:val="18"/>
              </w:rPr>
            </w:r>
            <w:r/>
          </w:p>
        </w:tc>
      </w:tr>
      <w:tr>
        <w:trPr/>
        <w:tc>
          <w:tcPr>
            <w:tcW w:w="1401" w:type="dxa"/>
            <w:vAlign w:val="center"/>
            <w:textDirection w:val="lrTb"/>
            <w:noWrap w:val="false"/>
          </w:tcPr>
          <w:p>
            <w:pPr>
              <w:pStyle w:val="1256"/>
              <w:ind w:firstLine="0"/>
              <w:jc w:val="center"/>
              <w:spacing w:line="360" w:lineRule="auto"/>
            </w:pPr>
            <w:r>
              <w:t xml:space="preserve">6</w:t>
            </w:r>
            <w:r/>
          </w:p>
        </w:tc>
        <w:tc>
          <w:tcPr>
            <w:tcW w:w="981" w:type="dxa"/>
            <w:vAlign w:val="center"/>
            <w:textDirection w:val="lrTb"/>
            <w:noWrap w:val="false"/>
          </w:tcPr>
          <w:p>
            <w:pPr>
              <w:pStyle w:val="1151"/>
              <w:jc w:val="center"/>
              <w:spacing w:line="360" w:lineRule="auto"/>
              <w:rPr>
                <w:rFonts w:ascii="宋体" w:hAnsi="宋体"/>
                <w:sz w:val="18"/>
                <w:szCs w:val="18"/>
              </w:rPr>
            </w:pPr>
            <w:r>
              <w:rPr>
                <w:rFonts w:hint="eastAsia" w:ascii="宋体" w:hAnsi="宋体"/>
                <w:sz w:val="18"/>
                <w:szCs w:val="18"/>
              </w:rPr>
              <w:t xml:space="preserve">COM</w:t>
            </w:r>
            <w:r>
              <w:rPr>
                <w:rFonts w:ascii="宋体" w:hAnsi="宋体"/>
                <w:sz w:val="18"/>
                <w:szCs w:val="18"/>
              </w:rPr>
            </w:r>
            <w:r/>
          </w:p>
        </w:tc>
        <w:tc>
          <w:tcPr>
            <w:tcW w:w="2971" w:type="dxa"/>
            <w:vAlign w:val="center"/>
            <w:textDirection w:val="lrTb"/>
            <w:noWrap w:val="false"/>
          </w:tcPr>
          <w:p>
            <w:pPr>
              <w:pStyle w:val="1151"/>
              <w:ind w:firstLine="360"/>
              <w:jc w:val="center"/>
              <w:spacing w:line="360" w:lineRule="auto"/>
              <w:rPr>
                <w:rFonts w:ascii="宋体" w:hAnsi="宋体"/>
                <w:sz w:val="18"/>
                <w:szCs w:val="18"/>
              </w:rPr>
            </w:pPr>
            <w:r>
              <w:rPr>
                <w:rFonts w:ascii="宋体" w:hAnsi="宋体"/>
                <w:sz w:val="18"/>
                <w:szCs w:val="18"/>
              </w:rPr>
              <w:t xml:space="preserve">信号公共端</w:t>
            </w:r>
            <w:r>
              <w:rPr>
                <w:rFonts w:ascii="宋体" w:hAnsi="宋体"/>
                <w:sz w:val="18"/>
                <w:szCs w:val="18"/>
              </w:rPr>
            </w:r>
            <w:r/>
          </w:p>
        </w:tc>
        <w:tc>
          <w:tcPr>
            <w:tcW w:w="2268" w:type="dxa"/>
            <w:vAlign w:val="top"/>
            <w:vMerge w:val="continue"/>
            <w:textDirection w:val="lrTb"/>
            <w:noWrap w:val="false"/>
          </w:tcPr>
          <w:p>
            <w:pPr>
              <w:pStyle w:val="1151"/>
              <w:ind w:firstLine="360"/>
              <w:jc w:val="center"/>
              <w:spacing w:line="360" w:lineRule="auto"/>
              <w:rPr>
                <w:rFonts w:ascii="宋体" w:hAnsi="宋体"/>
                <w:sz w:val="18"/>
                <w:szCs w:val="18"/>
              </w:rPr>
            </w:pPr>
            <w:r>
              <w:rPr>
                <w:rFonts w:ascii="宋体" w:hAnsi="宋体"/>
                <w:sz w:val="18"/>
                <w:szCs w:val="18"/>
              </w:rPr>
            </w:r>
            <w:r/>
          </w:p>
        </w:tc>
      </w:tr>
      <w:tr>
        <w:trPr/>
        <w:tc>
          <w:tcPr>
            <w:tcW w:w="1401" w:type="dxa"/>
            <w:vAlign w:val="center"/>
            <w:textDirection w:val="lrTb"/>
            <w:noWrap w:val="false"/>
          </w:tcPr>
          <w:p>
            <w:pPr>
              <w:pStyle w:val="1256"/>
              <w:ind w:firstLine="0"/>
              <w:jc w:val="center"/>
              <w:spacing w:line="360" w:lineRule="auto"/>
            </w:pPr>
            <w:r>
              <w:t xml:space="preserve">7</w:t>
            </w:r>
            <w:r/>
          </w:p>
        </w:tc>
        <w:tc>
          <w:tcPr>
            <w:tcW w:w="981" w:type="dxa"/>
            <w:vAlign w:val="center"/>
            <w:textDirection w:val="lrTb"/>
            <w:noWrap w:val="false"/>
          </w:tcPr>
          <w:p>
            <w:pPr>
              <w:pStyle w:val="1151"/>
              <w:jc w:val="center"/>
              <w:spacing w:line="360" w:lineRule="auto"/>
              <w:rPr>
                <w:rFonts w:ascii="宋体" w:hAnsi="宋体"/>
                <w:sz w:val="18"/>
                <w:szCs w:val="18"/>
              </w:rPr>
            </w:pPr>
            <w:r>
              <w:rPr>
                <w:rFonts w:hint="eastAsia" w:ascii="宋体" w:hAnsi="宋体"/>
                <w:sz w:val="18"/>
                <w:szCs w:val="18"/>
              </w:rPr>
              <w:t xml:space="preserve">NC</w:t>
            </w:r>
            <w:r>
              <w:rPr>
                <w:rFonts w:ascii="宋体" w:hAnsi="宋体"/>
                <w:sz w:val="18"/>
                <w:szCs w:val="18"/>
              </w:rPr>
            </w:r>
            <w:r/>
          </w:p>
        </w:tc>
        <w:tc>
          <w:tcPr>
            <w:tcW w:w="2971" w:type="dxa"/>
            <w:vAlign w:val="center"/>
            <w:textDirection w:val="lrTb"/>
            <w:noWrap w:val="false"/>
          </w:tcPr>
          <w:p>
            <w:pPr>
              <w:pStyle w:val="1151"/>
              <w:ind w:firstLine="360"/>
              <w:jc w:val="center"/>
              <w:spacing w:line="360" w:lineRule="auto"/>
              <w:rPr>
                <w:rFonts w:ascii="宋体" w:hAnsi="宋体"/>
                <w:sz w:val="18"/>
                <w:szCs w:val="18"/>
              </w:rPr>
            </w:pPr>
            <w:r>
              <w:rPr>
                <w:rFonts w:hint="eastAsia" w:ascii="宋体" w:hAnsi="宋体"/>
                <w:sz w:val="18"/>
                <w:szCs w:val="18"/>
              </w:rPr>
              <w:t xml:space="preserve">备用</w:t>
            </w:r>
            <w:r>
              <w:rPr>
                <w:rFonts w:ascii="宋体" w:hAnsi="宋体"/>
                <w:sz w:val="18"/>
                <w:szCs w:val="18"/>
              </w:rPr>
            </w:r>
            <w:r/>
          </w:p>
        </w:tc>
        <w:tc>
          <w:tcPr>
            <w:tcW w:w="2268" w:type="dxa"/>
            <w:vAlign w:val="top"/>
            <w:vMerge w:val="continue"/>
            <w:textDirection w:val="lrTb"/>
            <w:noWrap w:val="false"/>
          </w:tcPr>
          <w:p>
            <w:pPr>
              <w:pStyle w:val="1151"/>
              <w:ind w:firstLine="360"/>
              <w:jc w:val="center"/>
              <w:spacing w:line="360" w:lineRule="auto"/>
              <w:rPr>
                <w:rFonts w:ascii="宋体" w:hAnsi="宋体"/>
                <w:sz w:val="18"/>
                <w:szCs w:val="18"/>
              </w:rPr>
            </w:pPr>
            <w:r>
              <w:rPr>
                <w:rFonts w:ascii="宋体" w:hAnsi="宋体"/>
                <w:sz w:val="18"/>
                <w:szCs w:val="18"/>
              </w:rPr>
            </w:r>
            <w:r/>
          </w:p>
        </w:tc>
      </w:tr>
      <w:tr>
        <w:trPr/>
        <w:tc>
          <w:tcPr>
            <w:tcW w:w="1401" w:type="dxa"/>
            <w:vAlign w:val="center"/>
            <w:textDirection w:val="lrTb"/>
            <w:noWrap w:val="false"/>
          </w:tcPr>
          <w:p>
            <w:pPr>
              <w:pStyle w:val="1256"/>
              <w:ind w:firstLine="0"/>
              <w:jc w:val="center"/>
              <w:spacing w:line="360" w:lineRule="auto"/>
            </w:pPr>
            <w:r>
              <w:t xml:space="preserve">8</w:t>
            </w:r>
            <w:r/>
          </w:p>
        </w:tc>
        <w:tc>
          <w:tcPr>
            <w:tcW w:w="981" w:type="dxa"/>
            <w:vAlign w:val="center"/>
            <w:textDirection w:val="lrTb"/>
            <w:noWrap w:val="false"/>
          </w:tcPr>
          <w:p>
            <w:pPr>
              <w:pStyle w:val="1151"/>
              <w:jc w:val="center"/>
              <w:spacing w:line="360" w:lineRule="auto"/>
              <w:rPr>
                <w:rFonts w:ascii="宋体" w:hAnsi="宋体"/>
                <w:sz w:val="18"/>
                <w:szCs w:val="18"/>
              </w:rPr>
            </w:pPr>
            <w:r>
              <w:rPr>
                <w:rFonts w:hint="eastAsia" w:ascii="宋体" w:hAnsi="宋体"/>
                <w:sz w:val="18"/>
                <w:szCs w:val="18"/>
              </w:rPr>
              <w:t xml:space="preserve">NC</w:t>
            </w:r>
            <w:r>
              <w:rPr>
                <w:rFonts w:ascii="宋体" w:hAnsi="宋体"/>
                <w:sz w:val="18"/>
                <w:szCs w:val="18"/>
              </w:rPr>
            </w:r>
            <w:r/>
          </w:p>
        </w:tc>
        <w:tc>
          <w:tcPr>
            <w:tcW w:w="2971" w:type="dxa"/>
            <w:vAlign w:val="center"/>
            <w:textDirection w:val="lrTb"/>
            <w:noWrap w:val="false"/>
          </w:tcPr>
          <w:p>
            <w:pPr>
              <w:pStyle w:val="1151"/>
              <w:ind w:firstLine="360"/>
              <w:jc w:val="center"/>
              <w:spacing w:line="360" w:lineRule="auto"/>
              <w:rPr>
                <w:rFonts w:ascii="宋体" w:hAnsi="宋体"/>
                <w:sz w:val="18"/>
                <w:szCs w:val="18"/>
              </w:rPr>
            </w:pPr>
            <w:r>
              <w:rPr>
                <w:rFonts w:ascii="宋体" w:hAnsi="宋体"/>
                <w:sz w:val="18"/>
                <w:szCs w:val="18"/>
              </w:rPr>
              <w:t xml:space="preserve">备用</w:t>
            </w:r>
            <w:r>
              <w:rPr>
                <w:rFonts w:ascii="宋体" w:hAnsi="宋体"/>
                <w:sz w:val="18"/>
                <w:szCs w:val="18"/>
              </w:rPr>
            </w:r>
            <w:r/>
          </w:p>
        </w:tc>
        <w:tc>
          <w:tcPr>
            <w:tcW w:w="2268" w:type="dxa"/>
            <w:vAlign w:val="top"/>
            <w:vMerge w:val="continue"/>
            <w:textDirection w:val="lrTb"/>
            <w:noWrap w:val="false"/>
          </w:tcPr>
          <w:p>
            <w:pPr>
              <w:pStyle w:val="1151"/>
              <w:ind w:firstLine="360"/>
              <w:jc w:val="center"/>
              <w:spacing w:line="360" w:lineRule="auto"/>
              <w:rPr>
                <w:rFonts w:ascii="宋体" w:hAnsi="宋体"/>
                <w:sz w:val="18"/>
                <w:szCs w:val="18"/>
              </w:rPr>
            </w:pPr>
            <w:r>
              <w:rPr>
                <w:rFonts w:ascii="宋体" w:hAnsi="宋体"/>
                <w:sz w:val="18"/>
                <w:szCs w:val="18"/>
              </w:rPr>
            </w:r>
            <w:r/>
          </w:p>
        </w:tc>
      </w:tr>
    </w:tbl>
    <w:p>
      <w:pPr>
        <w:pStyle w:val="1201"/>
        <w:tabs>
          <w:tab w:val="center" w:pos="4201" w:leader="none"/>
          <w:tab w:val="right" w:pos="9298" w:leader="dot"/>
        </w:tabs>
      </w:pPr>
      <w:r/>
      <w:r/>
    </w:p>
    <w:p>
      <w:pPr>
        <w:pStyle w:val="1201"/>
        <w:ind w:firstLine="600"/>
        <w:tabs>
          <w:tab w:val="center" w:pos="4201" w:leader="none"/>
          <w:tab w:val="right" w:pos="9298" w:leader="dot"/>
        </w:tabs>
      </w:pPr>
      <w:r>
        <w:rPr>
          <w:rFonts w:hint="eastAsia" w:ascii="Times New Roman"/>
        </w:rPr>
        <w:t xml:space="preserve">脉冲选择拨码开关确定脉冲串口对应的间隔</w:t>
      </w:r>
      <w:r/>
    </w:p>
    <w:p>
      <w:pPr>
        <w:pStyle w:val="1201"/>
        <w:tabs>
          <w:tab w:val="center" w:pos="4201" w:leader="none"/>
          <w:tab w:val="right" w:pos="9298" w:leader="dot"/>
        </w:tabs>
        <w:rPr>
          <w:rFonts w:ascii="Times New Roman"/>
        </w:rPr>
      </w:pPr>
      <w:r>
        <w:rPr>
          <w:rFonts w:hint="eastAsia"/>
        </w:rPr>
        <w:t xml:space="preserve">表B-6   </w:t>
      </w:r>
      <w:r>
        <w:rPr>
          <w:rFonts w:hint="eastAsia" w:ascii="Times New Roman"/>
        </w:rPr>
        <w:t xml:space="preserve">脉冲选择拨码开关</w:t>
      </w:r>
      <w:r>
        <w:rPr>
          <w:rFonts w:ascii="Times New Roman"/>
        </w:rPr>
      </w:r>
      <w:r/>
    </w:p>
    <w:tbl>
      <w:tblPr>
        <w:tblW w:w="71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668"/>
        <w:gridCol w:w="651"/>
        <w:gridCol w:w="708"/>
        <w:gridCol w:w="2255"/>
        <w:gridCol w:w="2160"/>
      </w:tblGrid>
      <w:tr>
        <w:trPr/>
        <w:tc>
          <w:tcPr>
            <w:tcW w:w="702" w:type="dxa"/>
            <w:vAlign w:val="top"/>
            <w:textDirection w:val="lrTb"/>
            <w:noWrap w:val="false"/>
          </w:tcPr>
          <w:p>
            <w:pPr>
              <w:pStyle w:val="1201"/>
              <w:ind w:firstLine="0"/>
              <w:tabs>
                <w:tab w:val="center" w:pos="4201" w:leader="none"/>
                <w:tab w:val="right" w:pos="9298" w:leader="dot"/>
              </w:tabs>
            </w:pPr>
            <w:r>
              <w:t xml:space="preserve">1</w:t>
            </w:r>
            <w:r/>
          </w:p>
        </w:tc>
        <w:tc>
          <w:tcPr>
            <w:tcW w:w="668" w:type="dxa"/>
            <w:vAlign w:val="top"/>
            <w:textDirection w:val="lrTb"/>
            <w:noWrap w:val="false"/>
          </w:tcPr>
          <w:p>
            <w:pPr>
              <w:pStyle w:val="1201"/>
              <w:ind w:firstLine="0"/>
              <w:tabs>
                <w:tab w:val="center" w:pos="4201" w:leader="none"/>
                <w:tab w:val="right" w:pos="9298" w:leader="dot"/>
              </w:tabs>
            </w:pPr>
            <w:r>
              <w:t xml:space="preserve">2</w:t>
            </w:r>
            <w:r/>
          </w:p>
        </w:tc>
        <w:tc>
          <w:tcPr>
            <w:tcW w:w="651" w:type="dxa"/>
            <w:vAlign w:val="top"/>
            <w:textDirection w:val="lrTb"/>
            <w:noWrap w:val="false"/>
          </w:tcPr>
          <w:p>
            <w:pPr>
              <w:pStyle w:val="1201"/>
              <w:ind w:firstLine="0"/>
              <w:tabs>
                <w:tab w:val="center" w:pos="4201" w:leader="none"/>
                <w:tab w:val="right" w:pos="9298" w:leader="dot"/>
              </w:tabs>
            </w:pPr>
            <w:r>
              <w:rPr>
                <w:rFonts w:hint="eastAsia"/>
              </w:rPr>
              <w:t xml:space="preserve">3</w:t>
            </w:r>
            <w:r/>
          </w:p>
        </w:tc>
        <w:tc>
          <w:tcPr>
            <w:tcW w:w="708" w:type="dxa"/>
            <w:vAlign w:val="top"/>
            <w:textDirection w:val="lrTb"/>
            <w:noWrap w:val="false"/>
          </w:tcPr>
          <w:p>
            <w:pPr>
              <w:pStyle w:val="1201"/>
              <w:ind w:firstLine="0"/>
              <w:tabs>
                <w:tab w:val="center" w:pos="4201" w:leader="none"/>
                <w:tab w:val="right" w:pos="9298" w:leader="dot"/>
              </w:tabs>
            </w:pPr>
            <w:r>
              <w:rPr>
                <w:rFonts w:hint="eastAsia"/>
              </w:rPr>
              <w:t xml:space="preserve">4</w:t>
            </w:r>
            <w:r/>
          </w:p>
        </w:tc>
        <w:tc>
          <w:tcPr>
            <w:tcW w:w="2255" w:type="dxa"/>
            <w:vAlign w:val="top"/>
            <w:textDirection w:val="lrTb"/>
            <w:noWrap w:val="false"/>
          </w:tcPr>
          <w:p>
            <w:pPr>
              <w:pStyle w:val="1201"/>
              <w:ind w:firstLine="0"/>
              <w:tabs>
                <w:tab w:val="center" w:pos="4201" w:leader="none"/>
                <w:tab w:val="right" w:pos="9298" w:leader="dot"/>
              </w:tabs>
            </w:pPr>
            <w:r>
              <w:rPr>
                <w:rFonts w:hint="eastAsia"/>
              </w:rPr>
              <w:t xml:space="preserve">选择间隔</w:t>
            </w:r>
            <w:r/>
          </w:p>
        </w:tc>
        <w:tc>
          <w:tcPr>
            <w:tcW w:w="2160" w:type="dxa"/>
            <w:vAlign w:val="top"/>
            <w:textDirection w:val="lrTb"/>
            <w:noWrap w:val="false"/>
          </w:tcPr>
          <w:p>
            <w:pPr>
              <w:pStyle w:val="1201"/>
              <w:ind w:firstLine="0"/>
              <w:jc w:val="center"/>
              <w:tabs>
                <w:tab w:val="center" w:pos="4201" w:leader="none"/>
                <w:tab w:val="right" w:pos="9298" w:leader="dot"/>
              </w:tabs>
            </w:pPr>
            <w:r>
              <w:rPr>
                <w:rFonts w:hint="eastAsia"/>
              </w:rPr>
              <w:t xml:space="preserve">图例</w:t>
            </w:r>
            <w:r/>
          </w:p>
        </w:tc>
      </w:tr>
      <w:tr>
        <w:trPr/>
        <w:tc>
          <w:tcPr>
            <w:tcW w:w="702" w:type="dxa"/>
            <w:vAlign w:val="top"/>
            <w:textDirection w:val="lrTb"/>
            <w:noWrap w:val="false"/>
          </w:tcPr>
          <w:p>
            <w:pPr>
              <w:pStyle w:val="1201"/>
              <w:ind w:firstLine="0"/>
              <w:tabs>
                <w:tab w:val="center" w:pos="4201" w:leader="none"/>
                <w:tab w:val="right" w:pos="9298" w:leader="dot"/>
              </w:tabs>
            </w:pPr>
            <w:r>
              <w:t xml:space="preserve">OFF</w:t>
            </w:r>
            <w:r/>
          </w:p>
        </w:tc>
        <w:tc>
          <w:tcPr>
            <w:tcW w:w="668" w:type="dxa"/>
            <w:vAlign w:val="top"/>
            <w:textDirection w:val="lrTb"/>
            <w:noWrap w:val="false"/>
          </w:tcPr>
          <w:p>
            <w:pPr>
              <w:pStyle w:val="1201"/>
              <w:ind w:firstLine="0"/>
              <w:tabs>
                <w:tab w:val="center" w:pos="4201" w:leader="none"/>
                <w:tab w:val="right" w:pos="9298" w:leader="dot"/>
              </w:tabs>
            </w:pPr>
            <w:r>
              <w:t xml:space="preserve">OFF</w:t>
            </w:r>
            <w:r/>
          </w:p>
        </w:tc>
        <w:tc>
          <w:tcPr>
            <w:tcW w:w="651" w:type="dxa"/>
            <w:vAlign w:val="top"/>
            <w:textDirection w:val="lrTb"/>
            <w:noWrap w:val="false"/>
          </w:tcPr>
          <w:p>
            <w:pPr>
              <w:pStyle w:val="1201"/>
              <w:ind w:firstLine="0"/>
              <w:tabs>
                <w:tab w:val="center" w:pos="4201" w:leader="none"/>
                <w:tab w:val="right" w:pos="9298" w:leader="dot"/>
              </w:tabs>
            </w:pPr>
            <w:r>
              <w:t xml:space="preserve">OFF</w:t>
            </w:r>
            <w:r/>
          </w:p>
        </w:tc>
        <w:tc>
          <w:tcPr>
            <w:tcW w:w="708" w:type="dxa"/>
            <w:vAlign w:val="top"/>
            <w:textDirection w:val="lrTb"/>
            <w:noWrap w:val="false"/>
          </w:tcPr>
          <w:p>
            <w:pPr>
              <w:pStyle w:val="1201"/>
              <w:ind w:firstLine="0"/>
              <w:jc w:val="center"/>
              <w:tabs>
                <w:tab w:val="center" w:pos="4201" w:leader="none"/>
                <w:tab w:val="right" w:pos="9298" w:leader="dot"/>
              </w:tabs>
            </w:pPr>
            <w:r>
              <w:t xml:space="preserve">OFF</w:t>
            </w:r>
            <w:r/>
          </w:p>
        </w:tc>
        <w:tc>
          <w:tcPr>
            <w:tcW w:w="2255" w:type="dxa"/>
            <w:vAlign w:val="top"/>
            <w:textDirection w:val="lrTb"/>
            <w:noWrap w:val="false"/>
          </w:tcPr>
          <w:p>
            <w:pPr>
              <w:pStyle w:val="1201"/>
              <w:ind w:firstLine="0"/>
              <w:tabs>
                <w:tab w:val="center" w:pos="4201" w:leader="none"/>
                <w:tab w:val="right" w:pos="9298" w:leader="dot"/>
              </w:tabs>
            </w:pPr>
            <w:r>
              <w:rPr>
                <w:rFonts w:hint="eastAsia"/>
              </w:rPr>
              <w:t xml:space="preserve">无脉冲输出</w:t>
            </w:r>
            <w:r/>
          </w:p>
        </w:tc>
        <w:tc>
          <w:tcPr>
            <w:tcW w:w="2160" w:type="dxa"/>
            <w:vAlign w:val="top"/>
            <w:vMerge w:val="restart"/>
            <w:textDirection w:val="lrTb"/>
            <w:noWrap w:val="false"/>
          </w:tcPr>
          <w:p>
            <w:pPr>
              <w:pStyle w:val="1201"/>
              <w:ind w:firstLine="0"/>
              <w:tabs>
                <w:tab w:val="center" w:pos="4201" w:leader="none"/>
                <w:tab w:val="right" w:pos="9298" w:leader="dot"/>
              </w:tabs>
            </w:pPr>
            <w:r>
              <w:rPr>
                <w:szCs w:val="21"/>
              </w:rPr>
              <mc:AlternateContent>
                <mc:Choice Requires="wpg">
                  <w:drawing>
                    <wp:inline xmlns:wp="http://schemas.openxmlformats.org/drawingml/2006/wordprocessingDrawing" distT="0" distB="0" distL="0" distR="0">
                      <wp:extent cx="865600" cy="750910"/>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865600" cy="7509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68.2pt;height:59.1pt;mso-wrap-distance-left:0.0pt;mso-wrap-distance-top:0.0pt;mso-wrap-distance-right:0.0pt;mso-wrap-distance-bottom:0.0pt;" stroked="f">
                      <v:path textboxrect="0,0,0,0"/>
                      <v:imagedata r:id="rId101" o:title=""/>
                    </v:shape>
                  </w:pict>
                </mc:Fallback>
              </mc:AlternateContent>
            </w:r>
            <w:r/>
          </w:p>
        </w:tc>
      </w:tr>
      <w:tr>
        <w:trPr/>
        <w:tc>
          <w:tcPr>
            <w:tcW w:w="702" w:type="dxa"/>
            <w:vAlign w:val="top"/>
            <w:textDirection w:val="lrTb"/>
            <w:noWrap w:val="false"/>
          </w:tcPr>
          <w:p>
            <w:pPr>
              <w:pStyle w:val="1201"/>
              <w:ind w:firstLine="0"/>
              <w:tabs>
                <w:tab w:val="center" w:pos="4201" w:leader="none"/>
                <w:tab w:val="right" w:pos="9298" w:leader="dot"/>
              </w:tabs>
            </w:pPr>
            <w:r>
              <w:t xml:space="preserve">ON</w:t>
            </w:r>
            <w:r/>
          </w:p>
        </w:tc>
        <w:tc>
          <w:tcPr>
            <w:tcW w:w="668" w:type="dxa"/>
            <w:vAlign w:val="top"/>
            <w:textDirection w:val="lrTb"/>
            <w:noWrap w:val="false"/>
          </w:tcPr>
          <w:p>
            <w:pPr>
              <w:pStyle w:val="1201"/>
              <w:ind w:firstLine="0"/>
              <w:tabs>
                <w:tab w:val="center" w:pos="4201" w:leader="none"/>
                <w:tab w:val="right" w:pos="9298" w:leader="dot"/>
              </w:tabs>
            </w:pPr>
            <w:r>
              <w:t xml:space="preserve">OFF</w:t>
            </w:r>
            <w:r/>
          </w:p>
        </w:tc>
        <w:tc>
          <w:tcPr>
            <w:tcW w:w="651" w:type="dxa"/>
            <w:vAlign w:val="top"/>
            <w:textDirection w:val="lrTb"/>
            <w:noWrap w:val="false"/>
          </w:tcPr>
          <w:p>
            <w:pPr>
              <w:pStyle w:val="1201"/>
              <w:ind w:firstLine="0"/>
              <w:tabs>
                <w:tab w:val="center" w:pos="4201" w:leader="none"/>
                <w:tab w:val="right" w:pos="9298" w:leader="dot"/>
              </w:tabs>
            </w:pPr>
            <w:r>
              <w:t xml:space="preserve">OFF</w:t>
            </w:r>
            <w:r/>
          </w:p>
        </w:tc>
        <w:tc>
          <w:tcPr>
            <w:tcW w:w="708" w:type="dxa"/>
            <w:vAlign w:val="top"/>
            <w:textDirection w:val="lrTb"/>
            <w:noWrap w:val="false"/>
          </w:tcPr>
          <w:p>
            <w:pPr>
              <w:pStyle w:val="1201"/>
              <w:ind w:firstLine="0"/>
              <w:jc w:val="center"/>
              <w:tabs>
                <w:tab w:val="center" w:pos="4201" w:leader="none"/>
                <w:tab w:val="right" w:pos="9298" w:leader="dot"/>
              </w:tabs>
            </w:pPr>
            <w:r>
              <w:t xml:space="preserve">OFF</w:t>
            </w:r>
            <w:r/>
          </w:p>
        </w:tc>
        <w:tc>
          <w:tcPr>
            <w:tcW w:w="2255" w:type="dxa"/>
            <w:vAlign w:val="top"/>
            <w:textDirection w:val="lrTb"/>
            <w:noWrap w:val="false"/>
          </w:tcPr>
          <w:p>
            <w:pPr>
              <w:pStyle w:val="1201"/>
              <w:ind w:firstLine="0"/>
              <w:tabs>
                <w:tab w:val="center" w:pos="4201" w:leader="none"/>
                <w:tab w:val="right" w:pos="9298" w:leader="dot"/>
              </w:tabs>
            </w:pPr>
            <w:r>
              <w:rPr>
                <w:rFonts w:hint="eastAsia"/>
              </w:rPr>
              <w:t xml:space="preserve">间隔1</w:t>
            </w:r>
            <w:r/>
          </w:p>
        </w:tc>
        <w:tc>
          <w:tcPr>
            <w:tcW w:w="2160" w:type="dxa"/>
            <w:vAlign w:val="top"/>
            <w:vMerge w:val="continue"/>
            <w:textDirection w:val="lrTb"/>
            <w:noWrap w:val="false"/>
          </w:tcPr>
          <w:p>
            <w:pPr>
              <w:pStyle w:val="1201"/>
              <w:ind w:firstLine="0"/>
              <w:tabs>
                <w:tab w:val="center" w:pos="4201" w:leader="none"/>
                <w:tab w:val="right" w:pos="9298" w:leader="dot"/>
              </w:tabs>
            </w:pPr>
            <w:r/>
            <w:r/>
          </w:p>
        </w:tc>
      </w:tr>
      <w:tr>
        <w:trPr/>
        <w:tc>
          <w:tcPr>
            <w:tcW w:w="702" w:type="dxa"/>
            <w:vAlign w:val="top"/>
            <w:textDirection w:val="lrTb"/>
            <w:noWrap w:val="false"/>
          </w:tcPr>
          <w:p>
            <w:pPr>
              <w:pStyle w:val="1201"/>
              <w:ind w:firstLine="0"/>
              <w:tabs>
                <w:tab w:val="center" w:pos="4201" w:leader="none"/>
                <w:tab w:val="right" w:pos="9298" w:leader="dot"/>
              </w:tabs>
            </w:pPr>
            <w:r>
              <w:t xml:space="preserve">OFF</w:t>
            </w:r>
            <w:r/>
          </w:p>
        </w:tc>
        <w:tc>
          <w:tcPr>
            <w:tcW w:w="668" w:type="dxa"/>
            <w:vAlign w:val="top"/>
            <w:textDirection w:val="lrTb"/>
            <w:noWrap w:val="false"/>
          </w:tcPr>
          <w:p>
            <w:pPr>
              <w:pStyle w:val="1201"/>
              <w:ind w:firstLine="0"/>
              <w:tabs>
                <w:tab w:val="center" w:pos="4201" w:leader="none"/>
                <w:tab w:val="right" w:pos="9298" w:leader="dot"/>
              </w:tabs>
            </w:pPr>
            <w:r>
              <w:t xml:space="preserve">ON</w:t>
            </w:r>
            <w:r/>
          </w:p>
        </w:tc>
        <w:tc>
          <w:tcPr>
            <w:tcW w:w="651" w:type="dxa"/>
            <w:vAlign w:val="top"/>
            <w:textDirection w:val="lrTb"/>
            <w:noWrap w:val="false"/>
          </w:tcPr>
          <w:p>
            <w:pPr>
              <w:pStyle w:val="1201"/>
              <w:ind w:firstLine="0"/>
              <w:tabs>
                <w:tab w:val="center" w:pos="4201" w:leader="none"/>
                <w:tab w:val="right" w:pos="9298" w:leader="dot"/>
              </w:tabs>
            </w:pPr>
            <w:r>
              <w:t xml:space="preserve">OFF</w:t>
            </w:r>
            <w:r/>
          </w:p>
        </w:tc>
        <w:tc>
          <w:tcPr>
            <w:tcW w:w="708" w:type="dxa"/>
            <w:vAlign w:val="top"/>
            <w:textDirection w:val="lrTb"/>
            <w:noWrap w:val="false"/>
          </w:tcPr>
          <w:p>
            <w:pPr>
              <w:pStyle w:val="1201"/>
              <w:ind w:firstLine="0"/>
              <w:jc w:val="center"/>
              <w:tabs>
                <w:tab w:val="center" w:pos="4201" w:leader="none"/>
                <w:tab w:val="right" w:pos="9298" w:leader="dot"/>
              </w:tabs>
            </w:pPr>
            <w:r>
              <w:t xml:space="preserve">OFF</w:t>
            </w:r>
            <w:r/>
          </w:p>
        </w:tc>
        <w:tc>
          <w:tcPr>
            <w:tcW w:w="2255" w:type="dxa"/>
            <w:vAlign w:val="top"/>
            <w:textDirection w:val="lrTb"/>
            <w:noWrap w:val="false"/>
          </w:tcPr>
          <w:p>
            <w:pPr>
              <w:pStyle w:val="1201"/>
              <w:ind w:firstLine="0"/>
              <w:tabs>
                <w:tab w:val="center" w:pos="4201" w:leader="none"/>
                <w:tab w:val="right" w:pos="9298" w:leader="dot"/>
              </w:tabs>
            </w:pPr>
            <w:r>
              <w:rPr>
                <w:rFonts w:hint="eastAsia"/>
              </w:rPr>
              <w:t xml:space="preserve">间隔2</w:t>
            </w:r>
            <w:r/>
          </w:p>
        </w:tc>
        <w:tc>
          <w:tcPr>
            <w:tcW w:w="2160" w:type="dxa"/>
            <w:vAlign w:val="top"/>
            <w:vMerge w:val="continue"/>
            <w:textDirection w:val="lrTb"/>
            <w:noWrap w:val="false"/>
          </w:tcPr>
          <w:p>
            <w:pPr>
              <w:pStyle w:val="1201"/>
              <w:ind w:firstLine="0"/>
              <w:tabs>
                <w:tab w:val="center" w:pos="4201" w:leader="none"/>
                <w:tab w:val="right" w:pos="9298" w:leader="dot"/>
              </w:tabs>
            </w:pPr>
            <w:r/>
            <w:r/>
          </w:p>
        </w:tc>
      </w:tr>
      <w:tr>
        <w:trPr/>
        <w:tc>
          <w:tcPr>
            <w:tcW w:w="702" w:type="dxa"/>
            <w:vAlign w:val="top"/>
            <w:textDirection w:val="lrTb"/>
            <w:noWrap w:val="false"/>
          </w:tcPr>
          <w:p>
            <w:pPr>
              <w:pStyle w:val="1201"/>
              <w:ind w:firstLine="0"/>
              <w:tabs>
                <w:tab w:val="center" w:pos="4201" w:leader="none"/>
                <w:tab w:val="right" w:pos="9298" w:leader="dot"/>
              </w:tabs>
            </w:pPr>
            <w:r>
              <w:t xml:space="preserve">ON</w:t>
            </w:r>
            <w:r/>
          </w:p>
        </w:tc>
        <w:tc>
          <w:tcPr>
            <w:tcW w:w="668" w:type="dxa"/>
            <w:vAlign w:val="top"/>
            <w:textDirection w:val="lrTb"/>
            <w:noWrap w:val="false"/>
          </w:tcPr>
          <w:p>
            <w:pPr>
              <w:pStyle w:val="1201"/>
              <w:ind w:firstLine="0"/>
              <w:tabs>
                <w:tab w:val="center" w:pos="4201" w:leader="none"/>
                <w:tab w:val="right" w:pos="9298" w:leader="dot"/>
              </w:tabs>
            </w:pPr>
            <w:r>
              <w:t xml:space="preserve">ON</w:t>
            </w:r>
            <w:r/>
          </w:p>
        </w:tc>
        <w:tc>
          <w:tcPr>
            <w:tcW w:w="651" w:type="dxa"/>
            <w:vAlign w:val="top"/>
            <w:textDirection w:val="lrTb"/>
            <w:noWrap w:val="false"/>
          </w:tcPr>
          <w:p>
            <w:pPr>
              <w:pStyle w:val="1201"/>
              <w:ind w:firstLine="0"/>
              <w:tabs>
                <w:tab w:val="center" w:pos="4201" w:leader="none"/>
                <w:tab w:val="right" w:pos="9298" w:leader="dot"/>
              </w:tabs>
            </w:pPr>
            <w:r>
              <w:t xml:space="preserve">OFF</w:t>
            </w:r>
            <w:r/>
          </w:p>
        </w:tc>
        <w:tc>
          <w:tcPr>
            <w:tcW w:w="708" w:type="dxa"/>
            <w:vAlign w:val="top"/>
            <w:textDirection w:val="lrTb"/>
            <w:noWrap w:val="false"/>
          </w:tcPr>
          <w:p>
            <w:pPr>
              <w:pStyle w:val="1201"/>
              <w:ind w:firstLine="0"/>
              <w:jc w:val="center"/>
              <w:tabs>
                <w:tab w:val="center" w:pos="4201" w:leader="none"/>
                <w:tab w:val="right" w:pos="9298" w:leader="dot"/>
              </w:tabs>
            </w:pPr>
            <w:r>
              <w:t xml:space="preserve">OFF</w:t>
            </w:r>
            <w:r/>
          </w:p>
        </w:tc>
        <w:tc>
          <w:tcPr>
            <w:tcW w:w="2255" w:type="dxa"/>
            <w:vAlign w:val="top"/>
            <w:textDirection w:val="lrTb"/>
            <w:noWrap w:val="false"/>
          </w:tcPr>
          <w:p>
            <w:pPr>
              <w:pStyle w:val="1201"/>
              <w:ind w:firstLine="0"/>
              <w:tabs>
                <w:tab w:val="center" w:pos="4201" w:leader="none"/>
                <w:tab w:val="right" w:pos="9298" w:leader="dot"/>
              </w:tabs>
            </w:pPr>
            <w:r>
              <w:rPr>
                <w:rFonts w:hint="eastAsia"/>
              </w:rPr>
              <w:t xml:space="preserve">间隔3</w:t>
            </w:r>
            <w:r/>
          </w:p>
        </w:tc>
        <w:tc>
          <w:tcPr>
            <w:tcW w:w="2160" w:type="dxa"/>
            <w:vAlign w:val="top"/>
            <w:vMerge w:val="continue"/>
            <w:textDirection w:val="lrTb"/>
            <w:noWrap w:val="false"/>
          </w:tcPr>
          <w:p>
            <w:pPr>
              <w:pStyle w:val="1201"/>
              <w:ind w:firstLine="0"/>
              <w:tabs>
                <w:tab w:val="center" w:pos="4201" w:leader="none"/>
                <w:tab w:val="right" w:pos="9298" w:leader="dot"/>
              </w:tabs>
            </w:pPr>
            <w:r/>
            <w:r/>
          </w:p>
        </w:tc>
      </w:tr>
      <w:tr>
        <w:trPr/>
        <w:tc>
          <w:tcPr>
            <w:tcW w:w="702" w:type="dxa"/>
            <w:vAlign w:val="top"/>
            <w:textDirection w:val="lrTb"/>
            <w:noWrap w:val="false"/>
          </w:tcPr>
          <w:p>
            <w:pPr>
              <w:pStyle w:val="1201"/>
              <w:ind w:firstLine="0"/>
              <w:tabs>
                <w:tab w:val="center" w:pos="4201" w:leader="none"/>
                <w:tab w:val="right" w:pos="9298" w:leader="dot"/>
              </w:tabs>
            </w:pPr>
            <w:r>
              <w:t xml:space="preserve">OFF</w:t>
            </w:r>
            <w:r/>
          </w:p>
        </w:tc>
        <w:tc>
          <w:tcPr>
            <w:tcW w:w="668" w:type="dxa"/>
            <w:vAlign w:val="top"/>
            <w:textDirection w:val="lrTb"/>
            <w:noWrap w:val="false"/>
          </w:tcPr>
          <w:p>
            <w:pPr>
              <w:pStyle w:val="1201"/>
              <w:ind w:firstLine="0"/>
              <w:tabs>
                <w:tab w:val="center" w:pos="4201" w:leader="none"/>
                <w:tab w:val="right" w:pos="9298" w:leader="dot"/>
              </w:tabs>
            </w:pPr>
            <w:r>
              <w:t xml:space="preserve">OFF</w:t>
            </w:r>
            <w:r/>
          </w:p>
        </w:tc>
        <w:tc>
          <w:tcPr>
            <w:tcW w:w="651" w:type="dxa"/>
            <w:vAlign w:val="top"/>
            <w:textDirection w:val="lrTb"/>
            <w:noWrap w:val="false"/>
          </w:tcPr>
          <w:p>
            <w:pPr>
              <w:pStyle w:val="1201"/>
              <w:ind w:firstLine="0"/>
              <w:tabs>
                <w:tab w:val="center" w:pos="4201" w:leader="none"/>
                <w:tab w:val="right" w:pos="9298" w:leader="dot"/>
              </w:tabs>
            </w:pPr>
            <w:r>
              <w:t xml:space="preserve">ON</w:t>
            </w:r>
            <w:r/>
          </w:p>
        </w:tc>
        <w:tc>
          <w:tcPr>
            <w:tcW w:w="708" w:type="dxa"/>
            <w:vAlign w:val="top"/>
            <w:textDirection w:val="lrTb"/>
            <w:noWrap w:val="false"/>
          </w:tcPr>
          <w:p>
            <w:pPr>
              <w:pStyle w:val="1201"/>
              <w:ind w:firstLine="0"/>
              <w:tabs>
                <w:tab w:val="center" w:pos="4201" w:leader="none"/>
                <w:tab w:val="right" w:pos="9298" w:leader="dot"/>
              </w:tabs>
            </w:pPr>
            <w:r>
              <w:t xml:space="preserve">OFF</w:t>
            </w:r>
            <w:r/>
          </w:p>
        </w:tc>
        <w:tc>
          <w:tcPr>
            <w:tcW w:w="2255" w:type="dxa"/>
            <w:vAlign w:val="top"/>
            <w:textDirection w:val="lrTb"/>
            <w:noWrap w:val="false"/>
          </w:tcPr>
          <w:p>
            <w:pPr>
              <w:pStyle w:val="1201"/>
              <w:ind w:firstLine="0"/>
              <w:tabs>
                <w:tab w:val="center" w:pos="4201" w:leader="none"/>
                <w:tab w:val="right" w:pos="9298" w:leader="dot"/>
              </w:tabs>
            </w:pPr>
            <w:r>
              <w:rPr>
                <w:rFonts w:hint="eastAsia"/>
              </w:rPr>
              <w:t xml:space="preserve">间隔4</w:t>
            </w:r>
            <w:r/>
          </w:p>
        </w:tc>
        <w:tc>
          <w:tcPr>
            <w:tcW w:w="2160" w:type="dxa"/>
            <w:vAlign w:val="top"/>
            <w:vMerge w:val="continue"/>
            <w:textDirection w:val="lrTb"/>
            <w:noWrap w:val="false"/>
          </w:tcPr>
          <w:p>
            <w:pPr>
              <w:pStyle w:val="1201"/>
              <w:ind w:firstLine="0"/>
              <w:tabs>
                <w:tab w:val="center" w:pos="4201" w:leader="none"/>
                <w:tab w:val="right" w:pos="9298" w:leader="dot"/>
              </w:tabs>
            </w:pPr>
            <w:r/>
            <w:r/>
          </w:p>
        </w:tc>
      </w:tr>
      <w:tr>
        <w:trPr/>
        <w:tc>
          <w:tcPr>
            <w:tcW w:w="702" w:type="dxa"/>
            <w:vAlign w:val="top"/>
            <w:textDirection w:val="lrTb"/>
            <w:noWrap w:val="false"/>
          </w:tcPr>
          <w:p>
            <w:pPr>
              <w:pStyle w:val="1201"/>
              <w:ind w:firstLine="0"/>
              <w:tabs>
                <w:tab w:val="center" w:pos="4201" w:leader="none"/>
                <w:tab w:val="right" w:pos="9298" w:leader="dot"/>
              </w:tabs>
            </w:pPr>
            <w:r>
              <w:t xml:space="preserve">ON</w:t>
            </w:r>
            <w:r/>
          </w:p>
        </w:tc>
        <w:tc>
          <w:tcPr>
            <w:tcW w:w="668" w:type="dxa"/>
            <w:vAlign w:val="top"/>
            <w:textDirection w:val="lrTb"/>
            <w:noWrap w:val="false"/>
          </w:tcPr>
          <w:p>
            <w:pPr>
              <w:pStyle w:val="1201"/>
              <w:ind w:firstLine="0"/>
              <w:tabs>
                <w:tab w:val="center" w:pos="4201" w:leader="none"/>
                <w:tab w:val="right" w:pos="9298" w:leader="dot"/>
              </w:tabs>
            </w:pPr>
            <w:r>
              <w:t xml:space="preserve">OFF</w:t>
            </w:r>
            <w:r/>
          </w:p>
        </w:tc>
        <w:tc>
          <w:tcPr>
            <w:tcW w:w="651" w:type="dxa"/>
            <w:vAlign w:val="top"/>
            <w:textDirection w:val="lrTb"/>
            <w:noWrap w:val="false"/>
          </w:tcPr>
          <w:p>
            <w:pPr>
              <w:pStyle w:val="1201"/>
              <w:ind w:firstLine="0"/>
              <w:tabs>
                <w:tab w:val="center" w:pos="4201" w:leader="none"/>
                <w:tab w:val="right" w:pos="9298" w:leader="dot"/>
              </w:tabs>
            </w:pPr>
            <w:r>
              <w:t xml:space="preserve">ON</w:t>
            </w:r>
            <w:r/>
          </w:p>
        </w:tc>
        <w:tc>
          <w:tcPr>
            <w:tcW w:w="708" w:type="dxa"/>
            <w:vAlign w:val="top"/>
            <w:textDirection w:val="lrTb"/>
            <w:noWrap w:val="false"/>
          </w:tcPr>
          <w:p>
            <w:pPr>
              <w:pStyle w:val="1201"/>
              <w:ind w:firstLine="0"/>
              <w:tabs>
                <w:tab w:val="center" w:pos="4201" w:leader="none"/>
                <w:tab w:val="right" w:pos="9298" w:leader="dot"/>
              </w:tabs>
            </w:pPr>
            <w:r>
              <w:t xml:space="preserve">OFF</w:t>
            </w:r>
            <w:r/>
          </w:p>
        </w:tc>
        <w:tc>
          <w:tcPr>
            <w:tcW w:w="2255" w:type="dxa"/>
            <w:vAlign w:val="top"/>
            <w:textDirection w:val="lrTb"/>
            <w:noWrap w:val="false"/>
          </w:tcPr>
          <w:p>
            <w:pPr>
              <w:pStyle w:val="1201"/>
              <w:ind w:firstLine="0"/>
              <w:tabs>
                <w:tab w:val="center" w:pos="4201" w:leader="none"/>
                <w:tab w:val="right" w:pos="9298" w:leader="dot"/>
              </w:tabs>
            </w:pPr>
            <w:r>
              <w:rPr>
                <w:rFonts w:hint="eastAsia"/>
              </w:rPr>
              <w:t xml:space="preserve">间隔5</w:t>
            </w:r>
            <w:r/>
          </w:p>
        </w:tc>
        <w:tc>
          <w:tcPr>
            <w:tcW w:w="2160" w:type="dxa"/>
            <w:vAlign w:val="top"/>
            <w:vMerge w:val="continue"/>
            <w:textDirection w:val="lrTb"/>
            <w:noWrap w:val="false"/>
          </w:tcPr>
          <w:p>
            <w:pPr>
              <w:pStyle w:val="1201"/>
              <w:ind w:firstLine="0"/>
              <w:tabs>
                <w:tab w:val="center" w:pos="4201" w:leader="none"/>
                <w:tab w:val="right" w:pos="9298" w:leader="dot"/>
              </w:tabs>
            </w:pPr>
            <w:r/>
            <w:r/>
          </w:p>
        </w:tc>
      </w:tr>
      <w:tr>
        <w:trPr/>
        <w:tc>
          <w:tcPr>
            <w:tcW w:w="702" w:type="dxa"/>
            <w:vAlign w:val="top"/>
            <w:textDirection w:val="lrTb"/>
            <w:noWrap w:val="false"/>
          </w:tcPr>
          <w:p>
            <w:pPr>
              <w:pStyle w:val="1201"/>
              <w:ind w:firstLine="0"/>
              <w:tabs>
                <w:tab w:val="center" w:pos="4201" w:leader="none"/>
                <w:tab w:val="right" w:pos="9298" w:leader="dot"/>
              </w:tabs>
            </w:pPr>
            <w:r>
              <w:t xml:space="preserve">OFF</w:t>
            </w:r>
            <w:r/>
          </w:p>
        </w:tc>
        <w:tc>
          <w:tcPr>
            <w:tcW w:w="668" w:type="dxa"/>
            <w:vAlign w:val="top"/>
            <w:textDirection w:val="lrTb"/>
            <w:noWrap w:val="false"/>
          </w:tcPr>
          <w:p>
            <w:pPr>
              <w:pStyle w:val="1201"/>
              <w:ind w:firstLine="0"/>
              <w:tabs>
                <w:tab w:val="center" w:pos="4201" w:leader="none"/>
                <w:tab w:val="right" w:pos="9298" w:leader="dot"/>
              </w:tabs>
            </w:pPr>
            <w:r>
              <w:t xml:space="preserve">ON</w:t>
            </w:r>
            <w:r/>
          </w:p>
        </w:tc>
        <w:tc>
          <w:tcPr>
            <w:tcW w:w="651" w:type="dxa"/>
            <w:vAlign w:val="top"/>
            <w:textDirection w:val="lrTb"/>
            <w:noWrap w:val="false"/>
          </w:tcPr>
          <w:p>
            <w:pPr>
              <w:pStyle w:val="1201"/>
              <w:ind w:firstLine="0"/>
              <w:tabs>
                <w:tab w:val="center" w:pos="4201" w:leader="none"/>
                <w:tab w:val="right" w:pos="9298" w:leader="dot"/>
              </w:tabs>
            </w:pPr>
            <w:r>
              <w:t xml:space="preserve">ON</w:t>
            </w:r>
            <w:r/>
          </w:p>
        </w:tc>
        <w:tc>
          <w:tcPr>
            <w:tcW w:w="708" w:type="dxa"/>
            <w:vAlign w:val="top"/>
            <w:textDirection w:val="lrTb"/>
            <w:noWrap w:val="false"/>
          </w:tcPr>
          <w:p>
            <w:pPr>
              <w:pStyle w:val="1201"/>
              <w:ind w:firstLine="0"/>
              <w:tabs>
                <w:tab w:val="center" w:pos="4201" w:leader="none"/>
                <w:tab w:val="right" w:pos="9298" w:leader="dot"/>
              </w:tabs>
            </w:pPr>
            <w:r>
              <w:t xml:space="preserve">OFF</w:t>
            </w:r>
            <w:r/>
          </w:p>
        </w:tc>
        <w:tc>
          <w:tcPr>
            <w:tcW w:w="2255" w:type="dxa"/>
            <w:vAlign w:val="top"/>
            <w:textDirection w:val="lrTb"/>
            <w:noWrap w:val="false"/>
          </w:tcPr>
          <w:p>
            <w:pPr>
              <w:pStyle w:val="1201"/>
              <w:ind w:firstLine="0"/>
              <w:tabs>
                <w:tab w:val="center" w:pos="4201" w:leader="none"/>
                <w:tab w:val="right" w:pos="9298" w:leader="dot"/>
              </w:tabs>
            </w:pPr>
            <w:r>
              <w:rPr>
                <w:rFonts w:hint="eastAsia"/>
              </w:rPr>
              <w:t xml:space="preserve">间隔6</w:t>
            </w:r>
            <w:r/>
          </w:p>
        </w:tc>
        <w:tc>
          <w:tcPr>
            <w:tcW w:w="2160" w:type="dxa"/>
            <w:vAlign w:val="top"/>
            <w:vMerge w:val="continue"/>
            <w:textDirection w:val="lrTb"/>
            <w:noWrap w:val="false"/>
          </w:tcPr>
          <w:p>
            <w:pPr>
              <w:pStyle w:val="1201"/>
              <w:ind w:firstLine="0"/>
              <w:tabs>
                <w:tab w:val="center" w:pos="4201" w:leader="none"/>
                <w:tab w:val="right" w:pos="9298" w:leader="dot"/>
              </w:tabs>
            </w:pPr>
            <w:r/>
            <w:r/>
          </w:p>
        </w:tc>
      </w:tr>
      <w:tr>
        <w:trPr/>
        <w:tc>
          <w:tcPr>
            <w:gridSpan w:val="4"/>
            <w:tcW w:w="2729" w:type="dxa"/>
            <w:vAlign w:val="top"/>
            <w:textDirection w:val="lrTb"/>
            <w:noWrap w:val="false"/>
          </w:tcPr>
          <w:p>
            <w:pPr>
              <w:pStyle w:val="1201"/>
              <w:ind w:firstLine="0"/>
              <w:tabs>
                <w:tab w:val="center" w:pos="4201" w:leader="none"/>
                <w:tab w:val="right" w:pos="9298" w:leader="dot"/>
              </w:tabs>
            </w:pPr>
            <w:r>
              <w:rPr>
                <w:rFonts w:hint="eastAsia"/>
              </w:rPr>
              <w:t xml:space="preserve">其他</w:t>
            </w:r>
            <w:r/>
          </w:p>
        </w:tc>
        <w:tc>
          <w:tcPr>
            <w:tcW w:w="2255" w:type="dxa"/>
            <w:vAlign w:val="top"/>
            <w:textDirection w:val="lrTb"/>
            <w:noWrap w:val="false"/>
          </w:tcPr>
          <w:p>
            <w:pPr>
              <w:pStyle w:val="1201"/>
              <w:ind w:firstLine="0"/>
              <w:tabs>
                <w:tab w:val="center" w:pos="4201" w:leader="none"/>
                <w:tab w:val="right" w:pos="9298" w:leader="dot"/>
              </w:tabs>
            </w:pPr>
            <w:r>
              <w:rPr>
                <w:rFonts w:hint="eastAsia"/>
              </w:rPr>
              <w:t xml:space="preserve">无脉冲输出</w:t>
            </w:r>
            <w:r/>
          </w:p>
        </w:tc>
        <w:tc>
          <w:tcPr>
            <w:tcW w:w="2160" w:type="dxa"/>
            <w:vAlign w:val="top"/>
            <w:vMerge w:val="continue"/>
            <w:textDirection w:val="lrTb"/>
            <w:noWrap w:val="false"/>
          </w:tcPr>
          <w:p>
            <w:pPr>
              <w:pStyle w:val="1201"/>
              <w:ind w:firstLine="0"/>
              <w:tabs>
                <w:tab w:val="center" w:pos="4201" w:leader="none"/>
                <w:tab w:val="right" w:pos="9298" w:leader="dot"/>
              </w:tabs>
            </w:pPr>
            <w:r/>
            <w:r/>
          </w:p>
        </w:tc>
      </w:tr>
    </w:tbl>
    <w:p>
      <w:pPr>
        <w:pStyle w:val="1201"/>
        <w:ind w:firstLine="0"/>
        <w:tabs>
          <w:tab w:val="center" w:pos="4201" w:leader="none"/>
          <w:tab w:val="right" w:pos="9298" w:leader="dot"/>
        </w:tabs>
      </w:pPr>
      <w:r/>
      <w:r/>
    </w:p>
    <w:p>
      <w:pPr>
        <w:pStyle w:val="1151"/>
        <w:spacing w:line="312" w:lineRule="exact"/>
        <w:rPr>
          <w:rFonts w:ascii="宋体" w:hAnsi="宋体" w:eastAsia="宋体"/>
          <w:szCs w:val="21"/>
        </w:rPr>
        <w:outlineLvl w:val="2"/>
      </w:pPr>
      <w:r>
        <w:rPr>
          <w:rFonts w:ascii="宋体" w:hAnsi="宋体" w:eastAsia="宋体"/>
          <w:szCs w:val="21"/>
        </w:rPr>
        <w:t xml:space="preserve">B.2.12 </w:t>
      </w:r>
      <w:r>
        <w:rPr>
          <w:rFonts w:hint="eastAsia" w:ascii="宋体" w:hAnsi="宋体" w:eastAsia="宋体"/>
          <w:szCs w:val="21"/>
        </w:rPr>
        <w:t xml:space="preserve">终端通信串口管脚定义</w:t>
      </w:r>
      <w:r>
        <w:rPr>
          <w:rFonts w:ascii="宋体" w:hAnsi="宋体" w:eastAsia="宋体"/>
          <w:szCs w:val="21"/>
        </w:rPr>
      </w:r>
      <w:r/>
    </w:p>
    <w:p>
      <w:pPr>
        <w:pStyle w:val="1151"/>
        <w:ind w:firstLine="420"/>
        <w:widowControl/>
        <w:tabs>
          <w:tab w:val="center" w:pos="4201" w:leader="none"/>
          <w:tab w:val="right" w:pos="9298" w:leader="dot"/>
        </w:tabs>
      </w:pPr>
      <w:r>
        <w:rPr>
          <w:rFonts w:hint="eastAsia"/>
        </w:rPr>
        <w:t xml:space="preserve">表B-</w:t>
      </w:r>
      <w:r>
        <w:t xml:space="preserve">7</w:t>
      </w:r>
      <w:r>
        <w:rPr>
          <w:rFonts w:hint="eastAsia"/>
        </w:rPr>
        <w:t xml:space="preserve">通信串口管脚定义</w:t>
      </w:r>
      <w:r/>
    </w:p>
    <w:tbl>
      <w:tblPr>
        <w:tblW w:w="89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937"/>
        <w:gridCol w:w="1429"/>
        <w:gridCol w:w="2238"/>
        <w:gridCol w:w="1300"/>
        <w:gridCol w:w="2035"/>
      </w:tblGrid>
      <w:tr>
        <w:trPr/>
        <w:tc>
          <w:tcPr>
            <w:gridSpan w:val="6"/>
            <w:tcW w:w="8930" w:type="dxa"/>
            <w:vAlign w:val="top"/>
            <w:textDirection w:val="lrTb"/>
            <w:noWrap w:val="false"/>
          </w:tcPr>
          <w:p>
            <w:pPr>
              <w:pStyle w:val="1151"/>
              <w:ind w:firstLine="360"/>
              <w:jc w:val="center"/>
              <w:spacing w:line="360" w:lineRule="auto"/>
              <w:rPr>
                <w:rFonts w:ascii="宋体" w:hAnsi="宋体"/>
                <w:sz w:val="18"/>
                <w:szCs w:val="18"/>
              </w:rPr>
            </w:pPr>
            <w:r>
              <w:rPr>
                <w:rFonts w:hint="eastAsia" w:ascii="宋体" w:hAnsi="宋体"/>
                <w:sz w:val="18"/>
                <w:szCs w:val="18"/>
              </w:rPr>
              <w:t xml:space="preserve">串行输出端子定义及接线要求</w:t>
            </w:r>
            <w:r>
              <w:rPr>
                <w:rFonts w:ascii="宋体" w:hAnsi="宋体"/>
                <w:sz w:val="18"/>
                <w:szCs w:val="18"/>
              </w:rPr>
            </w:r>
            <w:r/>
          </w:p>
        </w:tc>
      </w:tr>
      <w:tr>
        <w:trPr/>
        <w:tc>
          <w:tcPr>
            <w:tcW w:w="991" w:type="dxa"/>
            <w:vAlign w:val="top"/>
            <w:textDirection w:val="lrTb"/>
            <w:noWrap w:val="false"/>
          </w:tcPr>
          <w:p>
            <w:pPr>
              <w:pStyle w:val="1151"/>
              <w:spacing w:line="360" w:lineRule="auto"/>
              <w:rPr>
                <w:rFonts w:ascii="宋体" w:hAnsi="宋体"/>
                <w:b/>
                <w:sz w:val="18"/>
                <w:szCs w:val="18"/>
              </w:rPr>
            </w:pPr>
            <w:r>
              <w:rPr>
                <w:rFonts w:hint="eastAsia" w:ascii="宋体" w:hAnsi="宋体"/>
                <w:b/>
                <w:sz w:val="18"/>
                <w:szCs w:val="18"/>
              </w:rPr>
              <w:t xml:space="preserve">引脚号</w:t>
            </w:r>
            <w:r>
              <w:rPr>
                <w:rFonts w:ascii="宋体" w:hAnsi="宋体"/>
                <w:b/>
                <w:sz w:val="18"/>
                <w:szCs w:val="18"/>
              </w:rPr>
            </w:r>
            <w:r/>
          </w:p>
        </w:tc>
        <w:tc>
          <w:tcPr>
            <w:tcW w:w="937" w:type="dxa"/>
            <w:vAlign w:val="top"/>
            <w:textDirection w:val="lrTb"/>
            <w:noWrap w:val="false"/>
          </w:tcPr>
          <w:p>
            <w:pPr>
              <w:pStyle w:val="1151"/>
              <w:spacing w:line="360" w:lineRule="auto"/>
              <w:rPr>
                <w:rFonts w:ascii="宋体" w:hAnsi="宋体"/>
                <w:b/>
                <w:sz w:val="18"/>
                <w:szCs w:val="18"/>
              </w:rPr>
            </w:pPr>
            <w:r>
              <w:rPr>
                <w:rFonts w:hint="eastAsia" w:ascii="宋体" w:hAnsi="宋体"/>
                <w:b/>
                <w:sz w:val="18"/>
                <w:szCs w:val="18"/>
              </w:rPr>
              <w:t xml:space="preserve">标记</w:t>
            </w:r>
            <w:r>
              <w:rPr>
                <w:rFonts w:ascii="宋体" w:hAnsi="宋体"/>
                <w:b/>
                <w:sz w:val="18"/>
                <w:szCs w:val="18"/>
              </w:rPr>
            </w:r>
            <w:r/>
          </w:p>
        </w:tc>
        <w:tc>
          <w:tcPr>
            <w:tcW w:w="1429" w:type="dxa"/>
            <w:vAlign w:val="top"/>
            <w:textDirection w:val="lrTb"/>
            <w:noWrap w:val="false"/>
          </w:tcPr>
          <w:p>
            <w:pPr>
              <w:pStyle w:val="1151"/>
              <w:ind w:firstLine="361"/>
              <w:spacing w:line="360" w:lineRule="auto"/>
              <w:rPr>
                <w:rFonts w:ascii="宋体" w:hAnsi="宋体"/>
                <w:b/>
                <w:sz w:val="18"/>
                <w:szCs w:val="18"/>
              </w:rPr>
            </w:pPr>
            <w:r>
              <w:rPr>
                <w:rFonts w:hint="eastAsia" w:ascii="宋体" w:hAnsi="宋体"/>
                <w:b/>
                <w:sz w:val="18"/>
                <w:szCs w:val="18"/>
              </w:rPr>
              <w:t xml:space="preserve">标记说明</w:t>
            </w:r>
            <w:r>
              <w:rPr>
                <w:rFonts w:ascii="宋体" w:hAnsi="宋体"/>
                <w:b/>
                <w:sz w:val="18"/>
                <w:szCs w:val="18"/>
              </w:rPr>
            </w:r>
            <w:r/>
          </w:p>
        </w:tc>
        <w:tc>
          <w:tcPr>
            <w:tcW w:w="2238" w:type="dxa"/>
            <w:vAlign w:val="top"/>
            <w:textDirection w:val="lrTb"/>
            <w:noWrap w:val="false"/>
          </w:tcPr>
          <w:p>
            <w:pPr>
              <w:pStyle w:val="1151"/>
              <w:ind w:firstLine="361"/>
              <w:spacing w:line="360" w:lineRule="auto"/>
              <w:rPr>
                <w:rFonts w:ascii="宋体" w:hAnsi="宋体"/>
                <w:b/>
                <w:sz w:val="18"/>
                <w:szCs w:val="18"/>
              </w:rPr>
            </w:pPr>
            <w:r>
              <w:rPr>
                <w:rFonts w:hint="eastAsia" w:ascii="宋体" w:hAnsi="宋体"/>
                <w:b/>
                <w:sz w:val="18"/>
                <w:szCs w:val="18"/>
              </w:rPr>
              <w:t xml:space="preserve">电缆规格</w:t>
            </w:r>
            <w:r>
              <w:rPr>
                <w:rFonts w:ascii="宋体" w:hAnsi="宋体"/>
                <w:b/>
                <w:sz w:val="18"/>
                <w:szCs w:val="18"/>
              </w:rPr>
            </w:r>
            <w:r/>
          </w:p>
        </w:tc>
        <w:tc>
          <w:tcPr>
            <w:tcW w:w="1300" w:type="dxa"/>
            <w:vAlign w:val="top"/>
            <w:textDirection w:val="lrTb"/>
            <w:noWrap w:val="false"/>
          </w:tcPr>
          <w:p>
            <w:pPr>
              <w:pStyle w:val="1151"/>
              <w:ind w:firstLine="361"/>
              <w:spacing w:line="360" w:lineRule="auto"/>
              <w:rPr>
                <w:rFonts w:ascii="宋体" w:hAnsi="宋体"/>
                <w:b/>
                <w:sz w:val="18"/>
                <w:szCs w:val="18"/>
              </w:rPr>
            </w:pPr>
            <w:r>
              <w:rPr>
                <w:rFonts w:hint="eastAsia" w:ascii="宋体" w:hAnsi="宋体"/>
                <w:b/>
                <w:sz w:val="18"/>
                <w:szCs w:val="18"/>
              </w:rPr>
              <w:t xml:space="preserve">备注</w:t>
            </w:r>
            <w:r>
              <w:rPr>
                <w:rFonts w:ascii="宋体" w:hAnsi="宋体"/>
                <w:b/>
                <w:sz w:val="18"/>
                <w:szCs w:val="18"/>
              </w:rPr>
            </w:r>
            <w:r/>
          </w:p>
        </w:tc>
        <w:tc>
          <w:tcPr>
            <w:tcW w:w="2035" w:type="dxa"/>
            <w:vAlign w:val="top"/>
            <w:textDirection w:val="lrTb"/>
            <w:noWrap w:val="false"/>
          </w:tcPr>
          <w:p>
            <w:pPr>
              <w:pStyle w:val="1151"/>
              <w:ind w:firstLine="361"/>
              <w:spacing w:line="360" w:lineRule="auto"/>
              <w:rPr>
                <w:rFonts w:ascii="宋体" w:hAnsi="宋体"/>
                <w:b/>
                <w:sz w:val="18"/>
                <w:szCs w:val="18"/>
              </w:rPr>
            </w:pPr>
            <w:r>
              <w:rPr>
                <w:rFonts w:hint="eastAsia" w:ascii="宋体" w:hAnsi="宋体"/>
                <w:b/>
                <w:sz w:val="18"/>
                <w:szCs w:val="18"/>
              </w:rPr>
              <w:t xml:space="preserve">图例</w:t>
            </w:r>
            <w:r>
              <w:rPr>
                <w:rFonts w:ascii="宋体" w:hAnsi="宋体"/>
                <w:b/>
                <w:sz w:val="18"/>
                <w:szCs w:val="18"/>
              </w:rPr>
            </w:r>
            <w:r/>
          </w:p>
        </w:tc>
      </w:tr>
      <w:tr>
        <w:trPr>
          <w:cantSplit/>
          <w:trHeight w:val="232"/>
        </w:trPr>
        <w:tc>
          <w:tcPr>
            <w:tcW w:w="991"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937" w:type="dxa"/>
            <w:vAlign w:val="center"/>
            <w:textDirection w:val="lrTb"/>
            <w:noWrap w:val="false"/>
          </w:tcPr>
          <w:p>
            <w:pPr>
              <w:pStyle w:val="1151"/>
              <w:ind w:firstLine="360"/>
              <w:spacing w:line="360" w:lineRule="auto"/>
              <w:widowControl/>
              <w:rPr>
                <w:bCs/>
                <w:sz w:val="18"/>
              </w:rPr>
            </w:pPr>
            <w:r>
              <w:rPr>
                <w:rFonts w:hint="eastAsia"/>
                <w:bCs/>
                <w:sz w:val="18"/>
              </w:rPr>
              <w:t xml:space="preserve">NC</w:t>
            </w:r>
            <w:r>
              <w:rPr>
                <w:bCs/>
                <w:sz w:val="18"/>
              </w:rPr>
            </w:r>
            <w:r/>
          </w:p>
        </w:tc>
        <w:tc>
          <w:tcPr>
            <w:tcW w:w="1429" w:type="dxa"/>
            <w:vAlign w:val="center"/>
            <w:textDirection w:val="lrTb"/>
            <w:noWrap w:val="false"/>
          </w:tcPr>
          <w:p>
            <w:pPr>
              <w:pStyle w:val="1151"/>
              <w:ind w:firstLine="360"/>
              <w:spacing w:line="360" w:lineRule="auto"/>
              <w:widowControl/>
              <w:rPr>
                <w:bCs/>
                <w:sz w:val="18"/>
              </w:rPr>
            </w:pPr>
            <w:r>
              <w:rPr>
                <w:rFonts w:hint="eastAsia"/>
                <w:bCs/>
                <w:sz w:val="18"/>
              </w:rPr>
              <w:t xml:space="preserve">空</w:t>
            </w:r>
            <w:r>
              <w:rPr>
                <w:bCs/>
                <w:sz w:val="18"/>
              </w:rPr>
            </w:r>
            <w:r/>
          </w:p>
        </w:tc>
        <w:tc>
          <w:tcPr>
            <w:tcW w:w="2238" w:type="dxa"/>
            <w:vAlign w:val="center"/>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c>
          <w:tcPr>
            <w:tcW w:w="1300" w:type="dxa"/>
            <w:vAlign w:val="center"/>
            <w:vMerge w:val="restart"/>
            <w:textDirection w:val="lrTb"/>
            <w:noWrap w:val="false"/>
          </w:tcPr>
          <w:p>
            <w:pPr>
              <w:pStyle w:val="1151"/>
              <w:spacing w:line="360" w:lineRule="auto"/>
              <w:rPr>
                <w:rFonts w:ascii="宋体" w:hAnsi="宋体" w:eastAsia="汉仪中黑简"/>
                <w:bCs/>
                <w:sz w:val="18"/>
                <w:szCs w:val="18"/>
              </w:rPr>
            </w:pPr>
            <w:r>
              <w:rPr>
                <w:rFonts w:hint="eastAsia" w:ascii="宋体" w:hAnsi="宋体"/>
                <w:sz w:val="18"/>
                <w:szCs w:val="18"/>
              </w:rPr>
              <w:t xml:space="preserve">扩展预留接口</w:t>
            </w:r>
            <w:r>
              <w:rPr>
                <w:rFonts w:ascii="宋体" w:hAnsi="宋体" w:eastAsia="汉仪中黑简"/>
                <w:bCs/>
                <w:sz w:val="18"/>
                <w:szCs w:val="18"/>
              </w:rPr>
            </w:r>
            <w:r/>
          </w:p>
        </w:tc>
        <w:tc>
          <w:tcPr>
            <w:tcW w:w="2035" w:type="dxa"/>
            <w:vAlign w:val="center"/>
            <w:vMerge w:val="restart"/>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3.81间距双层带法兰接插端子</w:t>
            </w:r>
            <w:r>
              <w:rPr>
                <w:rFonts w:ascii="宋体" w:hAnsi="宋体"/>
                <w:sz w:val="18"/>
                <w:szCs w:val="18"/>
              </w:rPr>
            </w:r>
            <w:r/>
          </w:p>
          <w:p>
            <w:pPr>
              <w:pStyle w:val="1151"/>
              <w:ind w:firstLine="420"/>
              <w:spacing w:line="360" w:lineRule="auto"/>
            </w:pPr>
            <w:r/>
            <w:r/>
          </w:p>
          <w:p>
            <w:pPr>
              <w:pStyle w:val="1151"/>
              <w:ind w:firstLine="360"/>
              <w:spacing w:line="360" w:lineRule="auto"/>
              <w:rPr>
                <w:rFonts w:ascii="宋体" w:hAnsi="宋体"/>
                <w:sz w:val="18"/>
                <w:szCs w:val="18"/>
              </w:rPr>
            </w:pPr>
            <w:r>
              <w:rPr>
                <w:rFonts w:ascii="宋体" w:hAnsi="宋体"/>
                <w:sz w:val="18"/>
                <w:szCs w:val="18"/>
              </w:rPr>
            </w:r>
            <w:r/>
          </w:p>
        </w:tc>
      </w:tr>
      <w:tr>
        <w:trPr>
          <w:cantSplit/>
          <w:trHeight w:val="232"/>
        </w:trPr>
        <w:tc>
          <w:tcPr>
            <w:tcW w:w="991"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2</w:t>
            </w:r>
            <w:r>
              <w:rPr>
                <w:rFonts w:ascii="宋体" w:hAnsi="宋体"/>
                <w:sz w:val="18"/>
                <w:szCs w:val="18"/>
              </w:rPr>
            </w:r>
            <w:r/>
          </w:p>
        </w:tc>
        <w:tc>
          <w:tcPr>
            <w:tcW w:w="937" w:type="dxa"/>
            <w:vAlign w:val="center"/>
            <w:textDirection w:val="lrTb"/>
            <w:noWrap w:val="false"/>
          </w:tcPr>
          <w:p>
            <w:pPr>
              <w:pStyle w:val="1151"/>
              <w:ind w:firstLine="360"/>
              <w:spacing w:line="360" w:lineRule="auto"/>
              <w:widowControl/>
              <w:rPr>
                <w:bCs/>
                <w:sz w:val="18"/>
              </w:rPr>
            </w:pPr>
            <w:r>
              <w:rPr>
                <w:rFonts w:hint="eastAsia"/>
                <w:bCs/>
                <w:sz w:val="18"/>
              </w:rPr>
              <w:t xml:space="preserve">A1</w:t>
            </w:r>
            <w:r>
              <w:rPr>
                <w:bCs/>
                <w:sz w:val="18"/>
              </w:rPr>
            </w:r>
            <w:r/>
          </w:p>
        </w:tc>
        <w:tc>
          <w:tcPr>
            <w:tcW w:w="1429" w:type="dxa"/>
            <w:vAlign w:val="center"/>
            <w:textDirection w:val="lrTb"/>
            <w:noWrap w:val="false"/>
          </w:tcPr>
          <w:p>
            <w:pPr>
              <w:pStyle w:val="1151"/>
              <w:spacing w:line="360" w:lineRule="auto"/>
              <w:widowControl/>
              <w:rPr>
                <w:bCs/>
                <w:sz w:val="18"/>
              </w:rPr>
            </w:pPr>
            <w:r>
              <w:rPr>
                <w:rFonts w:hint="eastAsia"/>
                <w:bCs/>
                <w:sz w:val="18"/>
              </w:rPr>
              <w:t xml:space="preserve">第1路RS485A</w:t>
            </w:r>
            <w:r>
              <w:rPr>
                <w:bCs/>
                <w:sz w:val="18"/>
              </w:rPr>
            </w:r>
            <w:r/>
          </w:p>
        </w:tc>
        <w:tc>
          <w:tcPr>
            <w:tcW w:w="2238"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RV1.</w:t>
            </w:r>
            <w:r>
              <w:rPr>
                <w:rFonts w:ascii="宋体" w:hAnsi="宋体"/>
                <w:sz w:val="18"/>
                <w:szCs w:val="18"/>
              </w:rPr>
              <w:t xml:space="preserve">0</w:t>
            </w:r>
            <w:r>
              <w:rPr>
                <w:rFonts w:hint="eastAsia" w:ascii="宋体" w:hAnsi="宋体"/>
                <w:sz w:val="18"/>
                <w:szCs w:val="18"/>
              </w:rPr>
              <w:t xml:space="preserve">mm</w:t>
            </w:r>
            <w:r>
              <w:rPr>
                <w:rFonts w:hint="eastAsia" w:ascii="宋体" w:hAnsi="宋体" w:cs="宋体"/>
                <w:sz w:val="18"/>
                <w:szCs w:val="18"/>
              </w:rPr>
              <w:t xml:space="preserve">²</w:t>
            </w:r>
            <w:r>
              <w:rPr>
                <w:rFonts w:ascii="宋体" w:hAnsi="宋体"/>
                <w:sz w:val="18"/>
                <w:szCs w:val="18"/>
              </w:rPr>
            </w:r>
            <w:r/>
          </w:p>
        </w:tc>
        <w:tc>
          <w:tcPr>
            <w:tcW w:w="1300"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c>
          <w:tcPr>
            <w:tcW w:w="2035"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r>
      <w:tr>
        <w:trPr>
          <w:cantSplit/>
          <w:trHeight w:val="232"/>
        </w:trPr>
        <w:tc>
          <w:tcPr>
            <w:tcW w:w="991"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3</w:t>
            </w:r>
            <w:r>
              <w:rPr>
                <w:rFonts w:ascii="宋体" w:hAnsi="宋体"/>
                <w:sz w:val="18"/>
                <w:szCs w:val="18"/>
              </w:rPr>
            </w:r>
            <w:r/>
          </w:p>
        </w:tc>
        <w:tc>
          <w:tcPr>
            <w:tcW w:w="937" w:type="dxa"/>
            <w:vAlign w:val="center"/>
            <w:textDirection w:val="lrTb"/>
            <w:noWrap w:val="false"/>
          </w:tcPr>
          <w:p>
            <w:pPr>
              <w:pStyle w:val="1151"/>
              <w:ind w:firstLine="360"/>
              <w:spacing w:line="360" w:lineRule="auto"/>
              <w:widowControl/>
              <w:rPr>
                <w:bCs/>
                <w:sz w:val="18"/>
              </w:rPr>
            </w:pPr>
            <w:r>
              <w:rPr>
                <w:rFonts w:hint="eastAsia"/>
                <w:bCs/>
                <w:sz w:val="18"/>
              </w:rPr>
              <w:t xml:space="preserve">B1</w:t>
            </w:r>
            <w:r>
              <w:rPr>
                <w:bCs/>
                <w:sz w:val="18"/>
              </w:rPr>
            </w:r>
            <w:r/>
          </w:p>
        </w:tc>
        <w:tc>
          <w:tcPr>
            <w:tcW w:w="1429" w:type="dxa"/>
            <w:vAlign w:val="center"/>
            <w:textDirection w:val="lrTb"/>
            <w:noWrap w:val="false"/>
          </w:tcPr>
          <w:p>
            <w:pPr>
              <w:pStyle w:val="1151"/>
              <w:spacing w:line="360" w:lineRule="auto"/>
              <w:widowControl/>
              <w:rPr>
                <w:bCs/>
                <w:sz w:val="18"/>
              </w:rPr>
            </w:pPr>
            <w:r>
              <w:rPr>
                <w:rFonts w:hint="eastAsia"/>
                <w:bCs/>
                <w:sz w:val="18"/>
              </w:rPr>
              <w:t xml:space="preserve">第1路RS485B</w:t>
            </w:r>
            <w:r>
              <w:rPr>
                <w:bCs/>
                <w:sz w:val="18"/>
              </w:rPr>
            </w:r>
            <w:r/>
          </w:p>
        </w:tc>
        <w:tc>
          <w:tcPr>
            <w:tcW w:w="2238"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RV1.</w:t>
            </w:r>
            <w:r>
              <w:rPr>
                <w:rFonts w:ascii="宋体" w:hAnsi="宋体"/>
                <w:sz w:val="18"/>
                <w:szCs w:val="18"/>
              </w:rPr>
              <w:t xml:space="preserve">0</w:t>
            </w:r>
            <w:r>
              <w:rPr>
                <w:rFonts w:hint="eastAsia" w:ascii="宋体" w:hAnsi="宋体"/>
                <w:sz w:val="18"/>
                <w:szCs w:val="18"/>
              </w:rPr>
              <w:t xml:space="preserve">mm</w:t>
            </w:r>
            <w:r>
              <w:rPr>
                <w:rFonts w:hint="eastAsia" w:ascii="宋体" w:hAnsi="宋体" w:cs="宋体"/>
                <w:sz w:val="18"/>
                <w:szCs w:val="18"/>
              </w:rPr>
              <w:t xml:space="preserve">²</w:t>
            </w:r>
            <w:r>
              <w:rPr>
                <w:rFonts w:ascii="宋体" w:hAnsi="宋体"/>
                <w:sz w:val="18"/>
                <w:szCs w:val="18"/>
              </w:rPr>
            </w:r>
            <w:r/>
          </w:p>
        </w:tc>
        <w:tc>
          <w:tcPr>
            <w:tcW w:w="1300"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c>
          <w:tcPr>
            <w:tcW w:w="2035"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r>
      <w:tr>
        <w:trPr>
          <w:cantSplit/>
          <w:trHeight w:val="232"/>
        </w:trPr>
        <w:tc>
          <w:tcPr>
            <w:tcW w:w="991"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4</w:t>
            </w:r>
            <w:r>
              <w:rPr>
                <w:rFonts w:ascii="宋体" w:hAnsi="宋体"/>
                <w:sz w:val="18"/>
                <w:szCs w:val="18"/>
              </w:rPr>
            </w:r>
            <w:r/>
          </w:p>
        </w:tc>
        <w:tc>
          <w:tcPr>
            <w:tcW w:w="937" w:type="dxa"/>
            <w:vAlign w:val="center"/>
            <w:textDirection w:val="lrTb"/>
            <w:noWrap w:val="false"/>
          </w:tcPr>
          <w:p>
            <w:pPr>
              <w:pStyle w:val="1151"/>
              <w:ind w:firstLine="360"/>
              <w:spacing w:line="360" w:lineRule="auto"/>
              <w:widowControl/>
              <w:rPr>
                <w:bCs/>
                <w:sz w:val="18"/>
              </w:rPr>
            </w:pPr>
            <w:r>
              <w:rPr>
                <w:rFonts w:hint="eastAsia"/>
                <w:bCs/>
                <w:sz w:val="18"/>
              </w:rPr>
              <w:t xml:space="preserve">NC</w:t>
            </w:r>
            <w:r>
              <w:rPr>
                <w:bCs/>
                <w:sz w:val="18"/>
              </w:rPr>
            </w:r>
            <w:r/>
          </w:p>
        </w:tc>
        <w:tc>
          <w:tcPr>
            <w:tcW w:w="1429" w:type="dxa"/>
            <w:vAlign w:val="center"/>
            <w:textDirection w:val="lrTb"/>
            <w:noWrap w:val="false"/>
          </w:tcPr>
          <w:p>
            <w:pPr>
              <w:pStyle w:val="1151"/>
              <w:ind w:firstLine="360"/>
              <w:spacing w:line="360" w:lineRule="auto"/>
              <w:widowControl/>
              <w:rPr>
                <w:bCs/>
                <w:sz w:val="18"/>
              </w:rPr>
            </w:pPr>
            <w:r>
              <w:rPr>
                <w:rFonts w:hint="eastAsia"/>
                <w:bCs/>
                <w:sz w:val="18"/>
              </w:rPr>
              <w:t xml:space="preserve">空</w:t>
            </w:r>
            <w:r>
              <w:rPr>
                <w:bCs/>
                <w:sz w:val="18"/>
              </w:rPr>
            </w:r>
            <w:r/>
          </w:p>
        </w:tc>
        <w:tc>
          <w:tcPr>
            <w:tcW w:w="2238" w:type="dxa"/>
            <w:vAlign w:val="center"/>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c>
          <w:tcPr>
            <w:tcW w:w="1300" w:type="dxa"/>
            <w:vAlign w:val="center"/>
            <w:vMerge w:val="restart"/>
            <w:textDirection w:val="lrTb"/>
            <w:noWrap w:val="false"/>
          </w:tcPr>
          <w:p>
            <w:pPr>
              <w:pStyle w:val="1151"/>
              <w:spacing w:line="360" w:lineRule="auto"/>
              <w:rPr>
                <w:rFonts w:ascii="宋体" w:hAnsi="宋体" w:eastAsia="汉仪中黑简"/>
                <w:bCs/>
                <w:sz w:val="18"/>
                <w:szCs w:val="18"/>
              </w:rPr>
            </w:pPr>
            <w:r>
              <w:rPr>
                <w:rFonts w:hint="eastAsia"/>
                <w:bCs/>
                <w:sz w:val="18"/>
                <w:szCs w:val="22"/>
              </w:rPr>
              <w:t xml:space="preserve">与本地传感器接口</w:t>
            </w:r>
            <w:r>
              <w:rPr>
                <w:rFonts w:ascii="宋体" w:hAnsi="宋体" w:eastAsia="汉仪中黑简"/>
                <w:bCs/>
                <w:sz w:val="18"/>
                <w:szCs w:val="18"/>
              </w:rPr>
            </w:r>
            <w:r/>
          </w:p>
        </w:tc>
        <w:tc>
          <w:tcPr>
            <w:tcW w:w="2035"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r>
      <w:tr>
        <w:trPr>
          <w:cantSplit/>
          <w:trHeight w:val="232"/>
        </w:trPr>
        <w:tc>
          <w:tcPr>
            <w:tcW w:w="991"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5</w:t>
            </w:r>
            <w:r>
              <w:rPr>
                <w:rFonts w:ascii="宋体" w:hAnsi="宋体"/>
                <w:sz w:val="18"/>
                <w:szCs w:val="18"/>
              </w:rPr>
            </w:r>
            <w:r/>
          </w:p>
        </w:tc>
        <w:tc>
          <w:tcPr>
            <w:tcW w:w="937" w:type="dxa"/>
            <w:vAlign w:val="center"/>
            <w:textDirection w:val="lrTb"/>
            <w:noWrap w:val="false"/>
          </w:tcPr>
          <w:p>
            <w:pPr>
              <w:pStyle w:val="1151"/>
              <w:ind w:firstLine="360"/>
              <w:spacing w:line="360" w:lineRule="auto"/>
              <w:widowControl/>
              <w:rPr>
                <w:bCs/>
                <w:sz w:val="18"/>
              </w:rPr>
            </w:pPr>
            <w:r>
              <w:rPr>
                <w:rFonts w:hint="eastAsia"/>
                <w:bCs/>
                <w:sz w:val="18"/>
              </w:rPr>
              <w:t xml:space="preserve">A2</w:t>
            </w:r>
            <w:r>
              <w:rPr>
                <w:bCs/>
                <w:sz w:val="18"/>
              </w:rPr>
            </w:r>
            <w:r/>
          </w:p>
        </w:tc>
        <w:tc>
          <w:tcPr>
            <w:tcW w:w="1429" w:type="dxa"/>
            <w:vAlign w:val="center"/>
            <w:textDirection w:val="lrTb"/>
            <w:noWrap w:val="false"/>
          </w:tcPr>
          <w:p>
            <w:pPr>
              <w:pStyle w:val="1151"/>
              <w:spacing w:line="360" w:lineRule="auto"/>
              <w:widowControl/>
              <w:rPr>
                <w:bCs/>
                <w:sz w:val="18"/>
              </w:rPr>
            </w:pPr>
            <w:r>
              <w:rPr>
                <w:rFonts w:hint="eastAsia"/>
                <w:bCs/>
                <w:sz w:val="18"/>
              </w:rPr>
              <w:t xml:space="preserve">第</w:t>
            </w:r>
            <w:r>
              <w:rPr>
                <w:bCs/>
                <w:sz w:val="18"/>
              </w:rPr>
              <w:t xml:space="preserve">2</w:t>
            </w:r>
            <w:r>
              <w:rPr>
                <w:rFonts w:hint="eastAsia"/>
                <w:bCs/>
                <w:sz w:val="18"/>
              </w:rPr>
              <w:t xml:space="preserve">路RS485A</w:t>
            </w:r>
            <w:r>
              <w:rPr>
                <w:bCs/>
                <w:sz w:val="18"/>
              </w:rPr>
            </w:r>
            <w:r/>
          </w:p>
        </w:tc>
        <w:tc>
          <w:tcPr>
            <w:tcW w:w="2238"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RV</w:t>
            </w:r>
            <w:r>
              <w:rPr>
                <w:rFonts w:ascii="宋体" w:hAnsi="宋体"/>
                <w:sz w:val="18"/>
                <w:szCs w:val="18"/>
              </w:rPr>
              <w:t xml:space="preserve">1.0</w:t>
            </w:r>
            <w:r>
              <w:rPr>
                <w:rFonts w:hint="eastAsia" w:ascii="宋体" w:hAnsi="宋体"/>
                <w:sz w:val="18"/>
                <w:szCs w:val="18"/>
              </w:rPr>
              <w:t xml:space="preserve">mm</w:t>
            </w:r>
            <w:r>
              <w:rPr>
                <w:rFonts w:hint="eastAsia" w:ascii="宋体" w:hAnsi="宋体" w:cs="宋体"/>
                <w:sz w:val="18"/>
                <w:szCs w:val="18"/>
              </w:rPr>
              <w:t xml:space="preserve">²</w:t>
            </w:r>
            <w:r>
              <w:rPr>
                <w:rFonts w:ascii="宋体" w:hAnsi="宋体"/>
                <w:sz w:val="18"/>
                <w:szCs w:val="18"/>
              </w:rPr>
            </w:r>
            <w:r/>
          </w:p>
        </w:tc>
        <w:tc>
          <w:tcPr>
            <w:tcW w:w="1300"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c>
          <w:tcPr>
            <w:tcW w:w="2035"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r>
      <w:tr>
        <w:trPr>
          <w:cantSplit/>
          <w:trHeight w:val="232"/>
        </w:trPr>
        <w:tc>
          <w:tcPr>
            <w:tcW w:w="991"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6</w:t>
            </w:r>
            <w:r>
              <w:rPr>
                <w:rFonts w:ascii="宋体" w:hAnsi="宋体"/>
                <w:sz w:val="18"/>
                <w:szCs w:val="18"/>
              </w:rPr>
            </w:r>
            <w:r/>
          </w:p>
        </w:tc>
        <w:tc>
          <w:tcPr>
            <w:tcW w:w="937" w:type="dxa"/>
            <w:vAlign w:val="center"/>
            <w:textDirection w:val="lrTb"/>
            <w:noWrap w:val="false"/>
          </w:tcPr>
          <w:p>
            <w:pPr>
              <w:pStyle w:val="1151"/>
              <w:ind w:firstLine="360"/>
              <w:spacing w:line="360" w:lineRule="auto"/>
              <w:widowControl/>
              <w:rPr>
                <w:bCs/>
                <w:sz w:val="18"/>
              </w:rPr>
            </w:pPr>
            <w:r>
              <w:rPr>
                <w:rFonts w:hint="eastAsia"/>
                <w:bCs/>
                <w:sz w:val="18"/>
              </w:rPr>
              <w:t xml:space="preserve">B2</w:t>
            </w:r>
            <w:r>
              <w:rPr>
                <w:bCs/>
                <w:sz w:val="18"/>
              </w:rPr>
            </w:r>
            <w:r/>
          </w:p>
        </w:tc>
        <w:tc>
          <w:tcPr>
            <w:tcW w:w="1429" w:type="dxa"/>
            <w:vAlign w:val="center"/>
            <w:textDirection w:val="lrTb"/>
            <w:noWrap w:val="false"/>
          </w:tcPr>
          <w:p>
            <w:pPr>
              <w:pStyle w:val="1151"/>
              <w:spacing w:line="360" w:lineRule="auto"/>
              <w:widowControl/>
              <w:rPr>
                <w:bCs/>
                <w:sz w:val="18"/>
              </w:rPr>
            </w:pPr>
            <w:r>
              <w:rPr>
                <w:rFonts w:hint="eastAsia"/>
                <w:bCs/>
                <w:sz w:val="18"/>
              </w:rPr>
              <w:t xml:space="preserve">第</w:t>
            </w:r>
            <w:r>
              <w:rPr>
                <w:bCs/>
                <w:sz w:val="18"/>
              </w:rPr>
              <w:t xml:space="preserve">2</w:t>
            </w:r>
            <w:r>
              <w:rPr>
                <w:rFonts w:hint="eastAsia"/>
                <w:bCs/>
                <w:sz w:val="18"/>
              </w:rPr>
              <w:t xml:space="preserve">路RS485B</w:t>
            </w:r>
            <w:r>
              <w:rPr>
                <w:bCs/>
                <w:sz w:val="18"/>
              </w:rPr>
            </w:r>
            <w:r/>
          </w:p>
        </w:tc>
        <w:tc>
          <w:tcPr>
            <w:tcW w:w="2238"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RV</w:t>
            </w:r>
            <w:r>
              <w:rPr>
                <w:rFonts w:ascii="宋体" w:hAnsi="宋体"/>
                <w:sz w:val="18"/>
                <w:szCs w:val="18"/>
              </w:rPr>
              <w:t xml:space="preserve">1.0</w:t>
            </w:r>
            <w:r>
              <w:rPr>
                <w:rFonts w:hint="eastAsia" w:ascii="宋体" w:hAnsi="宋体"/>
                <w:sz w:val="18"/>
                <w:szCs w:val="18"/>
              </w:rPr>
              <w:t xml:space="preserve">mm</w:t>
            </w:r>
            <w:r>
              <w:rPr>
                <w:rFonts w:hint="eastAsia" w:ascii="宋体" w:hAnsi="宋体" w:cs="宋体"/>
                <w:sz w:val="18"/>
                <w:szCs w:val="18"/>
              </w:rPr>
              <w:t xml:space="preserve">²</w:t>
            </w:r>
            <w:r>
              <w:rPr>
                <w:rFonts w:ascii="宋体" w:hAnsi="宋体"/>
                <w:sz w:val="18"/>
                <w:szCs w:val="18"/>
              </w:rPr>
            </w:r>
            <w:r/>
          </w:p>
        </w:tc>
        <w:tc>
          <w:tcPr>
            <w:tcW w:w="1300"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c>
          <w:tcPr>
            <w:tcW w:w="2035"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r>
      <w:tr>
        <w:trPr>
          <w:cantSplit/>
          <w:trHeight w:val="232"/>
        </w:trPr>
        <w:tc>
          <w:tcPr>
            <w:tcW w:w="991"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7</w:t>
            </w:r>
            <w:r>
              <w:rPr>
                <w:rFonts w:ascii="宋体" w:hAnsi="宋体"/>
                <w:sz w:val="18"/>
                <w:szCs w:val="18"/>
              </w:rPr>
            </w:r>
            <w:r/>
          </w:p>
        </w:tc>
        <w:tc>
          <w:tcPr>
            <w:tcW w:w="937" w:type="dxa"/>
            <w:vAlign w:val="center"/>
            <w:textDirection w:val="lrTb"/>
            <w:noWrap w:val="false"/>
          </w:tcPr>
          <w:p>
            <w:pPr>
              <w:pStyle w:val="1151"/>
              <w:ind w:firstLine="360"/>
              <w:spacing w:line="360" w:lineRule="auto"/>
              <w:widowControl/>
              <w:rPr>
                <w:bCs/>
                <w:sz w:val="18"/>
              </w:rPr>
            </w:pPr>
            <w:r>
              <w:rPr>
                <w:rFonts w:hint="eastAsia"/>
                <w:bCs/>
                <w:sz w:val="18"/>
              </w:rPr>
              <w:t xml:space="preserve">NC</w:t>
            </w:r>
            <w:r>
              <w:rPr>
                <w:bCs/>
                <w:sz w:val="18"/>
              </w:rPr>
            </w:r>
            <w:r/>
          </w:p>
        </w:tc>
        <w:tc>
          <w:tcPr>
            <w:tcW w:w="1429" w:type="dxa"/>
            <w:vAlign w:val="center"/>
            <w:textDirection w:val="lrTb"/>
            <w:noWrap w:val="false"/>
          </w:tcPr>
          <w:p>
            <w:pPr>
              <w:pStyle w:val="1151"/>
              <w:ind w:firstLine="360"/>
              <w:spacing w:line="360" w:lineRule="auto"/>
              <w:widowControl/>
              <w:rPr>
                <w:rFonts w:ascii="宋体" w:hAnsi="宋体"/>
                <w:sz w:val="18"/>
                <w:szCs w:val="18"/>
              </w:rPr>
            </w:pPr>
            <w:r>
              <w:rPr>
                <w:rFonts w:hint="eastAsia" w:ascii="宋体" w:hAnsi="宋体"/>
                <w:sz w:val="18"/>
                <w:szCs w:val="18"/>
              </w:rPr>
              <w:t xml:space="preserve">空</w:t>
            </w:r>
            <w:r>
              <w:rPr>
                <w:rFonts w:ascii="宋体" w:hAnsi="宋体"/>
                <w:sz w:val="18"/>
                <w:szCs w:val="18"/>
              </w:rPr>
            </w:r>
            <w:r/>
          </w:p>
        </w:tc>
        <w:tc>
          <w:tcPr>
            <w:tcW w:w="2238" w:type="dxa"/>
            <w:vAlign w:val="center"/>
            <w:textDirection w:val="lrTb"/>
            <w:noWrap w:val="false"/>
          </w:tcPr>
          <w:p>
            <w:pPr>
              <w:pStyle w:val="1151"/>
              <w:ind w:firstLine="420"/>
              <w:spacing w:line="360" w:lineRule="auto"/>
              <w:rPr>
                <w:rFonts w:ascii="宋体" w:hAnsi="宋体"/>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2190750</wp:posOffset>
                      </wp:positionH>
                      <wp:positionV relativeFrom="paragraph">
                        <wp:posOffset>57785</wp:posOffset>
                      </wp:positionV>
                      <wp:extent cx="1219200" cy="657225"/>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1219200" cy="657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243;o:allowoverlap:true;o:allowincell:true;mso-position-horizontal-relative:text;margin-left:172.5pt;mso-position-horizontal:absolute;mso-position-vertical-relative:text;margin-top:4.5pt;mso-position-vertical:absolute;width:96.0pt;height:51.8pt;mso-wrap-distance-left:9.0pt;mso-wrap-distance-top:0.0pt;mso-wrap-distance-right:9.0pt;mso-wrap-distance-bottom:0.0pt;" stroked="f">
                      <v:path textboxrect="0,0,0,0"/>
                      <v:imagedata r:id="rId102" o:title=""/>
                    </v:shape>
                  </w:pict>
                </mc:Fallback>
              </mc:AlternateContent>
            </w:r>
            <w:r>
              <w:rPr>
                <w:rFonts w:ascii="宋体" w:hAnsi="宋体"/>
                <w:sz w:val="18"/>
                <w:szCs w:val="18"/>
              </w:rPr>
            </w:r>
            <w:r/>
          </w:p>
        </w:tc>
        <w:tc>
          <w:tcPr>
            <w:tcW w:w="1300" w:type="dxa"/>
            <w:vAlign w:val="center"/>
            <w:vMerge w:val="restart"/>
            <w:textDirection w:val="lrTb"/>
            <w:noWrap w:val="false"/>
          </w:tcPr>
          <w:p>
            <w:pPr>
              <w:pStyle w:val="1151"/>
              <w:spacing w:line="360" w:lineRule="auto"/>
              <w:rPr>
                <w:rFonts w:ascii="宋体" w:hAnsi="宋体" w:eastAsia="汉仪中黑简"/>
                <w:bCs/>
                <w:sz w:val="18"/>
                <w:szCs w:val="18"/>
              </w:rPr>
            </w:pPr>
            <w:r>
              <w:rPr>
                <w:rFonts w:hint="eastAsia" w:ascii="宋体" w:hAnsi="宋体"/>
                <w:sz w:val="18"/>
                <w:szCs w:val="18"/>
              </w:rPr>
              <w:t xml:space="preserve">与电源管理模块接口</w:t>
            </w:r>
            <w:r>
              <w:rPr>
                <w:rFonts w:ascii="宋体" w:hAnsi="宋体" w:eastAsia="汉仪中黑简"/>
                <w:bCs/>
                <w:sz w:val="18"/>
                <w:szCs w:val="18"/>
              </w:rPr>
            </w:r>
            <w:r/>
          </w:p>
        </w:tc>
        <w:tc>
          <w:tcPr>
            <w:tcW w:w="2035"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r>
      <w:tr>
        <w:trPr>
          <w:cantSplit/>
          <w:trHeight w:val="232"/>
        </w:trPr>
        <w:tc>
          <w:tcPr>
            <w:tcW w:w="991"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8</w:t>
            </w:r>
            <w:r>
              <w:rPr>
                <w:rFonts w:ascii="宋体" w:hAnsi="宋体"/>
                <w:sz w:val="18"/>
                <w:szCs w:val="18"/>
              </w:rPr>
            </w:r>
            <w:r/>
          </w:p>
        </w:tc>
        <w:tc>
          <w:tcPr>
            <w:tcW w:w="937" w:type="dxa"/>
            <w:vAlign w:val="center"/>
            <w:textDirection w:val="lrTb"/>
            <w:noWrap w:val="false"/>
          </w:tcPr>
          <w:p>
            <w:pPr>
              <w:pStyle w:val="1151"/>
              <w:ind w:firstLine="360"/>
              <w:spacing w:line="360" w:lineRule="auto"/>
              <w:widowControl/>
              <w:rPr>
                <w:bCs/>
                <w:sz w:val="18"/>
              </w:rPr>
            </w:pPr>
            <w:r>
              <w:rPr>
                <w:rFonts w:hint="eastAsia"/>
                <w:bCs/>
                <w:sz w:val="18"/>
              </w:rPr>
              <w:t xml:space="preserve">A3</w:t>
            </w:r>
            <w:r>
              <w:rPr>
                <w:bCs/>
                <w:sz w:val="18"/>
              </w:rPr>
            </w:r>
            <w:r/>
          </w:p>
        </w:tc>
        <w:tc>
          <w:tcPr>
            <w:tcW w:w="1429" w:type="dxa"/>
            <w:vAlign w:val="center"/>
            <w:textDirection w:val="lrTb"/>
            <w:noWrap w:val="false"/>
          </w:tcPr>
          <w:p>
            <w:pPr>
              <w:pStyle w:val="1151"/>
              <w:spacing w:line="360" w:lineRule="auto"/>
              <w:widowControl/>
              <w:rPr>
                <w:rFonts w:ascii="宋体" w:hAnsi="宋体"/>
                <w:sz w:val="18"/>
                <w:szCs w:val="18"/>
              </w:rPr>
            </w:pPr>
            <w:r>
              <w:rPr>
                <w:rFonts w:hint="eastAsia"/>
                <w:bCs/>
                <w:sz w:val="18"/>
              </w:rPr>
              <w:t xml:space="preserve">第</w:t>
            </w:r>
            <w:r>
              <w:rPr>
                <w:bCs/>
                <w:sz w:val="18"/>
              </w:rPr>
              <w:t xml:space="preserve">3</w:t>
            </w:r>
            <w:r>
              <w:rPr>
                <w:rFonts w:hint="eastAsia"/>
                <w:bCs/>
                <w:sz w:val="18"/>
              </w:rPr>
              <w:t xml:space="preserve">路RS485A</w:t>
            </w:r>
            <w:r>
              <w:rPr>
                <w:rFonts w:ascii="宋体" w:hAnsi="宋体"/>
                <w:sz w:val="18"/>
                <w:szCs w:val="18"/>
              </w:rPr>
            </w:r>
            <w:r/>
          </w:p>
        </w:tc>
        <w:tc>
          <w:tcPr>
            <w:tcW w:w="2238"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RV</w:t>
            </w:r>
            <w:r>
              <w:rPr>
                <w:rFonts w:ascii="宋体" w:hAnsi="宋体"/>
                <w:sz w:val="18"/>
                <w:szCs w:val="18"/>
              </w:rPr>
              <w:t xml:space="preserve">1.0</w:t>
            </w:r>
            <w:r>
              <w:rPr>
                <w:rFonts w:hint="eastAsia" w:ascii="宋体" w:hAnsi="宋体"/>
                <w:sz w:val="18"/>
                <w:szCs w:val="18"/>
              </w:rPr>
              <w:t xml:space="preserve">mm</w:t>
            </w:r>
            <w:r>
              <w:rPr>
                <w:rFonts w:hint="eastAsia" w:ascii="宋体" w:hAnsi="宋体" w:cs="宋体"/>
                <w:sz w:val="18"/>
                <w:szCs w:val="18"/>
              </w:rPr>
              <w:t xml:space="preserve">²</w:t>
            </w:r>
            <w:r>
              <w:rPr>
                <w:rFonts w:ascii="宋体" w:hAnsi="宋体"/>
                <w:sz w:val="18"/>
                <w:szCs w:val="18"/>
              </w:rPr>
            </w:r>
            <w:r/>
          </w:p>
        </w:tc>
        <w:tc>
          <w:tcPr>
            <w:tcW w:w="1300"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c>
          <w:tcPr>
            <w:tcW w:w="2035"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r>
      <w:tr>
        <w:trPr>
          <w:cantSplit/>
          <w:trHeight w:val="232"/>
        </w:trPr>
        <w:tc>
          <w:tcPr>
            <w:tcW w:w="991"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9</w:t>
            </w:r>
            <w:r>
              <w:rPr>
                <w:rFonts w:ascii="宋体" w:hAnsi="宋体"/>
                <w:sz w:val="18"/>
                <w:szCs w:val="18"/>
              </w:rPr>
            </w:r>
            <w:r/>
          </w:p>
        </w:tc>
        <w:tc>
          <w:tcPr>
            <w:tcW w:w="937" w:type="dxa"/>
            <w:vAlign w:val="center"/>
            <w:textDirection w:val="lrTb"/>
            <w:noWrap w:val="false"/>
          </w:tcPr>
          <w:p>
            <w:pPr>
              <w:pStyle w:val="1151"/>
              <w:ind w:firstLine="360"/>
              <w:spacing w:line="360" w:lineRule="auto"/>
              <w:widowControl/>
              <w:rPr>
                <w:bCs/>
                <w:sz w:val="18"/>
              </w:rPr>
            </w:pPr>
            <w:r>
              <w:rPr>
                <w:rFonts w:hint="eastAsia"/>
                <w:bCs/>
                <w:sz w:val="18"/>
              </w:rPr>
              <w:t xml:space="preserve">B3</w:t>
            </w:r>
            <w:r>
              <w:rPr>
                <w:bCs/>
                <w:sz w:val="18"/>
              </w:rPr>
            </w:r>
            <w:r/>
          </w:p>
        </w:tc>
        <w:tc>
          <w:tcPr>
            <w:tcW w:w="1429" w:type="dxa"/>
            <w:vAlign w:val="center"/>
            <w:textDirection w:val="lrTb"/>
            <w:noWrap w:val="false"/>
          </w:tcPr>
          <w:p>
            <w:pPr>
              <w:pStyle w:val="1151"/>
              <w:spacing w:line="360" w:lineRule="auto"/>
              <w:widowControl/>
              <w:rPr>
                <w:rFonts w:ascii="宋体" w:hAnsi="宋体"/>
                <w:sz w:val="18"/>
                <w:szCs w:val="18"/>
              </w:rPr>
            </w:pPr>
            <w:r>
              <w:rPr>
                <w:rFonts w:hint="eastAsia"/>
                <w:bCs/>
                <w:sz w:val="18"/>
              </w:rPr>
              <w:t xml:space="preserve">第</w:t>
            </w:r>
            <w:r>
              <w:rPr>
                <w:bCs/>
                <w:sz w:val="18"/>
              </w:rPr>
              <w:t xml:space="preserve">3</w:t>
            </w:r>
            <w:r>
              <w:rPr>
                <w:rFonts w:hint="eastAsia"/>
                <w:bCs/>
                <w:sz w:val="18"/>
              </w:rPr>
              <w:t xml:space="preserve">路RS485B</w:t>
            </w:r>
            <w:r>
              <w:rPr>
                <w:rFonts w:ascii="宋体" w:hAnsi="宋体"/>
                <w:sz w:val="18"/>
                <w:szCs w:val="18"/>
              </w:rPr>
            </w:r>
            <w:r/>
          </w:p>
        </w:tc>
        <w:tc>
          <w:tcPr>
            <w:tcW w:w="2238"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RV</w:t>
            </w:r>
            <w:r>
              <w:rPr>
                <w:rFonts w:ascii="宋体" w:hAnsi="宋体"/>
                <w:sz w:val="18"/>
                <w:szCs w:val="18"/>
              </w:rPr>
              <w:t xml:space="preserve">1.0</w:t>
            </w:r>
            <w:r>
              <w:rPr>
                <w:rFonts w:hint="eastAsia" w:ascii="宋体" w:hAnsi="宋体"/>
                <w:sz w:val="18"/>
                <w:szCs w:val="18"/>
              </w:rPr>
              <w:t xml:space="preserve">mm</w:t>
            </w:r>
            <w:r>
              <w:rPr>
                <w:rFonts w:hint="eastAsia" w:ascii="宋体" w:hAnsi="宋体" w:cs="宋体"/>
                <w:sz w:val="18"/>
                <w:szCs w:val="18"/>
              </w:rPr>
              <w:t xml:space="preserve">²</w:t>
            </w:r>
            <w:r>
              <w:rPr>
                <w:rFonts w:ascii="宋体" w:hAnsi="宋体"/>
                <w:sz w:val="18"/>
                <w:szCs w:val="18"/>
              </w:rPr>
            </w:r>
            <w:r/>
          </w:p>
        </w:tc>
        <w:tc>
          <w:tcPr>
            <w:tcW w:w="1300"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c>
          <w:tcPr>
            <w:tcW w:w="2035"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r>
      <w:tr>
        <w:trPr>
          <w:cantSplit/>
          <w:trHeight w:val="232"/>
        </w:trPr>
        <w:tc>
          <w:tcPr>
            <w:tcW w:w="991"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10</w:t>
            </w:r>
            <w:r>
              <w:rPr>
                <w:rFonts w:ascii="宋体" w:hAnsi="宋体"/>
                <w:sz w:val="18"/>
                <w:szCs w:val="18"/>
              </w:rPr>
            </w:r>
            <w:r/>
          </w:p>
        </w:tc>
        <w:tc>
          <w:tcPr>
            <w:tcW w:w="937" w:type="dxa"/>
            <w:vAlign w:val="center"/>
            <w:textDirection w:val="lrTb"/>
            <w:noWrap w:val="false"/>
          </w:tcPr>
          <w:p>
            <w:pPr>
              <w:pStyle w:val="1151"/>
              <w:spacing w:line="360" w:lineRule="auto"/>
              <w:widowControl/>
              <w:rPr>
                <w:bCs/>
                <w:sz w:val="18"/>
              </w:rPr>
            </w:pPr>
            <w:r>
              <w:rPr>
                <w:rFonts w:hint="eastAsia"/>
                <w:bCs/>
                <w:sz w:val="18"/>
              </w:rPr>
              <w:t xml:space="preserve">XGND4</w:t>
            </w:r>
            <w:r>
              <w:rPr>
                <w:bCs/>
                <w:sz w:val="18"/>
              </w:rPr>
            </w:r>
            <w:r/>
          </w:p>
        </w:tc>
        <w:tc>
          <w:tcPr>
            <w:tcW w:w="1429" w:type="dxa"/>
            <w:vAlign w:val="center"/>
            <w:textDirection w:val="lrTb"/>
            <w:noWrap w:val="false"/>
          </w:tcPr>
          <w:p>
            <w:pPr>
              <w:pStyle w:val="1151"/>
              <w:spacing w:line="360" w:lineRule="auto"/>
              <w:widowControl/>
              <w:rPr>
                <w:bCs/>
                <w:sz w:val="18"/>
              </w:rPr>
            </w:pPr>
            <w:r>
              <w:rPr>
                <w:rFonts w:hint="eastAsia"/>
                <w:bCs/>
                <w:sz w:val="18"/>
              </w:rPr>
              <w:t xml:space="preserve">第4路RS232地</w:t>
            </w:r>
            <w:r>
              <w:rPr>
                <w:bCs/>
                <w:sz w:val="18"/>
              </w:rPr>
            </w:r>
            <w:r/>
          </w:p>
        </w:tc>
        <w:tc>
          <w:tcPr>
            <w:tcW w:w="2238"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RV</w:t>
            </w:r>
            <w:r>
              <w:rPr>
                <w:rFonts w:ascii="宋体" w:hAnsi="宋体"/>
                <w:sz w:val="18"/>
                <w:szCs w:val="18"/>
              </w:rPr>
              <w:t xml:space="preserve">1.0</w:t>
            </w:r>
            <w:r>
              <w:rPr>
                <w:rFonts w:hint="eastAsia" w:ascii="宋体" w:hAnsi="宋体"/>
                <w:sz w:val="18"/>
                <w:szCs w:val="18"/>
              </w:rPr>
              <w:t xml:space="preserve">mm</w:t>
            </w:r>
            <w:r>
              <w:rPr>
                <w:rFonts w:hint="eastAsia" w:ascii="宋体" w:hAnsi="宋体" w:cs="宋体"/>
                <w:sz w:val="18"/>
                <w:szCs w:val="18"/>
              </w:rPr>
              <w:t xml:space="preserve">²</w:t>
            </w:r>
            <w:r>
              <w:rPr>
                <w:rFonts w:ascii="宋体" w:hAnsi="宋体"/>
                <w:sz w:val="18"/>
                <w:szCs w:val="18"/>
              </w:rPr>
            </w:r>
            <w:r/>
          </w:p>
        </w:tc>
        <w:tc>
          <w:tcPr>
            <w:tcW w:w="1300" w:type="dxa"/>
            <w:vAlign w:val="center"/>
            <w:vMerge w:val="restart"/>
            <w:textDirection w:val="lrTb"/>
            <w:noWrap w:val="false"/>
          </w:tcPr>
          <w:p>
            <w:pPr>
              <w:pStyle w:val="1151"/>
              <w:spacing w:line="360" w:lineRule="auto"/>
              <w:rPr>
                <w:rFonts w:ascii="宋体" w:hAnsi="宋体" w:eastAsia="汉仪中黑简"/>
                <w:bCs/>
                <w:sz w:val="18"/>
                <w:szCs w:val="18"/>
              </w:rPr>
            </w:pPr>
            <w:r>
              <w:rPr>
                <w:rFonts w:hint="eastAsia" w:ascii="宋体" w:hAnsi="宋体"/>
                <w:sz w:val="18"/>
                <w:szCs w:val="18"/>
              </w:rPr>
              <w:t xml:space="preserve">扩展预留接口</w:t>
            </w:r>
            <w:r>
              <w:rPr>
                <w:rFonts w:ascii="宋体" w:hAnsi="宋体" w:eastAsia="汉仪中黑简"/>
                <w:bCs/>
                <w:sz w:val="18"/>
                <w:szCs w:val="18"/>
              </w:rPr>
            </w:r>
            <w:r/>
          </w:p>
        </w:tc>
        <w:tc>
          <w:tcPr>
            <w:tcW w:w="2035"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r>
      <w:tr>
        <w:trPr>
          <w:cantSplit/>
          <w:trHeight w:val="232"/>
        </w:trPr>
        <w:tc>
          <w:tcPr>
            <w:tcW w:w="991"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11</w:t>
            </w:r>
            <w:r>
              <w:rPr>
                <w:rFonts w:ascii="宋体" w:hAnsi="宋体"/>
                <w:sz w:val="18"/>
                <w:szCs w:val="18"/>
              </w:rPr>
            </w:r>
            <w:r/>
          </w:p>
        </w:tc>
        <w:tc>
          <w:tcPr>
            <w:tcW w:w="937" w:type="dxa"/>
            <w:vAlign w:val="center"/>
            <w:textDirection w:val="lrTb"/>
            <w:noWrap w:val="false"/>
          </w:tcPr>
          <w:p>
            <w:pPr>
              <w:pStyle w:val="1151"/>
              <w:ind w:firstLine="360"/>
              <w:spacing w:line="360" w:lineRule="auto"/>
              <w:widowControl/>
              <w:rPr>
                <w:bCs/>
                <w:sz w:val="18"/>
              </w:rPr>
            </w:pPr>
            <w:r>
              <w:rPr>
                <w:rFonts w:hint="eastAsia"/>
                <w:bCs/>
                <w:sz w:val="18"/>
              </w:rPr>
              <w:t xml:space="preserve">TX4</w:t>
            </w:r>
            <w:r>
              <w:rPr>
                <w:bCs/>
                <w:sz w:val="18"/>
              </w:rPr>
            </w:r>
            <w:r/>
          </w:p>
        </w:tc>
        <w:tc>
          <w:tcPr>
            <w:tcW w:w="1429" w:type="dxa"/>
            <w:vAlign w:val="center"/>
            <w:textDirection w:val="lrTb"/>
            <w:noWrap w:val="false"/>
          </w:tcPr>
          <w:p>
            <w:pPr>
              <w:pStyle w:val="1151"/>
              <w:spacing w:line="360" w:lineRule="auto"/>
              <w:widowControl/>
              <w:rPr>
                <w:rFonts w:ascii="宋体" w:hAnsi="宋体"/>
                <w:sz w:val="18"/>
                <w:szCs w:val="18"/>
              </w:rPr>
            </w:pPr>
            <w:r>
              <w:rPr>
                <w:rFonts w:hint="eastAsia"/>
                <w:bCs/>
                <w:sz w:val="18"/>
              </w:rPr>
              <w:t xml:space="preserve">第</w:t>
            </w:r>
            <w:r>
              <w:rPr>
                <w:bCs/>
                <w:sz w:val="18"/>
              </w:rPr>
              <w:t xml:space="preserve">4</w:t>
            </w:r>
            <w:r>
              <w:rPr>
                <w:rFonts w:hint="eastAsia"/>
                <w:bCs/>
                <w:sz w:val="18"/>
              </w:rPr>
              <w:t xml:space="preserve">路RS232发送</w:t>
            </w:r>
            <w:r>
              <w:rPr>
                <w:rFonts w:ascii="宋体" w:hAnsi="宋体"/>
                <w:sz w:val="18"/>
                <w:szCs w:val="18"/>
              </w:rPr>
            </w:r>
            <w:r/>
          </w:p>
        </w:tc>
        <w:tc>
          <w:tcPr>
            <w:tcW w:w="2238"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RV</w:t>
            </w:r>
            <w:r>
              <w:rPr>
                <w:rFonts w:ascii="宋体" w:hAnsi="宋体"/>
                <w:sz w:val="18"/>
                <w:szCs w:val="18"/>
              </w:rPr>
              <w:t xml:space="preserve">1.0</w:t>
            </w:r>
            <w:r>
              <w:rPr>
                <w:rFonts w:hint="eastAsia" w:ascii="宋体" w:hAnsi="宋体"/>
                <w:sz w:val="18"/>
                <w:szCs w:val="18"/>
              </w:rPr>
              <w:t xml:space="preserve">mm</w:t>
            </w:r>
            <w:r>
              <w:rPr>
                <w:rFonts w:hint="eastAsia" w:ascii="宋体" w:hAnsi="宋体" w:cs="宋体"/>
                <w:sz w:val="18"/>
                <w:szCs w:val="18"/>
              </w:rPr>
              <w:t xml:space="preserve">²</w:t>
            </w:r>
            <w:r>
              <w:rPr>
                <w:rFonts w:ascii="宋体" w:hAnsi="宋体"/>
                <w:sz w:val="18"/>
                <w:szCs w:val="18"/>
              </w:rPr>
            </w:r>
            <w:r/>
          </w:p>
        </w:tc>
        <w:tc>
          <w:tcPr>
            <w:tcW w:w="1300"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c>
          <w:tcPr>
            <w:tcW w:w="2035"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r>
      <w:tr>
        <w:trPr>
          <w:cantSplit/>
          <w:trHeight w:val="232"/>
        </w:trPr>
        <w:tc>
          <w:tcPr>
            <w:tcW w:w="991"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12</w:t>
            </w:r>
            <w:r>
              <w:rPr>
                <w:rFonts w:ascii="宋体" w:hAnsi="宋体"/>
                <w:sz w:val="18"/>
                <w:szCs w:val="18"/>
              </w:rPr>
            </w:r>
            <w:r/>
          </w:p>
        </w:tc>
        <w:tc>
          <w:tcPr>
            <w:tcW w:w="937" w:type="dxa"/>
            <w:vAlign w:val="center"/>
            <w:textDirection w:val="lrTb"/>
            <w:noWrap w:val="false"/>
          </w:tcPr>
          <w:p>
            <w:pPr>
              <w:pStyle w:val="1151"/>
              <w:ind w:firstLine="360"/>
              <w:spacing w:line="360" w:lineRule="auto"/>
              <w:widowControl/>
              <w:rPr>
                <w:bCs/>
                <w:sz w:val="18"/>
              </w:rPr>
            </w:pPr>
            <w:r>
              <w:rPr>
                <w:rFonts w:hint="eastAsia"/>
                <w:bCs/>
                <w:sz w:val="18"/>
              </w:rPr>
              <w:t xml:space="preserve">RX4</w:t>
            </w:r>
            <w:r>
              <w:rPr>
                <w:bCs/>
                <w:sz w:val="18"/>
              </w:rPr>
            </w:r>
            <w:r/>
          </w:p>
        </w:tc>
        <w:tc>
          <w:tcPr>
            <w:tcW w:w="1429" w:type="dxa"/>
            <w:vAlign w:val="center"/>
            <w:textDirection w:val="lrTb"/>
            <w:noWrap w:val="false"/>
          </w:tcPr>
          <w:p>
            <w:pPr>
              <w:pStyle w:val="1151"/>
              <w:spacing w:line="360" w:lineRule="auto"/>
              <w:widowControl/>
              <w:rPr>
                <w:rFonts w:ascii="宋体" w:hAnsi="宋体"/>
                <w:sz w:val="18"/>
                <w:szCs w:val="18"/>
              </w:rPr>
            </w:pPr>
            <w:r>
              <w:rPr>
                <w:rFonts w:hint="eastAsia"/>
                <w:bCs/>
                <w:sz w:val="18"/>
              </w:rPr>
              <w:t xml:space="preserve">第</w:t>
            </w:r>
            <w:r>
              <w:rPr>
                <w:bCs/>
                <w:sz w:val="18"/>
              </w:rPr>
              <w:t xml:space="preserve">4</w:t>
            </w:r>
            <w:r>
              <w:rPr>
                <w:rFonts w:hint="eastAsia"/>
                <w:bCs/>
                <w:sz w:val="18"/>
              </w:rPr>
              <w:t xml:space="preserve">路RS232接收</w:t>
            </w:r>
            <w:r>
              <w:rPr>
                <w:rFonts w:ascii="宋体" w:hAnsi="宋体"/>
                <w:sz w:val="18"/>
                <w:szCs w:val="18"/>
              </w:rPr>
            </w:r>
            <w:r/>
          </w:p>
        </w:tc>
        <w:tc>
          <w:tcPr>
            <w:tcW w:w="2238" w:type="dxa"/>
            <w:vAlign w:val="center"/>
            <w:textDirection w:val="lrTb"/>
            <w:noWrap w:val="false"/>
          </w:tcPr>
          <w:p>
            <w:pPr>
              <w:pStyle w:val="1151"/>
              <w:ind w:firstLine="360"/>
              <w:spacing w:line="360" w:lineRule="auto"/>
              <w:rPr>
                <w:rFonts w:ascii="宋体" w:hAnsi="宋体"/>
                <w:sz w:val="18"/>
                <w:szCs w:val="18"/>
              </w:rPr>
            </w:pPr>
            <w:r>
              <w:rPr>
                <w:rFonts w:hint="eastAsia" w:ascii="宋体" w:hAnsi="宋体"/>
                <w:sz w:val="18"/>
                <w:szCs w:val="18"/>
              </w:rPr>
              <w:t xml:space="preserve">RV</w:t>
            </w:r>
            <w:r>
              <w:rPr>
                <w:rFonts w:ascii="宋体" w:hAnsi="宋体"/>
                <w:sz w:val="18"/>
                <w:szCs w:val="18"/>
              </w:rPr>
              <w:t xml:space="preserve">1.0</w:t>
            </w:r>
            <w:r>
              <w:rPr>
                <w:rFonts w:hint="eastAsia" w:ascii="宋体" w:hAnsi="宋体"/>
                <w:sz w:val="18"/>
                <w:szCs w:val="18"/>
              </w:rPr>
              <w:t xml:space="preserve">mm</w:t>
            </w:r>
            <w:r>
              <w:rPr>
                <w:rFonts w:hint="eastAsia" w:ascii="宋体" w:hAnsi="宋体" w:cs="宋体"/>
                <w:sz w:val="18"/>
                <w:szCs w:val="18"/>
              </w:rPr>
              <w:t xml:space="preserve">²</w:t>
            </w:r>
            <w:r>
              <w:rPr>
                <w:rFonts w:ascii="宋体" w:hAnsi="宋体"/>
                <w:sz w:val="18"/>
                <w:szCs w:val="18"/>
              </w:rPr>
            </w:r>
            <w:r/>
          </w:p>
        </w:tc>
        <w:tc>
          <w:tcPr>
            <w:tcW w:w="1300"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c>
          <w:tcPr>
            <w:tcW w:w="2035" w:type="dxa"/>
            <w:vAlign w:val="center"/>
            <w:vMerge w:val="continue"/>
            <w:textDirection w:val="lrTb"/>
            <w:noWrap w:val="false"/>
          </w:tcPr>
          <w:p>
            <w:pPr>
              <w:pStyle w:val="1151"/>
              <w:ind w:firstLine="360"/>
              <w:spacing w:line="360" w:lineRule="auto"/>
              <w:rPr>
                <w:rFonts w:ascii="宋体" w:hAnsi="宋体"/>
                <w:sz w:val="18"/>
                <w:szCs w:val="18"/>
              </w:rPr>
            </w:pPr>
            <w:r>
              <w:rPr>
                <w:rFonts w:ascii="宋体" w:hAnsi="宋体"/>
                <w:sz w:val="18"/>
                <w:szCs w:val="18"/>
              </w:rPr>
            </w:r>
            <w:r/>
          </w:p>
        </w:tc>
      </w:tr>
    </w:tbl>
    <w:p>
      <w:pPr>
        <w:pStyle w:val="1151"/>
        <w:spacing w:line="312" w:lineRule="exact"/>
        <w:rPr>
          <w:rFonts w:ascii="宋体" w:hAnsi="宋体" w:eastAsia="宋体"/>
          <w:szCs w:val="21"/>
        </w:rPr>
        <w:outlineLvl w:val="2"/>
      </w:pPr>
      <w:r/>
      <w:bookmarkStart w:id="388" w:name="_Toc35713671"/>
      <w:r>
        <w:rPr>
          <w:rFonts w:ascii="宋体" w:hAnsi="宋体" w:eastAsia="宋体"/>
          <w:szCs w:val="21"/>
        </w:rPr>
        <w:t xml:space="preserve">B.2.13</w:t>
      </w:r>
      <w:r>
        <w:rPr>
          <w:rStyle w:val="1246"/>
          <w:szCs w:val="22"/>
        </w:rPr>
        <w:t xml:space="preserve">终端</w:t>
      </w:r>
      <w:r>
        <w:rPr>
          <w:rStyle w:val="1246"/>
          <w:rFonts w:hint="eastAsia"/>
          <w:szCs w:val="22"/>
        </w:rPr>
        <w:t xml:space="preserve">扩展液晶屏接口</w:t>
      </w:r>
      <w:r>
        <w:rPr>
          <w:rFonts w:ascii="宋体" w:hAnsi="宋体" w:eastAsia="宋体"/>
          <w:szCs w:val="21"/>
        </w:rPr>
      </w:r>
      <w:r/>
    </w:p>
    <w:p>
      <w:pPr>
        <w:pStyle w:val="1151"/>
        <w:rPr>
          <w:rFonts w:hAnsi="宋体"/>
          <w:bCs/>
        </w:rPr>
      </w:pPr>
      <w:r>
        <w:rPr>
          <w:rStyle w:val="1246"/>
          <w:rFonts w:hint="eastAsia" w:hAnsi="宋体"/>
          <w:bCs/>
        </w:rPr>
        <w:t xml:space="preserve">液晶接口为核心单元内部接口，本设计不进行详细规定。厂家设计时应注意直流电源在该接口内的布置，防止错插引起的事故。</w:t>
      </w:r>
      <w:r>
        <w:rPr>
          <w:rFonts w:hAnsi="宋体"/>
          <w:bCs/>
        </w:rPr>
      </w:r>
      <w:r/>
    </w:p>
    <w:p>
      <w:pPr>
        <w:pStyle w:val="1151"/>
        <w:jc w:val="left"/>
        <w:widowControl/>
        <w:rPr>
          <w:rFonts w:ascii="Arial" w:hAnsi="Arial" w:cs="Arial"/>
          <w:szCs w:val="21"/>
        </w:rPr>
      </w:pPr>
      <w:r/>
      <w:bookmarkEnd w:id="388"/>
      <w:r>
        <w:rPr>
          <w:rFonts w:ascii="Arial" w:hAnsi="Arial" w:cs="Arial"/>
          <w:szCs w:val="21"/>
        </w:rPr>
        <w:br w:type="page" w:clear="all"/>
      </w:r>
      <w:r>
        <w:rPr>
          <w:rFonts w:ascii="Arial" w:hAnsi="Arial" w:cs="Arial"/>
          <w:szCs w:val="21"/>
        </w:rPr>
      </w:r>
      <w:r/>
    </w:p>
    <w:p>
      <w:pPr>
        <w:pStyle w:val="1245"/>
        <w:outlineLvl w:val="0"/>
      </w:pPr>
      <w:r/>
      <w:bookmarkStart w:id="389" w:name="_Toc47551482"/>
      <w:r/>
      <w:bookmarkStart w:id="390" w:name="_Toc10951"/>
      <w:r/>
      <w:bookmarkStart w:id="391" w:name="_Toc35772963"/>
      <w:r/>
      <w:bookmarkStart w:id="392" w:name="_Toc209"/>
      <w:r/>
      <w:bookmarkStart w:id="393" w:name="_Toc35713672"/>
      <w:r/>
      <w:bookmarkStart w:id="394" w:name="_Toc55057889"/>
      <w:r/>
      <w:bookmarkStart w:id="395" w:name="_Toc27928"/>
      <w:r>
        <w:rPr>
          <w:rFonts w:hint="eastAsia" w:ascii="黑体" w:hAnsi="黑体" w:eastAsia="黑体"/>
          <w:color w:val="000000"/>
        </w:rPr>
        <w:t xml:space="preserve">附录</w:t>
      </w:r>
      <w:r>
        <w:rPr>
          <w:rFonts w:ascii="黑体" w:hAnsi="黑体" w:eastAsia="黑体"/>
          <w:color w:val="000000"/>
        </w:rPr>
        <w:t xml:space="preserve">C </w:t>
      </w:r>
      <w:r>
        <w:rPr>
          <w:rFonts w:hint="eastAsia" w:ascii="黑体" w:hAnsi="黑体" w:eastAsia="黑体"/>
          <w:color w:val="000000"/>
        </w:rPr>
        <w:t xml:space="preserve">安全芯片管脚定义及封装尺寸</w:t>
      </w:r>
      <w:bookmarkEnd w:id="389"/>
      <w:r/>
      <w:bookmarkEnd w:id="390"/>
      <w:r/>
      <w:bookmarkEnd w:id="391"/>
      <w:r/>
      <w:bookmarkEnd w:id="392"/>
      <w:r/>
      <w:bookmarkEnd w:id="393"/>
      <w:r/>
      <w:bookmarkEnd w:id="394"/>
      <w:r/>
      <w:bookmarkEnd w:id="395"/>
      <w:r/>
      <w:r/>
    </w:p>
    <w:p>
      <w:pPr>
        <w:pStyle w:val="1151"/>
        <w:spacing w:line="312" w:lineRule="exact"/>
        <w:rPr>
          <w:rFonts w:ascii="黑体" w:hAnsi="黑体"/>
          <w:szCs w:val="21"/>
        </w:rPr>
        <w:outlineLvl w:val="1"/>
      </w:pPr>
      <w:r/>
      <w:bookmarkStart w:id="396" w:name="_Toc35713673"/>
      <w:r>
        <w:rPr>
          <w:rFonts w:ascii="黑体" w:hAnsi="黑体" w:eastAsia="黑体"/>
          <w:szCs w:val="21"/>
        </w:rPr>
        <w:t xml:space="preserve">C.1 </w:t>
      </w:r>
      <w:r>
        <w:rPr>
          <w:rFonts w:hint="eastAsia" w:ascii="黑体" w:hAnsi="黑体" w:eastAsia="黑体"/>
          <w:szCs w:val="21"/>
        </w:rPr>
        <w:t xml:space="preserve">安全芯片引脚定义</w:t>
      </w:r>
      <w:bookmarkEnd w:id="396"/>
      <w:r>
        <w:rPr>
          <w:rFonts w:ascii="黑体" w:hAnsi="黑体"/>
          <w:szCs w:val="21"/>
        </w:rPr>
      </w:r>
      <w:r/>
    </w:p>
    <w:p>
      <w:pPr>
        <w:pStyle w:val="1151"/>
        <w:jc w:val="center"/>
        <w:widowControl/>
        <w:rPr>
          <w:rFonts w:ascii="黑体" w:hAnsi="黑体" w:eastAsia="黑体"/>
        </w:rPr>
      </w:pPr>
      <w:r>
        <w:rPr>
          <w:rFonts w:hint="eastAsia" w:ascii="黑体" w:hAnsi="黑体" w:eastAsia="黑体"/>
        </w:rPr>
        <w:t xml:space="preserve">表C</w:t>
      </w:r>
      <w:r>
        <w:rPr>
          <w:rFonts w:ascii="黑体" w:hAnsi="黑体" w:eastAsia="黑体"/>
        </w:rPr>
        <w:t xml:space="preserve">-</w:t>
      </w:r>
      <w:r>
        <w:rPr>
          <w:rFonts w:hint="eastAsia" w:ascii="黑体" w:hAnsi="黑体" w:eastAsia="黑体"/>
        </w:rPr>
        <w:t xml:space="preserve">1 安全芯片引脚定义</w:t>
      </w:r>
      <w:r>
        <w:rPr>
          <w:rFonts w:ascii="黑体" w:hAnsi="黑体" w:eastAsia="黑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1308"/>
        <w:gridCol w:w="1964"/>
        <w:gridCol w:w="4519"/>
      </w:tblGrid>
      <w:tr>
        <w:trPr/>
        <w:tc>
          <w:tcPr>
            <w:tcW w:w="1248" w:type="dxa"/>
            <w:vAlign w:val="center"/>
            <w:textDirection w:val="lrTb"/>
            <w:noWrap w:val="false"/>
          </w:tcPr>
          <w:p>
            <w:pPr>
              <w:pStyle w:val="1199"/>
              <w:jc w:val="center"/>
              <w:spacing w:before="156" w:after="156"/>
              <w:tabs>
                <w:tab w:val="left" w:pos="810" w:leader="none"/>
                <w:tab w:val="left" w:pos="907" w:leader="none"/>
                <w:tab w:val="left" w:pos="1265" w:leader="none"/>
              </w:tabs>
              <w:rPr>
                <w:rFonts w:ascii="新宋体" w:hAnsi="新宋体" w:eastAsia="新宋体"/>
                <w:b/>
              </w:rPr>
            </w:pPr>
            <w:r>
              <w:rPr>
                <w:rFonts w:hint="eastAsia" w:ascii="新宋体" w:hAnsi="新宋体" w:eastAsia="新宋体"/>
                <w:b/>
              </w:rPr>
              <w:t xml:space="preserve">引脚序号</w:t>
            </w:r>
            <w:r>
              <w:rPr>
                <w:rFonts w:ascii="新宋体" w:hAnsi="新宋体" w:eastAsia="新宋体"/>
                <w:b/>
              </w:rPr>
            </w:r>
            <w:r/>
          </w:p>
        </w:tc>
        <w:tc>
          <w:tcPr>
            <w:tcW w:w="1308" w:type="dxa"/>
            <w:vAlign w:val="center"/>
            <w:textDirection w:val="lrTb"/>
            <w:noWrap w:val="false"/>
          </w:tcPr>
          <w:p>
            <w:pPr>
              <w:pStyle w:val="1151"/>
              <w:jc w:val="center"/>
              <w:rPr>
                <w:rFonts w:ascii="新宋体" w:hAnsi="新宋体" w:eastAsia="新宋体"/>
                <w:b/>
              </w:rPr>
            </w:pPr>
            <w:r>
              <w:rPr>
                <w:rFonts w:hint="eastAsia" w:ascii="新宋体" w:hAnsi="新宋体" w:eastAsia="新宋体"/>
                <w:b/>
              </w:rPr>
              <w:t xml:space="preserve">名称</w:t>
            </w:r>
            <w:r>
              <w:rPr>
                <w:rFonts w:ascii="新宋体" w:hAnsi="新宋体" w:eastAsia="新宋体"/>
                <w:b/>
              </w:rPr>
            </w:r>
            <w:r/>
          </w:p>
        </w:tc>
        <w:tc>
          <w:tcPr>
            <w:tcW w:w="1964" w:type="dxa"/>
            <w:vAlign w:val="center"/>
            <w:textDirection w:val="lrTb"/>
            <w:noWrap w:val="false"/>
          </w:tcPr>
          <w:p>
            <w:pPr>
              <w:pStyle w:val="1151"/>
              <w:jc w:val="center"/>
              <w:rPr>
                <w:rFonts w:ascii="新宋体" w:hAnsi="新宋体" w:eastAsia="新宋体"/>
                <w:b/>
              </w:rPr>
            </w:pPr>
            <w:r>
              <w:rPr>
                <w:rFonts w:hint="eastAsia" w:ascii="新宋体" w:hAnsi="新宋体" w:eastAsia="新宋体"/>
                <w:b/>
              </w:rPr>
              <w:t xml:space="preserve">类型</w:t>
            </w:r>
            <w:r>
              <w:rPr>
                <w:rFonts w:ascii="新宋体" w:hAnsi="新宋体" w:eastAsia="新宋体"/>
                <w:b/>
              </w:rPr>
            </w:r>
            <w:r/>
          </w:p>
        </w:tc>
        <w:tc>
          <w:tcPr>
            <w:tcW w:w="4519" w:type="dxa"/>
            <w:vAlign w:val="center"/>
            <w:textDirection w:val="lrTb"/>
            <w:noWrap w:val="false"/>
          </w:tcPr>
          <w:p>
            <w:pPr>
              <w:pStyle w:val="1151"/>
              <w:jc w:val="center"/>
              <w:rPr>
                <w:rFonts w:ascii="新宋体" w:hAnsi="新宋体" w:eastAsia="新宋体"/>
                <w:b/>
              </w:rPr>
            </w:pPr>
            <w:r>
              <w:rPr>
                <w:rFonts w:hint="eastAsia" w:ascii="新宋体" w:hAnsi="新宋体" w:eastAsia="新宋体"/>
                <w:b/>
              </w:rPr>
              <w:t xml:space="preserve">描述</w:t>
            </w:r>
            <w:r>
              <w:rPr>
                <w:rFonts w:ascii="新宋体" w:hAnsi="新宋体" w:eastAsia="新宋体"/>
                <w:b/>
              </w:rPr>
            </w:r>
            <w:r/>
          </w:p>
        </w:tc>
      </w:tr>
      <w:tr>
        <w:trPr/>
        <w:tc>
          <w:tcPr>
            <w:tcW w:w="1248"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1</w:t>
            </w:r>
            <w:r>
              <w:rPr>
                <w:rFonts w:ascii="新宋体" w:hAnsi="新宋体" w:eastAsia="新宋体"/>
              </w:rPr>
            </w:r>
            <w:r/>
          </w:p>
        </w:tc>
        <w:tc>
          <w:tcPr>
            <w:tcW w:w="1308"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GND</w:t>
            </w:r>
            <w:r>
              <w:rPr>
                <w:rFonts w:ascii="新宋体" w:hAnsi="新宋体" w:eastAsia="新宋体"/>
              </w:rPr>
            </w:r>
            <w:r/>
          </w:p>
        </w:tc>
        <w:tc>
          <w:tcPr>
            <w:tcW w:w="1964"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电源</w:t>
            </w:r>
            <w:r>
              <w:rPr>
                <w:rFonts w:ascii="新宋体" w:hAnsi="新宋体" w:eastAsia="新宋体"/>
              </w:rPr>
            </w:r>
            <w:r/>
          </w:p>
        </w:tc>
        <w:tc>
          <w:tcPr>
            <w:tcW w:w="4519"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电源地</w:t>
            </w:r>
            <w:r>
              <w:rPr>
                <w:rFonts w:ascii="新宋体" w:hAnsi="新宋体" w:eastAsia="新宋体"/>
              </w:rPr>
            </w:r>
            <w:r/>
          </w:p>
        </w:tc>
      </w:tr>
      <w:tr>
        <w:trPr/>
        <w:tc>
          <w:tcPr>
            <w:tcW w:w="1248"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2</w:t>
            </w:r>
            <w:r>
              <w:rPr>
                <w:rFonts w:ascii="新宋体" w:hAnsi="新宋体" w:eastAsia="新宋体"/>
              </w:rPr>
            </w:r>
            <w:r/>
          </w:p>
        </w:tc>
        <w:tc>
          <w:tcPr>
            <w:tcW w:w="1308"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SPI_MOSI</w:t>
            </w:r>
            <w:r>
              <w:rPr>
                <w:rFonts w:ascii="新宋体" w:hAnsi="新宋体" w:eastAsia="新宋体"/>
              </w:rPr>
            </w:r>
            <w:r/>
          </w:p>
        </w:tc>
        <w:tc>
          <w:tcPr>
            <w:tcW w:w="1964"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I/O</w:t>
            </w:r>
            <w:r>
              <w:rPr>
                <w:rFonts w:ascii="新宋体" w:hAnsi="新宋体" w:eastAsia="新宋体"/>
              </w:rPr>
            </w:r>
            <w:r/>
          </w:p>
        </w:tc>
        <w:tc>
          <w:tcPr>
            <w:tcW w:w="4519"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SPI_MOSI</w:t>
            </w:r>
            <w:r>
              <w:rPr>
                <w:rFonts w:ascii="新宋体" w:hAnsi="新宋体" w:eastAsia="新宋体"/>
              </w:rPr>
            </w:r>
            <w:r/>
          </w:p>
        </w:tc>
      </w:tr>
      <w:tr>
        <w:trPr/>
        <w:tc>
          <w:tcPr>
            <w:tcW w:w="1248"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3</w:t>
            </w:r>
            <w:r>
              <w:rPr>
                <w:rFonts w:ascii="新宋体" w:hAnsi="新宋体" w:eastAsia="新宋体"/>
              </w:rPr>
            </w:r>
            <w:r/>
          </w:p>
        </w:tc>
        <w:tc>
          <w:tcPr>
            <w:tcW w:w="1308"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SPI_MISO</w:t>
            </w:r>
            <w:r>
              <w:rPr>
                <w:rFonts w:ascii="新宋体" w:hAnsi="新宋体" w:eastAsia="新宋体"/>
              </w:rPr>
            </w:r>
            <w:r/>
          </w:p>
        </w:tc>
        <w:tc>
          <w:tcPr>
            <w:tcW w:w="1964"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I/O</w:t>
            </w:r>
            <w:r>
              <w:rPr>
                <w:rFonts w:ascii="新宋体" w:hAnsi="新宋体" w:eastAsia="新宋体"/>
              </w:rPr>
            </w:r>
            <w:r/>
          </w:p>
        </w:tc>
        <w:tc>
          <w:tcPr>
            <w:tcW w:w="4519"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SPI_MISO</w:t>
            </w:r>
            <w:r>
              <w:rPr>
                <w:rFonts w:ascii="新宋体" w:hAnsi="新宋体" w:eastAsia="新宋体"/>
              </w:rPr>
            </w:r>
            <w:r/>
          </w:p>
        </w:tc>
      </w:tr>
      <w:tr>
        <w:trPr/>
        <w:tc>
          <w:tcPr>
            <w:tcW w:w="1248"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4</w:t>
            </w:r>
            <w:r>
              <w:rPr>
                <w:rFonts w:ascii="新宋体" w:hAnsi="新宋体" w:eastAsia="新宋体"/>
              </w:rPr>
            </w:r>
            <w:r/>
          </w:p>
        </w:tc>
        <w:tc>
          <w:tcPr>
            <w:tcW w:w="1308"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SPI_SSN</w:t>
            </w:r>
            <w:r>
              <w:rPr>
                <w:rFonts w:ascii="新宋体" w:hAnsi="新宋体" w:eastAsia="新宋体"/>
              </w:rPr>
            </w:r>
            <w:r/>
          </w:p>
        </w:tc>
        <w:tc>
          <w:tcPr>
            <w:tcW w:w="1964"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I/O</w:t>
            </w:r>
            <w:r>
              <w:rPr>
                <w:rFonts w:ascii="新宋体" w:hAnsi="新宋体" w:eastAsia="新宋体"/>
              </w:rPr>
            </w:r>
            <w:r/>
          </w:p>
        </w:tc>
        <w:tc>
          <w:tcPr>
            <w:tcW w:w="4519"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SPI_SSN</w:t>
            </w:r>
            <w:r>
              <w:rPr>
                <w:rFonts w:ascii="新宋体" w:hAnsi="新宋体" w:eastAsia="新宋体"/>
              </w:rPr>
            </w:r>
            <w:r/>
          </w:p>
        </w:tc>
      </w:tr>
      <w:tr>
        <w:trPr/>
        <w:tc>
          <w:tcPr>
            <w:tcW w:w="1248"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5</w:t>
            </w:r>
            <w:r>
              <w:rPr>
                <w:rFonts w:ascii="新宋体" w:hAnsi="新宋体" w:eastAsia="新宋体"/>
              </w:rPr>
            </w:r>
            <w:r/>
          </w:p>
        </w:tc>
        <w:tc>
          <w:tcPr>
            <w:tcW w:w="1308"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SPI_SCK</w:t>
            </w:r>
            <w:r>
              <w:rPr>
                <w:rFonts w:ascii="新宋体" w:hAnsi="新宋体" w:eastAsia="新宋体"/>
              </w:rPr>
            </w:r>
            <w:r/>
          </w:p>
        </w:tc>
        <w:tc>
          <w:tcPr>
            <w:tcW w:w="1964"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I/O</w:t>
            </w:r>
            <w:r>
              <w:rPr>
                <w:rFonts w:ascii="新宋体" w:hAnsi="新宋体" w:eastAsia="新宋体"/>
              </w:rPr>
            </w:r>
            <w:r/>
          </w:p>
        </w:tc>
        <w:tc>
          <w:tcPr>
            <w:tcW w:w="4519"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SPI_SCK</w:t>
            </w:r>
            <w:r>
              <w:rPr>
                <w:rFonts w:ascii="新宋体" w:hAnsi="新宋体" w:eastAsia="新宋体"/>
              </w:rPr>
            </w:r>
            <w:r/>
          </w:p>
        </w:tc>
      </w:tr>
      <w:tr>
        <w:trPr/>
        <w:tc>
          <w:tcPr>
            <w:tcW w:w="1248"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6</w:t>
            </w:r>
            <w:r>
              <w:rPr>
                <w:rFonts w:ascii="新宋体" w:hAnsi="新宋体" w:eastAsia="新宋体"/>
              </w:rPr>
            </w:r>
            <w:r/>
          </w:p>
        </w:tc>
        <w:tc>
          <w:tcPr>
            <w:tcW w:w="1308"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SPI_MISO</w:t>
            </w:r>
            <w:r>
              <w:rPr>
                <w:rFonts w:ascii="新宋体" w:hAnsi="新宋体" w:eastAsia="新宋体"/>
              </w:rPr>
            </w:r>
            <w:r/>
          </w:p>
        </w:tc>
        <w:tc>
          <w:tcPr>
            <w:tcW w:w="1964"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I/O</w:t>
            </w:r>
            <w:r>
              <w:rPr>
                <w:rFonts w:ascii="新宋体" w:hAnsi="新宋体" w:eastAsia="新宋体"/>
              </w:rPr>
            </w:r>
            <w:r/>
          </w:p>
        </w:tc>
        <w:tc>
          <w:tcPr>
            <w:tcW w:w="4519"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SPI_MISO</w:t>
            </w:r>
            <w:r>
              <w:rPr>
                <w:rFonts w:ascii="新宋体" w:hAnsi="新宋体" w:eastAsia="新宋体"/>
              </w:rPr>
            </w:r>
            <w:r/>
          </w:p>
        </w:tc>
      </w:tr>
      <w:tr>
        <w:trPr/>
        <w:tc>
          <w:tcPr>
            <w:tcW w:w="1248"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7</w:t>
            </w:r>
            <w:r>
              <w:rPr>
                <w:rFonts w:ascii="新宋体" w:hAnsi="新宋体" w:eastAsia="新宋体"/>
              </w:rPr>
            </w:r>
            <w:r/>
          </w:p>
        </w:tc>
        <w:tc>
          <w:tcPr>
            <w:tcW w:w="1308"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SPI_MOSI</w:t>
            </w:r>
            <w:r>
              <w:rPr>
                <w:rFonts w:ascii="新宋体" w:hAnsi="新宋体" w:eastAsia="新宋体"/>
              </w:rPr>
            </w:r>
            <w:r/>
          </w:p>
        </w:tc>
        <w:tc>
          <w:tcPr>
            <w:tcW w:w="1964"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I/O</w:t>
            </w:r>
            <w:r>
              <w:rPr>
                <w:rFonts w:ascii="新宋体" w:hAnsi="新宋体" w:eastAsia="新宋体"/>
              </w:rPr>
            </w:r>
            <w:r/>
          </w:p>
        </w:tc>
        <w:tc>
          <w:tcPr>
            <w:tcW w:w="4519"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SPI_MOSI</w:t>
            </w:r>
            <w:r>
              <w:rPr>
                <w:rFonts w:ascii="新宋体" w:hAnsi="新宋体" w:eastAsia="新宋体"/>
              </w:rPr>
            </w:r>
            <w:r/>
          </w:p>
        </w:tc>
      </w:tr>
      <w:tr>
        <w:trPr/>
        <w:tc>
          <w:tcPr>
            <w:tcW w:w="1248"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8</w:t>
            </w:r>
            <w:r>
              <w:rPr>
                <w:rFonts w:ascii="新宋体" w:hAnsi="新宋体" w:eastAsia="新宋体"/>
              </w:rPr>
            </w:r>
            <w:r/>
          </w:p>
        </w:tc>
        <w:tc>
          <w:tcPr>
            <w:tcW w:w="1308"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VCC</w:t>
            </w:r>
            <w:r>
              <w:rPr>
                <w:rFonts w:ascii="新宋体" w:hAnsi="新宋体" w:eastAsia="新宋体"/>
              </w:rPr>
            </w:r>
            <w:r/>
          </w:p>
        </w:tc>
        <w:tc>
          <w:tcPr>
            <w:tcW w:w="1964"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电源</w:t>
            </w:r>
            <w:r>
              <w:rPr>
                <w:rFonts w:ascii="新宋体" w:hAnsi="新宋体" w:eastAsia="新宋体"/>
              </w:rPr>
            </w:r>
            <w:r/>
          </w:p>
        </w:tc>
        <w:tc>
          <w:tcPr>
            <w:tcW w:w="4519" w:type="dxa"/>
            <w:vAlign w:val="center"/>
            <w:textDirection w:val="lrTb"/>
            <w:noWrap w:val="false"/>
          </w:tcPr>
          <w:p>
            <w:pPr>
              <w:pStyle w:val="1151"/>
              <w:jc w:val="center"/>
              <w:rPr>
                <w:rFonts w:ascii="新宋体" w:hAnsi="新宋体" w:eastAsia="新宋体"/>
              </w:rPr>
            </w:pPr>
            <w:r>
              <w:rPr>
                <w:rFonts w:hint="eastAsia" w:ascii="新宋体" w:hAnsi="新宋体" w:eastAsia="新宋体"/>
              </w:rPr>
              <w:t xml:space="preserve">电源</w:t>
            </w:r>
            <w:r>
              <w:rPr>
                <w:rFonts w:ascii="新宋体" w:hAnsi="新宋体" w:eastAsia="新宋体"/>
              </w:rPr>
            </w:r>
            <w:r/>
          </w:p>
        </w:tc>
      </w:tr>
    </w:tbl>
    <w:p>
      <w:pPr>
        <w:pStyle w:val="1151"/>
        <w:spacing w:line="312" w:lineRule="exact"/>
        <w:rPr>
          <w:rFonts w:ascii="黑体" w:hAnsi="黑体"/>
          <w:szCs w:val="21"/>
        </w:rPr>
        <w:outlineLvl w:val="1"/>
      </w:pPr>
      <w:r/>
      <w:bookmarkStart w:id="397" w:name="_Toc35713674"/>
      <w:r>
        <w:rPr>
          <w:rFonts w:ascii="黑体" w:hAnsi="黑体" w:eastAsia="黑体"/>
          <w:szCs w:val="21"/>
        </w:rPr>
        <w:t xml:space="preserve">C.2 </w:t>
      </w:r>
      <w:r>
        <w:rPr>
          <w:rFonts w:hint="eastAsia" w:ascii="黑体" w:hAnsi="黑体" w:eastAsia="黑体"/>
          <w:szCs w:val="21"/>
        </w:rPr>
        <w:t xml:space="preserve">安全芯片封装尺寸</w:t>
      </w:r>
      <w:bookmarkEnd w:id="397"/>
      <w:r>
        <w:rPr>
          <w:rFonts w:ascii="黑体" w:hAnsi="黑体"/>
          <w:szCs w:val="21"/>
        </w:rPr>
      </w:r>
      <w:r/>
    </w:p>
    <w:p>
      <w:pPr>
        <w:pStyle w:val="1151"/>
        <w:jc w:val="center"/>
      </w:pPr>
      <w:r>
        <mc:AlternateContent>
          <mc:Choice Requires="wpg">
            <w:drawing>
              <wp:inline xmlns:wp="http://schemas.openxmlformats.org/drawingml/2006/wordprocessingDrawing" distT="0" distB="0" distL="0" distR="0">
                <wp:extent cx="4256202" cy="5464734"/>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4256202" cy="54647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335.1pt;height:430.3pt;mso-wrap-distance-left:0.0pt;mso-wrap-distance-top:0.0pt;mso-wrap-distance-right:0.0pt;mso-wrap-distance-bottom:0.0pt;" stroked="f">
                <v:path textboxrect="0,0,0,0"/>
                <v:imagedata r:id="rId103" o:title=""/>
              </v:shape>
            </w:pict>
          </mc:Fallback>
        </mc:AlternateContent>
      </w:r>
      <w:r/>
    </w:p>
    <w:p>
      <w:pPr>
        <w:pStyle w:val="1151"/>
        <w:jc w:val="center"/>
        <w:widowControl/>
        <w:rPr>
          <w:rFonts w:ascii="黑体" w:hAnsi="黑体" w:eastAsia="黑体"/>
        </w:rPr>
      </w:pPr>
      <w:r>
        <w:rPr>
          <w:rFonts w:hint="eastAsia" w:ascii="黑体" w:hAnsi="黑体" w:eastAsia="黑体"/>
        </w:rPr>
        <w:t xml:space="preserve">图C</w:t>
      </w:r>
      <w:r>
        <w:rPr>
          <w:rFonts w:ascii="黑体" w:hAnsi="黑体" w:eastAsia="黑体"/>
        </w:rPr>
        <w:t xml:space="preserve">-</w:t>
      </w:r>
      <w:r>
        <w:rPr>
          <w:rFonts w:hint="eastAsia" w:ascii="黑体" w:hAnsi="黑体" w:eastAsia="黑体"/>
        </w:rPr>
        <w:t xml:space="preserve">1 安全芯片封装尺寸</w:t>
      </w:r>
      <w:r>
        <w:rPr>
          <w:rFonts w:ascii="黑体" w:hAnsi="黑体" w:eastAsia="黑体"/>
        </w:rPr>
      </w:r>
      <w:r/>
    </w:p>
    <w:p>
      <w:pPr>
        <w:pStyle w:val="1151"/>
        <w:jc w:val="left"/>
        <w:widowControl/>
        <w:rPr>
          <w:rFonts w:ascii="黑体" w:hAnsi="黑体" w:eastAsia="黑体"/>
          <w:color w:val="000000"/>
        </w:rPr>
      </w:pPr>
      <w:r/>
      <w:bookmarkStart w:id="398" w:name="_Toc35772964"/>
      <w:r/>
      <w:bookmarkStart w:id="399" w:name="_Toc35713675"/>
      <w:r/>
      <w:bookmarkStart w:id="400" w:name="_Toc47551483"/>
      <w:r>
        <w:rPr>
          <w:rFonts w:ascii="黑体" w:hAnsi="黑体" w:eastAsia="黑体"/>
          <w:color w:val="000000"/>
        </w:rPr>
        <w:br w:type="page" w:clear="all"/>
      </w:r>
      <w:r>
        <w:rPr>
          <w:rFonts w:ascii="黑体" w:hAnsi="黑体" w:eastAsia="黑体"/>
          <w:color w:val="000000"/>
        </w:rPr>
      </w:r>
      <w:r/>
    </w:p>
    <w:p>
      <w:pPr>
        <w:pStyle w:val="1245"/>
        <w:rPr>
          <w:rFonts w:ascii="黑体" w:hAnsi="黑体" w:eastAsia="黑体"/>
          <w:color w:val="000000"/>
        </w:rPr>
        <w:outlineLvl w:val="0"/>
      </w:pPr>
      <w:r/>
      <w:bookmarkStart w:id="401" w:name="_Toc28256"/>
      <w:r/>
      <w:bookmarkStart w:id="402" w:name="_Toc9291"/>
      <w:r/>
      <w:bookmarkStart w:id="403" w:name="_Toc13605"/>
      <w:r/>
      <w:bookmarkStart w:id="404" w:name="_Toc55057890"/>
      <w:r>
        <w:rPr>
          <w:rFonts w:hint="eastAsia" w:ascii="黑体" w:hAnsi="黑体" w:eastAsia="黑体"/>
          <w:color w:val="000000"/>
        </w:rPr>
        <w:t xml:space="preserve">附录</w:t>
      </w:r>
      <w:r>
        <w:rPr>
          <w:rFonts w:ascii="黑体" w:hAnsi="黑体" w:eastAsia="黑体"/>
          <w:color w:val="000000"/>
        </w:rPr>
        <w:t xml:space="preserve">D </w:t>
      </w:r>
      <w:r>
        <w:rPr>
          <w:rFonts w:hint="eastAsia" w:ascii="黑体" w:hAnsi="黑体" w:eastAsia="黑体"/>
          <w:color w:val="000000"/>
        </w:rPr>
        <w:t xml:space="preserve">矩形连接器接口定义及接线要求</w:t>
      </w:r>
      <w:r>
        <w:rPr>
          <w:rFonts w:ascii="黑体" w:hAnsi="黑体" w:eastAsia="黑体"/>
          <w:color w:val="000000"/>
        </w:rPr>
        <w:t xml:space="preserve">(规范性附录)</w:t>
      </w:r>
      <w:bookmarkEnd w:id="398"/>
      <w:r/>
      <w:bookmarkEnd w:id="399"/>
      <w:r/>
      <w:bookmarkEnd w:id="400"/>
      <w:r/>
      <w:bookmarkEnd w:id="401"/>
      <w:r/>
      <w:bookmarkEnd w:id="402"/>
      <w:r/>
      <w:bookmarkEnd w:id="403"/>
      <w:r/>
      <w:bookmarkEnd w:id="404"/>
      <w:r>
        <w:rPr>
          <w:rFonts w:ascii="黑体" w:hAnsi="黑体" w:eastAsia="黑体"/>
          <w:color w:val="000000"/>
        </w:rPr>
      </w:r>
      <w:r/>
    </w:p>
    <w:p>
      <w:pPr>
        <w:pStyle w:val="1151"/>
        <w:spacing w:line="312" w:lineRule="exact"/>
        <w:rPr>
          <w:rFonts w:ascii="黑体" w:hAnsi="黑体" w:eastAsia="黑体"/>
          <w:szCs w:val="21"/>
        </w:rPr>
        <w:outlineLvl w:val="1"/>
      </w:pPr>
      <w:r/>
      <w:bookmarkStart w:id="405" w:name="_Toc35713676"/>
      <w:r>
        <w:rPr>
          <w:rFonts w:ascii="黑体" w:hAnsi="黑体" w:eastAsia="黑体"/>
          <w:szCs w:val="21"/>
        </w:rPr>
        <w:t xml:space="preserve">D.1</w:t>
      </w:r>
      <w:r>
        <w:rPr>
          <w:rFonts w:hint="eastAsia" w:ascii="黑体" w:hAnsi="黑体" w:eastAsia="黑体"/>
          <w:bCs/>
          <w:szCs w:val="21"/>
        </w:rPr>
        <w:t xml:space="preserve">矩形连接器引脚定义</w:t>
      </w:r>
      <w:r>
        <w:rPr>
          <w:rFonts w:ascii="黑体" w:hAnsi="黑体" w:eastAsia="黑体"/>
          <w:szCs w:val="21"/>
        </w:rPr>
      </w:r>
      <w:r/>
    </w:p>
    <w:p>
      <w:pPr>
        <w:pStyle w:val="1151"/>
        <w:spacing w:line="312" w:lineRule="exact"/>
        <w:rPr>
          <w:rFonts w:ascii="宋体" w:hAnsi="宋体" w:eastAsia="宋体"/>
          <w:szCs w:val="21"/>
        </w:rPr>
        <w:outlineLvl w:val="2"/>
      </w:pPr>
      <w:r/>
      <w:bookmarkEnd w:id="405"/>
      <w:r/>
      <w:bookmarkStart w:id="406" w:name="_Toc35713677"/>
      <w:r>
        <w:rPr>
          <w:rFonts w:ascii="宋体" w:hAnsi="宋体" w:eastAsia="宋体"/>
          <w:szCs w:val="21"/>
        </w:rPr>
        <w:t xml:space="preserve">D.1.1</w:t>
      </w:r>
      <w:r>
        <w:rPr>
          <w:rFonts w:hint="eastAsia" w:ascii="宋体" w:hAnsi="宋体" w:eastAsia="宋体"/>
          <w:szCs w:val="21"/>
        </w:rPr>
        <w:t xml:space="preserve">一二次连接电压</w:t>
      </w:r>
      <w:r>
        <w:rPr>
          <w:rFonts w:ascii="宋体" w:hAnsi="宋体" w:eastAsia="宋体"/>
          <w:szCs w:val="21"/>
        </w:rPr>
        <w:t xml:space="preserve">32+1</w:t>
      </w:r>
      <w:r>
        <w:rPr>
          <w:rFonts w:hint="eastAsia" w:ascii="宋体" w:hAnsi="宋体" w:eastAsia="宋体"/>
          <w:szCs w:val="21"/>
        </w:rPr>
        <w:t xml:space="preserve">芯矩形连接器</w:t>
      </w:r>
      <w:r>
        <w:rPr>
          <w:rFonts w:ascii="宋体" w:hAnsi="宋体" w:eastAsia="宋体"/>
          <w:szCs w:val="21"/>
        </w:rPr>
      </w:r>
      <w:r/>
    </w:p>
    <w:p>
      <w:pPr>
        <w:pStyle w:val="1151"/>
        <w:ind w:firstLine="420"/>
        <w:jc w:val="left"/>
        <w:widowControl/>
        <w:rPr>
          <w:szCs w:val="21"/>
        </w:rPr>
      </w:pPr>
      <w:r>
        <w:rPr>
          <w:rFonts w:hint="eastAsia"/>
          <w:szCs w:val="21"/>
        </w:rPr>
        <w:t xml:space="preserve">一二次连接电压32+1芯矩形连接器引脚定义如表</w:t>
      </w:r>
      <w:r>
        <w:rPr>
          <w:szCs w:val="21"/>
        </w:rPr>
        <w:t xml:space="preserve">D</w:t>
      </w:r>
      <w:r>
        <w:rPr>
          <w:rFonts w:hint="eastAsia"/>
          <w:szCs w:val="21"/>
        </w:rPr>
        <w:t xml:space="preserve">-1所示：</w:t>
      </w:r>
      <w:r>
        <w:rPr>
          <w:szCs w:val="21"/>
        </w:rPr>
      </w:r>
      <w:r/>
    </w:p>
    <w:p>
      <w:pPr>
        <w:pStyle w:val="1151"/>
        <w:jc w:val="center"/>
        <w:widowControl/>
      </w:pPr>
      <w:r>
        <w:rPr>
          <w:rFonts w:hint="eastAsia"/>
        </w:rPr>
        <w:t xml:space="preserve">表D</w:t>
      </w:r>
      <w:r>
        <w:t xml:space="preserve">.1</w:t>
      </w:r>
      <w:r>
        <w:rPr>
          <w:rFonts w:hint="eastAsia"/>
        </w:rPr>
        <w:t xml:space="preserve">-1 </w:t>
      </w:r>
      <w:r>
        <w:rPr>
          <w:rFonts w:hint="eastAsia"/>
          <w:szCs w:val="21"/>
        </w:rPr>
        <w:t xml:space="preserve">一二次连接电压32+1芯矩形连接器引脚定义</w:t>
      </w:r>
      <w:r/>
    </w:p>
    <w:tbl>
      <w:tblPr>
        <w:tblW w:w="86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3"/>
        <w:gridCol w:w="1417"/>
        <w:gridCol w:w="2514"/>
        <w:gridCol w:w="1739"/>
        <w:gridCol w:w="1805"/>
      </w:tblGrid>
      <w:tr>
        <w:trPr/>
        <w:tc>
          <w:tcPr>
            <w:tcW w:w="1183" w:type="dxa"/>
            <w:vAlign w:val="center"/>
            <w:textDirection w:val="lrTb"/>
            <w:noWrap w:val="false"/>
          </w:tcPr>
          <w:p>
            <w:pPr>
              <w:pStyle w:val="1151"/>
              <w:jc w:val="center"/>
              <w:widowControl/>
              <w:rPr>
                <w:szCs w:val="21"/>
              </w:rPr>
            </w:pPr>
            <w:r>
              <w:rPr>
                <w:szCs w:val="21"/>
              </w:rPr>
              <w:t xml:space="preserve">引脚</w:t>
            </w:r>
            <w:r>
              <w:rPr>
                <w:rFonts w:hint="eastAsia"/>
                <w:szCs w:val="21"/>
              </w:rPr>
              <w:t xml:space="preserve">号</w:t>
            </w:r>
            <w:r>
              <w:rPr>
                <w:szCs w:val="21"/>
              </w:rPr>
            </w:r>
            <w:r/>
          </w:p>
        </w:tc>
        <w:tc>
          <w:tcPr>
            <w:tcW w:w="1417" w:type="dxa"/>
            <w:vAlign w:val="center"/>
            <w:textDirection w:val="lrTb"/>
            <w:noWrap w:val="false"/>
          </w:tcPr>
          <w:p>
            <w:pPr>
              <w:pStyle w:val="1151"/>
              <w:jc w:val="center"/>
              <w:widowControl/>
              <w:rPr>
                <w:szCs w:val="21"/>
              </w:rPr>
            </w:pPr>
            <w:r>
              <w:rPr>
                <w:szCs w:val="21"/>
              </w:rPr>
              <w:t xml:space="preserve">标记</w:t>
            </w:r>
            <w:r>
              <w:rPr>
                <w:szCs w:val="21"/>
              </w:rPr>
            </w:r>
            <w:r/>
          </w:p>
        </w:tc>
        <w:tc>
          <w:tcPr>
            <w:tcW w:w="2514" w:type="dxa"/>
            <w:vAlign w:val="center"/>
            <w:textDirection w:val="lrTb"/>
            <w:noWrap w:val="false"/>
          </w:tcPr>
          <w:p>
            <w:pPr>
              <w:pStyle w:val="1151"/>
              <w:jc w:val="center"/>
              <w:widowControl/>
              <w:rPr>
                <w:szCs w:val="21"/>
              </w:rPr>
            </w:pPr>
            <w:r>
              <w:rPr>
                <w:szCs w:val="21"/>
              </w:rPr>
              <w:t xml:space="preserve">标记说明</w:t>
            </w:r>
            <w:r>
              <w:rPr>
                <w:szCs w:val="21"/>
              </w:rPr>
            </w:r>
            <w:r/>
          </w:p>
        </w:tc>
        <w:tc>
          <w:tcPr>
            <w:tcW w:w="1739" w:type="dxa"/>
            <w:vAlign w:val="center"/>
            <w:textDirection w:val="lrTb"/>
            <w:noWrap w:val="false"/>
          </w:tcPr>
          <w:p>
            <w:pPr>
              <w:pStyle w:val="1151"/>
              <w:jc w:val="center"/>
              <w:widowControl/>
              <w:rPr>
                <w:szCs w:val="21"/>
              </w:rPr>
            </w:pPr>
            <w:r>
              <w:rPr>
                <w:szCs w:val="21"/>
              </w:rPr>
              <w:t xml:space="preserve">电缆规格</w:t>
            </w:r>
            <w:r>
              <w:rPr>
                <w:rFonts w:hint="eastAsia"/>
                <w:szCs w:val="21"/>
              </w:rPr>
              <w:t xml:space="preserve">（插头）</w:t>
            </w:r>
            <w:r>
              <w:rPr>
                <w:szCs w:val="21"/>
              </w:rPr>
            </w:r>
            <w:r/>
          </w:p>
        </w:tc>
        <w:tc>
          <w:tcPr>
            <w:tcW w:w="1805" w:type="dxa"/>
            <w:vAlign w:val="center"/>
            <w:textDirection w:val="lrTb"/>
            <w:noWrap w:val="false"/>
          </w:tcPr>
          <w:p>
            <w:pPr>
              <w:pStyle w:val="1151"/>
              <w:jc w:val="center"/>
              <w:widowControl/>
              <w:rPr>
                <w:szCs w:val="21"/>
              </w:rPr>
            </w:pPr>
            <w:r>
              <w:rPr>
                <w:rFonts w:hint="eastAsia"/>
                <w:szCs w:val="21"/>
              </w:rPr>
              <w:t xml:space="preserve">电缆规格（插座）</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3</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4</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5</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6</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7</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8</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9</w:t>
            </w:r>
            <w:r>
              <w:rPr>
                <w:szCs w:val="21"/>
              </w:rPr>
            </w:r>
            <w:r/>
          </w:p>
        </w:tc>
        <w:tc>
          <w:tcPr>
            <w:tcW w:w="1417" w:type="dxa"/>
            <w:vAlign w:val="center"/>
            <w:textDirection w:val="lrTb"/>
            <w:noWrap w:val="false"/>
          </w:tcPr>
          <w:p>
            <w:pPr>
              <w:pStyle w:val="1151"/>
              <w:jc w:val="center"/>
              <w:widowControl/>
              <w:rPr>
                <w:szCs w:val="21"/>
              </w:rPr>
            </w:pPr>
            <w:r>
              <w:rPr>
                <w:szCs w:val="21"/>
              </w:rPr>
              <w:t xml:space="preserve">Ul</w:t>
            </w:r>
            <w:r>
              <w:rPr>
                <w:rFonts w:hint="eastAsia"/>
                <w:szCs w:val="21"/>
              </w:rPr>
              <w:t xml:space="preserve">a</w:t>
            </w:r>
            <w:r>
              <w:rPr>
                <w:szCs w:val="21"/>
              </w:rPr>
            </w:r>
            <w:r/>
          </w:p>
        </w:tc>
        <w:tc>
          <w:tcPr>
            <w:tcW w:w="2514" w:type="dxa"/>
            <w:vAlign w:val="center"/>
            <w:vMerge w:val="restart"/>
            <w:textDirection w:val="lrTb"/>
            <w:noWrap w:val="false"/>
          </w:tcPr>
          <w:p>
            <w:pPr>
              <w:pStyle w:val="1151"/>
              <w:jc w:val="center"/>
              <w:widowControl/>
              <w:rPr>
                <w:szCs w:val="21"/>
              </w:rPr>
            </w:pPr>
            <w:r>
              <w:rPr>
                <w:rFonts w:hint="eastAsia"/>
                <w:szCs w:val="21"/>
              </w:rPr>
              <w:t xml:space="preserve">交流输入电源</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RVV1.5mm²</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0</w:t>
            </w:r>
            <w:r>
              <w:rPr>
                <w:szCs w:val="21"/>
              </w:rPr>
            </w:r>
            <w:r/>
          </w:p>
        </w:tc>
        <w:tc>
          <w:tcPr>
            <w:tcW w:w="1417" w:type="dxa"/>
            <w:vAlign w:val="center"/>
            <w:textDirection w:val="lrTb"/>
            <w:noWrap w:val="false"/>
          </w:tcPr>
          <w:p>
            <w:pPr>
              <w:pStyle w:val="1151"/>
              <w:jc w:val="center"/>
              <w:widowControl/>
              <w:rPr>
                <w:szCs w:val="21"/>
              </w:rPr>
            </w:pPr>
            <w:r>
              <w:rPr>
                <w:szCs w:val="21"/>
              </w:rPr>
              <w:t xml:space="preserve">Ul</w:t>
            </w:r>
            <w:r>
              <w:rPr>
                <w:rFonts w:hint="eastAsia"/>
                <w:szCs w:val="21"/>
              </w:rPr>
              <w:t xml:space="preserve">b</w:t>
            </w:r>
            <w:r>
              <w:rPr>
                <w:szCs w:val="21"/>
              </w:rPr>
            </w:r>
            <w:r/>
          </w:p>
        </w:tc>
        <w:tc>
          <w:tcPr>
            <w:tcW w:w="2514" w:type="dxa"/>
            <w:vAlign w:val="center"/>
            <w:vMerge w:val="continue"/>
            <w:textDirection w:val="lrTb"/>
            <w:noWrap w:val="false"/>
          </w:tcPr>
          <w:p>
            <w:pPr>
              <w:pStyle w:val="1151"/>
              <w:jc w:val="center"/>
              <w:widowControl/>
              <w:rPr>
                <w:szCs w:val="21"/>
              </w:rPr>
            </w:pP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RVV1.5mm²</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1</w:t>
            </w:r>
            <w:r>
              <w:rPr>
                <w:szCs w:val="21"/>
              </w:rPr>
            </w:r>
            <w:r/>
          </w:p>
        </w:tc>
        <w:tc>
          <w:tcPr>
            <w:tcW w:w="1417" w:type="dxa"/>
            <w:vAlign w:val="center"/>
            <w:textDirection w:val="lrTb"/>
            <w:noWrap w:val="false"/>
          </w:tcPr>
          <w:p>
            <w:pPr>
              <w:pStyle w:val="1151"/>
              <w:jc w:val="center"/>
              <w:widowControl/>
              <w:rPr>
                <w:szCs w:val="21"/>
              </w:rPr>
            </w:pPr>
            <w:r>
              <w:rPr>
                <w:szCs w:val="21"/>
              </w:rPr>
              <w:t xml:space="preserve">Ul</w:t>
            </w:r>
            <w:r>
              <w:rPr>
                <w:rFonts w:hint="eastAsia"/>
                <w:szCs w:val="21"/>
              </w:rPr>
              <w:t xml:space="preserve">c</w:t>
            </w:r>
            <w:r>
              <w:rPr>
                <w:szCs w:val="21"/>
              </w:rPr>
            </w:r>
            <w:r/>
          </w:p>
        </w:tc>
        <w:tc>
          <w:tcPr>
            <w:tcW w:w="2514" w:type="dxa"/>
            <w:vAlign w:val="center"/>
            <w:vMerge w:val="continue"/>
            <w:textDirection w:val="lrTb"/>
            <w:noWrap w:val="false"/>
          </w:tcPr>
          <w:p>
            <w:pPr>
              <w:pStyle w:val="1151"/>
              <w:jc w:val="center"/>
              <w:widowControl/>
              <w:rPr>
                <w:szCs w:val="21"/>
              </w:rPr>
            </w:pP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RVV1.5mm²</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2</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BY</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备用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RVV1.5mm²</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3</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w:t>
            </w:r>
            <w:r>
              <w:rPr>
                <w:szCs w:val="21"/>
              </w:rPr>
              <w:t xml:space="preserve">a</w:t>
            </w:r>
            <w:r>
              <w:rPr>
                <w:szCs w:val="21"/>
              </w:rPr>
            </w:r>
            <w:r/>
          </w:p>
        </w:tc>
        <w:tc>
          <w:tcPr>
            <w:tcW w:w="2514" w:type="dxa"/>
            <w:vAlign w:val="center"/>
            <w:textDirection w:val="lrTb"/>
            <w:noWrap w:val="false"/>
          </w:tcPr>
          <w:p>
            <w:pPr>
              <w:pStyle w:val="1151"/>
              <w:jc w:val="center"/>
              <w:widowControl/>
              <w:rPr>
                <w:szCs w:val="21"/>
              </w:rPr>
            </w:pPr>
            <w:r>
              <w:rPr>
                <w:szCs w:val="21"/>
              </w:rPr>
              <w:t xml:space="preserve">A 相电压(计量/测量)</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RVV1.5mm²</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4</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w:t>
            </w:r>
            <w:r>
              <w:rPr>
                <w:szCs w:val="21"/>
              </w:rPr>
              <w:t xml:space="preserve">b</w:t>
            </w:r>
            <w:r>
              <w:rPr>
                <w:szCs w:val="21"/>
              </w:rPr>
            </w:r>
            <w:r/>
          </w:p>
        </w:tc>
        <w:tc>
          <w:tcPr>
            <w:tcW w:w="2514" w:type="dxa"/>
            <w:vAlign w:val="center"/>
            <w:textDirection w:val="lrTb"/>
            <w:noWrap w:val="false"/>
          </w:tcPr>
          <w:p>
            <w:pPr>
              <w:pStyle w:val="1151"/>
              <w:jc w:val="center"/>
              <w:widowControl/>
              <w:rPr>
                <w:szCs w:val="21"/>
              </w:rPr>
            </w:pPr>
            <w:r>
              <w:rPr>
                <w:szCs w:val="21"/>
              </w:rPr>
              <w:t xml:space="preserve">B相电压(计量/测量)</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RVV1.5mm²</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5</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w:t>
            </w:r>
            <w:r>
              <w:rPr>
                <w:szCs w:val="21"/>
              </w:rPr>
              <w:t xml:space="preserve">c</w:t>
            </w:r>
            <w:r>
              <w:rPr>
                <w:szCs w:val="21"/>
              </w:rPr>
            </w:r>
            <w:r/>
          </w:p>
        </w:tc>
        <w:tc>
          <w:tcPr>
            <w:tcW w:w="2514" w:type="dxa"/>
            <w:vAlign w:val="center"/>
            <w:textDirection w:val="lrTb"/>
            <w:noWrap w:val="false"/>
          </w:tcPr>
          <w:p>
            <w:pPr>
              <w:pStyle w:val="1151"/>
              <w:jc w:val="center"/>
              <w:widowControl/>
              <w:rPr>
                <w:szCs w:val="21"/>
              </w:rPr>
            </w:pPr>
            <w:r>
              <w:rPr>
                <w:szCs w:val="21"/>
              </w:rPr>
              <w:t xml:space="preserve">C相电压(计量/测量)</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RVV1.5mm²</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6</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w:t>
            </w:r>
            <w:r>
              <w:rPr>
                <w:szCs w:val="21"/>
              </w:rPr>
              <w:t xml:space="preserve">n</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相电压公共端</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RVV1.5mm²</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7</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w:t>
            </w:r>
            <w:r>
              <w:rPr>
                <w:szCs w:val="21"/>
              </w:rPr>
              <w:t xml:space="preserve">0</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零序电压</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RVV1.5mm²</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8</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w:t>
            </w:r>
            <w:r>
              <w:rPr>
                <w:szCs w:val="21"/>
              </w:rPr>
              <w:t xml:space="preserve">0</w:t>
            </w:r>
            <w:r>
              <w:rPr>
                <w:rFonts w:hint="eastAsia"/>
                <w:szCs w:val="21"/>
              </w:rPr>
              <w:t xml:space="preserve">n</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零序电压公共端</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RVV1.5mm²</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9</w:t>
            </w:r>
            <w:r>
              <w:rPr>
                <w:szCs w:val="21"/>
              </w:rPr>
            </w:r>
            <w:r/>
          </w:p>
        </w:tc>
        <w:tc>
          <w:tcPr>
            <w:tcW w:w="1417" w:type="dxa"/>
            <w:vAlign w:val="center"/>
            <w:textDirection w:val="lrTb"/>
            <w:noWrap w:val="false"/>
          </w:tcPr>
          <w:p>
            <w:pPr>
              <w:pStyle w:val="1151"/>
              <w:jc w:val="center"/>
              <w:widowControl/>
              <w:rPr>
                <w:szCs w:val="21"/>
              </w:rPr>
            </w:pPr>
            <w:r>
              <w:rPr>
                <w:szCs w:val="21"/>
              </w:rPr>
              <w:t xml:space="preserve">BY</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备用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RVV1.5mm²</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t xml:space="preserve">0</w:t>
            </w:r>
            <w:r>
              <w:rPr>
                <w:szCs w:val="21"/>
              </w:rPr>
            </w:r>
            <w:r/>
          </w:p>
        </w:tc>
        <w:tc>
          <w:tcPr>
            <w:tcW w:w="1417" w:type="dxa"/>
            <w:vAlign w:val="center"/>
            <w:textDirection w:val="lrTb"/>
            <w:noWrap w:val="false"/>
          </w:tcPr>
          <w:p>
            <w:pPr>
              <w:pStyle w:val="1151"/>
              <w:jc w:val="center"/>
              <w:widowControl/>
              <w:rPr>
                <w:szCs w:val="21"/>
              </w:rPr>
            </w:pPr>
            <w:r>
              <w:rPr>
                <w:szCs w:val="21"/>
              </w:rPr>
              <w:t xml:space="preserve">BY</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备用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RVV1.5mm²</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t xml:space="preserve">1</w:t>
            </w:r>
            <w:r>
              <w:rPr>
                <w:szCs w:val="21"/>
              </w:rPr>
            </w:r>
            <w:r/>
          </w:p>
        </w:tc>
        <w:tc>
          <w:tcPr>
            <w:tcW w:w="1417" w:type="dxa"/>
            <w:vAlign w:val="center"/>
            <w:textDirection w:val="lrTb"/>
            <w:noWrap w:val="false"/>
          </w:tcPr>
          <w:p>
            <w:pPr>
              <w:pStyle w:val="1151"/>
              <w:jc w:val="center"/>
              <w:widowControl/>
              <w:rPr>
                <w:szCs w:val="21"/>
              </w:rPr>
            </w:pPr>
            <w:r>
              <w:rPr>
                <w:szCs w:val="21"/>
              </w:rPr>
              <w:t xml:space="preserve">BY</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备用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RVV1.5mm²</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t xml:space="preserve">2</w:t>
            </w:r>
            <w:r>
              <w:rPr>
                <w:szCs w:val="21"/>
              </w:rPr>
            </w:r>
            <w:r/>
          </w:p>
        </w:tc>
        <w:tc>
          <w:tcPr>
            <w:tcW w:w="1417" w:type="dxa"/>
            <w:vAlign w:val="center"/>
            <w:textDirection w:val="lrTb"/>
            <w:noWrap w:val="false"/>
          </w:tcPr>
          <w:p>
            <w:pPr>
              <w:pStyle w:val="1151"/>
              <w:jc w:val="center"/>
              <w:widowControl/>
              <w:rPr>
                <w:szCs w:val="21"/>
              </w:rPr>
            </w:pPr>
            <w:r>
              <w:rPr>
                <w:szCs w:val="21"/>
              </w:rPr>
              <w:t xml:space="preserve">BY</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备用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RVV1.5mm²</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t xml:space="preserve">3</w:t>
            </w:r>
            <w:r>
              <w:rPr>
                <w:szCs w:val="21"/>
              </w:rPr>
            </w:r>
            <w:r/>
          </w:p>
        </w:tc>
        <w:tc>
          <w:tcPr>
            <w:tcW w:w="1417" w:type="dxa"/>
            <w:vAlign w:val="center"/>
            <w:textDirection w:val="lrTb"/>
            <w:noWrap w:val="false"/>
          </w:tcPr>
          <w:p>
            <w:pPr>
              <w:pStyle w:val="1151"/>
              <w:jc w:val="center"/>
              <w:widowControl/>
              <w:rPr>
                <w:szCs w:val="21"/>
              </w:rPr>
            </w:pPr>
            <w:r>
              <w:rPr>
                <w:szCs w:val="21"/>
              </w:rPr>
              <w:t xml:space="preserve">BY</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备用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RVV1.5mm²</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t xml:space="preserve">4</w:t>
            </w:r>
            <w:r>
              <w:rPr>
                <w:szCs w:val="21"/>
              </w:rPr>
            </w:r>
            <w:r/>
          </w:p>
        </w:tc>
        <w:tc>
          <w:tcPr>
            <w:tcW w:w="1417" w:type="dxa"/>
            <w:vAlign w:val="center"/>
            <w:textDirection w:val="lrTb"/>
            <w:noWrap w:val="false"/>
          </w:tcPr>
          <w:p>
            <w:pPr>
              <w:pStyle w:val="1151"/>
              <w:jc w:val="center"/>
              <w:widowControl/>
              <w:rPr>
                <w:szCs w:val="21"/>
              </w:rPr>
            </w:pPr>
            <w:r>
              <w:rPr>
                <w:szCs w:val="21"/>
              </w:rPr>
              <w:t xml:space="preserve">BY</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备用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 P 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RVV1.5mm²</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t xml:space="preserve">5</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t xml:space="preserve">6</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szCs w:val="21"/>
              </w:rPr>
              <w:t xml:space="preserve">27</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szCs w:val="21"/>
              </w:rPr>
              <w:t xml:space="preserve">28</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szCs w:val="21"/>
              </w:rPr>
              <w:t xml:space="preserve">29</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szCs w:val="21"/>
              </w:rPr>
              <w:t xml:space="preserve">30</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szCs w:val="21"/>
              </w:rPr>
              <w:t xml:space="preserve">31</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szCs w:val="21"/>
              </w:rPr>
              <w:t xml:space="preserve">32</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bl>
    <w:p>
      <w:pPr>
        <w:pStyle w:val="1151"/>
        <w:jc w:val="left"/>
        <w:widowControl/>
      </w:pPr>
      <w:r>
        <w:rPr>
          <w:rFonts w:hint="eastAsia"/>
        </w:rPr>
        <w:t xml:space="preserve">注：工作电源和采样电源要求耐压2</w:t>
      </w:r>
      <w:r>
        <w:t xml:space="preserve">.5KV</w:t>
      </w:r>
      <w:r>
        <w:rPr>
          <w:rFonts w:hint="eastAsia"/>
        </w:rPr>
        <w:t xml:space="preserve">，冲击5</w:t>
      </w:r>
      <w:r>
        <w:t xml:space="preserve">KV</w:t>
      </w:r>
      <w:r>
        <w:rPr>
          <w:rFonts w:hint="eastAsia"/>
        </w:rPr>
        <w:t xml:space="preserve">。</w:t>
      </w:r>
      <w:r/>
    </w:p>
    <w:p>
      <w:pPr>
        <w:pStyle w:val="1151"/>
      </w:pPr>
      <w:r/>
      <w:r/>
    </w:p>
    <w:p>
      <w:pPr>
        <w:pStyle w:val="1151"/>
        <w:spacing w:line="312" w:lineRule="exact"/>
        <w:rPr>
          <w:szCs w:val="21"/>
        </w:rPr>
        <w:outlineLvl w:val="2"/>
      </w:pPr>
      <w:r>
        <w:rPr>
          <w:szCs w:val="21"/>
        </w:rPr>
        <w:t xml:space="preserve">D.1.2 </w:t>
      </w:r>
      <w:r>
        <w:rPr>
          <w:rFonts w:hint="eastAsia"/>
          <w:szCs w:val="21"/>
        </w:rPr>
        <w:t xml:space="preserve">一二次连接开关间隔</w:t>
      </w:r>
      <w:r>
        <w:rPr>
          <w:szCs w:val="21"/>
        </w:rPr>
        <w:t xml:space="preserve">32+1</w:t>
      </w:r>
      <w:r>
        <w:rPr>
          <w:rFonts w:hint="eastAsia"/>
          <w:szCs w:val="21"/>
        </w:rPr>
        <w:t xml:space="preserve">芯矩形连接器</w:t>
      </w:r>
      <w:bookmarkEnd w:id="406"/>
      <w:r>
        <w:rPr>
          <w:szCs w:val="21"/>
        </w:rPr>
      </w:r>
      <w:r/>
    </w:p>
    <w:p>
      <w:pPr>
        <w:pStyle w:val="1151"/>
        <w:ind w:firstLine="420"/>
        <w:jc w:val="left"/>
        <w:widowControl/>
        <w:rPr>
          <w:szCs w:val="21"/>
        </w:rPr>
      </w:pPr>
      <w:r>
        <w:rPr>
          <w:rFonts w:hint="eastAsia"/>
          <w:szCs w:val="21"/>
        </w:rPr>
        <w:t xml:space="preserve">一二次连接开关间隔32+1芯矩形连接器引脚定义如表</w:t>
      </w:r>
      <w:r>
        <w:rPr>
          <w:szCs w:val="21"/>
        </w:rPr>
        <w:t xml:space="preserve">D</w:t>
      </w:r>
      <w:r>
        <w:rPr>
          <w:rFonts w:hint="eastAsia"/>
          <w:szCs w:val="21"/>
        </w:rPr>
        <w:t xml:space="preserve">-2所示：</w:t>
      </w:r>
      <w:r>
        <w:rPr>
          <w:szCs w:val="21"/>
        </w:rPr>
      </w:r>
      <w:r/>
    </w:p>
    <w:p>
      <w:pPr>
        <w:pStyle w:val="1151"/>
        <w:jc w:val="center"/>
        <w:widowControl/>
      </w:pPr>
      <w:r>
        <w:rPr>
          <w:rFonts w:hint="eastAsia"/>
        </w:rPr>
        <w:t xml:space="preserve">表D</w:t>
      </w:r>
      <w:r>
        <w:t xml:space="preserve">.1</w:t>
      </w:r>
      <w:r>
        <w:rPr>
          <w:rFonts w:hint="eastAsia"/>
        </w:rPr>
        <w:t xml:space="preserve">-2</w:t>
      </w:r>
      <w:r>
        <w:rPr>
          <w:rFonts w:hint="eastAsia"/>
          <w:szCs w:val="21"/>
        </w:rPr>
        <w:t xml:space="preserve">一二次连接开关间隔32+1芯矩形连接器引脚定义</w:t>
      </w:r>
      <w:r/>
    </w:p>
    <w:tbl>
      <w:tblPr>
        <w:tblW w:w="104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7"/>
        <w:gridCol w:w="1136"/>
        <w:gridCol w:w="2851"/>
        <w:gridCol w:w="1739"/>
        <w:gridCol w:w="1805"/>
        <w:gridCol w:w="1805"/>
      </w:tblGrid>
      <w:tr>
        <w:trPr/>
        <w:tc>
          <w:tcPr>
            <w:tcW w:w="1127" w:type="dxa"/>
            <w:vAlign w:val="center"/>
            <w:textDirection w:val="lrTb"/>
            <w:noWrap w:val="false"/>
          </w:tcPr>
          <w:p>
            <w:pPr>
              <w:pStyle w:val="1151"/>
              <w:jc w:val="center"/>
              <w:widowControl/>
              <w:rPr>
                <w:szCs w:val="21"/>
              </w:rPr>
            </w:pPr>
            <w:r>
              <w:rPr>
                <w:szCs w:val="21"/>
              </w:rPr>
              <w:t xml:space="preserve">引脚</w:t>
            </w:r>
            <w:r>
              <w:rPr>
                <w:rFonts w:hint="eastAsia"/>
                <w:szCs w:val="21"/>
              </w:rPr>
              <w:t xml:space="preserve">号</w:t>
            </w:r>
            <w:r>
              <w:rPr>
                <w:szCs w:val="21"/>
              </w:rPr>
            </w:r>
            <w:r/>
          </w:p>
        </w:tc>
        <w:tc>
          <w:tcPr>
            <w:tcW w:w="1136" w:type="dxa"/>
            <w:vAlign w:val="center"/>
            <w:textDirection w:val="lrTb"/>
            <w:noWrap w:val="false"/>
          </w:tcPr>
          <w:p>
            <w:pPr>
              <w:pStyle w:val="1151"/>
              <w:ind w:firstLine="199"/>
              <w:widowControl/>
              <w:rPr>
                <w:szCs w:val="21"/>
              </w:rPr>
            </w:pPr>
            <w:r>
              <w:rPr>
                <w:szCs w:val="21"/>
              </w:rPr>
              <w:t xml:space="preserve">标记</w:t>
            </w:r>
            <w:r>
              <w:rPr>
                <w:szCs w:val="21"/>
              </w:rPr>
            </w:r>
            <w:r/>
          </w:p>
        </w:tc>
        <w:tc>
          <w:tcPr>
            <w:tcW w:w="2851" w:type="dxa"/>
            <w:vAlign w:val="center"/>
            <w:textDirection w:val="lrTb"/>
            <w:noWrap w:val="false"/>
          </w:tcPr>
          <w:p>
            <w:pPr>
              <w:pStyle w:val="1151"/>
              <w:jc w:val="center"/>
              <w:widowControl/>
              <w:rPr>
                <w:szCs w:val="21"/>
              </w:rPr>
            </w:pPr>
            <w:r>
              <w:rPr>
                <w:szCs w:val="21"/>
              </w:rPr>
              <w:t xml:space="preserve">标记说明</w:t>
            </w:r>
            <w:r>
              <w:rPr>
                <w:szCs w:val="21"/>
              </w:rPr>
            </w:r>
            <w:r/>
          </w:p>
        </w:tc>
        <w:tc>
          <w:tcPr>
            <w:tcW w:w="1739" w:type="dxa"/>
            <w:vAlign w:val="center"/>
            <w:textDirection w:val="lrTb"/>
            <w:noWrap w:val="false"/>
          </w:tcPr>
          <w:p>
            <w:pPr>
              <w:pStyle w:val="1151"/>
              <w:jc w:val="center"/>
              <w:widowControl/>
              <w:rPr>
                <w:szCs w:val="21"/>
              </w:rPr>
            </w:pPr>
            <w:r>
              <w:rPr>
                <w:szCs w:val="21"/>
              </w:rPr>
              <w:t xml:space="preserve">电缆规格</w:t>
            </w:r>
            <w:r>
              <w:rPr>
                <w:rFonts w:hint="eastAsia"/>
                <w:szCs w:val="21"/>
              </w:rPr>
              <w:t xml:space="preserve">（插头）</w:t>
            </w:r>
            <w:r>
              <w:rPr>
                <w:szCs w:val="21"/>
              </w:rPr>
            </w:r>
            <w:r/>
          </w:p>
        </w:tc>
        <w:tc>
          <w:tcPr>
            <w:tcW w:w="1805" w:type="dxa"/>
            <w:vAlign w:val="top"/>
            <w:textDirection w:val="lrTb"/>
            <w:noWrap w:val="false"/>
          </w:tcPr>
          <w:p>
            <w:pPr>
              <w:pStyle w:val="1151"/>
              <w:jc w:val="center"/>
              <w:widowControl/>
              <w:rPr>
                <w:szCs w:val="21"/>
              </w:rPr>
            </w:pPr>
            <w:r>
              <w:rPr>
                <w:rFonts w:hint="eastAsia"/>
                <w:szCs w:val="21"/>
              </w:rPr>
              <w:t xml:space="preserve">电缆规格（插座）</w:t>
            </w:r>
            <w:r>
              <w:rPr>
                <w:szCs w:val="21"/>
              </w:rPr>
            </w:r>
            <w:r/>
          </w:p>
          <w:p>
            <w:pPr>
              <w:pStyle w:val="1151"/>
              <w:jc w:val="center"/>
              <w:widowControl/>
              <w:rPr>
                <w:szCs w:val="21"/>
              </w:rPr>
            </w:pPr>
            <w:r>
              <w:rPr>
                <w:szCs w:val="21"/>
              </w:rPr>
            </w:r>
            <w:r/>
          </w:p>
        </w:tc>
        <w:tc>
          <w:tcPr>
            <w:tcW w:w="1805" w:type="dxa"/>
            <w:vAlign w:val="center"/>
            <w:textDirection w:val="lrTb"/>
            <w:noWrap w:val="false"/>
          </w:tcPr>
          <w:p>
            <w:pPr>
              <w:pStyle w:val="1151"/>
              <w:jc w:val="center"/>
              <w:widowControl/>
              <w:rPr>
                <w:szCs w:val="21"/>
              </w:rPr>
            </w:pPr>
            <w:r>
              <w:rPr>
                <w:szCs w:val="21"/>
              </w:rPr>
              <w:t xml:space="preserve">备注</w:t>
            </w:r>
            <w:r>
              <w:rPr>
                <w:szCs w:val="21"/>
              </w:rPr>
            </w:r>
            <w:r/>
          </w:p>
        </w:tc>
      </w:tr>
      <w:tr>
        <w:trPr/>
        <w:tc>
          <w:tcPr>
            <w:tcW w:w="1127" w:type="dxa"/>
            <w:vAlign w:val="center"/>
            <w:textDirection w:val="lrTb"/>
            <w:noWrap w:val="false"/>
          </w:tcPr>
          <w:p>
            <w:pPr>
              <w:pStyle w:val="1151"/>
              <w:ind w:firstLine="420"/>
              <w:widowControl/>
              <w:rPr>
                <w:szCs w:val="21"/>
              </w:rPr>
            </w:pPr>
            <w:r>
              <w:rPr>
                <w:rFonts w:hint="eastAsia"/>
                <w:szCs w:val="21"/>
              </w:rPr>
              <w:t xml:space="preserve">1</w:t>
            </w:r>
            <w:r>
              <w:rPr>
                <w:szCs w:val="21"/>
              </w:rPr>
            </w:r>
            <w:r/>
          </w:p>
        </w:tc>
        <w:tc>
          <w:tcPr>
            <w:tcW w:w="1136" w:type="dxa"/>
            <w:vAlign w:val="center"/>
            <w:textDirection w:val="lrTb"/>
            <w:noWrap w:val="false"/>
          </w:tcPr>
          <w:p>
            <w:pPr>
              <w:pStyle w:val="1151"/>
              <w:jc w:val="center"/>
              <w:widowControl/>
              <w:rPr>
                <w:szCs w:val="21"/>
              </w:rPr>
            </w:pPr>
            <w:r>
              <w:rPr>
                <w:szCs w:val="21"/>
              </w:rPr>
            </w:r>
            <w:r/>
          </w:p>
        </w:tc>
        <w:tc>
          <w:tcPr>
            <w:tcW w:w="2851" w:type="dxa"/>
            <w:vAlign w:val="center"/>
            <w:textDirection w:val="lrTb"/>
            <w:noWrap w:val="false"/>
          </w:tcPr>
          <w:p>
            <w:pPr>
              <w:pStyle w:val="1151"/>
              <w:jc w:val="center"/>
              <w:widowControl/>
              <w:rPr>
                <w:szCs w:val="21"/>
              </w:rPr>
            </w:pPr>
            <w:r>
              <w:rPr>
                <w:szCs w:val="21"/>
              </w:rPr>
            </w:r>
            <w:r/>
          </w:p>
        </w:tc>
        <w:tc>
          <w:tcPr>
            <w:tcW w:w="1739" w:type="dxa"/>
            <w:vAlign w:val="center"/>
            <w:textDirection w:val="lrTb"/>
            <w:noWrap w:val="false"/>
          </w:tcPr>
          <w:p>
            <w:pPr>
              <w:pStyle w:val="1151"/>
              <w:jc w:val="center"/>
              <w:widowControl/>
              <w:rPr>
                <w:szCs w:val="21"/>
              </w:rPr>
            </w:pPr>
            <w:r>
              <w:rPr>
                <w:szCs w:val="21"/>
              </w:rPr>
            </w:r>
            <w:r/>
          </w:p>
        </w:tc>
        <w:tc>
          <w:tcPr>
            <w:tcW w:w="1805" w:type="dxa"/>
            <w:vAlign w:val="top"/>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27" w:type="dxa"/>
            <w:vAlign w:val="center"/>
            <w:textDirection w:val="lrTb"/>
            <w:noWrap w:val="false"/>
          </w:tcPr>
          <w:p>
            <w:pPr>
              <w:pStyle w:val="1151"/>
              <w:ind w:firstLine="420"/>
              <w:widowControl/>
              <w:rPr>
                <w:szCs w:val="21"/>
              </w:rPr>
            </w:pPr>
            <w:r>
              <w:rPr>
                <w:rFonts w:hint="eastAsia"/>
                <w:szCs w:val="21"/>
              </w:rPr>
              <w:t xml:space="preserve">2</w:t>
            </w:r>
            <w:r>
              <w:rPr>
                <w:szCs w:val="21"/>
              </w:rPr>
            </w:r>
            <w:r/>
          </w:p>
        </w:tc>
        <w:tc>
          <w:tcPr>
            <w:tcW w:w="1136" w:type="dxa"/>
            <w:vAlign w:val="center"/>
            <w:textDirection w:val="lrTb"/>
            <w:noWrap w:val="false"/>
          </w:tcPr>
          <w:p>
            <w:pPr>
              <w:pStyle w:val="1151"/>
              <w:jc w:val="center"/>
              <w:widowControl/>
              <w:rPr>
                <w:szCs w:val="21"/>
              </w:rPr>
            </w:pPr>
            <w:r>
              <w:rPr>
                <w:szCs w:val="21"/>
              </w:rPr>
            </w:r>
            <w:r/>
          </w:p>
        </w:tc>
        <w:tc>
          <w:tcPr>
            <w:tcW w:w="2851" w:type="dxa"/>
            <w:vAlign w:val="center"/>
            <w:textDirection w:val="lrTb"/>
            <w:noWrap w:val="false"/>
          </w:tcPr>
          <w:p>
            <w:pPr>
              <w:pStyle w:val="1151"/>
              <w:jc w:val="center"/>
              <w:widowControl/>
              <w:rPr>
                <w:szCs w:val="21"/>
              </w:rPr>
            </w:pPr>
            <w:r>
              <w:rPr>
                <w:szCs w:val="21"/>
              </w:rPr>
            </w:r>
            <w:r/>
          </w:p>
        </w:tc>
        <w:tc>
          <w:tcPr>
            <w:tcW w:w="1739" w:type="dxa"/>
            <w:vAlign w:val="center"/>
            <w:textDirection w:val="lrTb"/>
            <w:noWrap w:val="false"/>
          </w:tcPr>
          <w:p>
            <w:pPr>
              <w:pStyle w:val="1151"/>
              <w:jc w:val="center"/>
              <w:widowControl/>
              <w:rPr>
                <w:szCs w:val="21"/>
              </w:rPr>
            </w:pPr>
            <w:r>
              <w:rPr>
                <w:szCs w:val="21"/>
              </w:rPr>
            </w:r>
            <w:r/>
          </w:p>
        </w:tc>
        <w:tc>
          <w:tcPr>
            <w:tcW w:w="1805" w:type="dxa"/>
            <w:vAlign w:val="top"/>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27" w:type="dxa"/>
            <w:vAlign w:val="center"/>
            <w:textDirection w:val="lrTb"/>
            <w:noWrap w:val="false"/>
          </w:tcPr>
          <w:p>
            <w:pPr>
              <w:pStyle w:val="1151"/>
              <w:ind w:firstLine="420"/>
              <w:widowControl/>
              <w:rPr>
                <w:szCs w:val="21"/>
              </w:rPr>
            </w:pPr>
            <w:r>
              <w:rPr>
                <w:rFonts w:hint="eastAsia"/>
                <w:szCs w:val="21"/>
              </w:rPr>
              <w:t xml:space="preserve">3</w:t>
            </w:r>
            <w:r>
              <w:rPr>
                <w:szCs w:val="21"/>
              </w:rPr>
            </w:r>
            <w:r/>
          </w:p>
        </w:tc>
        <w:tc>
          <w:tcPr>
            <w:tcW w:w="1136" w:type="dxa"/>
            <w:vAlign w:val="center"/>
            <w:textDirection w:val="lrTb"/>
            <w:noWrap w:val="false"/>
          </w:tcPr>
          <w:p>
            <w:pPr>
              <w:pStyle w:val="1151"/>
              <w:jc w:val="center"/>
              <w:widowControl/>
              <w:rPr>
                <w:szCs w:val="21"/>
              </w:rPr>
            </w:pPr>
            <w:r>
              <w:rPr>
                <w:szCs w:val="21"/>
              </w:rPr>
            </w:r>
            <w:r/>
          </w:p>
        </w:tc>
        <w:tc>
          <w:tcPr>
            <w:tcW w:w="2851" w:type="dxa"/>
            <w:vAlign w:val="center"/>
            <w:textDirection w:val="lrTb"/>
            <w:noWrap w:val="false"/>
          </w:tcPr>
          <w:p>
            <w:pPr>
              <w:pStyle w:val="1151"/>
              <w:jc w:val="center"/>
              <w:widowControl/>
              <w:rPr>
                <w:szCs w:val="21"/>
              </w:rPr>
            </w:pPr>
            <w:r>
              <w:rPr>
                <w:szCs w:val="21"/>
              </w:rPr>
            </w:r>
            <w:r/>
          </w:p>
        </w:tc>
        <w:tc>
          <w:tcPr>
            <w:tcW w:w="1739" w:type="dxa"/>
            <w:vAlign w:val="center"/>
            <w:textDirection w:val="lrTb"/>
            <w:noWrap w:val="false"/>
          </w:tcPr>
          <w:p>
            <w:pPr>
              <w:pStyle w:val="1151"/>
              <w:jc w:val="center"/>
              <w:widowControl/>
              <w:rPr>
                <w:szCs w:val="21"/>
              </w:rPr>
            </w:pPr>
            <w:r>
              <w:rPr>
                <w:szCs w:val="21"/>
              </w:rPr>
            </w:r>
            <w:r/>
          </w:p>
        </w:tc>
        <w:tc>
          <w:tcPr>
            <w:tcW w:w="1805" w:type="dxa"/>
            <w:vAlign w:val="top"/>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27" w:type="dxa"/>
            <w:vAlign w:val="center"/>
            <w:textDirection w:val="lrTb"/>
            <w:noWrap w:val="false"/>
          </w:tcPr>
          <w:p>
            <w:pPr>
              <w:pStyle w:val="1151"/>
              <w:ind w:firstLine="420"/>
              <w:widowControl/>
              <w:rPr>
                <w:szCs w:val="21"/>
              </w:rPr>
            </w:pPr>
            <w:r>
              <w:rPr>
                <w:rFonts w:hint="eastAsia"/>
                <w:szCs w:val="21"/>
              </w:rPr>
              <w:t xml:space="preserve">4</w:t>
            </w:r>
            <w:r>
              <w:rPr>
                <w:szCs w:val="21"/>
              </w:rPr>
            </w:r>
            <w:r/>
          </w:p>
        </w:tc>
        <w:tc>
          <w:tcPr>
            <w:tcW w:w="1136" w:type="dxa"/>
            <w:vAlign w:val="center"/>
            <w:textDirection w:val="lrTb"/>
            <w:noWrap w:val="false"/>
          </w:tcPr>
          <w:p>
            <w:pPr>
              <w:pStyle w:val="1151"/>
              <w:jc w:val="center"/>
              <w:widowControl/>
              <w:rPr>
                <w:szCs w:val="21"/>
              </w:rPr>
            </w:pPr>
            <w:r>
              <w:rPr>
                <w:szCs w:val="21"/>
              </w:rPr>
            </w:r>
            <w:r/>
          </w:p>
        </w:tc>
        <w:tc>
          <w:tcPr>
            <w:tcW w:w="2851" w:type="dxa"/>
            <w:vAlign w:val="center"/>
            <w:textDirection w:val="lrTb"/>
            <w:noWrap w:val="false"/>
          </w:tcPr>
          <w:p>
            <w:pPr>
              <w:pStyle w:val="1151"/>
              <w:jc w:val="center"/>
              <w:widowControl/>
              <w:rPr>
                <w:szCs w:val="21"/>
              </w:rPr>
            </w:pPr>
            <w:r>
              <w:rPr>
                <w:szCs w:val="21"/>
              </w:rPr>
            </w:r>
            <w:r/>
          </w:p>
        </w:tc>
        <w:tc>
          <w:tcPr>
            <w:tcW w:w="1739" w:type="dxa"/>
            <w:vAlign w:val="center"/>
            <w:textDirection w:val="lrTb"/>
            <w:noWrap w:val="false"/>
          </w:tcPr>
          <w:p>
            <w:pPr>
              <w:pStyle w:val="1151"/>
              <w:jc w:val="center"/>
              <w:widowControl/>
              <w:rPr>
                <w:szCs w:val="21"/>
              </w:rPr>
            </w:pPr>
            <w:r>
              <w:rPr>
                <w:szCs w:val="21"/>
              </w:rPr>
            </w:r>
            <w:r/>
          </w:p>
        </w:tc>
        <w:tc>
          <w:tcPr>
            <w:tcW w:w="1805" w:type="dxa"/>
            <w:vAlign w:val="top"/>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27" w:type="dxa"/>
            <w:vAlign w:val="center"/>
            <w:textDirection w:val="lrTb"/>
            <w:noWrap w:val="false"/>
          </w:tcPr>
          <w:p>
            <w:pPr>
              <w:pStyle w:val="1151"/>
              <w:ind w:firstLine="420"/>
              <w:widowControl/>
              <w:rPr>
                <w:szCs w:val="21"/>
              </w:rPr>
            </w:pPr>
            <w:r>
              <w:rPr>
                <w:rFonts w:hint="eastAsia"/>
                <w:szCs w:val="21"/>
              </w:rPr>
              <w:t xml:space="preserve">5</w:t>
            </w:r>
            <w:r>
              <w:rPr>
                <w:szCs w:val="21"/>
              </w:rPr>
            </w:r>
            <w:r/>
          </w:p>
        </w:tc>
        <w:tc>
          <w:tcPr>
            <w:tcW w:w="1136" w:type="dxa"/>
            <w:vAlign w:val="center"/>
            <w:textDirection w:val="lrTb"/>
            <w:noWrap w:val="false"/>
          </w:tcPr>
          <w:p>
            <w:pPr>
              <w:pStyle w:val="1151"/>
              <w:jc w:val="center"/>
              <w:widowControl/>
              <w:rPr>
                <w:szCs w:val="21"/>
              </w:rPr>
            </w:pPr>
            <w:r>
              <w:rPr>
                <w:szCs w:val="21"/>
              </w:rPr>
            </w:r>
            <w:r/>
          </w:p>
        </w:tc>
        <w:tc>
          <w:tcPr>
            <w:tcW w:w="2851" w:type="dxa"/>
            <w:vAlign w:val="center"/>
            <w:textDirection w:val="lrTb"/>
            <w:noWrap w:val="false"/>
          </w:tcPr>
          <w:p>
            <w:pPr>
              <w:pStyle w:val="1151"/>
              <w:jc w:val="center"/>
              <w:widowControl/>
              <w:rPr>
                <w:szCs w:val="21"/>
              </w:rPr>
            </w:pPr>
            <w:r>
              <w:rPr>
                <w:szCs w:val="21"/>
              </w:rPr>
            </w:r>
            <w:r/>
          </w:p>
        </w:tc>
        <w:tc>
          <w:tcPr>
            <w:tcW w:w="1739" w:type="dxa"/>
            <w:vAlign w:val="center"/>
            <w:textDirection w:val="lrTb"/>
            <w:noWrap w:val="false"/>
          </w:tcPr>
          <w:p>
            <w:pPr>
              <w:pStyle w:val="1151"/>
              <w:jc w:val="center"/>
              <w:widowControl/>
              <w:rPr>
                <w:szCs w:val="21"/>
              </w:rPr>
            </w:pPr>
            <w:r>
              <w:rPr>
                <w:szCs w:val="21"/>
              </w:rPr>
            </w:r>
            <w:r/>
          </w:p>
        </w:tc>
        <w:tc>
          <w:tcPr>
            <w:tcW w:w="1805" w:type="dxa"/>
            <w:vAlign w:val="top"/>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27" w:type="dxa"/>
            <w:vAlign w:val="center"/>
            <w:textDirection w:val="lrTb"/>
            <w:noWrap w:val="false"/>
          </w:tcPr>
          <w:p>
            <w:pPr>
              <w:pStyle w:val="1151"/>
              <w:ind w:firstLine="420"/>
              <w:widowControl/>
              <w:rPr>
                <w:szCs w:val="21"/>
              </w:rPr>
            </w:pPr>
            <w:r>
              <w:rPr>
                <w:rFonts w:hint="eastAsia"/>
                <w:szCs w:val="21"/>
              </w:rPr>
              <w:t xml:space="preserve">6</w:t>
            </w:r>
            <w:r>
              <w:rPr>
                <w:szCs w:val="21"/>
              </w:rPr>
            </w:r>
            <w:r/>
          </w:p>
        </w:tc>
        <w:tc>
          <w:tcPr>
            <w:tcW w:w="1136" w:type="dxa"/>
            <w:vAlign w:val="center"/>
            <w:textDirection w:val="lrTb"/>
            <w:noWrap w:val="false"/>
          </w:tcPr>
          <w:p>
            <w:pPr>
              <w:pStyle w:val="1151"/>
              <w:jc w:val="center"/>
              <w:widowControl/>
              <w:rPr>
                <w:szCs w:val="21"/>
              </w:rPr>
            </w:pPr>
            <w:r>
              <w:rPr>
                <w:szCs w:val="21"/>
              </w:rPr>
            </w:r>
            <w:r/>
          </w:p>
        </w:tc>
        <w:tc>
          <w:tcPr>
            <w:tcW w:w="2851" w:type="dxa"/>
            <w:vAlign w:val="center"/>
            <w:textDirection w:val="lrTb"/>
            <w:noWrap w:val="false"/>
          </w:tcPr>
          <w:p>
            <w:pPr>
              <w:pStyle w:val="1151"/>
              <w:jc w:val="center"/>
              <w:widowControl/>
              <w:rPr>
                <w:szCs w:val="21"/>
              </w:rPr>
            </w:pPr>
            <w:r>
              <w:rPr>
                <w:szCs w:val="21"/>
              </w:rPr>
            </w:r>
            <w:r/>
          </w:p>
        </w:tc>
        <w:tc>
          <w:tcPr>
            <w:tcW w:w="1739" w:type="dxa"/>
            <w:vAlign w:val="center"/>
            <w:textDirection w:val="lrTb"/>
            <w:noWrap w:val="false"/>
          </w:tcPr>
          <w:p>
            <w:pPr>
              <w:pStyle w:val="1151"/>
              <w:jc w:val="center"/>
              <w:widowControl/>
              <w:rPr>
                <w:szCs w:val="21"/>
              </w:rPr>
            </w:pPr>
            <w:r>
              <w:rPr>
                <w:szCs w:val="21"/>
              </w:rPr>
            </w:r>
            <w:r/>
          </w:p>
        </w:tc>
        <w:tc>
          <w:tcPr>
            <w:tcW w:w="1805" w:type="dxa"/>
            <w:vAlign w:val="top"/>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27" w:type="dxa"/>
            <w:vAlign w:val="center"/>
            <w:textDirection w:val="lrTb"/>
            <w:noWrap w:val="false"/>
          </w:tcPr>
          <w:p>
            <w:pPr>
              <w:pStyle w:val="1151"/>
              <w:ind w:firstLine="420"/>
              <w:widowControl/>
              <w:rPr>
                <w:szCs w:val="21"/>
              </w:rPr>
            </w:pPr>
            <w:r>
              <w:rPr>
                <w:rFonts w:hint="eastAsia"/>
                <w:szCs w:val="21"/>
              </w:rPr>
              <w:t xml:space="preserve">7</w:t>
            </w:r>
            <w:r>
              <w:rPr>
                <w:szCs w:val="21"/>
              </w:rPr>
            </w:r>
            <w:r/>
          </w:p>
        </w:tc>
        <w:tc>
          <w:tcPr>
            <w:tcW w:w="1136" w:type="dxa"/>
            <w:vAlign w:val="center"/>
            <w:textDirection w:val="lrTb"/>
            <w:noWrap w:val="false"/>
          </w:tcPr>
          <w:p>
            <w:pPr>
              <w:pStyle w:val="1151"/>
              <w:jc w:val="center"/>
              <w:widowControl/>
              <w:rPr>
                <w:szCs w:val="21"/>
              </w:rPr>
            </w:pPr>
            <w:r>
              <w:rPr>
                <w:szCs w:val="21"/>
              </w:rPr>
            </w:r>
            <w:r/>
          </w:p>
        </w:tc>
        <w:tc>
          <w:tcPr>
            <w:tcW w:w="2851" w:type="dxa"/>
            <w:vAlign w:val="center"/>
            <w:textDirection w:val="lrTb"/>
            <w:noWrap w:val="false"/>
          </w:tcPr>
          <w:p>
            <w:pPr>
              <w:pStyle w:val="1151"/>
              <w:jc w:val="center"/>
              <w:widowControl/>
              <w:rPr>
                <w:szCs w:val="21"/>
              </w:rPr>
            </w:pPr>
            <w:r>
              <w:rPr>
                <w:szCs w:val="21"/>
              </w:rPr>
            </w:r>
            <w:r/>
          </w:p>
        </w:tc>
        <w:tc>
          <w:tcPr>
            <w:tcW w:w="1739" w:type="dxa"/>
            <w:vAlign w:val="center"/>
            <w:textDirection w:val="lrTb"/>
            <w:noWrap w:val="false"/>
          </w:tcPr>
          <w:p>
            <w:pPr>
              <w:pStyle w:val="1151"/>
              <w:jc w:val="center"/>
              <w:widowControl/>
              <w:rPr>
                <w:szCs w:val="21"/>
              </w:rPr>
            </w:pPr>
            <w:r>
              <w:rPr>
                <w:szCs w:val="21"/>
              </w:rPr>
            </w:r>
            <w:r/>
          </w:p>
        </w:tc>
        <w:tc>
          <w:tcPr>
            <w:tcW w:w="1805" w:type="dxa"/>
            <w:vAlign w:val="top"/>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27" w:type="dxa"/>
            <w:vAlign w:val="center"/>
            <w:textDirection w:val="lrTb"/>
            <w:noWrap w:val="false"/>
          </w:tcPr>
          <w:p>
            <w:pPr>
              <w:pStyle w:val="1151"/>
              <w:ind w:firstLine="420"/>
              <w:widowControl/>
              <w:rPr>
                <w:szCs w:val="21"/>
              </w:rPr>
            </w:pPr>
            <w:r>
              <w:rPr>
                <w:rFonts w:hint="eastAsia"/>
                <w:szCs w:val="21"/>
              </w:rPr>
              <w:t xml:space="preserve">8</w:t>
            </w:r>
            <w:r>
              <w:rPr>
                <w:szCs w:val="21"/>
              </w:rPr>
            </w:r>
            <w:r/>
          </w:p>
        </w:tc>
        <w:tc>
          <w:tcPr>
            <w:tcW w:w="1136" w:type="dxa"/>
            <w:vAlign w:val="center"/>
            <w:textDirection w:val="lrTb"/>
            <w:noWrap w:val="false"/>
          </w:tcPr>
          <w:p>
            <w:pPr>
              <w:pStyle w:val="1151"/>
              <w:jc w:val="center"/>
              <w:widowControl/>
              <w:rPr>
                <w:szCs w:val="21"/>
              </w:rPr>
            </w:pPr>
            <w:r>
              <w:rPr>
                <w:szCs w:val="21"/>
              </w:rPr>
            </w:r>
            <w:r/>
          </w:p>
        </w:tc>
        <w:tc>
          <w:tcPr>
            <w:tcW w:w="2851" w:type="dxa"/>
            <w:vAlign w:val="center"/>
            <w:textDirection w:val="lrTb"/>
            <w:noWrap w:val="false"/>
          </w:tcPr>
          <w:p>
            <w:pPr>
              <w:pStyle w:val="1151"/>
              <w:jc w:val="center"/>
              <w:widowControl/>
              <w:rPr>
                <w:szCs w:val="21"/>
              </w:rPr>
            </w:pPr>
            <w:r>
              <w:rPr>
                <w:szCs w:val="21"/>
              </w:rPr>
            </w:r>
            <w:r/>
          </w:p>
        </w:tc>
        <w:tc>
          <w:tcPr>
            <w:tcW w:w="1739" w:type="dxa"/>
            <w:vAlign w:val="center"/>
            <w:textDirection w:val="lrTb"/>
            <w:noWrap w:val="false"/>
          </w:tcPr>
          <w:p>
            <w:pPr>
              <w:pStyle w:val="1151"/>
              <w:jc w:val="center"/>
              <w:widowControl/>
              <w:rPr>
                <w:szCs w:val="21"/>
              </w:rPr>
            </w:pPr>
            <w:r>
              <w:rPr>
                <w:szCs w:val="21"/>
              </w:rPr>
            </w:r>
            <w:r/>
          </w:p>
        </w:tc>
        <w:tc>
          <w:tcPr>
            <w:tcW w:w="1805" w:type="dxa"/>
            <w:vAlign w:val="top"/>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9</w:t>
            </w:r>
            <w:r>
              <w:rPr>
                <w:szCs w:val="21"/>
              </w:rPr>
            </w:r>
            <w:r/>
          </w:p>
        </w:tc>
        <w:tc>
          <w:tcPr>
            <w:tcW w:w="1136" w:type="dxa"/>
            <w:vAlign w:val="center"/>
            <w:textDirection w:val="lrTb"/>
            <w:noWrap w:val="false"/>
          </w:tcPr>
          <w:p>
            <w:pPr>
              <w:pStyle w:val="1151"/>
              <w:jc w:val="center"/>
              <w:widowControl/>
              <w:rPr>
                <w:szCs w:val="21"/>
              </w:rPr>
            </w:pPr>
            <w:r>
              <w:rPr>
                <w:rFonts w:hint="eastAsia"/>
                <w:szCs w:val="21"/>
              </w:rPr>
              <w:t xml:space="preserve">KM+</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48V操作电源+</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w:t>
            </w:r>
            <w:r>
              <w:rPr>
                <w:rFonts w:hint="eastAsia"/>
                <w:szCs w:val="21"/>
              </w:rPr>
              <w:t xml:space="preserve">1.5mm²</w:t>
            </w:r>
            <w:r>
              <w:rPr>
                <w:szCs w:val="21"/>
              </w:rPr>
            </w:r>
            <w:r/>
          </w:p>
        </w:tc>
        <w:tc>
          <w:tcPr>
            <w:tcW w:w="1805" w:type="dxa"/>
            <w:vAlign w:val="top"/>
            <w:textDirection w:val="lrTb"/>
            <w:noWrap w:val="false"/>
          </w:tcPr>
          <w:p>
            <w:pPr>
              <w:pStyle w:val="1151"/>
              <w:jc w:val="center"/>
              <w:widowControl/>
              <w:rPr>
                <w:szCs w:val="21"/>
              </w:rPr>
            </w:pPr>
            <w:r>
              <w:rPr>
                <w:szCs w:val="21"/>
              </w:rPr>
              <w:t xml:space="preserve">RVV1.5mm</w:t>
            </w:r>
            <w:r>
              <w:rPr>
                <w:rFonts w:hint="eastAsia"/>
                <w:szCs w:val="21"/>
              </w:rPr>
              <w:t xml:space="preserve">²</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10</w:t>
            </w:r>
            <w:r>
              <w:rPr>
                <w:szCs w:val="21"/>
              </w:rPr>
            </w:r>
            <w:r/>
          </w:p>
        </w:tc>
        <w:tc>
          <w:tcPr>
            <w:tcW w:w="1136" w:type="dxa"/>
            <w:vAlign w:val="center"/>
            <w:textDirection w:val="lrTb"/>
            <w:noWrap w:val="false"/>
          </w:tcPr>
          <w:p>
            <w:pPr>
              <w:pStyle w:val="1151"/>
              <w:jc w:val="center"/>
              <w:widowControl/>
              <w:rPr>
                <w:szCs w:val="21"/>
              </w:rPr>
            </w:pPr>
            <w:r>
              <w:rPr>
                <w:rFonts w:hint="eastAsia"/>
                <w:szCs w:val="21"/>
              </w:rPr>
              <w:t xml:space="preserve">KM-</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48V操作电源-</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w:t>
            </w:r>
            <w:r>
              <w:rPr>
                <w:rFonts w:hint="eastAsia"/>
                <w:szCs w:val="21"/>
              </w:rPr>
              <w:t xml:space="preserve">1.5mm²</w:t>
            </w:r>
            <w:r>
              <w:rPr>
                <w:szCs w:val="21"/>
              </w:rPr>
            </w:r>
            <w:r/>
          </w:p>
        </w:tc>
        <w:tc>
          <w:tcPr>
            <w:tcW w:w="1805" w:type="dxa"/>
            <w:vAlign w:val="top"/>
            <w:textDirection w:val="lrTb"/>
            <w:noWrap w:val="false"/>
          </w:tcPr>
          <w:p>
            <w:pPr>
              <w:pStyle w:val="1151"/>
              <w:jc w:val="center"/>
              <w:widowControl/>
              <w:rPr>
                <w:szCs w:val="21"/>
              </w:rPr>
            </w:pPr>
            <w:r>
              <w:rPr>
                <w:szCs w:val="21"/>
              </w:rPr>
              <w:t xml:space="preserve">RVV1.5mm</w:t>
            </w:r>
            <w:r>
              <w:rPr>
                <w:rFonts w:hint="eastAsia"/>
                <w:szCs w:val="21"/>
              </w:rPr>
              <w:t xml:space="preserve">²</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rHeight w:val="90"/>
        </w:trPr>
        <w:tc>
          <w:tcPr>
            <w:tcW w:w="1127" w:type="dxa"/>
            <w:vAlign w:val="center"/>
            <w:textDirection w:val="lrTb"/>
            <w:noWrap w:val="false"/>
          </w:tcPr>
          <w:p>
            <w:pPr>
              <w:pStyle w:val="1151"/>
              <w:jc w:val="center"/>
              <w:widowControl/>
              <w:rPr>
                <w:szCs w:val="21"/>
              </w:rPr>
            </w:pPr>
            <w:r>
              <w:rPr>
                <w:rFonts w:hint="eastAsia"/>
                <w:szCs w:val="21"/>
              </w:rPr>
              <w:t xml:space="preserve">11</w:t>
            </w:r>
            <w:r>
              <w:rPr>
                <w:szCs w:val="21"/>
              </w:rPr>
            </w:r>
            <w:r/>
          </w:p>
        </w:tc>
        <w:tc>
          <w:tcPr>
            <w:tcW w:w="1136" w:type="dxa"/>
            <w:vAlign w:val="center"/>
            <w:textDirection w:val="lrTb"/>
            <w:noWrap w:val="false"/>
          </w:tcPr>
          <w:p>
            <w:pPr>
              <w:pStyle w:val="1151"/>
              <w:jc w:val="center"/>
              <w:widowControl/>
              <w:rPr>
                <w:szCs w:val="21"/>
              </w:rPr>
            </w:pPr>
            <w:r>
              <w:rPr>
                <w:rFonts w:hint="eastAsia"/>
                <w:szCs w:val="21"/>
              </w:rPr>
              <w:t xml:space="preserve">K</w:t>
            </w:r>
            <w:r>
              <w:rPr>
                <w:szCs w:val="21"/>
              </w:rPr>
              <w:t xml:space="preserve">HZ</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遥控合闸输出</w:t>
            </w:r>
            <w:r>
              <w:rPr>
                <w:szCs w:val="21"/>
              </w:rPr>
            </w:r>
            <w:r/>
          </w:p>
        </w:tc>
        <w:tc>
          <w:tcPr>
            <w:tcW w:w="1739" w:type="dxa"/>
            <w:vAlign w:val="top"/>
            <w:textDirection w:val="lrTb"/>
            <w:noWrap w:val="false"/>
          </w:tcPr>
          <w:p>
            <w:pPr>
              <w:pStyle w:val="1151"/>
              <w:jc w:val="center"/>
              <w:widowControl/>
              <w:rPr>
                <w:szCs w:val="21"/>
              </w:rPr>
            </w:pPr>
            <w:r>
              <w:rPr>
                <w:rFonts w:hint="eastAsia"/>
                <w:szCs w:val="21"/>
              </w:rPr>
              <w:t xml:space="preserve">RVV</w:t>
            </w:r>
            <w:r>
              <w:rPr>
                <w:szCs w:val="21"/>
              </w:rPr>
              <w:t xml:space="preserve">P</w:t>
            </w:r>
            <w:r>
              <w:rPr>
                <w:rFonts w:hint="eastAsia"/>
                <w:szCs w:val="21"/>
              </w:rPr>
              <w:t xml:space="preserve">1.5mm²</w:t>
            </w:r>
            <w:r>
              <w:rPr>
                <w:szCs w:val="21"/>
              </w:rPr>
            </w:r>
            <w:r/>
          </w:p>
        </w:tc>
        <w:tc>
          <w:tcPr>
            <w:tcW w:w="1805" w:type="dxa"/>
            <w:vAlign w:val="top"/>
            <w:textDirection w:val="lrTb"/>
            <w:noWrap w:val="false"/>
          </w:tcPr>
          <w:p>
            <w:pPr>
              <w:pStyle w:val="1151"/>
              <w:jc w:val="center"/>
              <w:widowControl/>
              <w:rPr>
                <w:szCs w:val="21"/>
              </w:rPr>
            </w:pPr>
            <w:r>
              <w:rPr>
                <w:szCs w:val="21"/>
              </w:rPr>
              <w:t xml:space="preserve">RVV1.5mm</w:t>
            </w:r>
            <w:r>
              <w:rPr>
                <w:rFonts w:hint="eastAsia"/>
                <w:szCs w:val="21"/>
              </w:rPr>
              <w:t xml:space="preserve">²</w:t>
            </w:r>
            <w:r>
              <w:rPr>
                <w:szCs w:val="21"/>
              </w:rPr>
            </w:r>
            <w:r/>
          </w:p>
        </w:tc>
        <w:tc>
          <w:tcPr>
            <w:tcW w:w="1805" w:type="dxa"/>
            <w:vAlign w:val="center"/>
            <w:vMerge w:val="restart"/>
            <w:textDirection w:val="lrTb"/>
            <w:noWrap w:val="false"/>
          </w:tcPr>
          <w:p>
            <w:pPr>
              <w:pStyle w:val="1151"/>
              <w:jc w:val="center"/>
              <w:widowControl/>
              <w:rPr>
                <w:szCs w:val="21"/>
              </w:rPr>
            </w:pPr>
            <w:r>
              <w:rPr>
                <w:rFonts w:hint="eastAsia"/>
                <w:szCs w:val="21"/>
              </w:rPr>
              <w:t xml:space="preserve">空接</w:t>
            </w:r>
            <w:r>
              <w:rPr>
                <w:szCs w:val="21"/>
              </w:rPr>
              <w:t xml:space="preserve">点输出</w:t>
            </w: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12</w:t>
            </w:r>
            <w:r>
              <w:rPr>
                <w:szCs w:val="21"/>
              </w:rPr>
            </w:r>
            <w:r/>
          </w:p>
        </w:tc>
        <w:tc>
          <w:tcPr>
            <w:tcW w:w="1136" w:type="dxa"/>
            <w:vAlign w:val="center"/>
            <w:textDirection w:val="lrTb"/>
            <w:noWrap w:val="false"/>
          </w:tcPr>
          <w:p>
            <w:pPr>
              <w:pStyle w:val="1151"/>
              <w:jc w:val="center"/>
              <w:widowControl/>
              <w:rPr>
                <w:szCs w:val="21"/>
              </w:rPr>
            </w:pPr>
            <w:r>
              <w:rPr>
                <w:rFonts w:hint="eastAsia"/>
                <w:szCs w:val="21"/>
              </w:rPr>
              <w:t xml:space="preserve">KF</w:t>
            </w:r>
            <w:r>
              <w:rPr>
                <w:szCs w:val="21"/>
              </w:rPr>
              <w:t xml:space="preserve">Z</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遥控分闸输出</w:t>
            </w:r>
            <w:r>
              <w:rPr>
                <w:szCs w:val="21"/>
              </w:rPr>
            </w:r>
            <w:r/>
          </w:p>
        </w:tc>
        <w:tc>
          <w:tcPr>
            <w:tcW w:w="1739" w:type="dxa"/>
            <w:vAlign w:val="top"/>
            <w:textDirection w:val="lrTb"/>
            <w:noWrap w:val="false"/>
          </w:tcPr>
          <w:p>
            <w:pPr>
              <w:pStyle w:val="1151"/>
              <w:jc w:val="center"/>
              <w:widowControl/>
              <w:rPr>
                <w:szCs w:val="21"/>
              </w:rPr>
            </w:pPr>
            <w:r>
              <w:rPr>
                <w:rFonts w:hint="eastAsia"/>
                <w:szCs w:val="21"/>
              </w:rPr>
              <w:t xml:space="preserve">RVV</w:t>
            </w:r>
            <w:r>
              <w:rPr>
                <w:szCs w:val="21"/>
              </w:rPr>
              <w:t xml:space="preserve">P</w:t>
            </w:r>
            <w:r>
              <w:rPr>
                <w:rFonts w:hint="eastAsia"/>
                <w:szCs w:val="21"/>
              </w:rPr>
              <w:t xml:space="preserve">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w:t>
            </w:r>
            <w:r>
              <w:rPr>
                <w:rFonts w:hint="eastAsia"/>
                <w:szCs w:val="21"/>
              </w:rPr>
              <w:t xml:space="preserve">²</w:t>
            </w:r>
            <w:r>
              <w:rPr>
                <w:szCs w:val="21"/>
              </w:rPr>
            </w:r>
            <w:r/>
          </w:p>
        </w:tc>
        <w:tc>
          <w:tcPr>
            <w:tcW w:w="1805" w:type="dxa"/>
            <w:vAlign w:val="center"/>
            <w:vMerge w:val="continue"/>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13</w:t>
            </w:r>
            <w:r>
              <w:rPr>
                <w:szCs w:val="21"/>
              </w:rPr>
            </w:r>
            <w:r/>
          </w:p>
        </w:tc>
        <w:tc>
          <w:tcPr>
            <w:tcW w:w="1136" w:type="dxa"/>
            <w:vAlign w:val="center"/>
            <w:textDirection w:val="lrTb"/>
            <w:noWrap w:val="false"/>
          </w:tcPr>
          <w:p>
            <w:pPr>
              <w:pStyle w:val="1151"/>
              <w:jc w:val="center"/>
              <w:widowControl/>
              <w:rPr>
                <w:szCs w:val="21"/>
              </w:rPr>
            </w:pPr>
            <w:r>
              <w:rPr>
                <w:rFonts w:hint="eastAsia"/>
                <w:szCs w:val="21"/>
              </w:rPr>
              <w:t xml:space="preserve">KCOM</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遥控出口公共</w:t>
            </w:r>
            <w:r>
              <w:rPr>
                <w:szCs w:val="21"/>
              </w:rPr>
            </w:r>
            <w:r/>
          </w:p>
        </w:tc>
        <w:tc>
          <w:tcPr>
            <w:tcW w:w="1739" w:type="dxa"/>
            <w:vAlign w:val="top"/>
            <w:textDirection w:val="lrTb"/>
            <w:noWrap w:val="false"/>
          </w:tcPr>
          <w:p>
            <w:pPr>
              <w:pStyle w:val="1151"/>
              <w:jc w:val="center"/>
              <w:widowControl/>
              <w:rPr>
                <w:szCs w:val="21"/>
              </w:rPr>
            </w:pPr>
            <w:r>
              <w:rPr>
                <w:rFonts w:hint="eastAsia"/>
                <w:szCs w:val="21"/>
              </w:rPr>
              <w:t xml:space="preserve">RVV</w:t>
            </w:r>
            <w:r>
              <w:rPr>
                <w:szCs w:val="21"/>
              </w:rPr>
              <w:t xml:space="preserve">P</w:t>
            </w:r>
            <w:r>
              <w:rPr>
                <w:rFonts w:hint="eastAsia"/>
                <w:szCs w:val="21"/>
              </w:rPr>
              <w:t xml:space="preserve">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w:t>
            </w:r>
            <w:r>
              <w:rPr>
                <w:rFonts w:hint="eastAsia"/>
                <w:szCs w:val="21"/>
              </w:rPr>
              <w:t xml:space="preserve">²</w:t>
            </w:r>
            <w:r>
              <w:rPr>
                <w:szCs w:val="21"/>
              </w:rPr>
            </w:r>
            <w:r/>
          </w:p>
        </w:tc>
        <w:tc>
          <w:tcPr>
            <w:tcW w:w="1805" w:type="dxa"/>
            <w:vAlign w:val="center"/>
            <w:vMerge w:val="continue"/>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14</w:t>
            </w:r>
            <w:r>
              <w:rPr>
                <w:szCs w:val="21"/>
              </w:rPr>
            </w:r>
            <w:r/>
          </w:p>
        </w:tc>
        <w:tc>
          <w:tcPr>
            <w:tcW w:w="1136" w:type="dxa"/>
            <w:vAlign w:val="center"/>
            <w:textDirection w:val="lrTb"/>
            <w:noWrap w:val="false"/>
          </w:tcPr>
          <w:p>
            <w:pPr>
              <w:pStyle w:val="1151"/>
              <w:jc w:val="center"/>
              <w:widowControl/>
              <w:rPr>
                <w:szCs w:val="21"/>
              </w:rPr>
            </w:pPr>
            <w:r>
              <w:rPr>
                <w:rFonts w:hint="eastAsia"/>
                <w:szCs w:val="21"/>
              </w:rPr>
              <w:t xml:space="preserve">D</w:t>
            </w:r>
            <w:r>
              <w:rPr>
                <w:szCs w:val="21"/>
              </w:rPr>
              <w:t xml:space="preserve">HZ</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保护合闸输出</w:t>
            </w:r>
            <w:r>
              <w:rPr>
                <w:szCs w:val="21"/>
              </w:rPr>
            </w:r>
            <w:r/>
          </w:p>
        </w:tc>
        <w:tc>
          <w:tcPr>
            <w:tcW w:w="1739" w:type="dxa"/>
            <w:vAlign w:val="top"/>
            <w:textDirection w:val="lrTb"/>
            <w:noWrap w:val="false"/>
          </w:tcPr>
          <w:p>
            <w:pPr>
              <w:pStyle w:val="1151"/>
              <w:jc w:val="center"/>
              <w:widowControl/>
              <w:rPr>
                <w:szCs w:val="21"/>
              </w:rPr>
            </w:pPr>
            <w:r>
              <w:rPr>
                <w:rFonts w:hint="eastAsia"/>
                <w:szCs w:val="21"/>
              </w:rPr>
              <w:t xml:space="preserve">RVV</w:t>
            </w:r>
            <w:r>
              <w:rPr>
                <w:szCs w:val="21"/>
              </w:rPr>
              <w:t xml:space="preserve">P</w:t>
            </w:r>
            <w:r>
              <w:rPr>
                <w:rFonts w:hint="eastAsia"/>
                <w:szCs w:val="21"/>
              </w:rPr>
              <w:t xml:space="preserve">1.5mm²</w:t>
            </w:r>
            <w:r>
              <w:rPr>
                <w:szCs w:val="21"/>
              </w:rPr>
            </w:r>
            <w:r/>
          </w:p>
        </w:tc>
        <w:tc>
          <w:tcPr>
            <w:tcW w:w="1805" w:type="dxa"/>
            <w:vAlign w:val="top"/>
            <w:textDirection w:val="lrTb"/>
            <w:noWrap w:val="false"/>
          </w:tcPr>
          <w:p>
            <w:pPr>
              <w:pStyle w:val="1151"/>
              <w:jc w:val="center"/>
              <w:widowControl/>
              <w:rPr>
                <w:szCs w:val="21"/>
              </w:rPr>
            </w:pPr>
            <w:r>
              <w:rPr>
                <w:szCs w:val="21"/>
              </w:rPr>
              <w:t xml:space="preserve">RVV1.5mm</w:t>
            </w:r>
            <w:r>
              <w:rPr>
                <w:rFonts w:hint="eastAsia"/>
                <w:szCs w:val="21"/>
              </w:rPr>
              <w:t xml:space="preserve">²</w:t>
            </w:r>
            <w:r>
              <w:rPr>
                <w:szCs w:val="21"/>
              </w:rPr>
            </w:r>
            <w:r/>
          </w:p>
        </w:tc>
        <w:tc>
          <w:tcPr>
            <w:tcW w:w="1805" w:type="dxa"/>
            <w:vAlign w:val="center"/>
            <w:vMerge w:val="restart"/>
            <w:textDirection w:val="lrTb"/>
            <w:noWrap w:val="false"/>
          </w:tcPr>
          <w:p>
            <w:pPr>
              <w:pStyle w:val="1151"/>
              <w:jc w:val="center"/>
              <w:widowControl/>
              <w:rPr>
                <w:szCs w:val="21"/>
              </w:rPr>
            </w:pPr>
            <w:r>
              <w:rPr>
                <w:rFonts w:hint="eastAsia"/>
                <w:szCs w:val="21"/>
              </w:rPr>
              <w:t xml:space="preserve">空接</w:t>
            </w:r>
            <w:r>
              <w:rPr>
                <w:szCs w:val="21"/>
              </w:rPr>
              <w:t xml:space="preserve">点输出</w:t>
            </w: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1</w:t>
            </w:r>
            <w:r>
              <w:rPr>
                <w:szCs w:val="21"/>
              </w:rPr>
              <w:t xml:space="preserve">5</w:t>
            </w:r>
            <w:r>
              <w:rPr>
                <w:szCs w:val="21"/>
              </w:rPr>
            </w:r>
            <w:r/>
          </w:p>
        </w:tc>
        <w:tc>
          <w:tcPr>
            <w:tcW w:w="1136" w:type="dxa"/>
            <w:vAlign w:val="center"/>
            <w:textDirection w:val="lrTb"/>
            <w:noWrap w:val="false"/>
          </w:tcPr>
          <w:p>
            <w:pPr>
              <w:pStyle w:val="1151"/>
              <w:jc w:val="center"/>
              <w:widowControl/>
              <w:rPr>
                <w:szCs w:val="21"/>
              </w:rPr>
            </w:pPr>
            <w:r>
              <w:rPr>
                <w:rFonts w:hint="eastAsia"/>
                <w:szCs w:val="21"/>
              </w:rPr>
              <w:t xml:space="preserve">DF</w:t>
            </w:r>
            <w:r>
              <w:rPr>
                <w:szCs w:val="21"/>
              </w:rPr>
              <w:t xml:space="preserve">Z</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保护分闸输出</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w:t>
            </w:r>
            <w:r>
              <w:rPr>
                <w:rFonts w:hint="eastAsia"/>
                <w:szCs w:val="21"/>
              </w:rPr>
              <w:t xml:space="preserve">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w:t>
            </w:r>
            <w:r>
              <w:rPr>
                <w:rFonts w:hint="eastAsia"/>
                <w:szCs w:val="21"/>
              </w:rPr>
              <w:t xml:space="preserve">²</w:t>
            </w:r>
            <w:r>
              <w:rPr>
                <w:szCs w:val="21"/>
              </w:rPr>
            </w:r>
            <w:r/>
          </w:p>
        </w:tc>
        <w:tc>
          <w:tcPr>
            <w:tcW w:w="1805" w:type="dxa"/>
            <w:vAlign w:val="center"/>
            <w:vMerge w:val="continue"/>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1</w:t>
            </w:r>
            <w:r>
              <w:rPr>
                <w:szCs w:val="21"/>
              </w:rPr>
              <w:t xml:space="preserve">6</w:t>
            </w:r>
            <w:r>
              <w:rPr>
                <w:szCs w:val="21"/>
              </w:rPr>
            </w:r>
            <w:r/>
          </w:p>
        </w:tc>
        <w:tc>
          <w:tcPr>
            <w:tcW w:w="1136" w:type="dxa"/>
            <w:vAlign w:val="center"/>
            <w:textDirection w:val="lrTb"/>
            <w:noWrap w:val="false"/>
          </w:tcPr>
          <w:p>
            <w:pPr>
              <w:pStyle w:val="1151"/>
              <w:jc w:val="center"/>
              <w:widowControl/>
              <w:rPr>
                <w:szCs w:val="21"/>
              </w:rPr>
            </w:pPr>
            <w:r>
              <w:rPr>
                <w:rFonts w:hint="eastAsia"/>
                <w:szCs w:val="21"/>
              </w:rPr>
              <w:t xml:space="preserve">DCOM</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保护出口公共</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w:t>
            </w:r>
            <w:r>
              <w:rPr>
                <w:rFonts w:hint="eastAsia"/>
                <w:szCs w:val="21"/>
              </w:rPr>
              <w:t xml:space="preserve">1.5mm²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RVV1.5mm</w:t>
            </w:r>
            <w:r>
              <w:rPr>
                <w:rFonts w:hint="eastAsia"/>
                <w:szCs w:val="21"/>
              </w:rPr>
              <w:t xml:space="preserve">²</w:t>
            </w:r>
            <w:r>
              <w:rPr>
                <w:szCs w:val="21"/>
              </w:rPr>
            </w:r>
            <w:r/>
          </w:p>
        </w:tc>
        <w:tc>
          <w:tcPr>
            <w:tcW w:w="1805" w:type="dxa"/>
            <w:vAlign w:val="center"/>
            <w:vMerge w:val="continue"/>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1</w:t>
            </w:r>
            <w:r>
              <w:rPr>
                <w:szCs w:val="21"/>
              </w:rPr>
              <w:t xml:space="preserve">7</w:t>
            </w:r>
            <w:r>
              <w:rPr>
                <w:szCs w:val="21"/>
              </w:rPr>
            </w:r>
            <w:r/>
          </w:p>
        </w:tc>
        <w:tc>
          <w:tcPr>
            <w:tcW w:w="1136" w:type="dxa"/>
            <w:vAlign w:val="center"/>
            <w:textDirection w:val="lrTb"/>
            <w:noWrap w:val="false"/>
          </w:tcPr>
          <w:p>
            <w:pPr>
              <w:pStyle w:val="1151"/>
              <w:jc w:val="center"/>
              <w:widowControl/>
              <w:rPr>
                <w:szCs w:val="21"/>
              </w:rPr>
            </w:pPr>
            <w:r>
              <w:rPr>
                <w:szCs w:val="21"/>
              </w:rPr>
              <w:t xml:space="preserve">YXCOM</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遥信公共端</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w:t>
            </w:r>
            <w:r>
              <w:rPr>
                <w:rFonts w:hint="eastAsia"/>
                <w:szCs w:val="21"/>
              </w:rPr>
              <w:t xml:space="preserve">0</w:t>
            </w:r>
            <w:r>
              <w:rPr>
                <w:szCs w:val="21"/>
              </w:rPr>
              <w:t xml:space="preserve">mm²</w:t>
            </w:r>
            <w:r>
              <w:rPr>
                <w:szCs w:val="21"/>
              </w:rPr>
            </w:r>
            <w:r/>
          </w:p>
        </w:tc>
        <w:tc>
          <w:tcPr>
            <w:tcW w:w="1805" w:type="dxa"/>
            <w:vAlign w:val="top"/>
            <w:textDirection w:val="lrTb"/>
            <w:noWrap w:val="false"/>
          </w:tcPr>
          <w:p>
            <w:pPr>
              <w:pStyle w:val="1151"/>
              <w:jc w:val="center"/>
              <w:widowControl/>
              <w:rPr>
                <w:szCs w:val="21"/>
              </w:rPr>
            </w:pPr>
            <w:r>
              <w:rPr>
                <w:szCs w:val="21"/>
              </w:rPr>
              <w:t xml:space="preserve">RVV1.</w:t>
            </w:r>
            <w:r>
              <w:rPr>
                <w:rFonts w:hint="eastAsia"/>
                <w:szCs w:val="21"/>
              </w:rPr>
              <w:t xml:space="preserve">0</w:t>
            </w:r>
            <w:r>
              <w:rPr>
                <w:szCs w:val="21"/>
              </w:rPr>
              <w:t xml:space="preserve">mm</w:t>
            </w:r>
            <w:r>
              <w:rPr>
                <w:rFonts w:hint="eastAsia"/>
                <w:szCs w:val="21"/>
              </w:rPr>
              <w:t xml:space="preserve">²</w:t>
            </w:r>
            <w:r>
              <w:rPr>
                <w:szCs w:val="21"/>
              </w:rPr>
            </w:r>
            <w:r/>
          </w:p>
        </w:tc>
        <w:tc>
          <w:tcPr>
            <w:tcW w:w="1805" w:type="dxa"/>
            <w:vAlign w:val="center"/>
            <w:textDirection w:val="lrTb"/>
            <w:noWrap w:val="false"/>
          </w:tcPr>
          <w:p>
            <w:pPr>
              <w:pStyle w:val="1151"/>
              <w:jc w:val="center"/>
              <w:widowControl/>
              <w:rPr>
                <w:szCs w:val="21"/>
              </w:rPr>
            </w:pPr>
            <w:r>
              <w:rPr>
                <w:rFonts w:hint="eastAsia"/>
                <w:szCs w:val="21"/>
              </w:rPr>
              <w:t xml:space="preserve">装置遥信正电源（+</w:t>
            </w:r>
            <w:r>
              <w:rPr>
                <w:szCs w:val="21"/>
              </w:rPr>
              <w:t xml:space="preserve">24V</w:t>
            </w:r>
            <w:r>
              <w:rPr>
                <w:rFonts w:hint="eastAsia"/>
                <w:szCs w:val="21"/>
              </w:rPr>
              <w:t xml:space="preserve">）</w:t>
            </w: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1</w:t>
            </w:r>
            <w:r>
              <w:rPr>
                <w:szCs w:val="21"/>
              </w:rPr>
              <w:t xml:space="preserve">8</w:t>
            </w:r>
            <w:r>
              <w:rPr>
                <w:szCs w:val="21"/>
              </w:rPr>
            </w:r>
            <w:r/>
          </w:p>
        </w:tc>
        <w:tc>
          <w:tcPr>
            <w:tcW w:w="1136" w:type="dxa"/>
            <w:vAlign w:val="center"/>
            <w:textDirection w:val="lrTb"/>
            <w:noWrap w:val="false"/>
          </w:tcPr>
          <w:p>
            <w:pPr>
              <w:pStyle w:val="1151"/>
              <w:jc w:val="center"/>
              <w:widowControl/>
              <w:rPr>
                <w:szCs w:val="21"/>
              </w:rPr>
            </w:pPr>
            <w:r>
              <w:rPr>
                <w:szCs w:val="21"/>
              </w:rPr>
              <w:t xml:space="preserve">GKW</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隔离开关位置</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w:t>
            </w:r>
            <w:r>
              <w:rPr>
                <w:rFonts w:hint="eastAsia"/>
                <w:szCs w:val="21"/>
              </w:rPr>
              <w:t xml:space="preserve">0</w:t>
            </w:r>
            <w:r>
              <w:rPr>
                <w:szCs w:val="21"/>
              </w:rPr>
              <w:t xml:space="preserve">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w:t>
            </w:r>
            <w:r>
              <w:rPr>
                <w:rFonts w:hint="eastAsia"/>
                <w:szCs w:val="21"/>
              </w:rPr>
              <w:t xml:space="preserve">0</w:t>
            </w:r>
            <w:r>
              <w:rPr>
                <w:szCs w:val="21"/>
              </w:rPr>
              <w:t xml:space="preserve">mm</w:t>
            </w:r>
            <w:r>
              <w:rPr>
                <w:rFonts w:hint="eastAsia"/>
                <w:szCs w:val="21"/>
              </w:rPr>
              <w:t xml:space="preserve">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1</w:t>
            </w:r>
            <w:r>
              <w:rPr>
                <w:szCs w:val="21"/>
              </w:rPr>
              <w:t xml:space="preserve">9</w:t>
            </w:r>
            <w:r>
              <w:rPr>
                <w:szCs w:val="21"/>
              </w:rPr>
            </w:r>
            <w:r/>
          </w:p>
        </w:tc>
        <w:tc>
          <w:tcPr>
            <w:tcW w:w="1136" w:type="dxa"/>
            <w:vAlign w:val="center"/>
            <w:textDirection w:val="lrTb"/>
            <w:noWrap w:val="false"/>
          </w:tcPr>
          <w:p>
            <w:pPr>
              <w:pStyle w:val="1151"/>
              <w:jc w:val="center"/>
              <w:widowControl/>
              <w:rPr>
                <w:szCs w:val="21"/>
              </w:rPr>
            </w:pPr>
            <w:r>
              <w:rPr>
                <w:szCs w:val="21"/>
              </w:rPr>
              <w:t xml:space="preserve">DKW</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接地开关位置</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w:t>
            </w:r>
            <w:r>
              <w:rPr>
                <w:rFonts w:hint="eastAsia"/>
                <w:szCs w:val="21"/>
              </w:rPr>
              <w:t xml:space="preserve">0</w:t>
            </w:r>
            <w:r>
              <w:rPr>
                <w:szCs w:val="21"/>
              </w:rPr>
              <w:t xml:space="preserve">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w:t>
            </w:r>
            <w:r>
              <w:rPr>
                <w:rFonts w:hint="eastAsia"/>
                <w:szCs w:val="21"/>
              </w:rPr>
              <w:t xml:space="preserve">0</w:t>
            </w:r>
            <w:r>
              <w:rPr>
                <w:szCs w:val="21"/>
              </w:rPr>
              <w:t xml:space="preserve">mm</w:t>
            </w:r>
            <w:r>
              <w:rPr>
                <w:rFonts w:hint="eastAsia"/>
                <w:szCs w:val="21"/>
              </w:rPr>
              <w:t xml:space="preserve">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2</w:t>
            </w:r>
            <w:r>
              <w:rPr>
                <w:szCs w:val="21"/>
              </w:rPr>
              <w:t xml:space="preserve">0</w:t>
            </w:r>
            <w:r>
              <w:rPr>
                <w:szCs w:val="21"/>
              </w:rPr>
            </w:r>
            <w:r/>
          </w:p>
        </w:tc>
        <w:tc>
          <w:tcPr>
            <w:tcW w:w="1136" w:type="dxa"/>
            <w:vAlign w:val="center"/>
            <w:textDirection w:val="lrTb"/>
            <w:noWrap w:val="false"/>
          </w:tcPr>
          <w:p>
            <w:pPr>
              <w:pStyle w:val="1151"/>
              <w:jc w:val="center"/>
              <w:widowControl/>
              <w:rPr>
                <w:szCs w:val="21"/>
              </w:rPr>
            </w:pPr>
            <w:r>
              <w:rPr>
                <w:rFonts w:hint="eastAsia"/>
                <w:szCs w:val="21"/>
              </w:rPr>
              <w:t xml:space="preserve">KZHL</w:t>
            </w:r>
            <w:r>
              <w:rPr>
                <w:szCs w:val="21"/>
              </w:rPr>
              <w:t xml:space="preserve">BJ</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控制回路报警</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w:t>
            </w:r>
            <w:r>
              <w:rPr>
                <w:rFonts w:hint="eastAsia"/>
                <w:szCs w:val="21"/>
              </w:rPr>
              <w:t xml:space="preserve">0</w:t>
            </w:r>
            <w:r>
              <w:rPr>
                <w:szCs w:val="21"/>
              </w:rPr>
              <w:t xml:space="preserve">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w:t>
            </w:r>
            <w:r>
              <w:rPr>
                <w:rFonts w:hint="eastAsia"/>
                <w:szCs w:val="21"/>
              </w:rPr>
              <w:t xml:space="preserve">0</w:t>
            </w:r>
            <w:r>
              <w:rPr>
                <w:szCs w:val="21"/>
              </w:rPr>
              <w:t xml:space="preserve">mm</w:t>
            </w:r>
            <w:r>
              <w:rPr>
                <w:rFonts w:hint="eastAsia"/>
                <w:szCs w:val="21"/>
              </w:rPr>
              <w:t xml:space="preserve">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2</w:t>
            </w:r>
            <w:r>
              <w:rPr>
                <w:szCs w:val="21"/>
              </w:rPr>
              <w:t xml:space="preserve">1</w:t>
            </w:r>
            <w:r>
              <w:rPr>
                <w:szCs w:val="21"/>
              </w:rPr>
            </w:r>
            <w:r/>
          </w:p>
        </w:tc>
        <w:tc>
          <w:tcPr>
            <w:tcW w:w="1136" w:type="dxa"/>
            <w:vAlign w:val="center"/>
            <w:textDirection w:val="lrTb"/>
            <w:noWrap w:val="false"/>
          </w:tcPr>
          <w:p>
            <w:pPr>
              <w:pStyle w:val="1151"/>
              <w:jc w:val="center"/>
              <w:widowControl/>
              <w:rPr>
                <w:szCs w:val="21"/>
              </w:rPr>
            </w:pPr>
            <w:r>
              <w:rPr>
                <w:szCs w:val="21"/>
              </w:rPr>
              <w:t xml:space="preserve">WCN</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未储能位</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w:t>
            </w:r>
            <w:r>
              <w:rPr>
                <w:rFonts w:hint="eastAsia"/>
                <w:szCs w:val="21"/>
              </w:rPr>
              <w:t xml:space="preserve">0</w:t>
            </w:r>
            <w:r>
              <w:rPr>
                <w:szCs w:val="21"/>
              </w:rPr>
              <w:t xml:space="preserve">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w:t>
            </w:r>
            <w:r>
              <w:rPr>
                <w:rFonts w:hint="eastAsia"/>
                <w:szCs w:val="21"/>
              </w:rPr>
              <w:t xml:space="preserve">0</w:t>
            </w:r>
            <w:r>
              <w:rPr>
                <w:szCs w:val="21"/>
              </w:rPr>
              <w:t xml:space="preserve">mm</w:t>
            </w:r>
            <w:r>
              <w:rPr>
                <w:rFonts w:hint="eastAsia"/>
                <w:szCs w:val="21"/>
              </w:rPr>
              <w:t xml:space="preserve">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2</w:t>
            </w:r>
            <w:r>
              <w:rPr>
                <w:szCs w:val="21"/>
              </w:rPr>
              <w:t xml:space="preserve">2</w:t>
            </w:r>
            <w:r>
              <w:rPr>
                <w:szCs w:val="21"/>
              </w:rPr>
            </w:r>
            <w:r/>
          </w:p>
        </w:tc>
        <w:tc>
          <w:tcPr>
            <w:tcW w:w="1136" w:type="dxa"/>
            <w:vAlign w:val="center"/>
            <w:textDirection w:val="lrTb"/>
            <w:noWrap w:val="false"/>
          </w:tcPr>
          <w:p>
            <w:pPr>
              <w:pStyle w:val="1151"/>
              <w:jc w:val="center"/>
              <w:widowControl/>
              <w:rPr>
                <w:szCs w:val="21"/>
              </w:rPr>
            </w:pPr>
            <w:r>
              <w:rPr>
                <w:szCs w:val="21"/>
              </w:rPr>
              <w:t xml:space="preserve">YF</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远方</w:t>
            </w:r>
            <w:r>
              <w:rPr>
                <w:szCs w:val="21"/>
              </w:rPr>
              <w:t xml:space="preserve">/</w:t>
            </w:r>
            <w:r>
              <w:rPr>
                <w:rFonts w:hint="eastAsia"/>
                <w:szCs w:val="21"/>
              </w:rPr>
              <w:t xml:space="preserve">就地</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w:t>
            </w:r>
            <w:r>
              <w:rPr>
                <w:rFonts w:hint="eastAsia"/>
                <w:szCs w:val="21"/>
              </w:rPr>
              <w:t xml:space="preserve">0</w:t>
            </w:r>
            <w:r>
              <w:rPr>
                <w:szCs w:val="21"/>
              </w:rPr>
              <w:t xml:space="preserve">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w:t>
            </w:r>
            <w:r>
              <w:rPr>
                <w:rFonts w:hint="eastAsia"/>
                <w:szCs w:val="21"/>
              </w:rPr>
              <w:t xml:space="preserve">0</w:t>
            </w:r>
            <w:r>
              <w:rPr>
                <w:szCs w:val="21"/>
              </w:rPr>
              <w:t xml:space="preserve">mm</w:t>
            </w:r>
            <w:r>
              <w:rPr>
                <w:rFonts w:hint="eastAsia"/>
                <w:szCs w:val="21"/>
              </w:rPr>
              <w:t xml:space="preserve">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23</w:t>
            </w:r>
            <w:r>
              <w:rPr>
                <w:szCs w:val="21"/>
              </w:rPr>
            </w:r>
            <w:r/>
          </w:p>
        </w:tc>
        <w:tc>
          <w:tcPr>
            <w:tcW w:w="1136" w:type="dxa"/>
            <w:vAlign w:val="center"/>
            <w:textDirection w:val="lrTb"/>
            <w:noWrap w:val="false"/>
          </w:tcPr>
          <w:p>
            <w:pPr>
              <w:pStyle w:val="1151"/>
              <w:jc w:val="center"/>
              <w:widowControl/>
              <w:rPr>
                <w:szCs w:val="21"/>
              </w:rPr>
            </w:pPr>
            <w:r>
              <w:rPr>
                <w:szCs w:val="21"/>
              </w:rPr>
              <w:t xml:space="preserve">HW</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合位</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w:t>
            </w:r>
            <w:r>
              <w:rPr>
                <w:rFonts w:hint="eastAsia"/>
                <w:szCs w:val="21"/>
              </w:rPr>
              <w:t xml:space="preserve">0</w:t>
            </w:r>
            <w:r>
              <w:rPr>
                <w:szCs w:val="21"/>
              </w:rPr>
              <w:t xml:space="preserve">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w:t>
            </w:r>
            <w:r>
              <w:rPr>
                <w:rFonts w:hint="eastAsia"/>
                <w:szCs w:val="21"/>
              </w:rPr>
              <w:t xml:space="preserve">0</w:t>
            </w:r>
            <w:r>
              <w:rPr>
                <w:szCs w:val="21"/>
              </w:rPr>
              <w:t xml:space="preserve">mm</w:t>
            </w:r>
            <w:r>
              <w:rPr>
                <w:rFonts w:hint="eastAsia"/>
                <w:szCs w:val="21"/>
              </w:rPr>
              <w:t xml:space="preserve">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24</w:t>
            </w:r>
            <w:r>
              <w:rPr>
                <w:szCs w:val="21"/>
              </w:rPr>
            </w:r>
            <w:r/>
          </w:p>
        </w:tc>
        <w:tc>
          <w:tcPr>
            <w:tcW w:w="1136" w:type="dxa"/>
            <w:vAlign w:val="center"/>
            <w:textDirection w:val="lrTb"/>
            <w:noWrap w:val="false"/>
          </w:tcPr>
          <w:p>
            <w:pPr>
              <w:pStyle w:val="1151"/>
              <w:jc w:val="center"/>
              <w:widowControl/>
              <w:rPr>
                <w:szCs w:val="21"/>
              </w:rPr>
            </w:pPr>
            <w:r>
              <w:rPr>
                <w:szCs w:val="21"/>
              </w:rPr>
              <w:t xml:space="preserve">FW</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分位</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w:t>
            </w:r>
            <w:r>
              <w:rPr>
                <w:rFonts w:hint="eastAsia"/>
                <w:szCs w:val="21"/>
              </w:rPr>
              <w:t xml:space="preserve">0</w:t>
            </w:r>
            <w:r>
              <w:rPr>
                <w:szCs w:val="21"/>
              </w:rPr>
              <w:t xml:space="preserve">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RVV1.</w:t>
            </w:r>
            <w:r>
              <w:rPr>
                <w:rFonts w:hint="eastAsia"/>
                <w:szCs w:val="21"/>
              </w:rPr>
              <w:t xml:space="preserve">0</w:t>
            </w:r>
            <w:r>
              <w:rPr>
                <w:szCs w:val="21"/>
              </w:rPr>
              <w:t xml:space="preserve">mm</w:t>
            </w:r>
            <w:r>
              <w:rPr>
                <w:rFonts w:hint="eastAsia"/>
                <w:szCs w:val="21"/>
              </w:rPr>
              <w:t xml:space="preserve">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2</w:t>
            </w:r>
            <w:r>
              <w:rPr>
                <w:szCs w:val="21"/>
              </w:rPr>
              <w:t xml:space="preserve">5</w:t>
            </w:r>
            <w:r>
              <w:rPr>
                <w:szCs w:val="21"/>
              </w:rPr>
            </w:r>
            <w:r/>
          </w:p>
        </w:tc>
        <w:tc>
          <w:tcPr>
            <w:tcW w:w="1136" w:type="dxa"/>
            <w:vAlign w:val="center"/>
            <w:textDirection w:val="lrTb"/>
            <w:noWrap w:val="false"/>
          </w:tcPr>
          <w:p>
            <w:pPr>
              <w:pStyle w:val="1151"/>
              <w:jc w:val="center"/>
              <w:widowControl/>
              <w:rPr>
                <w:szCs w:val="21"/>
              </w:rPr>
            </w:pPr>
            <w:r>
              <w:rPr>
                <w:rFonts w:hint="eastAsia"/>
                <w:szCs w:val="21"/>
              </w:rPr>
              <w:t xml:space="preserve">Ia+</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A相电流+</w:t>
            </w:r>
            <w:r>
              <w:rPr>
                <w:szCs w:val="21"/>
              </w:rPr>
            </w:r>
            <w:r/>
          </w:p>
        </w:tc>
        <w:tc>
          <w:tcPr>
            <w:tcW w:w="1739" w:type="dxa"/>
            <w:vAlign w:val="top"/>
            <w:textDirection w:val="lrTb"/>
            <w:noWrap w:val="false"/>
          </w:tcPr>
          <w:p>
            <w:pPr>
              <w:pStyle w:val="1151"/>
              <w:jc w:val="center"/>
              <w:widowControl/>
              <w:rPr>
                <w:szCs w:val="21"/>
              </w:rPr>
            </w:pPr>
            <w:r>
              <w:rPr>
                <w:rFonts w:hint="eastAsia"/>
                <w:szCs w:val="21"/>
              </w:rPr>
              <w:t xml:space="preserve">RVV</w:t>
            </w:r>
            <w:r>
              <w:rPr>
                <w:szCs w:val="21"/>
              </w:rPr>
              <w:t xml:space="preserve">P2.5mm</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w:t>
            </w:r>
            <w:r>
              <w:rPr>
                <w:rFonts w:hint="eastAsia"/>
                <w:szCs w:val="21"/>
              </w:rPr>
              <w:t xml:space="preserve">2</w:t>
            </w:r>
            <w:r>
              <w:rPr>
                <w:szCs w:val="21"/>
              </w:rPr>
              <w:t xml:space="preserve">.5mm</w:t>
            </w:r>
            <w:r>
              <w:rPr>
                <w:rFonts w:hint="eastAsia"/>
                <w:szCs w:val="21"/>
              </w:rPr>
              <w:t xml:space="preserve">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2</w:t>
            </w:r>
            <w:r>
              <w:rPr>
                <w:szCs w:val="21"/>
              </w:rPr>
              <w:t xml:space="preserve">6</w:t>
            </w:r>
            <w:r>
              <w:rPr>
                <w:szCs w:val="21"/>
              </w:rPr>
            </w:r>
            <w:r/>
          </w:p>
        </w:tc>
        <w:tc>
          <w:tcPr>
            <w:tcW w:w="1136" w:type="dxa"/>
            <w:vAlign w:val="center"/>
            <w:textDirection w:val="lrTb"/>
            <w:noWrap w:val="false"/>
          </w:tcPr>
          <w:p>
            <w:pPr>
              <w:pStyle w:val="1151"/>
              <w:jc w:val="center"/>
              <w:widowControl/>
              <w:rPr>
                <w:szCs w:val="21"/>
              </w:rPr>
            </w:pPr>
            <w:r>
              <w:rPr>
                <w:rFonts w:hint="eastAsia"/>
                <w:szCs w:val="21"/>
              </w:rPr>
              <w:t xml:space="preserve">Ia-</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A相电流-</w:t>
            </w:r>
            <w:r>
              <w:rPr>
                <w:szCs w:val="21"/>
              </w:rPr>
            </w:r>
            <w:r/>
          </w:p>
        </w:tc>
        <w:tc>
          <w:tcPr>
            <w:tcW w:w="1739" w:type="dxa"/>
            <w:vAlign w:val="top"/>
            <w:textDirection w:val="lrTb"/>
            <w:noWrap w:val="false"/>
          </w:tcPr>
          <w:p>
            <w:pPr>
              <w:pStyle w:val="1151"/>
              <w:jc w:val="center"/>
              <w:widowControl/>
              <w:rPr>
                <w:szCs w:val="21"/>
              </w:rPr>
            </w:pPr>
            <w:r>
              <w:rPr>
                <w:rFonts w:hint="eastAsia"/>
                <w:szCs w:val="21"/>
              </w:rPr>
              <w:t xml:space="preserve">RVV</w:t>
            </w:r>
            <w:r>
              <w:rPr>
                <w:szCs w:val="21"/>
              </w:rPr>
              <w:t xml:space="preserve">P2.5mm²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w:t>
            </w:r>
            <w:r>
              <w:rPr>
                <w:rFonts w:hint="eastAsia"/>
                <w:szCs w:val="21"/>
              </w:rPr>
              <w:t xml:space="preserve">2</w:t>
            </w:r>
            <w:r>
              <w:rPr>
                <w:szCs w:val="21"/>
              </w:rPr>
              <w:t xml:space="preserve">.5mm</w:t>
            </w:r>
            <w:r>
              <w:rPr>
                <w:rFonts w:hint="eastAsia"/>
                <w:szCs w:val="21"/>
              </w:rPr>
              <w:t xml:space="preserve">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2</w:t>
            </w:r>
            <w:r>
              <w:rPr>
                <w:szCs w:val="21"/>
              </w:rPr>
              <w:t xml:space="preserve">7</w:t>
            </w:r>
            <w:r>
              <w:rPr>
                <w:szCs w:val="21"/>
              </w:rPr>
            </w:r>
            <w:r/>
          </w:p>
        </w:tc>
        <w:tc>
          <w:tcPr>
            <w:tcW w:w="1136" w:type="dxa"/>
            <w:vAlign w:val="center"/>
            <w:textDirection w:val="lrTb"/>
            <w:noWrap w:val="false"/>
          </w:tcPr>
          <w:p>
            <w:pPr>
              <w:pStyle w:val="1151"/>
              <w:jc w:val="center"/>
              <w:widowControl/>
              <w:rPr>
                <w:szCs w:val="21"/>
              </w:rPr>
            </w:pPr>
            <w:r>
              <w:rPr>
                <w:rFonts w:hint="eastAsia"/>
                <w:szCs w:val="21"/>
              </w:rPr>
              <w:t xml:space="preserve">Ib+</w:t>
            </w:r>
            <w:r>
              <w:rPr>
                <w:szCs w:val="21"/>
              </w:rPr>
            </w:r>
            <w:r/>
          </w:p>
        </w:tc>
        <w:tc>
          <w:tcPr>
            <w:tcW w:w="2851" w:type="dxa"/>
            <w:vAlign w:val="center"/>
            <w:textDirection w:val="lrTb"/>
            <w:noWrap w:val="false"/>
          </w:tcPr>
          <w:p>
            <w:pPr>
              <w:pStyle w:val="1151"/>
              <w:jc w:val="center"/>
              <w:widowControl/>
              <w:rPr>
                <w:szCs w:val="21"/>
              </w:rPr>
            </w:pPr>
            <w:r>
              <w:rPr>
                <w:szCs w:val="21"/>
              </w:rPr>
              <w:t xml:space="preserve">B</w:t>
            </w:r>
            <w:r>
              <w:rPr>
                <w:rFonts w:hint="eastAsia"/>
                <w:szCs w:val="21"/>
              </w:rPr>
              <w:t xml:space="preserve">相电流+</w:t>
            </w:r>
            <w:r>
              <w:rPr>
                <w:szCs w:val="21"/>
              </w:rPr>
            </w:r>
            <w:r/>
          </w:p>
        </w:tc>
        <w:tc>
          <w:tcPr>
            <w:tcW w:w="1739" w:type="dxa"/>
            <w:vAlign w:val="top"/>
            <w:textDirection w:val="lrTb"/>
            <w:noWrap w:val="false"/>
          </w:tcPr>
          <w:p>
            <w:pPr>
              <w:pStyle w:val="1151"/>
              <w:jc w:val="center"/>
              <w:widowControl/>
              <w:rPr>
                <w:szCs w:val="21"/>
              </w:rPr>
            </w:pPr>
            <w:r>
              <w:rPr>
                <w:rFonts w:hint="eastAsia"/>
                <w:szCs w:val="21"/>
              </w:rPr>
              <w:t xml:space="preserve">RVV</w:t>
            </w:r>
            <w:r>
              <w:rPr>
                <w:szCs w:val="21"/>
              </w:rPr>
              <w:t xml:space="preserve">P2.5mm²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w:t>
            </w:r>
            <w:r>
              <w:rPr>
                <w:rFonts w:hint="eastAsia"/>
                <w:szCs w:val="21"/>
              </w:rPr>
              <w:t xml:space="preserve">2</w:t>
            </w:r>
            <w:r>
              <w:rPr>
                <w:szCs w:val="21"/>
              </w:rPr>
              <w:t xml:space="preserve">.5mm</w:t>
            </w:r>
            <w:r>
              <w:rPr>
                <w:rFonts w:hint="eastAsia"/>
                <w:szCs w:val="21"/>
              </w:rPr>
              <w:t xml:space="preserve">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2</w:t>
            </w:r>
            <w:r>
              <w:rPr>
                <w:szCs w:val="21"/>
              </w:rPr>
              <w:t xml:space="preserve">8</w:t>
            </w:r>
            <w:r>
              <w:rPr>
                <w:szCs w:val="21"/>
              </w:rPr>
            </w:r>
            <w:r/>
          </w:p>
        </w:tc>
        <w:tc>
          <w:tcPr>
            <w:tcW w:w="1136" w:type="dxa"/>
            <w:vAlign w:val="center"/>
            <w:textDirection w:val="lrTb"/>
            <w:noWrap w:val="false"/>
          </w:tcPr>
          <w:p>
            <w:pPr>
              <w:pStyle w:val="1151"/>
              <w:jc w:val="center"/>
              <w:widowControl/>
              <w:rPr>
                <w:szCs w:val="21"/>
              </w:rPr>
            </w:pPr>
            <w:r>
              <w:rPr>
                <w:rFonts w:hint="eastAsia"/>
                <w:szCs w:val="21"/>
              </w:rPr>
              <w:t xml:space="preserve">Ib-</w:t>
            </w:r>
            <w:r>
              <w:rPr>
                <w:szCs w:val="21"/>
              </w:rPr>
            </w:r>
            <w:r/>
          </w:p>
        </w:tc>
        <w:tc>
          <w:tcPr>
            <w:tcW w:w="2851" w:type="dxa"/>
            <w:vAlign w:val="center"/>
            <w:textDirection w:val="lrTb"/>
            <w:noWrap w:val="false"/>
          </w:tcPr>
          <w:p>
            <w:pPr>
              <w:pStyle w:val="1151"/>
              <w:jc w:val="center"/>
              <w:widowControl/>
              <w:rPr>
                <w:szCs w:val="21"/>
              </w:rPr>
            </w:pPr>
            <w:r>
              <w:rPr>
                <w:szCs w:val="21"/>
              </w:rPr>
              <w:t xml:space="preserve">B</w:t>
            </w:r>
            <w:r>
              <w:rPr>
                <w:rFonts w:hint="eastAsia"/>
                <w:szCs w:val="21"/>
              </w:rPr>
              <w:t xml:space="preserve">相电流-</w:t>
            </w:r>
            <w:r>
              <w:rPr>
                <w:szCs w:val="21"/>
              </w:rPr>
            </w:r>
            <w:r/>
          </w:p>
        </w:tc>
        <w:tc>
          <w:tcPr>
            <w:tcW w:w="1739" w:type="dxa"/>
            <w:vAlign w:val="top"/>
            <w:textDirection w:val="lrTb"/>
            <w:noWrap w:val="false"/>
          </w:tcPr>
          <w:p>
            <w:pPr>
              <w:pStyle w:val="1151"/>
              <w:jc w:val="center"/>
              <w:widowControl/>
              <w:rPr>
                <w:szCs w:val="21"/>
              </w:rPr>
            </w:pPr>
            <w:r>
              <w:rPr>
                <w:rFonts w:hint="eastAsia"/>
                <w:szCs w:val="21"/>
              </w:rPr>
              <w:t xml:space="preserve">RVV</w:t>
            </w:r>
            <w:r>
              <w:rPr>
                <w:szCs w:val="21"/>
              </w:rPr>
              <w:t xml:space="preserve">P2.5mm²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w:t>
            </w:r>
            <w:r>
              <w:rPr>
                <w:rFonts w:hint="eastAsia"/>
                <w:szCs w:val="21"/>
              </w:rPr>
              <w:t xml:space="preserve">2</w:t>
            </w:r>
            <w:r>
              <w:rPr>
                <w:szCs w:val="21"/>
              </w:rPr>
              <w:t xml:space="preserve">.5mm</w:t>
            </w:r>
            <w:r>
              <w:rPr>
                <w:rFonts w:hint="eastAsia"/>
                <w:szCs w:val="21"/>
              </w:rPr>
              <w:t xml:space="preserve">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2</w:t>
            </w:r>
            <w:r>
              <w:rPr>
                <w:szCs w:val="21"/>
              </w:rPr>
              <w:t xml:space="preserve">9</w:t>
            </w:r>
            <w:r>
              <w:rPr>
                <w:szCs w:val="21"/>
              </w:rPr>
            </w:r>
            <w:r/>
          </w:p>
        </w:tc>
        <w:tc>
          <w:tcPr>
            <w:tcW w:w="1136" w:type="dxa"/>
            <w:vAlign w:val="center"/>
            <w:textDirection w:val="lrTb"/>
            <w:noWrap w:val="false"/>
          </w:tcPr>
          <w:p>
            <w:pPr>
              <w:pStyle w:val="1151"/>
              <w:jc w:val="center"/>
              <w:widowControl/>
              <w:rPr>
                <w:szCs w:val="21"/>
              </w:rPr>
            </w:pPr>
            <w:r>
              <w:rPr>
                <w:rFonts w:hint="eastAsia"/>
                <w:szCs w:val="21"/>
              </w:rPr>
              <w:t xml:space="preserve">Ic+</w:t>
            </w:r>
            <w:r>
              <w:rPr>
                <w:szCs w:val="21"/>
              </w:rPr>
            </w:r>
            <w:r/>
          </w:p>
        </w:tc>
        <w:tc>
          <w:tcPr>
            <w:tcW w:w="2851" w:type="dxa"/>
            <w:vAlign w:val="center"/>
            <w:textDirection w:val="lrTb"/>
            <w:noWrap w:val="false"/>
          </w:tcPr>
          <w:p>
            <w:pPr>
              <w:pStyle w:val="1151"/>
              <w:jc w:val="center"/>
              <w:widowControl/>
              <w:rPr>
                <w:szCs w:val="21"/>
              </w:rPr>
            </w:pPr>
            <w:r>
              <w:rPr>
                <w:szCs w:val="21"/>
              </w:rPr>
              <w:t xml:space="preserve">C</w:t>
            </w:r>
            <w:r>
              <w:rPr>
                <w:rFonts w:hint="eastAsia"/>
                <w:szCs w:val="21"/>
              </w:rPr>
              <w:t xml:space="preserve">相电流+</w:t>
            </w:r>
            <w:r>
              <w:rPr>
                <w:szCs w:val="21"/>
              </w:rPr>
            </w:r>
            <w:r/>
          </w:p>
        </w:tc>
        <w:tc>
          <w:tcPr>
            <w:tcW w:w="1739" w:type="dxa"/>
            <w:vAlign w:val="top"/>
            <w:textDirection w:val="lrTb"/>
            <w:noWrap w:val="false"/>
          </w:tcPr>
          <w:p>
            <w:pPr>
              <w:pStyle w:val="1151"/>
              <w:jc w:val="center"/>
              <w:widowControl/>
              <w:rPr>
                <w:szCs w:val="21"/>
              </w:rPr>
            </w:pPr>
            <w:r>
              <w:rPr>
                <w:rFonts w:hint="eastAsia"/>
                <w:szCs w:val="21"/>
              </w:rPr>
              <w:t xml:space="preserve">RVV</w:t>
            </w:r>
            <w:r>
              <w:rPr>
                <w:szCs w:val="21"/>
              </w:rPr>
              <w:t xml:space="preserve">P2.5mm²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w:t>
            </w:r>
            <w:r>
              <w:rPr>
                <w:rFonts w:hint="eastAsia"/>
                <w:szCs w:val="21"/>
              </w:rPr>
              <w:t xml:space="preserve">2</w:t>
            </w:r>
            <w:r>
              <w:rPr>
                <w:szCs w:val="21"/>
              </w:rPr>
              <w:t xml:space="preserve">.5mm</w:t>
            </w:r>
            <w:r>
              <w:rPr>
                <w:rFonts w:hint="eastAsia"/>
                <w:szCs w:val="21"/>
              </w:rPr>
              <w:t xml:space="preserve">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3</w:t>
            </w:r>
            <w:r>
              <w:rPr>
                <w:szCs w:val="21"/>
              </w:rPr>
              <w:t xml:space="preserve">0</w:t>
            </w:r>
            <w:r>
              <w:rPr>
                <w:szCs w:val="21"/>
              </w:rPr>
            </w:r>
            <w:r/>
          </w:p>
        </w:tc>
        <w:tc>
          <w:tcPr>
            <w:tcW w:w="1136" w:type="dxa"/>
            <w:vAlign w:val="center"/>
            <w:textDirection w:val="lrTb"/>
            <w:noWrap w:val="false"/>
          </w:tcPr>
          <w:p>
            <w:pPr>
              <w:pStyle w:val="1151"/>
              <w:jc w:val="center"/>
              <w:widowControl/>
              <w:rPr>
                <w:szCs w:val="21"/>
              </w:rPr>
            </w:pPr>
            <w:r>
              <w:rPr>
                <w:rFonts w:hint="eastAsia"/>
                <w:szCs w:val="21"/>
              </w:rPr>
              <w:t xml:space="preserve">Ic-</w:t>
            </w:r>
            <w:r>
              <w:rPr>
                <w:szCs w:val="21"/>
              </w:rPr>
            </w:r>
            <w:r/>
          </w:p>
        </w:tc>
        <w:tc>
          <w:tcPr>
            <w:tcW w:w="2851" w:type="dxa"/>
            <w:vAlign w:val="center"/>
            <w:textDirection w:val="lrTb"/>
            <w:noWrap w:val="false"/>
          </w:tcPr>
          <w:p>
            <w:pPr>
              <w:pStyle w:val="1151"/>
              <w:jc w:val="center"/>
              <w:widowControl/>
              <w:rPr>
                <w:szCs w:val="21"/>
              </w:rPr>
            </w:pPr>
            <w:r>
              <w:rPr>
                <w:szCs w:val="21"/>
              </w:rPr>
              <w:t xml:space="preserve">C</w:t>
            </w:r>
            <w:r>
              <w:rPr>
                <w:rFonts w:hint="eastAsia"/>
                <w:szCs w:val="21"/>
              </w:rPr>
              <w:t xml:space="preserve">相电流-</w:t>
            </w:r>
            <w:r>
              <w:rPr>
                <w:szCs w:val="21"/>
              </w:rPr>
            </w:r>
            <w:r/>
          </w:p>
        </w:tc>
        <w:tc>
          <w:tcPr>
            <w:tcW w:w="1739" w:type="dxa"/>
            <w:vAlign w:val="top"/>
            <w:textDirection w:val="lrTb"/>
            <w:noWrap w:val="false"/>
          </w:tcPr>
          <w:p>
            <w:pPr>
              <w:pStyle w:val="1151"/>
              <w:jc w:val="center"/>
              <w:widowControl/>
              <w:rPr>
                <w:szCs w:val="21"/>
              </w:rPr>
            </w:pPr>
            <w:r>
              <w:rPr>
                <w:rFonts w:hint="eastAsia"/>
                <w:szCs w:val="21"/>
              </w:rPr>
              <w:t xml:space="preserve">RVV</w:t>
            </w:r>
            <w:r>
              <w:rPr>
                <w:szCs w:val="21"/>
              </w:rPr>
              <w:t xml:space="preserve">P2.5mm²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w:t>
            </w:r>
            <w:r>
              <w:rPr>
                <w:rFonts w:hint="eastAsia"/>
                <w:szCs w:val="21"/>
              </w:rPr>
              <w:t xml:space="preserve">2</w:t>
            </w:r>
            <w:r>
              <w:rPr>
                <w:szCs w:val="21"/>
              </w:rPr>
              <w:t xml:space="preserve">.5mm</w:t>
            </w:r>
            <w:r>
              <w:rPr>
                <w:rFonts w:hint="eastAsia"/>
                <w:szCs w:val="21"/>
              </w:rPr>
              <w:t xml:space="preserve">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3</w:t>
            </w:r>
            <w:r>
              <w:rPr>
                <w:szCs w:val="21"/>
              </w:rPr>
              <w:t xml:space="preserve">1</w:t>
            </w:r>
            <w:r>
              <w:rPr>
                <w:szCs w:val="21"/>
              </w:rPr>
            </w:r>
            <w:r/>
          </w:p>
        </w:tc>
        <w:tc>
          <w:tcPr>
            <w:tcW w:w="1136" w:type="dxa"/>
            <w:vAlign w:val="center"/>
            <w:textDirection w:val="lrTb"/>
            <w:noWrap w:val="false"/>
          </w:tcPr>
          <w:p>
            <w:pPr>
              <w:pStyle w:val="1151"/>
              <w:jc w:val="center"/>
              <w:widowControl/>
              <w:rPr>
                <w:szCs w:val="21"/>
              </w:rPr>
            </w:pPr>
            <w:r>
              <w:rPr>
                <w:rFonts w:hint="eastAsia"/>
                <w:szCs w:val="21"/>
              </w:rPr>
              <w:t xml:space="preserve">I0+</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零序电流+</w:t>
            </w:r>
            <w:r>
              <w:rPr>
                <w:szCs w:val="21"/>
              </w:rPr>
            </w:r>
            <w:r/>
          </w:p>
        </w:tc>
        <w:tc>
          <w:tcPr>
            <w:tcW w:w="1739" w:type="dxa"/>
            <w:vAlign w:val="top"/>
            <w:textDirection w:val="lrTb"/>
            <w:noWrap w:val="false"/>
          </w:tcPr>
          <w:p>
            <w:pPr>
              <w:pStyle w:val="1151"/>
              <w:jc w:val="center"/>
              <w:widowControl/>
              <w:rPr>
                <w:szCs w:val="21"/>
              </w:rPr>
            </w:pPr>
            <w:r>
              <w:rPr>
                <w:rFonts w:hint="eastAsia"/>
                <w:szCs w:val="21"/>
              </w:rPr>
              <w:t xml:space="preserve">RVV</w:t>
            </w:r>
            <w:r>
              <w:rPr>
                <w:szCs w:val="21"/>
              </w:rPr>
              <w:t xml:space="preserve">P2.5mm²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w:t>
            </w:r>
            <w:r>
              <w:rPr>
                <w:rFonts w:hint="eastAsia"/>
                <w:szCs w:val="21"/>
              </w:rPr>
              <w:t xml:space="preserve">2</w:t>
            </w:r>
            <w:r>
              <w:rPr>
                <w:szCs w:val="21"/>
              </w:rPr>
              <w:t xml:space="preserve">.5mm</w:t>
            </w:r>
            <w:r>
              <w:rPr>
                <w:rFonts w:hint="eastAsia"/>
                <w:szCs w:val="21"/>
              </w:rPr>
              <w:t xml:space="preserve">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3</w:t>
            </w:r>
            <w:r>
              <w:rPr>
                <w:szCs w:val="21"/>
              </w:rPr>
              <w:t xml:space="preserve">2</w:t>
            </w:r>
            <w:r>
              <w:rPr>
                <w:szCs w:val="21"/>
              </w:rPr>
            </w:r>
            <w:r/>
          </w:p>
        </w:tc>
        <w:tc>
          <w:tcPr>
            <w:tcW w:w="1136" w:type="dxa"/>
            <w:vAlign w:val="center"/>
            <w:textDirection w:val="lrTb"/>
            <w:noWrap w:val="false"/>
          </w:tcPr>
          <w:p>
            <w:pPr>
              <w:pStyle w:val="1151"/>
              <w:jc w:val="center"/>
              <w:widowControl/>
              <w:rPr>
                <w:szCs w:val="21"/>
              </w:rPr>
            </w:pPr>
            <w:r>
              <w:rPr>
                <w:rFonts w:hint="eastAsia"/>
                <w:szCs w:val="21"/>
              </w:rPr>
              <w:t xml:space="preserve">I0-</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零序电流-</w:t>
            </w:r>
            <w:r>
              <w:rPr>
                <w:szCs w:val="21"/>
              </w:rPr>
            </w:r>
            <w:r/>
          </w:p>
        </w:tc>
        <w:tc>
          <w:tcPr>
            <w:tcW w:w="1739" w:type="dxa"/>
            <w:vAlign w:val="top"/>
            <w:textDirection w:val="lrTb"/>
            <w:noWrap w:val="false"/>
          </w:tcPr>
          <w:p>
            <w:pPr>
              <w:pStyle w:val="1151"/>
              <w:jc w:val="center"/>
              <w:widowControl/>
              <w:rPr>
                <w:szCs w:val="21"/>
              </w:rPr>
            </w:pPr>
            <w:r>
              <w:rPr>
                <w:rFonts w:hint="eastAsia"/>
                <w:szCs w:val="21"/>
              </w:rPr>
              <w:t xml:space="preserve">RVV</w:t>
            </w:r>
            <w:r>
              <w:rPr>
                <w:szCs w:val="21"/>
              </w:rPr>
              <w:t xml:space="preserve">P2.5mm²</w:t>
            </w:r>
            <w:r>
              <w:rPr>
                <w:szCs w:val="21"/>
              </w:rPr>
            </w:r>
            <w:r/>
          </w:p>
        </w:tc>
        <w:tc>
          <w:tcPr>
            <w:tcW w:w="1805" w:type="dxa"/>
            <w:vAlign w:val="top"/>
            <w:textDirection w:val="lrTb"/>
            <w:noWrap w:val="false"/>
          </w:tcPr>
          <w:p>
            <w:pPr>
              <w:pStyle w:val="1151"/>
              <w:ind w:firstLine="420"/>
              <w:jc w:val="center"/>
              <w:widowControl/>
              <w:rPr>
                <w:szCs w:val="21"/>
              </w:rPr>
            </w:pPr>
            <w:r>
              <w:rPr>
                <w:szCs w:val="21"/>
              </w:rPr>
              <w:t xml:space="preserve">RVV</w:t>
            </w:r>
            <w:r>
              <w:rPr>
                <w:rFonts w:hint="eastAsia"/>
                <w:szCs w:val="21"/>
              </w:rPr>
              <w:t xml:space="preserve">2</w:t>
            </w:r>
            <w:r>
              <w:rPr>
                <w:szCs w:val="21"/>
              </w:rPr>
              <w:t xml:space="preserve">.5mm</w:t>
            </w:r>
            <w:r>
              <w:rPr>
                <w:rFonts w:hint="eastAsia"/>
                <w:szCs w:val="21"/>
              </w:rPr>
              <w:t xml:space="preserve">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27" w:type="dxa"/>
            <w:vAlign w:val="center"/>
            <w:textDirection w:val="lrTb"/>
            <w:noWrap w:val="false"/>
          </w:tcPr>
          <w:p>
            <w:pPr>
              <w:pStyle w:val="1151"/>
              <w:jc w:val="center"/>
              <w:widowControl/>
              <w:rPr>
                <w:szCs w:val="21"/>
              </w:rPr>
            </w:pPr>
            <w:r>
              <w:rPr>
                <w:rFonts w:hint="eastAsia"/>
                <w:szCs w:val="21"/>
              </w:rPr>
              <w:t xml:space="preserve">33</w:t>
            </w:r>
            <w:r>
              <w:rPr>
                <w:szCs w:val="21"/>
              </w:rPr>
            </w:r>
            <w:r/>
          </w:p>
        </w:tc>
        <w:tc>
          <w:tcPr>
            <w:tcW w:w="1136" w:type="dxa"/>
            <w:vAlign w:val="center"/>
            <w:textDirection w:val="lrTb"/>
            <w:noWrap w:val="false"/>
          </w:tcPr>
          <w:p>
            <w:pPr>
              <w:pStyle w:val="1151"/>
              <w:widowControl/>
              <w:rPr>
                <w:szCs w:val="21"/>
              </w:rPr>
            </w:pP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接地</w:t>
            </w:r>
            <w:r>
              <w:rPr>
                <w:szCs w:val="21"/>
              </w:rPr>
            </w:r>
            <w:r/>
          </w:p>
        </w:tc>
        <w:tc>
          <w:tcPr>
            <w:tcW w:w="1739" w:type="dxa"/>
            <w:vAlign w:val="top"/>
            <w:textDirection w:val="lrTb"/>
            <w:noWrap w:val="false"/>
          </w:tcPr>
          <w:p>
            <w:pPr>
              <w:pStyle w:val="1151"/>
              <w:widowControl/>
              <w:rPr>
                <w:szCs w:val="21"/>
              </w:rPr>
            </w:pPr>
            <w:r>
              <w:rPr>
                <w:szCs w:val="21"/>
              </w:rPr>
            </w:r>
            <w:r/>
          </w:p>
        </w:tc>
        <w:tc>
          <w:tcPr>
            <w:tcW w:w="1805" w:type="dxa"/>
            <w:vAlign w:val="top"/>
            <w:textDirection w:val="lrTb"/>
            <w:noWrap w:val="false"/>
          </w:tcPr>
          <w:p>
            <w:pPr>
              <w:pStyle w:val="1151"/>
              <w:ind w:firstLine="420"/>
              <w:jc w:val="center"/>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bl>
    <w:p>
      <w:pPr>
        <w:pStyle w:val="1151"/>
        <w:jc w:val="left"/>
        <w:widowControl/>
      </w:pPr>
      <w:r>
        <w:rPr>
          <w:rFonts w:hint="eastAsia"/>
        </w:rPr>
        <w:t xml:space="preserve">注：</w:t>
      </w:r>
      <w:r/>
    </w:p>
    <w:p>
      <w:pPr>
        <w:pStyle w:val="1151"/>
        <w:numPr>
          <w:ilvl w:val="0"/>
          <w:numId w:val="67"/>
        </w:numPr>
        <w:jc w:val="left"/>
        <w:widowControl/>
      </w:pPr>
      <w:r>
        <w:rPr>
          <w:rFonts w:hint="eastAsia"/>
        </w:rPr>
        <w:t xml:space="preserve">电磁式3</w:t>
      </w:r>
      <w:r>
        <w:t xml:space="preserve">2</w:t>
      </w:r>
      <w:r>
        <w:rPr>
          <w:rFonts w:hint="eastAsia"/>
        </w:rPr>
        <w:t xml:space="preserve">芯矩形连接器25和</w:t>
      </w:r>
      <w:r>
        <w:t xml:space="preserve">2</w:t>
      </w:r>
      <w:r>
        <w:rPr>
          <w:rFonts w:hint="eastAsia"/>
        </w:rPr>
        <w:t xml:space="preserve">6、27和28、29和30、31和32芯之间插座防开路短接设计。</w:t>
      </w:r>
      <w:r/>
    </w:p>
    <w:p>
      <w:pPr>
        <w:pStyle w:val="1151"/>
        <w:numPr>
          <w:ilvl w:val="0"/>
          <w:numId w:val="67"/>
        </w:numPr>
        <w:jc w:val="left"/>
        <w:widowControl/>
      </w:pPr>
      <w:r>
        <w:rPr>
          <w:rFonts w:hint="eastAsia"/>
        </w:rPr>
        <w:t xml:space="preserve">3</w:t>
      </w:r>
      <w:r>
        <w:t xml:space="preserve">2</w:t>
      </w:r>
      <w:r>
        <w:rPr>
          <w:rFonts w:hint="eastAsia"/>
        </w:rPr>
        <w:t xml:space="preserve">芯矩形连接器应具备颜色标识，分别黑/白/红/绿/黄/蓝标识间隔1到间隔6.</w:t>
      </w:r>
      <w:r/>
    </w:p>
    <w:p>
      <w:pPr>
        <w:pStyle w:val="1151"/>
        <w:spacing w:line="312" w:lineRule="exact"/>
        <w:rPr>
          <w:szCs w:val="21"/>
        </w:rPr>
        <w:outlineLvl w:val="2"/>
      </w:pPr>
      <w:r/>
      <w:bookmarkStart w:id="407" w:name="_Toc35713678"/>
      <w:r>
        <w:rPr>
          <w:rFonts w:hint="eastAsia"/>
          <w:szCs w:val="21"/>
        </w:rPr>
        <w:t xml:space="preserve">D.</w:t>
      </w:r>
      <w:r>
        <w:rPr>
          <w:szCs w:val="21"/>
        </w:rPr>
        <w:t xml:space="preserve">1.</w:t>
      </w:r>
      <w:r>
        <w:rPr>
          <w:rFonts w:hint="eastAsia"/>
          <w:szCs w:val="21"/>
        </w:rPr>
        <w:t xml:space="preserve">3 核心单元间隔26</w:t>
      </w:r>
      <w:r>
        <w:rPr>
          <w:szCs w:val="21"/>
        </w:rPr>
        <w:t xml:space="preserve">+1</w:t>
      </w:r>
      <w:r>
        <w:rPr>
          <w:rFonts w:hint="eastAsia"/>
          <w:szCs w:val="21"/>
        </w:rPr>
        <w:t xml:space="preserve">芯矩形连接器</w:t>
      </w:r>
      <w:bookmarkEnd w:id="407"/>
      <w:r>
        <w:rPr>
          <w:szCs w:val="21"/>
        </w:rPr>
      </w:r>
      <w:r/>
    </w:p>
    <w:p>
      <w:pPr>
        <w:pStyle w:val="1151"/>
        <w:jc w:val="center"/>
        <w:widowControl/>
      </w:pPr>
      <w:r>
        <w:rPr>
          <w:rFonts w:hint="eastAsia"/>
        </w:rPr>
        <w:t xml:space="preserve">表D</w:t>
      </w:r>
      <w:r>
        <w:t xml:space="preserve">.1</w:t>
      </w:r>
      <w:r>
        <w:rPr>
          <w:rFonts w:hint="eastAsia"/>
        </w:rPr>
        <w:t xml:space="preserve">-3核心单元间隔2</w:t>
      </w:r>
      <w:r>
        <w:t xml:space="preserve">6+1</w:t>
      </w:r>
      <w:r>
        <w:rPr>
          <w:rFonts w:hint="eastAsia"/>
        </w:rPr>
        <w:t xml:space="preserve">芯矩形连接器引脚定义</w:t>
      </w:r>
      <w:r/>
    </w:p>
    <w:tbl>
      <w:tblPr>
        <w:tblW w:w="86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3"/>
        <w:gridCol w:w="1417"/>
        <w:gridCol w:w="2514"/>
        <w:gridCol w:w="1739"/>
        <w:gridCol w:w="1805"/>
      </w:tblGrid>
      <w:tr>
        <w:trPr/>
        <w:tc>
          <w:tcPr>
            <w:tcW w:w="1183" w:type="dxa"/>
            <w:vAlign w:val="center"/>
            <w:textDirection w:val="lrTb"/>
            <w:noWrap w:val="false"/>
          </w:tcPr>
          <w:p>
            <w:pPr>
              <w:pStyle w:val="1151"/>
              <w:jc w:val="center"/>
              <w:widowControl/>
            </w:pPr>
            <w:r>
              <w:t xml:space="preserve">引脚</w:t>
            </w:r>
            <w:r>
              <w:rPr>
                <w:rFonts w:hint="eastAsia"/>
              </w:rPr>
              <w:t xml:space="preserve">号</w:t>
            </w:r>
            <w:r/>
          </w:p>
        </w:tc>
        <w:tc>
          <w:tcPr>
            <w:tcW w:w="1417" w:type="dxa"/>
            <w:vAlign w:val="center"/>
            <w:textDirection w:val="lrTb"/>
            <w:noWrap w:val="false"/>
          </w:tcPr>
          <w:p>
            <w:pPr>
              <w:pStyle w:val="1151"/>
              <w:jc w:val="center"/>
              <w:widowControl/>
            </w:pPr>
            <w:r>
              <w:t xml:space="preserve">标记</w:t>
            </w:r>
            <w:r/>
          </w:p>
        </w:tc>
        <w:tc>
          <w:tcPr>
            <w:tcW w:w="2514" w:type="dxa"/>
            <w:vAlign w:val="center"/>
            <w:textDirection w:val="lrTb"/>
            <w:noWrap w:val="false"/>
          </w:tcPr>
          <w:p>
            <w:pPr>
              <w:pStyle w:val="1151"/>
              <w:jc w:val="center"/>
              <w:widowControl/>
            </w:pPr>
            <w:r>
              <w:t xml:space="preserve">标记说明</w:t>
            </w:r>
            <w:r/>
          </w:p>
        </w:tc>
        <w:tc>
          <w:tcPr>
            <w:tcW w:w="1739" w:type="dxa"/>
            <w:vAlign w:val="center"/>
            <w:textDirection w:val="lrTb"/>
            <w:noWrap w:val="false"/>
          </w:tcPr>
          <w:p>
            <w:pPr>
              <w:pStyle w:val="1151"/>
              <w:jc w:val="center"/>
              <w:widowControl/>
            </w:pPr>
            <w:r>
              <w:t xml:space="preserve">电缆规格</w:t>
            </w:r>
            <w:r>
              <w:rPr>
                <w:rFonts w:hint="eastAsia"/>
              </w:rPr>
              <w:t xml:space="preserve">(插头)</w:t>
            </w:r>
            <w:r/>
          </w:p>
        </w:tc>
        <w:tc>
          <w:tcPr>
            <w:tcW w:w="1805" w:type="dxa"/>
            <w:vAlign w:val="center"/>
            <w:textDirection w:val="lrTb"/>
            <w:noWrap w:val="false"/>
          </w:tcPr>
          <w:p>
            <w:pPr>
              <w:pStyle w:val="1151"/>
              <w:jc w:val="center"/>
              <w:widowControl/>
            </w:pPr>
            <w:r>
              <w:t xml:space="preserve">备注</w:t>
            </w:r>
            <w:r/>
          </w:p>
        </w:tc>
      </w:tr>
      <w:tr>
        <w:trPr/>
        <w:tc>
          <w:tcPr>
            <w:tcW w:w="1183" w:type="dxa"/>
            <w:vAlign w:val="center"/>
            <w:textDirection w:val="lrTb"/>
            <w:noWrap w:val="false"/>
          </w:tcPr>
          <w:p>
            <w:pPr>
              <w:pStyle w:val="1151"/>
              <w:jc w:val="center"/>
              <w:widowControl/>
            </w:pPr>
            <w:r>
              <w:rPr>
                <w:rFonts w:hint="eastAsia"/>
              </w:rPr>
              <w:t xml:space="preserve">1</w:t>
            </w:r>
            <w:r/>
          </w:p>
        </w:tc>
        <w:tc>
          <w:tcPr>
            <w:tcW w:w="1417" w:type="dxa"/>
            <w:vAlign w:val="top"/>
            <w:textDirection w:val="lrTb"/>
            <w:noWrap w:val="false"/>
          </w:tcPr>
          <w:p>
            <w:pPr>
              <w:pStyle w:val="1151"/>
              <w:jc w:val="center"/>
              <w:widowControl/>
            </w:pPr>
            <w:r>
              <w:rPr>
                <w:rFonts w:hint="eastAsia"/>
                <w:szCs w:val="21"/>
              </w:rPr>
              <w:t xml:space="preserve">KM+</w:t>
            </w:r>
            <w:r/>
          </w:p>
        </w:tc>
        <w:tc>
          <w:tcPr>
            <w:tcW w:w="2514" w:type="dxa"/>
            <w:vAlign w:val="top"/>
            <w:textDirection w:val="lrTb"/>
            <w:noWrap w:val="false"/>
          </w:tcPr>
          <w:p>
            <w:pPr>
              <w:pStyle w:val="1151"/>
              <w:jc w:val="center"/>
              <w:widowControl/>
            </w:pPr>
            <w:r>
              <w:rPr>
                <w:rFonts w:hint="eastAsia"/>
                <w:szCs w:val="21"/>
              </w:rPr>
              <w:t xml:space="preserve">48V操作电源+</w:t>
            </w:r>
            <w:r/>
          </w:p>
        </w:tc>
        <w:tc>
          <w:tcPr>
            <w:tcW w:w="1739" w:type="dxa"/>
            <w:vAlign w:val="top"/>
            <w:textDirection w:val="lrTb"/>
            <w:noWrap w:val="false"/>
          </w:tcPr>
          <w:p>
            <w:pPr>
              <w:pStyle w:val="1151"/>
              <w:jc w:val="center"/>
              <w:widowControl/>
            </w:pPr>
            <w:r>
              <w:rPr>
                <w:rFonts w:hint="eastAsia"/>
                <w:szCs w:val="21"/>
              </w:rPr>
              <w:t xml:space="preserve">RVV</w:t>
            </w:r>
            <w:r>
              <w:rPr>
                <w:szCs w:val="21"/>
              </w:rPr>
              <w:t xml:space="preserve">P</w:t>
            </w:r>
            <w:r>
              <w:rPr>
                <w:rFonts w:hint="eastAsia"/>
                <w:szCs w:val="21"/>
              </w:rPr>
              <w:t xml:space="preserve">1.5mm²</w:t>
            </w:r>
            <w:r/>
          </w:p>
        </w:tc>
        <w:tc>
          <w:tcPr>
            <w:tcW w:w="1805" w:type="dxa"/>
            <w:vAlign w:val="center"/>
            <w:textDirection w:val="lrTb"/>
            <w:noWrap w:val="false"/>
          </w:tcPr>
          <w:p>
            <w:pPr>
              <w:pStyle w:val="1151"/>
              <w:jc w:val="center"/>
              <w:widowControl/>
            </w:pPr>
            <w:r/>
            <w:r/>
          </w:p>
        </w:tc>
      </w:tr>
      <w:tr>
        <w:trPr/>
        <w:tc>
          <w:tcPr>
            <w:tcW w:w="1183" w:type="dxa"/>
            <w:vAlign w:val="center"/>
            <w:textDirection w:val="lrTb"/>
            <w:noWrap w:val="false"/>
          </w:tcPr>
          <w:p>
            <w:pPr>
              <w:pStyle w:val="1151"/>
              <w:jc w:val="center"/>
              <w:widowControl/>
            </w:pPr>
            <w:r>
              <w:rPr>
                <w:rFonts w:hint="eastAsia"/>
              </w:rPr>
              <w:t xml:space="preserve">2</w:t>
            </w:r>
            <w:r/>
          </w:p>
        </w:tc>
        <w:tc>
          <w:tcPr>
            <w:tcW w:w="1417" w:type="dxa"/>
            <w:vAlign w:val="top"/>
            <w:textDirection w:val="lrTb"/>
            <w:noWrap w:val="false"/>
          </w:tcPr>
          <w:p>
            <w:pPr>
              <w:pStyle w:val="1151"/>
              <w:jc w:val="center"/>
              <w:widowControl/>
            </w:pPr>
            <w:r>
              <w:rPr>
                <w:rFonts w:hint="eastAsia"/>
                <w:szCs w:val="21"/>
              </w:rPr>
              <w:t xml:space="preserve">KM-</w:t>
            </w:r>
            <w:r/>
          </w:p>
        </w:tc>
        <w:tc>
          <w:tcPr>
            <w:tcW w:w="2514" w:type="dxa"/>
            <w:vAlign w:val="top"/>
            <w:textDirection w:val="lrTb"/>
            <w:noWrap w:val="false"/>
          </w:tcPr>
          <w:p>
            <w:pPr>
              <w:pStyle w:val="1151"/>
              <w:jc w:val="center"/>
              <w:widowControl/>
            </w:pPr>
            <w:r>
              <w:rPr>
                <w:rFonts w:hint="eastAsia"/>
                <w:szCs w:val="21"/>
              </w:rPr>
              <w:t xml:space="preserve">48V操作电源-</w:t>
            </w:r>
            <w:r/>
          </w:p>
        </w:tc>
        <w:tc>
          <w:tcPr>
            <w:tcW w:w="1739" w:type="dxa"/>
            <w:vAlign w:val="top"/>
            <w:textDirection w:val="lrTb"/>
            <w:noWrap w:val="false"/>
          </w:tcPr>
          <w:p>
            <w:pPr>
              <w:pStyle w:val="1151"/>
              <w:jc w:val="center"/>
              <w:widowControl/>
            </w:pPr>
            <w:r>
              <w:rPr>
                <w:rFonts w:hint="eastAsia"/>
                <w:szCs w:val="21"/>
              </w:rPr>
              <w:t xml:space="preserve">RVV</w:t>
            </w:r>
            <w:r>
              <w:rPr>
                <w:szCs w:val="21"/>
              </w:rPr>
              <w:t xml:space="preserve">P</w:t>
            </w:r>
            <w:r>
              <w:rPr>
                <w:rFonts w:hint="eastAsia"/>
                <w:szCs w:val="21"/>
              </w:rPr>
              <w:t xml:space="preserve">1.5mm²</w:t>
            </w:r>
            <w:r/>
          </w:p>
        </w:tc>
        <w:tc>
          <w:tcPr>
            <w:tcW w:w="1805" w:type="dxa"/>
            <w:vAlign w:val="center"/>
            <w:textDirection w:val="lrTb"/>
            <w:noWrap w:val="false"/>
          </w:tcPr>
          <w:p>
            <w:pPr>
              <w:pStyle w:val="1151"/>
              <w:jc w:val="center"/>
              <w:widowControl/>
            </w:pPr>
            <w:r/>
            <w:r/>
          </w:p>
        </w:tc>
      </w:tr>
      <w:tr>
        <w:trPr/>
        <w:tc>
          <w:tcPr>
            <w:tcW w:w="1183" w:type="dxa"/>
            <w:vAlign w:val="center"/>
            <w:textDirection w:val="lrTb"/>
            <w:noWrap w:val="false"/>
          </w:tcPr>
          <w:p>
            <w:pPr>
              <w:pStyle w:val="1151"/>
              <w:jc w:val="center"/>
              <w:widowControl/>
            </w:pPr>
            <w:r>
              <w:rPr>
                <w:rFonts w:hint="eastAsia"/>
              </w:rPr>
              <w:t xml:space="preserve">3</w:t>
            </w:r>
            <w:r/>
          </w:p>
        </w:tc>
        <w:tc>
          <w:tcPr>
            <w:tcW w:w="1417" w:type="dxa"/>
            <w:vAlign w:val="center"/>
            <w:textDirection w:val="lrTb"/>
            <w:noWrap w:val="false"/>
          </w:tcPr>
          <w:p>
            <w:pPr>
              <w:pStyle w:val="1151"/>
              <w:jc w:val="center"/>
              <w:widowControl/>
            </w:pPr>
            <w:r>
              <w:t xml:space="preserve">Ia+</w:t>
            </w:r>
            <w:r/>
          </w:p>
        </w:tc>
        <w:tc>
          <w:tcPr>
            <w:tcW w:w="2514" w:type="dxa"/>
            <w:vAlign w:val="center"/>
            <w:textDirection w:val="lrTb"/>
            <w:noWrap w:val="false"/>
          </w:tcPr>
          <w:p>
            <w:pPr>
              <w:pStyle w:val="1151"/>
              <w:jc w:val="center"/>
              <w:widowControl/>
            </w:pPr>
            <w:r>
              <w:t xml:space="preserve">A相电流+</w:t>
            </w:r>
            <w:r/>
          </w:p>
        </w:tc>
        <w:tc>
          <w:tcPr>
            <w:tcW w:w="1739" w:type="dxa"/>
            <w:vAlign w:val="center"/>
            <w:textDirection w:val="lrTb"/>
            <w:noWrap w:val="false"/>
          </w:tcPr>
          <w:p>
            <w:pPr>
              <w:pStyle w:val="1151"/>
              <w:jc w:val="center"/>
              <w:widowControl/>
            </w:pPr>
            <w:r>
              <w:rPr>
                <w:rFonts w:hint="eastAsia"/>
              </w:rPr>
              <w:t xml:space="preserve">RVV</w:t>
            </w:r>
            <w:r>
              <w:t xml:space="preserve">P2.5mm²</w:t>
            </w:r>
            <w:r/>
          </w:p>
        </w:tc>
        <w:tc>
          <w:tcPr>
            <w:tcW w:w="1805" w:type="dxa"/>
            <w:vAlign w:val="center"/>
            <w:textDirection w:val="lrTb"/>
            <w:noWrap w:val="false"/>
          </w:tcPr>
          <w:p>
            <w:pPr>
              <w:pStyle w:val="1151"/>
              <w:jc w:val="center"/>
              <w:widowControl/>
            </w:pPr>
            <w:r/>
            <w:r/>
          </w:p>
        </w:tc>
      </w:tr>
      <w:tr>
        <w:trPr/>
        <w:tc>
          <w:tcPr>
            <w:tcW w:w="1183" w:type="dxa"/>
            <w:vAlign w:val="center"/>
            <w:textDirection w:val="lrTb"/>
            <w:noWrap w:val="false"/>
          </w:tcPr>
          <w:p>
            <w:pPr>
              <w:pStyle w:val="1151"/>
              <w:jc w:val="center"/>
              <w:widowControl/>
            </w:pPr>
            <w:r>
              <w:rPr>
                <w:rFonts w:hint="eastAsia"/>
              </w:rPr>
              <w:t xml:space="preserve">4</w:t>
            </w:r>
            <w:r/>
          </w:p>
        </w:tc>
        <w:tc>
          <w:tcPr>
            <w:tcW w:w="1417" w:type="dxa"/>
            <w:vAlign w:val="center"/>
            <w:textDirection w:val="lrTb"/>
            <w:noWrap w:val="false"/>
          </w:tcPr>
          <w:p>
            <w:pPr>
              <w:pStyle w:val="1151"/>
              <w:jc w:val="center"/>
              <w:widowControl/>
            </w:pPr>
            <w:r>
              <w:t xml:space="preserve">Ia-</w:t>
            </w:r>
            <w:r/>
          </w:p>
        </w:tc>
        <w:tc>
          <w:tcPr>
            <w:tcW w:w="2514" w:type="dxa"/>
            <w:vAlign w:val="center"/>
            <w:textDirection w:val="lrTb"/>
            <w:noWrap w:val="false"/>
          </w:tcPr>
          <w:p>
            <w:pPr>
              <w:pStyle w:val="1151"/>
              <w:jc w:val="center"/>
              <w:widowControl/>
            </w:pPr>
            <w:r>
              <w:t xml:space="preserve">A相电流-</w:t>
            </w:r>
            <w:r/>
          </w:p>
        </w:tc>
        <w:tc>
          <w:tcPr>
            <w:tcW w:w="1739" w:type="dxa"/>
            <w:vAlign w:val="center"/>
            <w:textDirection w:val="lrTb"/>
            <w:noWrap w:val="false"/>
          </w:tcPr>
          <w:p>
            <w:pPr>
              <w:pStyle w:val="1151"/>
              <w:jc w:val="center"/>
              <w:widowControl/>
            </w:pPr>
            <w:r>
              <w:rPr>
                <w:rFonts w:hint="eastAsia"/>
              </w:rPr>
              <w:t xml:space="preserve">RVV</w:t>
            </w:r>
            <w:r>
              <w:t xml:space="preserve">P2.5mm²</w:t>
            </w:r>
            <w:r/>
          </w:p>
        </w:tc>
        <w:tc>
          <w:tcPr>
            <w:tcW w:w="1805" w:type="dxa"/>
            <w:vAlign w:val="center"/>
            <w:textDirection w:val="lrTb"/>
            <w:noWrap w:val="false"/>
          </w:tcPr>
          <w:p>
            <w:pPr>
              <w:pStyle w:val="1151"/>
              <w:jc w:val="center"/>
              <w:widowControl/>
            </w:pPr>
            <w:r/>
            <w:r/>
          </w:p>
        </w:tc>
      </w:tr>
      <w:tr>
        <w:trPr/>
        <w:tc>
          <w:tcPr>
            <w:tcW w:w="1183" w:type="dxa"/>
            <w:vAlign w:val="center"/>
            <w:textDirection w:val="lrTb"/>
            <w:noWrap w:val="false"/>
          </w:tcPr>
          <w:p>
            <w:pPr>
              <w:pStyle w:val="1151"/>
              <w:jc w:val="center"/>
              <w:widowControl/>
            </w:pPr>
            <w:r>
              <w:rPr>
                <w:rFonts w:hint="eastAsia"/>
              </w:rPr>
              <w:t xml:space="preserve">5</w:t>
            </w:r>
            <w:r/>
          </w:p>
        </w:tc>
        <w:tc>
          <w:tcPr>
            <w:tcW w:w="1417" w:type="dxa"/>
            <w:vAlign w:val="center"/>
            <w:textDirection w:val="lrTb"/>
            <w:noWrap w:val="false"/>
          </w:tcPr>
          <w:p>
            <w:pPr>
              <w:pStyle w:val="1151"/>
              <w:jc w:val="center"/>
              <w:widowControl/>
            </w:pPr>
            <w:r>
              <w:t xml:space="preserve">Ib+</w:t>
            </w:r>
            <w:r/>
          </w:p>
        </w:tc>
        <w:tc>
          <w:tcPr>
            <w:tcW w:w="2514" w:type="dxa"/>
            <w:vAlign w:val="center"/>
            <w:textDirection w:val="lrTb"/>
            <w:noWrap w:val="false"/>
          </w:tcPr>
          <w:p>
            <w:pPr>
              <w:pStyle w:val="1151"/>
              <w:jc w:val="center"/>
              <w:widowControl/>
            </w:pPr>
            <w:r>
              <w:t xml:space="preserve">B相电流+</w:t>
            </w:r>
            <w:r/>
          </w:p>
        </w:tc>
        <w:tc>
          <w:tcPr>
            <w:tcW w:w="1739" w:type="dxa"/>
            <w:vAlign w:val="center"/>
            <w:textDirection w:val="lrTb"/>
            <w:noWrap w:val="false"/>
          </w:tcPr>
          <w:p>
            <w:pPr>
              <w:pStyle w:val="1151"/>
              <w:jc w:val="center"/>
              <w:widowControl/>
            </w:pPr>
            <w:r>
              <w:rPr>
                <w:rFonts w:hint="eastAsia"/>
              </w:rPr>
              <w:t xml:space="preserve">RVV</w:t>
            </w:r>
            <w:r>
              <w:t xml:space="preserve">P2.5mm²</w:t>
            </w:r>
            <w:r/>
          </w:p>
        </w:tc>
        <w:tc>
          <w:tcPr>
            <w:tcW w:w="1805" w:type="dxa"/>
            <w:vAlign w:val="center"/>
            <w:textDirection w:val="lrTb"/>
            <w:noWrap w:val="false"/>
          </w:tcPr>
          <w:p>
            <w:pPr>
              <w:pStyle w:val="1151"/>
              <w:jc w:val="center"/>
              <w:widowControl/>
            </w:pPr>
            <w:r/>
            <w:r/>
          </w:p>
        </w:tc>
      </w:tr>
      <w:tr>
        <w:trPr/>
        <w:tc>
          <w:tcPr>
            <w:tcW w:w="1183" w:type="dxa"/>
            <w:vAlign w:val="center"/>
            <w:textDirection w:val="lrTb"/>
            <w:noWrap w:val="false"/>
          </w:tcPr>
          <w:p>
            <w:pPr>
              <w:pStyle w:val="1151"/>
              <w:jc w:val="center"/>
              <w:widowControl/>
            </w:pPr>
            <w:r>
              <w:rPr>
                <w:rFonts w:hint="eastAsia"/>
              </w:rPr>
              <w:t xml:space="preserve">6</w:t>
            </w:r>
            <w:r/>
          </w:p>
        </w:tc>
        <w:tc>
          <w:tcPr>
            <w:tcW w:w="1417" w:type="dxa"/>
            <w:vAlign w:val="center"/>
            <w:textDirection w:val="lrTb"/>
            <w:noWrap w:val="false"/>
          </w:tcPr>
          <w:p>
            <w:pPr>
              <w:pStyle w:val="1151"/>
              <w:jc w:val="center"/>
              <w:widowControl/>
            </w:pPr>
            <w:r>
              <w:t xml:space="preserve">Ib-</w:t>
            </w:r>
            <w:r/>
          </w:p>
        </w:tc>
        <w:tc>
          <w:tcPr>
            <w:tcW w:w="2514" w:type="dxa"/>
            <w:vAlign w:val="center"/>
            <w:textDirection w:val="lrTb"/>
            <w:noWrap w:val="false"/>
          </w:tcPr>
          <w:p>
            <w:pPr>
              <w:pStyle w:val="1151"/>
              <w:jc w:val="center"/>
              <w:widowControl/>
            </w:pPr>
            <w:r>
              <w:t xml:space="preserve">B相电流-</w:t>
            </w:r>
            <w:r/>
          </w:p>
        </w:tc>
        <w:tc>
          <w:tcPr>
            <w:tcW w:w="1739" w:type="dxa"/>
            <w:vAlign w:val="center"/>
            <w:textDirection w:val="lrTb"/>
            <w:noWrap w:val="false"/>
          </w:tcPr>
          <w:p>
            <w:pPr>
              <w:pStyle w:val="1151"/>
              <w:jc w:val="center"/>
              <w:widowControl/>
            </w:pPr>
            <w:r>
              <w:rPr>
                <w:rFonts w:hint="eastAsia"/>
              </w:rPr>
              <w:t xml:space="preserve">RVV</w:t>
            </w:r>
            <w:r>
              <w:t xml:space="preserve">P2.5mm²</w:t>
            </w:r>
            <w:r/>
          </w:p>
        </w:tc>
        <w:tc>
          <w:tcPr>
            <w:tcW w:w="1805" w:type="dxa"/>
            <w:vAlign w:val="center"/>
            <w:textDirection w:val="lrTb"/>
            <w:noWrap w:val="false"/>
          </w:tcPr>
          <w:p>
            <w:pPr>
              <w:pStyle w:val="1151"/>
              <w:jc w:val="center"/>
              <w:widowControl/>
            </w:pPr>
            <w:r/>
            <w:r/>
          </w:p>
        </w:tc>
      </w:tr>
      <w:tr>
        <w:trPr/>
        <w:tc>
          <w:tcPr>
            <w:tcW w:w="1183" w:type="dxa"/>
            <w:vAlign w:val="center"/>
            <w:textDirection w:val="lrTb"/>
            <w:noWrap w:val="false"/>
          </w:tcPr>
          <w:p>
            <w:pPr>
              <w:pStyle w:val="1151"/>
              <w:jc w:val="center"/>
              <w:widowControl/>
            </w:pPr>
            <w:r>
              <w:rPr>
                <w:rFonts w:hint="eastAsia"/>
              </w:rPr>
              <w:t xml:space="preserve">7</w:t>
            </w:r>
            <w:r/>
          </w:p>
        </w:tc>
        <w:tc>
          <w:tcPr>
            <w:tcW w:w="1417" w:type="dxa"/>
            <w:vAlign w:val="center"/>
            <w:textDirection w:val="lrTb"/>
            <w:noWrap w:val="false"/>
          </w:tcPr>
          <w:p>
            <w:pPr>
              <w:pStyle w:val="1151"/>
              <w:jc w:val="center"/>
              <w:widowControl/>
            </w:pPr>
            <w:r>
              <w:t xml:space="preserve">Ic+</w:t>
            </w:r>
            <w:r/>
          </w:p>
        </w:tc>
        <w:tc>
          <w:tcPr>
            <w:tcW w:w="2514" w:type="dxa"/>
            <w:vAlign w:val="center"/>
            <w:textDirection w:val="lrTb"/>
            <w:noWrap w:val="false"/>
          </w:tcPr>
          <w:p>
            <w:pPr>
              <w:pStyle w:val="1151"/>
              <w:jc w:val="center"/>
              <w:widowControl/>
            </w:pPr>
            <w:r>
              <w:t xml:space="preserve">C相电流+</w:t>
            </w:r>
            <w:r/>
          </w:p>
        </w:tc>
        <w:tc>
          <w:tcPr>
            <w:tcW w:w="1739" w:type="dxa"/>
            <w:vAlign w:val="center"/>
            <w:textDirection w:val="lrTb"/>
            <w:noWrap w:val="false"/>
          </w:tcPr>
          <w:p>
            <w:pPr>
              <w:pStyle w:val="1151"/>
              <w:jc w:val="center"/>
              <w:widowControl/>
            </w:pPr>
            <w:r>
              <w:rPr>
                <w:rFonts w:hint="eastAsia"/>
              </w:rPr>
              <w:t xml:space="preserve">RVV</w:t>
            </w:r>
            <w:r>
              <w:t xml:space="preserve">P2.5mm²</w:t>
            </w:r>
            <w:r/>
          </w:p>
        </w:tc>
        <w:tc>
          <w:tcPr>
            <w:tcW w:w="1805" w:type="dxa"/>
            <w:vAlign w:val="center"/>
            <w:textDirection w:val="lrTb"/>
            <w:noWrap w:val="false"/>
          </w:tcPr>
          <w:p>
            <w:pPr>
              <w:pStyle w:val="1151"/>
              <w:jc w:val="center"/>
              <w:widowControl/>
            </w:pPr>
            <w:r/>
            <w:r/>
          </w:p>
        </w:tc>
      </w:tr>
      <w:tr>
        <w:trPr/>
        <w:tc>
          <w:tcPr>
            <w:tcW w:w="1183" w:type="dxa"/>
            <w:vAlign w:val="center"/>
            <w:textDirection w:val="lrTb"/>
            <w:noWrap w:val="false"/>
          </w:tcPr>
          <w:p>
            <w:pPr>
              <w:pStyle w:val="1151"/>
              <w:jc w:val="center"/>
              <w:widowControl/>
            </w:pPr>
            <w:r>
              <w:rPr>
                <w:rFonts w:hint="eastAsia"/>
              </w:rPr>
              <w:t xml:space="preserve">8</w:t>
            </w:r>
            <w:r/>
          </w:p>
        </w:tc>
        <w:tc>
          <w:tcPr>
            <w:tcW w:w="1417" w:type="dxa"/>
            <w:vAlign w:val="center"/>
            <w:textDirection w:val="lrTb"/>
            <w:noWrap w:val="false"/>
          </w:tcPr>
          <w:p>
            <w:pPr>
              <w:pStyle w:val="1151"/>
              <w:jc w:val="center"/>
              <w:widowControl/>
            </w:pPr>
            <w:r>
              <w:t xml:space="preserve">Ic-</w:t>
            </w:r>
            <w:r/>
          </w:p>
        </w:tc>
        <w:tc>
          <w:tcPr>
            <w:tcW w:w="2514" w:type="dxa"/>
            <w:vAlign w:val="center"/>
            <w:textDirection w:val="lrTb"/>
            <w:noWrap w:val="false"/>
          </w:tcPr>
          <w:p>
            <w:pPr>
              <w:pStyle w:val="1151"/>
              <w:jc w:val="center"/>
              <w:widowControl/>
            </w:pPr>
            <w:r>
              <w:t xml:space="preserve">C相电流-</w:t>
            </w:r>
            <w:r/>
          </w:p>
        </w:tc>
        <w:tc>
          <w:tcPr>
            <w:tcW w:w="1739" w:type="dxa"/>
            <w:vAlign w:val="center"/>
            <w:textDirection w:val="lrTb"/>
            <w:noWrap w:val="false"/>
          </w:tcPr>
          <w:p>
            <w:pPr>
              <w:pStyle w:val="1151"/>
              <w:jc w:val="center"/>
              <w:widowControl/>
            </w:pPr>
            <w:r>
              <w:rPr>
                <w:rFonts w:hint="eastAsia"/>
              </w:rPr>
              <w:t xml:space="preserve">RVV</w:t>
            </w:r>
            <w:r>
              <w:t xml:space="preserve">P2.5mm²</w:t>
            </w:r>
            <w:r/>
          </w:p>
        </w:tc>
        <w:tc>
          <w:tcPr>
            <w:tcW w:w="1805" w:type="dxa"/>
            <w:vAlign w:val="center"/>
            <w:textDirection w:val="lrTb"/>
            <w:noWrap w:val="false"/>
          </w:tcPr>
          <w:p>
            <w:pPr>
              <w:pStyle w:val="1151"/>
              <w:jc w:val="center"/>
              <w:widowControl/>
            </w:pPr>
            <w:r/>
            <w:r/>
          </w:p>
        </w:tc>
      </w:tr>
      <w:tr>
        <w:trPr/>
        <w:tc>
          <w:tcPr>
            <w:tcW w:w="1183" w:type="dxa"/>
            <w:vAlign w:val="center"/>
            <w:textDirection w:val="lrTb"/>
            <w:noWrap w:val="false"/>
          </w:tcPr>
          <w:p>
            <w:pPr>
              <w:pStyle w:val="1151"/>
              <w:jc w:val="center"/>
              <w:widowControl/>
            </w:pPr>
            <w:r>
              <w:rPr>
                <w:rFonts w:hint="eastAsia"/>
              </w:rPr>
              <w:t xml:space="preserve">9</w:t>
            </w:r>
            <w:r/>
          </w:p>
        </w:tc>
        <w:tc>
          <w:tcPr>
            <w:tcW w:w="1417" w:type="dxa"/>
            <w:vAlign w:val="center"/>
            <w:textDirection w:val="lrTb"/>
            <w:noWrap w:val="false"/>
          </w:tcPr>
          <w:p>
            <w:pPr>
              <w:pStyle w:val="1151"/>
              <w:jc w:val="center"/>
              <w:widowControl/>
            </w:pPr>
            <w:r>
              <w:t xml:space="preserve">I0+</w:t>
            </w:r>
            <w:r/>
          </w:p>
        </w:tc>
        <w:tc>
          <w:tcPr>
            <w:tcW w:w="2514" w:type="dxa"/>
            <w:vAlign w:val="center"/>
            <w:textDirection w:val="lrTb"/>
            <w:noWrap w:val="false"/>
          </w:tcPr>
          <w:p>
            <w:pPr>
              <w:pStyle w:val="1151"/>
              <w:jc w:val="center"/>
              <w:widowControl/>
            </w:pPr>
            <w:r>
              <w:t xml:space="preserve">零序电流+</w:t>
            </w:r>
            <w:r/>
          </w:p>
        </w:tc>
        <w:tc>
          <w:tcPr>
            <w:tcW w:w="1739" w:type="dxa"/>
            <w:vAlign w:val="center"/>
            <w:textDirection w:val="lrTb"/>
            <w:noWrap w:val="false"/>
          </w:tcPr>
          <w:p>
            <w:pPr>
              <w:pStyle w:val="1151"/>
              <w:jc w:val="center"/>
              <w:widowControl/>
            </w:pPr>
            <w:r>
              <w:rPr>
                <w:rFonts w:hint="eastAsia"/>
              </w:rPr>
              <w:t xml:space="preserve">RVV</w:t>
            </w:r>
            <w:r>
              <w:t xml:space="preserve">P2.5mm²</w:t>
            </w:r>
            <w:r/>
          </w:p>
        </w:tc>
        <w:tc>
          <w:tcPr>
            <w:tcW w:w="1805" w:type="dxa"/>
            <w:vAlign w:val="center"/>
            <w:textDirection w:val="lrTb"/>
            <w:noWrap w:val="false"/>
          </w:tcPr>
          <w:p>
            <w:pPr>
              <w:pStyle w:val="1151"/>
              <w:jc w:val="center"/>
              <w:widowControl/>
            </w:pPr>
            <w:r/>
            <w:r/>
          </w:p>
        </w:tc>
      </w:tr>
      <w:tr>
        <w:trPr/>
        <w:tc>
          <w:tcPr>
            <w:tcW w:w="1183" w:type="dxa"/>
            <w:vAlign w:val="center"/>
            <w:textDirection w:val="lrTb"/>
            <w:noWrap w:val="false"/>
          </w:tcPr>
          <w:p>
            <w:pPr>
              <w:pStyle w:val="1151"/>
              <w:jc w:val="center"/>
              <w:widowControl/>
            </w:pPr>
            <w:r>
              <w:rPr>
                <w:rFonts w:hint="eastAsia"/>
              </w:rPr>
              <w:t xml:space="preserve">1</w:t>
            </w:r>
            <w:r>
              <w:t xml:space="preserve">0</w:t>
            </w:r>
            <w:r/>
          </w:p>
        </w:tc>
        <w:tc>
          <w:tcPr>
            <w:tcW w:w="1417" w:type="dxa"/>
            <w:vAlign w:val="center"/>
            <w:textDirection w:val="lrTb"/>
            <w:noWrap w:val="false"/>
          </w:tcPr>
          <w:p>
            <w:pPr>
              <w:pStyle w:val="1151"/>
              <w:jc w:val="center"/>
              <w:widowControl/>
            </w:pPr>
            <w:r>
              <w:t xml:space="preserve">I0-</w:t>
            </w:r>
            <w:r/>
          </w:p>
        </w:tc>
        <w:tc>
          <w:tcPr>
            <w:tcW w:w="2514" w:type="dxa"/>
            <w:vAlign w:val="center"/>
            <w:textDirection w:val="lrTb"/>
            <w:noWrap w:val="false"/>
          </w:tcPr>
          <w:p>
            <w:pPr>
              <w:pStyle w:val="1151"/>
              <w:jc w:val="center"/>
              <w:widowControl/>
            </w:pPr>
            <w:r>
              <w:t xml:space="preserve">零序电流-</w:t>
            </w:r>
            <w:r/>
          </w:p>
        </w:tc>
        <w:tc>
          <w:tcPr>
            <w:tcW w:w="1739" w:type="dxa"/>
            <w:vAlign w:val="center"/>
            <w:textDirection w:val="lrTb"/>
            <w:noWrap w:val="false"/>
          </w:tcPr>
          <w:p>
            <w:pPr>
              <w:pStyle w:val="1151"/>
              <w:jc w:val="center"/>
              <w:widowControl/>
            </w:pPr>
            <w:r>
              <w:rPr>
                <w:rFonts w:hint="eastAsia"/>
              </w:rPr>
              <w:t xml:space="preserve">RVV</w:t>
            </w:r>
            <w:r>
              <w:t xml:space="preserve">P2.5mm²</w:t>
            </w:r>
            <w:r/>
          </w:p>
        </w:tc>
        <w:tc>
          <w:tcPr>
            <w:tcW w:w="1805" w:type="dxa"/>
            <w:vAlign w:val="center"/>
            <w:textDirection w:val="lrTb"/>
            <w:noWrap w:val="false"/>
          </w:tcPr>
          <w:p>
            <w:pPr>
              <w:pStyle w:val="1151"/>
              <w:jc w:val="center"/>
              <w:widowControl/>
            </w:pPr>
            <w:r/>
            <w:r/>
          </w:p>
        </w:tc>
      </w:tr>
      <w:tr>
        <w:trPr/>
        <w:tc>
          <w:tcPr>
            <w:tcW w:w="1183" w:type="dxa"/>
            <w:vAlign w:val="center"/>
            <w:textDirection w:val="lrTb"/>
            <w:noWrap w:val="false"/>
          </w:tcPr>
          <w:p>
            <w:pPr>
              <w:pStyle w:val="1151"/>
              <w:jc w:val="center"/>
              <w:widowControl/>
            </w:pPr>
            <w:r>
              <w:rPr>
                <w:rFonts w:hint="eastAsia"/>
              </w:rPr>
              <w:t xml:space="preserve">11</w:t>
            </w:r>
            <w:r/>
          </w:p>
        </w:tc>
        <w:tc>
          <w:tcPr>
            <w:tcW w:w="1417" w:type="dxa"/>
            <w:vAlign w:val="center"/>
            <w:textDirection w:val="lrTb"/>
            <w:noWrap w:val="false"/>
          </w:tcPr>
          <w:p>
            <w:pPr>
              <w:pStyle w:val="1151"/>
              <w:jc w:val="center"/>
              <w:widowControl/>
              <w:rPr>
                <w:szCs w:val="21"/>
              </w:rPr>
            </w:pPr>
            <w:r>
              <w:rPr>
                <w:rFonts w:hint="eastAsia"/>
                <w:szCs w:val="21"/>
              </w:rPr>
              <w:t xml:space="preserve">K</w:t>
            </w:r>
            <w:r>
              <w:rPr>
                <w:szCs w:val="21"/>
              </w:rPr>
              <w:t xml:space="preserve">HZ</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遥控合闸输出</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w:t>
            </w:r>
            <w:r>
              <w:rPr>
                <w:rFonts w:hint="eastAsia"/>
                <w:szCs w:val="21"/>
              </w:rPr>
              <w:t xml:space="preserve">1</w:t>
            </w:r>
            <w:r>
              <w:rPr>
                <w:szCs w:val="21"/>
              </w:rPr>
              <w:t xml:space="preserve">.5mm²</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pPr>
            <w:r>
              <w:rPr>
                <w:rFonts w:hint="eastAsia"/>
              </w:rPr>
              <w:t xml:space="preserve">12</w:t>
            </w:r>
            <w:r/>
          </w:p>
        </w:tc>
        <w:tc>
          <w:tcPr>
            <w:tcW w:w="1417" w:type="dxa"/>
            <w:vAlign w:val="center"/>
            <w:textDirection w:val="lrTb"/>
            <w:noWrap w:val="false"/>
          </w:tcPr>
          <w:p>
            <w:pPr>
              <w:pStyle w:val="1151"/>
              <w:jc w:val="center"/>
              <w:widowControl/>
              <w:rPr>
                <w:szCs w:val="21"/>
              </w:rPr>
            </w:pPr>
            <w:r>
              <w:rPr>
                <w:rFonts w:hint="eastAsia"/>
                <w:szCs w:val="21"/>
              </w:rPr>
              <w:t xml:space="preserve">KF</w:t>
            </w:r>
            <w:r>
              <w:rPr>
                <w:szCs w:val="21"/>
              </w:rPr>
              <w:t xml:space="preserve">Z</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遥控分闸输出</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w:t>
            </w:r>
            <w:r>
              <w:rPr>
                <w:rFonts w:hint="eastAsia"/>
                <w:szCs w:val="21"/>
              </w:rPr>
              <w:t xml:space="preserve">1</w:t>
            </w:r>
            <w:r>
              <w:rPr>
                <w:szCs w:val="21"/>
              </w:rPr>
              <w:t xml:space="preserve">.5mm²</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pPr>
            <w:r>
              <w:rPr>
                <w:rFonts w:hint="eastAsia"/>
              </w:rPr>
              <w:t xml:space="preserve">13</w:t>
            </w:r>
            <w:r/>
          </w:p>
        </w:tc>
        <w:tc>
          <w:tcPr>
            <w:tcW w:w="1417" w:type="dxa"/>
            <w:vAlign w:val="center"/>
            <w:textDirection w:val="lrTb"/>
            <w:noWrap w:val="false"/>
          </w:tcPr>
          <w:p>
            <w:pPr>
              <w:pStyle w:val="1151"/>
              <w:jc w:val="center"/>
              <w:widowControl/>
              <w:rPr>
                <w:szCs w:val="21"/>
              </w:rPr>
            </w:pPr>
            <w:r>
              <w:rPr>
                <w:rFonts w:hint="eastAsia"/>
                <w:szCs w:val="21"/>
              </w:rPr>
              <w:t xml:space="preserve">KCOM</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遥控出口公共</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w:t>
            </w:r>
            <w:r>
              <w:rPr>
                <w:rFonts w:hint="eastAsia"/>
                <w:szCs w:val="21"/>
              </w:rPr>
              <w:t xml:space="preserve">1</w:t>
            </w:r>
            <w:r>
              <w:rPr>
                <w:szCs w:val="21"/>
              </w:rPr>
              <w:t xml:space="preserve">.5mm²</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pPr>
            <w:r>
              <w:rPr>
                <w:rFonts w:hint="eastAsia"/>
              </w:rPr>
              <w:t xml:space="preserve">14</w:t>
            </w:r>
            <w:r/>
          </w:p>
        </w:tc>
        <w:tc>
          <w:tcPr>
            <w:tcW w:w="1417" w:type="dxa"/>
            <w:vAlign w:val="center"/>
            <w:textDirection w:val="lrTb"/>
            <w:noWrap w:val="false"/>
          </w:tcPr>
          <w:p>
            <w:pPr>
              <w:pStyle w:val="1151"/>
              <w:jc w:val="center"/>
              <w:widowControl/>
              <w:rPr>
                <w:szCs w:val="21"/>
              </w:rPr>
            </w:pPr>
            <w:r>
              <w:rPr>
                <w:rFonts w:hint="eastAsia"/>
                <w:szCs w:val="21"/>
              </w:rPr>
              <w:t xml:space="preserve">D</w:t>
            </w:r>
            <w:r>
              <w:rPr>
                <w:szCs w:val="21"/>
              </w:rPr>
              <w:t xml:space="preserve">HZ</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保护合闸输出</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w:t>
            </w:r>
            <w:r>
              <w:rPr>
                <w:rFonts w:hint="eastAsia"/>
                <w:szCs w:val="21"/>
              </w:rPr>
              <w:t xml:space="preserve">1</w:t>
            </w:r>
            <w:r>
              <w:rPr>
                <w:szCs w:val="21"/>
              </w:rPr>
              <w:t xml:space="preserve">.5mm²</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pPr>
            <w:r>
              <w:rPr>
                <w:rFonts w:hint="eastAsia"/>
              </w:rPr>
              <w:t xml:space="preserve">1</w:t>
            </w:r>
            <w:r>
              <w:t xml:space="preserve">5</w:t>
            </w:r>
            <w:r/>
          </w:p>
        </w:tc>
        <w:tc>
          <w:tcPr>
            <w:tcW w:w="1417" w:type="dxa"/>
            <w:vAlign w:val="center"/>
            <w:textDirection w:val="lrTb"/>
            <w:noWrap w:val="false"/>
          </w:tcPr>
          <w:p>
            <w:pPr>
              <w:pStyle w:val="1151"/>
              <w:jc w:val="center"/>
              <w:widowControl/>
              <w:rPr>
                <w:szCs w:val="21"/>
              </w:rPr>
            </w:pPr>
            <w:r>
              <w:rPr>
                <w:rFonts w:hint="eastAsia"/>
                <w:szCs w:val="21"/>
              </w:rPr>
              <w:t xml:space="preserve">DF</w:t>
            </w:r>
            <w:r>
              <w:rPr>
                <w:szCs w:val="21"/>
              </w:rPr>
              <w:t xml:space="preserve">Z</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保护分闸输出</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w:t>
            </w:r>
            <w:r>
              <w:rPr>
                <w:rFonts w:hint="eastAsia"/>
                <w:szCs w:val="21"/>
              </w:rPr>
              <w:t xml:space="preserve">1</w:t>
            </w:r>
            <w:r>
              <w:rPr>
                <w:szCs w:val="21"/>
              </w:rPr>
              <w:t xml:space="preserve">.5mm²</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pPr>
            <w:r>
              <w:rPr>
                <w:rFonts w:hint="eastAsia"/>
              </w:rPr>
              <w:t xml:space="preserve">1</w:t>
            </w:r>
            <w:r>
              <w:t xml:space="preserve">6</w:t>
            </w:r>
            <w:r/>
          </w:p>
        </w:tc>
        <w:tc>
          <w:tcPr>
            <w:tcW w:w="1417" w:type="dxa"/>
            <w:vAlign w:val="center"/>
            <w:textDirection w:val="lrTb"/>
            <w:noWrap w:val="false"/>
          </w:tcPr>
          <w:p>
            <w:pPr>
              <w:pStyle w:val="1151"/>
              <w:jc w:val="center"/>
              <w:widowControl/>
              <w:rPr>
                <w:szCs w:val="21"/>
              </w:rPr>
            </w:pPr>
            <w:r>
              <w:rPr>
                <w:rFonts w:hint="eastAsia"/>
                <w:szCs w:val="21"/>
              </w:rPr>
              <w:t xml:space="preserve">DCOM</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保护出口公共</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w:t>
            </w:r>
            <w:r>
              <w:rPr>
                <w:rFonts w:hint="eastAsia"/>
                <w:szCs w:val="21"/>
              </w:rPr>
              <w:t xml:space="preserve">1</w:t>
            </w:r>
            <w:r>
              <w:rPr>
                <w:szCs w:val="21"/>
              </w:rPr>
              <w:t xml:space="preserve">.5mm²</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pPr>
            <w:r>
              <w:rPr>
                <w:rFonts w:hint="eastAsia"/>
              </w:rPr>
              <w:t xml:space="preserve">1</w:t>
            </w:r>
            <w:r>
              <w:t xml:space="preserve">7</w:t>
            </w:r>
            <w:r/>
          </w:p>
        </w:tc>
        <w:tc>
          <w:tcPr>
            <w:tcW w:w="1417" w:type="dxa"/>
            <w:vAlign w:val="center"/>
            <w:textDirection w:val="lrTb"/>
            <w:noWrap w:val="false"/>
          </w:tcPr>
          <w:p>
            <w:pPr>
              <w:pStyle w:val="1151"/>
              <w:jc w:val="center"/>
              <w:widowControl/>
              <w:rPr>
                <w:szCs w:val="21"/>
              </w:rPr>
            </w:pPr>
            <w:r>
              <w:rPr>
                <w:szCs w:val="21"/>
              </w:rPr>
              <w:t xml:space="preserve">YXCOM</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遥信公共端</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w:t>
            </w:r>
            <w:r>
              <w:rPr>
                <w:rFonts w:hint="eastAsia"/>
                <w:szCs w:val="21"/>
              </w:rPr>
              <w:t xml:space="preserve">0</w:t>
            </w:r>
            <w:r>
              <w:rPr>
                <w:szCs w:val="21"/>
              </w:rPr>
              <w:t xml:space="preserve">mm²</w:t>
            </w:r>
            <w:r>
              <w:rPr>
                <w:szCs w:val="21"/>
              </w:rPr>
            </w:r>
            <w:r/>
          </w:p>
        </w:tc>
        <w:tc>
          <w:tcPr>
            <w:tcW w:w="1805" w:type="dxa"/>
            <w:vAlign w:val="center"/>
            <w:textDirection w:val="lrTb"/>
            <w:noWrap w:val="false"/>
          </w:tcPr>
          <w:p>
            <w:pPr>
              <w:pStyle w:val="1151"/>
              <w:jc w:val="center"/>
              <w:widowControl/>
              <w:rPr>
                <w:szCs w:val="21"/>
              </w:rPr>
            </w:pPr>
            <w:r>
              <w:rPr>
                <w:rFonts w:hint="eastAsia"/>
                <w:szCs w:val="21"/>
              </w:rPr>
              <w:t xml:space="preserve">装置遥信正电源（+</w:t>
            </w:r>
            <w:r>
              <w:rPr>
                <w:szCs w:val="21"/>
              </w:rPr>
              <w:t xml:space="preserve">24V</w:t>
            </w:r>
            <w:r>
              <w:rPr>
                <w:rFonts w:hint="eastAsia"/>
                <w:szCs w:val="21"/>
              </w:rPr>
              <w:t xml:space="preserve">）</w:t>
            </w:r>
            <w:r>
              <w:rPr>
                <w:szCs w:val="21"/>
              </w:rPr>
            </w:r>
            <w:r/>
          </w:p>
        </w:tc>
      </w:tr>
      <w:tr>
        <w:trPr/>
        <w:tc>
          <w:tcPr>
            <w:tcW w:w="1183" w:type="dxa"/>
            <w:vAlign w:val="center"/>
            <w:textDirection w:val="lrTb"/>
            <w:noWrap w:val="false"/>
          </w:tcPr>
          <w:p>
            <w:pPr>
              <w:pStyle w:val="1151"/>
              <w:jc w:val="center"/>
              <w:widowControl/>
            </w:pPr>
            <w:r>
              <w:rPr>
                <w:rFonts w:hint="eastAsia"/>
              </w:rPr>
              <w:t xml:space="preserve">1</w:t>
            </w:r>
            <w:r>
              <w:t xml:space="preserve">8</w:t>
            </w:r>
            <w:r/>
          </w:p>
        </w:tc>
        <w:tc>
          <w:tcPr>
            <w:tcW w:w="1417" w:type="dxa"/>
            <w:vAlign w:val="center"/>
            <w:textDirection w:val="lrTb"/>
            <w:noWrap w:val="false"/>
          </w:tcPr>
          <w:p>
            <w:pPr>
              <w:pStyle w:val="1151"/>
              <w:jc w:val="center"/>
              <w:widowControl/>
              <w:rPr>
                <w:szCs w:val="21"/>
              </w:rPr>
            </w:pPr>
            <w:r>
              <w:rPr>
                <w:szCs w:val="21"/>
              </w:rPr>
              <w:t xml:space="preserve">GKW</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隔离开关位置</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w:t>
            </w:r>
            <w:r>
              <w:rPr>
                <w:rFonts w:hint="eastAsia"/>
                <w:szCs w:val="21"/>
              </w:rPr>
              <w:t xml:space="preserve">0</w:t>
            </w:r>
            <w:r>
              <w:rPr>
                <w:szCs w:val="21"/>
              </w:rPr>
              <w:t xml:space="preserve">mm²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pPr>
            <w:r>
              <w:rPr>
                <w:rFonts w:hint="eastAsia"/>
              </w:rPr>
              <w:t xml:space="preserve">1</w:t>
            </w:r>
            <w:r>
              <w:t xml:space="preserve">9</w:t>
            </w:r>
            <w:r/>
          </w:p>
        </w:tc>
        <w:tc>
          <w:tcPr>
            <w:tcW w:w="1417" w:type="dxa"/>
            <w:vAlign w:val="center"/>
            <w:textDirection w:val="lrTb"/>
            <w:noWrap w:val="false"/>
          </w:tcPr>
          <w:p>
            <w:pPr>
              <w:pStyle w:val="1151"/>
              <w:jc w:val="center"/>
              <w:widowControl/>
              <w:rPr>
                <w:szCs w:val="21"/>
              </w:rPr>
            </w:pPr>
            <w:r>
              <w:rPr>
                <w:szCs w:val="21"/>
              </w:rPr>
              <w:t xml:space="preserve">DKW</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接地开关位置</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w:t>
            </w:r>
            <w:r>
              <w:rPr>
                <w:rFonts w:hint="eastAsia"/>
                <w:szCs w:val="21"/>
              </w:rPr>
              <w:t xml:space="preserve">0</w:t>
            </w:r>
            <w:r>
              <w:rPr>
                <w:szCs w:val="21"/>
              </w:rPr>
              <w:t xml:space="preserve">mm²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pPr>
            <w:r>
              <w:rPr>
                <w:rFonts w:hint="eastAsia"/>
              </w:rPr>
              <w:t xml:space="preserve">2</w:t>
            </w:r>
            <w:r>
              <w:t xml:space="preserve">0</w:t>
            </w:r>
            <w:r/>
          </w:p>
        </w:tc>
        <w:tc>
          <w:tcPr>
            <w:tcW w:w="1417" w:type="dxa"/>
            <w:vAlign w:val="center"/>
            <w:textDirection w:val="lrTb"/>
            <w:noWrap w:val="false"/>
          </w:tcPr>
          <w:p>
            <w:pPr>
              <w:pStyle w:val="1151"/>
              <w:jc w:val="center"/>
              <w:widowControl/>
              <w:rPr>
                <w:szCs w:val="21"/>
              </w:rPr>
            </w:pPr>
            <w:r>
              <w:rPr>
                <w:rFonts w:hint="eastAsia"/>
                <w:szCs w:val="21"/>
              </w:rPr>
              <w:t xml:space="preserve">KZHL</w:t>
            </w:r>
            <w:r>
              <w:rPr>
                <w:szCs w:val="21"/>
              </w:rPr>
              <w:t xml:space="preserve">BJ</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控制回路报警</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w:t>
            </w:r>
            <w:r>
              <w:rPr>
                <w:rFonts w:hint="eastAsia"/>
                <w:szCs w:val="21"/>
              </w:rPr>
              <w:t xml:space="preserve">0</w:t>
            </w:r>
            <w:r>
              <w:rPr>
                <w:szCs w:val="21"/>
              </w:rPr>
              <w:t xml:space="preserve">mm²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pPr>
            <w:r>
              <w:rPr>
                <w:rFonts w:hint="eastAsia"/>
              </w:rPr>
              <w:t xml:space="preserve">2</w:t>
            </w:r>
            <w:r>
              <w:t xml:space="preserve">1</w:t>
            </w:r>
            <w:r/>
          </w:p>
        </w:tc>
        <w:tc>
          <w:tcPr>
            <w:tcW w:w="1417" w:type="dxa"/>
            <w:vAlign w:val="center"/>
            <w:textDirection w:val="lrTb"/>
            <w:noWrap w:val="false"/>
          </w:tcPr>
          <w:p>
            <w:pPr>
              <w:pStyle w:val="1151"/>
              <w:jc w:val="center"/>
              <w:widowControl/>
              <w:rPr>
                <w:szCs w:val="21"/>
              </w:rPr>
            </w:pPr>
            <w:r>
              <w:rPr>
                <w:szCs w:val="21"/>
              </w:rPr>
              <w:t xml:space="preserve">WCN</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未储能位</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w:t>
            </w:r>
            <w:r>
              <w:rPr>
                <w:rFonts w:hint="eastAsia"/>
                <w:szCs w:val="21"/>
              </w:rPr>
              <w:t xml:space="preserve">0</w:t>
            </w:r>
            <w:r>
              <w:rPr>
                <w:szCs w:val="21"/>
              </w:rPr>
              <w:t xml:space="preserve">mm²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pPr>
            <w:r>
              <w:rPr>
                <w:rFonts w:hint="eastAsia"/>
              </w:rPr>
              <w:t xml:space="preserve">22</w:t>
            </w:r>
            <w:r/>
          </w:p>
        </w:tc>
        <w:tc>
          <w:tcPr>
            <w:tcW w:w="1417" w:type="dxa"/>
            <w:vAlign w:val="center"/>
            <w:textDirection w:val="lrTb"/>
            <w:noWrap w:val="false"/>
          </w:tcPr>
          <w:p>
            <w:pPr>
              <w:pStyle w:val="1151"/>
              <w:jc w:val="center"/>
              <w:widowControl/>
              <w:rPr>
                <w:szCs w:val="21"/>
              </w:rPr>
            </w:pPr>
            <w:r>
              <w:rPr>
                <w:szCs w:val="21"/>
              </w:rPr>
              <w:t xml:space="preserve">YF</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远方</w:t>
            </w:r>
            <w:r>
              <w:rPr>
                <w:szCs w:val="21"/>
              </w:rPr>
              <w:t xml:space="preserve">/</w:t>
            </w:r>
            <w:r>
              <w:rPr>
                <w:rFonts w:hint="eastAsia"/>
                <w:szCs w:val="21"/>
              </w:rPr>
              <w:t xml:space="preserve">就</w:t>
            </w:r>
            <w:r>
              <w:rPr>
                <w:szCs w:val="21"/>
              </w:rPr>
              <w:t xml:space="preserve">地</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w:t>
            </w:r>
            <w:r>
              <w:rPr>
                <w:rFonts w:hint="eastAsia"/>
                <w:szCs w:val="21"/>
              </w:rPr>
              <w:t xml:space="preserve">0</w:t>
            </w:r>
            <w:r>
              <w:rPr>
                <w:szCs w:val="21"/>
              </w:rPr>
              <w:t xml:space="preserve">mm²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pPr>
            <w:r>
              <w:rPr>
                <w:rFonts w:hint="eastAsia"/>
              </w:rPr>
              <w:t xml:space="preserve">23</w:t>
            </w:r>
            <w:r/>
          </w:p>
        </w:tc>
        <w:tc>
          <w:tcPr>
            <w:tcW w:w="1417" w:type="dxa"/>
            <w:vAlign w:val="center"/>
            <w:textDirection w:val="lrTb"/>
            <w:noWrap w:val="false"/>
          </w:tcPr>
          <w:p>
            <w:pPr>
              <w:pStyle w:val="1151"/>
              <w:jc w:val="center"/>
              <w:widowControl/>
              <w:rPr>
                <w:szCs w:val="21"/>
              </w:rPr>
            </w:pPr>
            <w:r>
              <w:rPr>
                <w:szCs w:val="21"/>
              </w:rPr>
              <w:t xml:space="preserve">HW</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合位</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w:t>
            </w:r>
            <w:r>
              <w:rPr>
                <w:rFonts w:hint="eastAsia"/>
                <w:szCs w:val="21"/>
              </w:rPr>
              <w:t xml:space="preserve">0</w:t>
            </w:r>
            <w:r>
              <w:rPr>
                <w:szCs w:val="21"/>
              </w:rPr>
              <w:t xml:space="preserve">mm²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pPr>
            <w:r>
              <w:rPr>
                <w:rFonts w:hint="eastAsia"/>
              </w:rPr>
              <w:t xml:space="preserve">24</w:t>
            </w:r>
            <w:r/>
          </w:p>
        </w:tc>
        <w:tc>
          <w:tcPr>
            <w:tcW w:w="1417" w:type="dxa"/>
            <w:vAlign w:val="center"/>
            <w:textDirection w:val="lrTb"/>
            <w:noWrap w:val="false"/>
          </w:tcPr>
          <w:p>
            <w:pPr>
              <w:pStyle w:val="1151"/>
              <w:jc w:val="center"/>
              <w:widowControl/>
              <w:rPr>
                <w:szCs w:val="21"/>
              </w:rPr>
            </w:pPr>
            <w:r>
              <w:rPr>
                <w:rFonts w:hint="eastAsia"/>
                <w:szCs w:val="21"/>
              </w:rPr>
              <w:t xml:space="preserve">F</w:t>
            </w:r>
            <w:r>
              <w:rPr>
                <w:szCs w:val="21"/>
              </w:rPr>
              <w:t xml:space="preserve">W</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分位</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w:t>
            </w:r>
            <w:r>
              <w:rPr>
                <w:szCs w:val="21"/>
              </w:rPr>
              <w:t xml:space="preserve">P1.</w:t>
            </w:r>
            <w:r>
              <w:rPr>
                <w:rFonts w:hint="eastAsia"/>
                <w:szCs w:val="21"/>
              </w:rPr>
              <w:t xml:space="preserve">0</w:t>
            </w:r>
            <w:r>
              <w:rPr>
                <w:szCs w:val="21"/>
              </w:rPr>
              <w:t xml:space="preserve">mm²</w:t>
            </w: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pPr>
            <w:r>
              <w:rPr>
                <w:rFonts w:hint="eastAsia"/>
              </w:rPr>
              <w:t xml:space="preserve">25</w:t>
            </w:r>
            <w:r/>
          </w:p>
        </w:tc>
        <w:tc>
          <w:tcPr>
            <w:tcW w:w="1417" w:type="dxa"/>
            <w:vAlign w:val="center"/>
            <w:textDirection w:val="lrTb"/>
            <w:noWrap w:val="false"/>
          </w:tcPr>
          <w:p>
            <w:pPr>
              <w:pStyle w:val="1151"/>
              <w:jc w:val="center"/>
              <w:widowControl/>
              <w:rPr>
                <w:szCs w:val="21"/>
              </w:rPr>
            </w:pPr>
            <w:r>
              <w:rPr>
                <w:rFonts w:hint="eastAsia"/>
                <w:szCs w:val="21"/>
              </w:rPr>
              <w:t xml:space="preserve">BY</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备用</w:t>
            </w:r>
            <w:r>
              <w:rPr>
                <w:szCs w:val="21"/>
              </w:rPr>
            </w:r>
            <w:r/>
          </w:p>
        </w:tc>
        <w:tc>
          <w:tcPr>
            <w:tcW w:w="1739" w:type="dxa"/>
            <w:vAlign w:val="top"/>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pPr>
            <w:r>
              <w:rPr>
                <w:rFonts w:hint="eastAsia"/>
              </w:rPr>
              <w:t xml:space="preserve">26</w:t>
            </w:r>
            <w:r/>
          </w:p>
        </w:tc>
        <w:tc>
          <w:tcPr>
            <w:tcW w:w="1417" w:type="dxa"/>
            <w:vAlign w:val="center"/>
            <w:textDirection w:val="lrTb"/>
            <w:noWrap w:val="false"/>
          </w:tcPr>
          <w:p>
            <w:pPr>
              <w:pStyle w:val="1151"/>
              <w:jc w:val="center"/>
              <w:widowControl/>
              <w:rPr>
                <w:szCs w:val="21"/>
              </w:rPr>
            </w:pPr>
            <w:r>
              <w:rPr>
                <w:rFonts w:hint="eastAsia"/>
                <w:szCs w:val="21"/>
              </w:rPr>
              <w:t xml:space="preserve">BY</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备用</w:t>
            </w:r>
            <w:r>
              <w:rPr>
                <w:szCs w:val="21"/>
              </w:rPr>
            </w:r>
            <w:r/>
          </w:p>
        </w:tc>
        <w:tc>
          <w:tcPr>
            <w:tcW w:w="1739" w:type="dxa"/>
            <w:vAlign w:val="top"/>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r>
        <w:trPr/>
        <w:tc>
          <w:tcPr>
            <w:tcW w:w="1183" w:type="dxa"/>
            <w:vAlign w:val="center"/>
            <w:textDirection w:val="lrTb"/>
            <w:noWrap w:val="false"/>
          </w:tcPr>
          <w:p>
            <w:pPr>
              <w:pStyle w:val="1151"/>
              <w:jc w:val="center"/>
              <w:widowControl/>
            </w:pPr>
            <w:r>
              <w:rPr>
                <w:rFonts w:hint="eastAsia"/>
              </w:rPr>
              <w:t xml:space="preserve">2</w:t>
            </w:r>
            <w:r>
              <w:t xml:space="preserve">7</w:t>
            </w:r>
            <w:r/>
          </w:p>
        </w:tc>
        <w:tc>
          <w:tcPr>
            <w:tcW w:w="1417" w:type="dxa"/>
            <w:vAlign w:val="top"/>
            <w:textDirection w:val="lrTb"/>
            <w:noWrap w:val="false"/>
          </w:tcPr>
          <w:p>
            <w:pPr>
              <w:pStyle w:val="1151"/>
              <w:jc w:val="center"/>
              <w:widowControl/>
              <w:rPr>
                <w:szCs w:val="21"/>
              </w:rPr>
            </w:pPr>
            <w:r>
              <w:rPr>
                <w:szCs w:val="21"/>
              </w:rPr>
            </w:r>
            <w:r/>
          </w:p>
        </w:tc>
        <w:tc>
          <w:tcPr>
            <w:tcW w:w="2514" w:type="dxa"/>
            <w:vAlign w:val="top"/>
            <w:textDirection w:val="lrTb"/>
            <w:noWrap w:val="false"/>
          </w:tcPr>
          <w:p>
            <w:pPr>
              <w:pStyle w:val="1151"/>
              <w:jc w:val="center"/>
              <w:widowControl/>
              <w:rPr>
                <w:szCs w:val="21"/>
              </w:rPr>
            </w:pPr>
            <w:r>
              <w:rPr>
                <w:rFonts w:hint="eastAsia"/>
                <w:szCs w:val="21"/>
              </w:rPr>
              <w:t xml:space="preserve">接地</w:t>
            </w:r>
            <w:r>
              <w:rPr>
                <w:szCs w:val="21"/>
              </w:rPr>
            </w:r>
            <w:r/>
          </w:p>
        </w:tc>
        <w:tc>
          <w:tcPr>
            <w:tcW w:w="1739" w:type="dxa"/>
            <w:vAlign w:val="top"/>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bl>
    <w:p>
      <w:pPr>
        <w:pStyle w:val="1151"/>
        <w:ind w:firstLine="420"/>
        <w:jc w:val="left"/>
        <w:widowControl/>
        <w:rPr>
          <w:szCs w:val="21"/>
        </w:rPr>
      </w:pPr>
      <w:r>
        <w:rPr>
          <w:rFonts w:hint="eastAsia"/>
        </w:rPr>
        <w:t xml:space="preserve">注：矩形连接器</w:t>
      </w:r>
      <w:r>
        <w:t xml:space="preserve">3</w:t>
      </w:r>
      <w:r>
        <w:rPr>
          <w:rFonts w:hint="eastAsia"/>
        </w:rPr>
        <w:t xml:space="preserve">和</w:t>
      </w:r>
      <w:r>
        <w:t xml:space="preserve">4</w:t>
      </w:r>
      <w:r>
        <w:rPr>
          <w:rFonts w:hint="eastAsia"/>
        </w:rPr>
        <w:t xml:space="preserve">、</w:t>
      </w:r>
      <w:r>
        <w:t xml:space="preserve">5</w:t>
      </w:r>
      <w:r>
        <w:rPr>
          <w:rFonts w:hint="eastAsia"/>
        </w:rPr>
        <w:t xml:space="preserve">和</w:t>
      </w:r>
      <w:r>
        <w:t xml:space="preserve">6</w:t>
      </w:r>
      <w:r>
        <w:rPr>
          <w:rFonts w:hint="eastAsia"/>
        </w:rPr>
        <w:t xml:space="preserve">、</w:t>
      </w:r>
      <w:r>
        <w:t xml:space="preserve">7</w:t>
      </w:r>
      <w:r>
        <w:rPr>
          <w:rFonts w:hint="eastAsia"/>
        </w:rPr>
        <w:t xml:space="preserve">和</w:t>
      </w:r>
      <w:r>
        <w:t xml:space="preserve">8</w:t>
      </w:r>
      <w:r>
        <w:rPr>
          <w:rFonts w:hint="eastAsia"/>
        </w:rPr>
        <w:t xml:space="preserve">、</w:t>
      </w:r>
      <w:r>
        <w:t xml:space="preserve">9</w:t>
      </w:r>
      <w:r>
        <w:rPr>
          <w:rFonts w:hint="eastAsia"/>
        </w:rPr>
        <w:t xml:space="preserve">和</w:t>
      </w:r>
      <w:r>
        <w:t xml:space="preserve">10</w:t>
      </w:r>
      <w:r>
        <w:rPr>
          <w:rFonts w:hint="eastAsia"/>
        </w:rPr>
        <w:t xml:space="preserve">芯之间插头防开路短接。</w:t>
      </w:r>
      <w:r>
        <w:rPr>
          <w:rFonts w:hint="eastAsia"/>
          <w:szCs w:val="21"/>
        </w:rPr>
        <w:t xml:space="preserve">26芯矩形连接器应具备颜色标识，分别黑/白/红/绿/黄/蓝标识间隔1到间隔6.</w:t>
      </w:r>
      <w:r>
        <w:rPr>
          <w:szCs w:val="21"/>
        </w:rPr>
      </w:r>
      <w:r/>
    </w:p>
    <w:p>
      <w:pPr>
        <w:pStyle w:val="1151"/>
        <w:spacing w:line="312" w:lineRule="exact"/>
        <w:rPr>
          <w:szCs w:val="21"/>
        </w:rPr>
        <w:outlineLvl w:val="2"/>
      </w:pPr>
      <w:r/>
      <w:bookmarkStart w:id="408" w:name="_Toc35713679"/>
      <w:r>
        <w:rPr>
          <w:szCs w:val="21"/>
        </w:rPr>
        <w:t xml:space="preserve">D.1.4 </w:t>
      </w:r>
      <w:r>
        <w:rPr>
          <w:rFonts w:hint="eastAsia" w:ascii="宋体" w:hAnsi="宋体" w:eastAsia="宋体"/>
          <w:szCs w:val="21"/>
        </w:rPr>
        <w:t xml:space="preserve">核心单元电压</w:t>
      </w:r>
      <w:r>
        <w:rPr>
          <w:rFonts w:ascii="宋体" w:hAnsi="宋体" w:eastAsia="宋体"/>
          <w:szCs w:val="21"/>
        </w:rPr>
        <w:t xml:space="preserve">/</w:t>
      </w:r>
      <w:r>
        <w:rPr>
          <w:rFonts w:hint="eastAsia" w:ascii="宋体" w:hAnsi="宋体" w:eastAsia="宋体"/>
          <w:szCs w:val="21"/>
        </w:rPr>
        <w:t xml:space="preserve">电源</w:t>
      </w:r>
      <w:r>
        <w:rPr>
          <w:rFonts w:ascii="宋体" w:hAnsi="宋体" w:eastAsia="宋体"/>
          <w:szCs w:val="21"/>
        </w:rPr>
        <w:t xml:space="preserve">26+1</w:t>
      </w:r>
      <w:r>
        <w:rPr>
          <w:rFonts w:hint="eastAsia" w:ascii="宋体" w:hAnsi="宋体" w:eastAsia="宋体"/>
          <w:szCs w:val="21"/>
        </w:rPr>
        <w:t xml:space="preserve">芯矩形连接器</w:t>
      </w:r>
      <w:bookmarkEnd w:id="408"/>
      <w:r>
        <w:rPr>
          <w:szCs w:val="21"/>
        </w:rPr>
      </w:r>
      <w:r/>
    </w:p>
    <w:p>
      <w:pPr>
        <w:pStyle w:val="1151"/>
        <w:ind w:firstLine="420"/>
        <w:jc w:val="left"/>
        <w:widowControl/>
        <w:rPr>
          <w:szCs w:val="21"/>
        </w:rPr>
      </w:pPr>
      <w:r>
        <w:rPr>
          <w:rFonts w:hint="eastAsia"/>
          <w:szCs w:val="21"/>
        </w:rPr>
        <w:t xml:space="preserve">核心单元电压/电源26+1芯矩形连接器引脚定义如表</w:t>
      </w:r>
      <w:r>
        <w:rPr>
          <w:szCs w:val="21"/>
        </w:rPr>
        <w:t xml:space="preserve">D</w:t>
      </w:r>
      <w:r>
        <w:rPr>
          <w:rFonts w:hint="eastAsia"/>
          <w:szCs w:val="21"/>
        </w:rPr>
        <w:t xml:space="preserve">-4所示：</w:t>
      </w:r>
      <w:r>
        <w:rPr>
          <w:szCs w:val="21"/>
        </w:rPr>
      </w:r>
      <w:r/>
    </w:p>
    <w:p>
      <w:pPr>
        <w:pStyle w:val="1151"/>
        <w:jc w:val="center"/>
        <w:widowControl/>
      </w:pPr>
      <w:r>
        <w:rPr>
          <w:rFonts w:hint="eastAsia"/>
        </w:rPr>
        <w:t xml:space="preserve">表D</w:t>
      </w:r>
      <w:r>
        <w:t xml:space="preserve">.1</w:t>
      </w:r>
      <w:r>
        <w:rPr>
          <w:rFonts w:hint="eastAsia"/>
        </w:rPr>
        <w:t xml:space="preserve">-4</w:t>
      </w:r>
      <w:r>
        <w:rPr>
          <w:rFonts w:hint="eastAsia"/>
          <w:szCs w:val="21"/>
        </w:rPr>
        <w:t xml:space="preserve">核心单元电压/电源26+1芯矩形连接器引脚定义</w:t>
      </w:r>
      <w:r/>
    </w:p>
    <w:tbl>
      <w:tblPr>
        <w:tblW w:w="86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3"/>
        <w:gridCol w:w="1417"/>
        <w:gridCol w:w="2514"/>
        <w:gridCol w:w="1739"/>
        <w:gridCol w:w="1805"/>
      </w:tblGrid>
      <w:tr>
        <w:trPr/>
        <w:tc>
          <w:tcPr>
            <w:tcW w:w="1183" w:type="dxa"/>
            <w:vAlign w:val="center"/>
            <w:textDirection w:val="lrTb"/>
            <w:noWrap w:val="false"/>
          </w:tcPr>
          <w:p>
            <w:pPr>
              <w:pStyle w:val="1151"/>
              <w:jc w:val="center"/>
              <w:widowControl/>
              <w:rPr>
                <w:szCs w:val="21"/>
              </w:rPr>
            </w:pPr>
            <w:r>
              <w:rPr>
                <w:szCs w:val="21"/>
              </w:rPr>
              <w:t xml:space="preserve">引脚</w:t>
            </w:r>
            <w:r>
              <w:rPr>
                <w:rFonts w:hint="eastAsia"/>
                <w:szCs w:val="21"/>
              </w:rPr>
              <w:t xml:space="preserve">号</w:t>
            </w:r>
            <w:r>
              <w:rPr>
                <w:szCs w:val="21"/>
              </w:rPr>
            </w:r>
            <w:r/>
          </w:p>
        </w:tc>
        <w:tc>
          <w:tcPr>
            <w:tcW w:w="1417" w:type="dxa"/>
            <w:vAlign w:val="center"/>
            <w:textDirection w:val="lrTb"/>
            <w:noWrap w:val="false"/>
          </w:tcPr>
          <w:p>
            <w:pPr>
              <w:pStyle w:val="1151"/>
              <w:jc w:val="center"/>
              <w:widowControl/>
              <w:rPr>
                <w:szCs w:val="21"/>
              </w:rPr>
            </w:pPr>
            <w:r>
              <w:rPr>
                <w:szCs w:val="21"/>
              </w:rPr>
              <w:t xml:space="preserve">标记</w:t>
            </w:r>
            <w:r>
              <w:rPr>
                <w:szCs w:val="21"/>
              </w:rPr>
            </w:r>
            <w:r/>
          </w:p>
        </w:tc>
        <w:tc>
          <w:tcPr>
            <w:tcW w:w="2514" w:type="dxa"/>
            <w:vAlign w:val="center"/>
            <w:textDirection w:val="lrTb"/>
            <w:noWrap w:val="false"/>
          </w:tcPr>
          <w:p>
            <w:pPr>
              <w:pStyle w:val="1151"/>
              <w:jc w:val="center"/>
              <w:widowControl/>
              <w:rPr>
                <w:szCs w:val="21"/>
              </w:rPr>
            </w:pPr>
            <w:r>
              <w:rPr>
                <w:szCs w:val="21"/>
              </w:rPr>
              <w:t xml:space="preserve">标记说明</w:t>
            </w:r>
            <w:r>
              <w:rPr>
                <w:szCs w:val="21"/>
              </w:rPr>
            </w:r>
            <w:r/>
          </w:p>
        </w:tc>
        <w:tc>
          <w:tcPr>
            <w:tcW w:w="1739" w:type="dxa"/>
            <w:vAlign w:val="center"/>
            <w:textDirection w:val="lrTb"/>
            <w:noWrap w:val="false"/>
          </w:tcPr>
          <w:p>
            <w:pPr>
              <w:pStyle w:val="1151"/>
              <w:jc w:val="center"/>
              <w:widowControl/>
              <w:rPr>
                <w:szCs w:val="21"/>
              </w:rPr>
            </w:pPr>
            <w:r>
              <w:rPr>
                <w:szCs w:val="21"/>
              </w:rPr>
              <w:t xml:space="preserve">电缆规格</w:t>
            </w:r>
            <w:r>
              <w:rPr>
                <w:szCs w:val="21"/>
              </w:rPr>
            </w:r>
            <w:r/>
          </w:p>
        </w:tc>
        <w:tc>
          <w:tcPr>
            <w:tcW w:w="1805" w:type="dxa"/>
            <w:vAlign w:val="center"/>
            <w:textDirection w:val="lrTb"/>
            <w:noWrap w:val="false"/>
          </w:tcPr>
          <w:p>
            <w:pPr>
              <w:pStyle w:val="1151"/>
              <w:jc w:val="center"/>
              <w:widowControl/>
              <w:rPr>
                <w:szCs w:val="21"/>
              </w:rPr>
            </w:pPr>
            <w:r>
              <w:rPr>
                <w:szCs w:val="21"/>
              </w:rPr>
              <w:t xml:space="preserve">备注</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KM+</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48V操作电源+</w:t>
            </w:r>
            <w:r>
              <w:rPr>
                <w:szCs w:val="21"/>
              </w:rPr>
            </w:r>
            <w:r/>
          </w:p>
        </w:tc>
        <w:tc>
          <w:tcPr>
            <w:tcW w:w="1739" w:type="dxa"/>
            <w:vAlign w:val="top"/>
            <w:textDirection w:val="lrTb"/>
            <w:noWrap w:val="false"/>
          </w:tcPr>
          <w:p>
            <w:pPr>
              <w:pStyle w:val="1151"/>
              <w:jc w:val="center"/>
              <w:widowControl/>
              <w:rPr>
                <w:szCs w:val="21"/>
              </w:rPr>
            </w:pPr>
            <w:r>
              <w:rPr>
                <w:rFonts w:hint="eastAsia"/>
                <w:szCs w:val="21"/>
              </w:rPr>
              <w:t xml:space="preserve">RV</w:t>
            </w:r>
            <w:r>
              <w:rPr>
                <w:szCs w:val="21"/>
              </w:rPr>
              <w:t xml:space="preserve">V</w:t>
            </w:r>
            <w:r>
              <w:rPr>
                <w:rFonts w:hint="eastAsia"/>
                <w:szCs w:val="21"/>
              </w:rPr>
              <w:t xml:space="preserve">1.5mm²</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rHeight w:val="90"/>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KM-</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48V操作电源-</w:t>
            </w:r>
            <w:r>
              <w:rPr>
                <w:szCs w:val="21"/>
              </w:rPr>
            </w:r>
            <w:r/>
          </w:p>
        </w:tc>
        <w:tc>
          <w:tcPr>
            <w:tcW w:w="1739" w:type="dxa"/>
            <w:vAlign w:val="top"/>
            <w:textDirection w:val="lrTb"/>
            <w:noWrap w:val="false"/>
          </w:tcPr>
          <w:p>
            <w:pPr>
              <w:pStyle w:val="1151"/>
              <w:jc w:val="center"/>
              <w:widowControl/>
              <w:rPr>
                <w:szCs w:val="21"/>
              </w:rPr>
            </w:pPr>
            <w:r>
              <w:rPr>
                <w:rFonts w:hint="eastAsia"/>
                <w:szCs w:val="21"/>
              </w:rPr>
              <w:t xml:space="preserve">RV</w:t>
            </w:r>
            <w:r>
              <w:rPr>
                <w:szCs w:val="21"/>
              </w:rPr>
              <w:t xml:space="preserve">V</w:t>
            </w:r>
            <w:r>
              <w:rPr>
                <w:rFonts w:hint="eastAsia"/>
                <w:szCs w:val="21"/>
              </w:rPr>
              <w:t xml:space="preserve">1.5mm²</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3</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4</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5</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6</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7</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8</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9</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rHeight w:val="291"/>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0</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11</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Ua</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A 相电压(计量/测量)</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RVV1</w:t>
            </w:r>
            <w:r>
              <w:rPr>
                <w:szCs w:val="21"/>
              </w:rPr>
              <w:t xml:space="preserve">.5mm²</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12</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Ub</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B相电压(计量/测量)</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RVV1</w:t>
            </w:r>
            <w:r>
              <w:rPr>
                <w:szCs w:val="21"/>
              </w:rPr>
              <w:t xml:space="preserve">.5mm²</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rHeight w:val="90"/>
        </w:trPr>
        <w:tc>
          <w:tcPr>
            <w:tcW w:w="1183" w:type="dxa"/>
            <w:vAlign w:val="center"/>
            <w:textDirection w:val="lrTb"/>
            <w:noWrap w:val="false"/>
          </w:tcPr>
          <w:p>
            <w:pPr>
              <w:pStyle w:val="1151"/>
              <w:jc w:val="center"/>
              <w:widowControl/>
              <w:rPr>
                <w:szCs w:val="21"/>
              </w:rPr>
            </w:pPr>
            <w:r>
              <w:rPr>
                <w:rFonts w:hint="eastAsia"/>
                <w:szCs w:val="21"/>
              </w:rPr>
              <w:t xml:space="preserve">13</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BY</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备用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14</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BY</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备用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5</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Uc</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C相电压(计量/测量)</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RVV1</w:t>
            </w:r>
            <w:r>
              <w:rPr>
                <w:szCs w:val="21"/>
              </w:rPr>
              <w:t xml:space="preserve">.5mm²</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6</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Un</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相电压公共端</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RVV1</w:t>
            </w:r>
            <w:r>
              <w:rPr>
                <w:szCs w:val="21"/>
              </w:rPr>
              <w:t xml:space="preserve">.5mm²</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7</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BY</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备用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8</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BY</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备用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9</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U0</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零序电压</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RVV1</w:t>
            </w:r>
            <w:r>
              <w:rPr>
                <w:szCs w:val="21"/>
              </w:rPr>
              <w:t xml:space="preserve">.5mm²</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t xml:space="preserve">0</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U0n</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零序电压公共端</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RVV1</w:t>
            </w:r>
            <w:r>
              <w:rPr>
                <w:szCs w:val="21"/>
              </w:rPr>
              <w:t xml:space="preserve">.5mm²</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t xml:space="preserve">1</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BY</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备用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22</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BY</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备用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23</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工作电源+</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工作电源正</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w:t>
            </w:r>
            <w:r>
              <w:rPr>
                <w:szCs w:val="21"/>
              </w:rPr>
              <w:t xml:space="preserve">V</w:t>
            </w:r>
            <w:r>
              <w:rPr>
                <w:rFonts w:hint="eastAsia"/>
                <w:szCs w:val="21"/>
              </w:rPr>
              <w:t xml:space="preserve">1.5mm²</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24</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工作电源</w:t>
            </w:r>
            <w:r>
              <w:rPr>
                <w:szCs w:val="21"/>
              </w:rPr>
              <w:t xml:space="preserve">-</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工作电源负</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RV</w:t>
            </w:r>
            <w:r>
              <w:rPr>
                <w:szCs w:val="21"/>
              </w:rPr>
              <w:t xml:space="preserve">V</w:t>
            </w:r>
            <w:r>
              <w:rPr>
                <w:rFonts w:hint="eastAsia"/>
                <w:szCs w:val="21"/>
              </w:rPr>
              <w:t xml:space="preserve">1.5mm²</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25</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BY</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备用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26</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BY</w:t>
            </w: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备用</w:t>
            </w:r>
            <w:r>
              <w:rPr>
                <w:szCs w:val="21"/>
              </w:rPr>
            </w:r>
            <w:r/>
          </w:p>
        </w:tc>
        <w:tc>
          <w:tcPr>
            <w:tcW w:w="1739"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1805" w:type="dxa"/>
            <w:vAlign w:val="center"/>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27</w:t>
            </w:r>
            <w:r>
              <w:rPr>
                <w:szCs w:val="21"/>
              </w:rPr>
            </w:r>
            <w:r/>
          </w:p>
        </w:tc>
        <w:tc>
          <w:tcPr>
            <w:tcW w:w="1417" w:type="dxa"/>
            <w:vAlign w:val="center"/>
            <w:textDirection w:val="lrTb"/>
            <w:noWrap w:val="false"/>
          </w:tcPr>
          <w:p>
            <w:pPr>
              <w:pStyle w:val="1151"/>
              <w:jc w:val="center"/>
              <w:widowControl/>
              <w:rPr>
                <w:szCs w:val="21"/>
              </w:rPr>
            </w:pPr>
            <w:r>
              <w:rPr>
                <w:szCs w:val="21"/>
              </w:rPr>
            </w:r>
            <w:r/>
          </w:p>
        </w:tc>
        <w:tc>
          <w:tcPr>
            <w:tcW w:w="2514" w:type="dxa"/>
            <w:vAlign w:val="center"/>
            <w:textDirection w:val="lrTb"/>
            <w:noWrap w:val="false"/>
          </w:tcPr>
          <w:p>
            <w:pPr>
              <w:pStyle w:val="1151"/>
              <w:jc w:val="center"/>
              <w:widowControl/>
              <w:rPr>
                <w:szCs w:val="21"/>
              </w:rPr>
            </w:pPr>
            <w:r>
              <w:rPr>
                <w:rFonts w:hint="eastAsia"/>
                <w:szCs w:val="21"/>
              </w:rPr>
              <w:t xml:space="preserve">接地</w:t>
            </w:r>
            <w:r>
              <w:rPr>
                <w:szCs w:val="21"/>
              </w:rPr>
            </w:r>
            <w:r/>
          </w:p>
        </w:tc>
        <w:tc>
          <w:tcPr>
            <w:tcW w:w="1739" w:type="dxa"/>
            <w:vAlign w:val="top"/>
            <w:textDirection w:val="lrTb"/>
            <w:noWrap w:val="false"/>
          </w:tcPr>
          <w:p>
            <w:pPr>
              <w:pStyle w:val="1151"/>
              <w:jc w:val="center"/>
              <w:widowControl/>
              <w:rPr>
                <w:szCs w:val="21"/>
              </w:rPr>
            </w:pPr>
            <w:r>
              <w:rPr>
                <w:szCs w:val="21"/>
              </w:rPr>
            </w:r>
            <w:r/>
          </w:p>
        </w:tc>
        <w:tc>
          <w:tcPr>
            <w:tcW w:w="1805" w:type="dxa"/>
            <w:vAlign w:val="center"/>
            <w:textDirection w:val="lrTb"/>
            <w:noWrap w:val="false"/>
          </w:tcPr>
          <w:p>
            <w:pPr>
              <w:pStyle w:val="1151"/>
              <w:ind w:firstLine="420"/>
              <w:jc w:val="center"/>
              <w:widowControl/>
              <w:rPr>
                <w:szCs w:val="21"/>
              </w:rPr>
            </w:pPr>
            <w:r>
              <w:rPr>
                <w:szCs w:val="21"/>
              </w:rPr>
            </w:r>
            <w:r/>
          </w:p>
        </w:tc>
      </w:tr>
    </w:tbl>
    <w:p>
      <w:pPr>
        <w:pStyle w:val="1151"/>
        <w:jc w:val="left"/>
        <w:widowControl/>
      </w:pPr>
      <w:r/>
      <w:r/>
    </w:p>
    <w:p>
      <w:pPr>
        <w:pStyle w:val="1151"/>
        <w:spacing w:line="312" w:lineRule="exact"/>
        <w:rPr>
          <w:szCs w:val="21"/>
        </w:rPr>
        <w:outlineLvl w:val="2"/>
      </w:pPr>
      <w:r/>
      <w:bookmarkStart w:id="409" w:name="_Toc35713680"/>
      <w:r>
        <w:rPr>
          <w:szCs w:val="21"/>
        </w:rPr>
        <w:t xml:space="preserve">D.1.5 </w:t>
      </w:r>
      <w:r>
        <w:rPr>
          <w:rFonts w:hint="eastAsia"/>
          <w:szCs w:val="21"/>
        </w:rPr>
        <w:t xml:space="preserve">电源模块上行</w:t>
      </w:r>
      <w:r>
        <w:rPr>
          <w:szCs w:val="21"/>
        </w:rPr>
        <w:t xml:space="preserve">10</w:t>
      </w:r>
      <w:r>
        <w:rPr>
          <w:rFonts w:hint="eastAsia"/>
          <w:szCs w:val="21"/>
        </w:rPr>
        <w:t xml:space="preserve">芯矩形连接器</w:t>
      </w:r>
      <w:bookmarkEnd w:id="409"/>
      <w:r>
        <w:rPr>
          <w:szCs w:val="21"/>
        </w:rPr>
      </w:r>
      <w:r/>
    </w:p>
    <w:p>
      <w:pPr>
        <w:pStyle w:val="1151"/>
        <w:ind w:firstLine="420"/>
        <w:jc w:val="left"/>
        <w:widowControl/>
        <w:rPr>
          <w:szCs w:val="21"/>
        </w:rPr>
      </w:pPr>
      <w:r>
        <w:rPr>
          <w:rFonts w:hint="eastAsia"/>
          <w:szCs w:val="21"/>
        </w:rPr>
        <w:t xml:space="preserve">电源模块上行10芯矩形连接器引脚定义如表</w:t>
      </w:r>
      <w:r>
        <w:rPr>
          <w:szCs w:val="21"/>
        </w:rPr>
        <w:t xml:space="preserve">D</w:t>
      </w:r>
      <w:r>
        <w:rPr>
          <w:rFonts w:hint="eastAsia"/>
          <w:szCs w:val="21"/>
        </w:rPr>
        <w:t xml:space="preserve">-5所示：</w:t>
      </w:r>
      <w:r>
        <w:rPr>
          <w:szCs w:val="21"/>
        </w:rPr>
      </w:r>
      <w:r/>
    </w:p>
    <w:p>
      <w:pPr>
        <w:pStyle w:val="1151"/>
        <w:jc w:val="center"/>
        <w:widowControl/>
      </w:pPr>
      <w:r>
        <w:rPr>
          <w:rFonts w:hint="eastAsia"/>
        </w:rPr>
        <w:t xml:space="preserve">表D</w:t>
      </w:r>
      <w:r>
        <w:t xml:space="preserve">.1</w:t>
      </w:r>
      <w:r>
        <w:rPr>
          <w:rFonts w:hint="eastAsia"/>
        </w:rPr>
        <w:t xml:space="preserve">-5 </w:t>
      </w:r>
      <w:r>
        <w:rPr>
          <w:rFonts w:hint="eastAsia"/>
          <w:szCs w:val="21"/>
        </w:rPr>
        <w:t xml:space="preserve">电源模块上行10芯矩形连接器引脚定义</w:t>
      </w:r>
      <w:r/>
    </w:p>
    <w:tbl>
      <w:tblPr>
        <w:tblW w:w="87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1417"/>
        <w:gridCol w:w="2552"/>
        <w:gridCol w:w="1701"/>
        <w:gridCol w:w="1848"/>
      </w:tblGrid>
      <w:tr>
        <w:trPr/>
        <w:tc>
          <w:tcPr>
            <w:tcW w:w="1226" w:type="dxa"/>
            <w:vAlign w:val="center"/>
            <w:textDirection w:val="lrTb"/>
            <w:noWrap w:val="false"/>
          </w:tcPr>
          <w:p>
            <w:pPr>
              <w:pStyle w:val="1151"/>
              <w:jc w:val="center"/>
              <w:widowControl/>
              <w:rPr>
                <w:szCs w:val="21"/>
              </w:rPr>
            </w:pPr>
            <w:r>
              <w:rPr>
                <w:rFonts w:hint="eastAsia"/>
                <w:szCs w:val="21"/>
              </w:rPr>
              <w:t xml:space="preserve">引脚号</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标记</w:t>
            </w:r>
            <w:r>
              <w:rPr>
                <w:szCs w:val="21"/>
              </w:rPr>
            </w:r>
            <w:r/>
          </w:p>
        </w:tc>
        <w:tc>
          <w:tcPr>
            <w:tcW w:w="2552" w:type="dxa"/>
            <w:vAlign w:val="center"/>
            <w:textDirection w:val="lrTb"/>
            <w:noWrap w:val="false"/>
          </w:tcPr>
          <w:p>
            <w:pPr>
              <w:pStyle w:val="1151"/>
              <w:jc w:val="center"/>
              <w:widowControl/>
              <w:rPr>
                <w:szCs w:val="21"/>
              </w:rPr>
            </w:pPr>
            <w:r>
              <w:rPr>
                <w:rFonts w:hint="eastAsia"/>
                <w:szCs w:val="21"/>
              </w:rPr>
              <w:t xml:space="preserve">标记说明</w:t>
            </w:r>
            <w:r>
              <w:rPr>
                <w:szCs w:val="21"/>
              </w:rPr>
            </w:r>
            <w:r/>
          </w:p>
        </w:tc>
        <w:tc>
          <w:tcPr>
            <w:tcW w:w="1701" w:type="dxa"/>
            <w:vAlign w:val="center"/>
            <w:textDirection w:val="lrTb"/>
            <w:noWrap w:val="false"/>
          </w:tcPr>
          <w:p>
            <w:pPr>
              <w:pStyle w:val="1151"/>
              <w:jc w:val="center"/>
              <w:widowControl/>
              <w:rPr>
                <w:szCs w:val="21"/>
              </w:rPr>
            </w:pPr>
            <w:r>
              <w:rPr>
                <w:rFonts w:hint="eastAsia"/>
                <w:szCs w:val="21"/>
              </w:rPr>
              <w:t xml:space="preserve">电缆规格</w:t>
            </w:r>
            <w:r>
              <w:rPr>
                <w:szCs w:val="21"/>
              </w:rPr>
            </w:r>
            <w:r/>
          </w:p>
        </w:tc>
        <w:tc>
          <w:tcPr>
            <w:tcW w:w="1848" w:type="dxa"/>
            <w:vAlign w:val="center"/>
            <w:textDirection w:val="lrTb"/>
            <w:noWrap w:val="false"/>
          </w:tcPr>
          <w:p>
            <w:pPr>
              <w:pStyle w:val="1151"/>
              <w:jc w:val="left"/>
              <w:widowControl/>
              <w:rPr>
                <w:szCs w:val="21"/>
              </w:rPr>
            </w:pPr>
            <w:r>
              <w:rPr>
                <w:rFonts w:hint="eastAsia"/>
                <w:szCs w:val="21"/>
              </w:rPr>
              <w:t xml:space="preserve">备注</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1</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操作电源+</w:t>
            </w:r>
            <w:r>
              <w:rPr>
                <w:szCs w:val="21"/>
              </w:rPr>
            </w:r>
            <w:r/>
          </w:p>
        </w:tc>
        <w:tc>
          <w:tcPr>
            <w:tcW w:w="2552" w:type="dxa"/>
            <w:vAlign w:val="center"/>
            <w:vMerge w:val="restart"/>
            <w:textDirection w:val="lrTb"/>
            <w:noWrap w:val="false"/>
          </w:tcPr>
          <w:p>
            <w:pPr>
              <w:pStyle w:val="1151"/>
              <w:jc w:val="center"/>
              <w:widowControl/>
              <w:rPr>
                <w:szCs w:val="21"/>
              </w:rPr>
            </w:pPr>
            <w:r>
              <w:rPr>
                <w:rFonts w:hint="eastAsia"/>
                <w:szCs w:val="21"/>
              </w:rPr>
              <w:t xml:space="preserve">操作电源</w:t>
            </w:r>
            <w:r>
              <w:rPr>
                <w:szCs w:val="21"/>
              </w:rPr>
            </w:r>
            <w:r/>
          </w:p>
        </w:tc>
        <w:tc>
          <w:tcPr>
            <w:tcW w:w="1701" w:type="dxa"/>
            <w:vAlign w:val="center"/>
            <w:textDirection w:val="lrTb"/>
            <w:noWrap w:val="false"/>
          </w:tcPr>
          <w:p>
            <w:pPr>
              <w:pStyle w:val="1151"/>
              <w:jc w:val="center"/>
              <w:widowControl/>
              <w:rPr>
                <w:szCs w:val="21"/>
              </w:rPr>
            </w:pPr>
            <w:r>
              <w:rPr>
                <w:rFonts w:hint="eastAsia"/>
                <w:szCs w:val="21"/>
              </w:rPr>
              <w:t xml:space="preserve">RV</w:t>
            </w:r>
            <w:r>
              <w:rPr>
                <w:szCs w:val="21"/>
              </w:rPr>
              <w:t xml:space="preserve">V</w:t>
            </w:r>
            <w:r>
              <w:rPr>
                <w:rFonts w:hint="eastAsia"/>
                <w:szCs w:val="21"/>
              </w:rPr>
              <w:t xml:space="preserve">1.5mm²</w:t>
            </w:r>
            <w:r>
              <w:rPr>
                <w:szCs w:val="21"/>
              </w:rPr>
            </w:r>
            <w:r/>
          </w:p>
        </w:tc>
        <w:tc>
          <w:tcPr>
            <w:tcW w:w="1848" w:type="dxa"/>
            <w:vAlign w:val="center"/>
            <w:textDirection w:val="lrTb"/>
            <w:noWrap w:val="false"/>
          </w:tcPr>
          <w:p>
            <w:pPr>
              <w:pStyle w:val="1151"/>
              <w:jc w:val="left"/>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2</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操作电源</w:t>
            </w:r>
            <w:r>
              <w:rPr>
                <w:szCs w:val="21"/>
              </w:rPr>
              <w:t xml:space="preserve">-</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c>
          <w:tcPr>
            <w:tcW w:w="1701" w:type="dxa"/>
            <w:vAlign w:val="center"/>
            <w:textDirection w:val="lrTb"/>
            <w:noWrap w:val="false"/>
          </w:tcPr>
          <w:p>
            <w:pPr>
              <w:pStyle w:val="1151"/>
              <w:jc w:val="center"/>
              <w:widowControl/>
              <w:rPr>
                <w:szCs w:val="21"/>
              </w:rPr>
            </w:pPr>
            <w:r>
              <w:rPr>
                <w:rFonts w:hint="eastAsia"/>
                <w:szCs w:val="21"/>
              </w:rPr>
              <w:t xml:space="preserve">RV</w:t>
            </w:r>
            <w:r>
              <w:rPr>
                <w:szCs w:val="21"/>
              </w:rPr>
              <w:t xml:space="preserve">V</w:t>
            </w:r>
            <w:r>
              <w:rPr>
                <w:rFonts w:hint="eastAsia"/>
                <w:szCs w:val="21"/>
              </w:rPr>
              <w:t xml:space="preserve">1.5mm²</w:t>
            </w:r>
            <w:r>
              <w:rPr>
                <w:szCs w:val="21"/>
              </w:rPr>
            </w:r>
            <w:r/>
          </w:p>
        </w:tc>
        <w:tc>
          <w:tcPr>
            <w:tcW w:w="1848" w:type="dxa"/>
            <w:vAlign w:val="center"/>
            <w:textDirection w:val="lrTb"/>
            <w:noWrap w:val="false"/>
          </w:tcPr>
          <w:p>
            <w:pPr>
              <w:pStyle w:val="1151"/>
              <w:jc w:val="left"/>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3</w:t>
            </w:r>
            <w:r>
              <w:rPr>
                <w:szCs w:val="21"/>
              </w:rPr>
            </w:r>
            <w:r/>
          </w:p>
        </w:tc>
        <w:tc>
          <w:tcPr>
            <w:tcW w:w="1417" w:type="dxa"/>
            <w:vAlign w:val="center"/>
            <w:textDirection w:val="lrTb"/>
            <w:noWrap w:val="false"/>
          </w:tcPr>
          <w:p>
            <w:pPr>
              <w:pStyle w:val="1151"/>
              <w:jc w:val="center"/>
              <w:widowControl/>
              <w:rPr>
                <w:szCs w:val="21"/>
              </w:rPr>
            </w:pPr>
            <w:r>
              <w:rPr>
                <w:szCs w:val="21"/>
              </w:rPr>
            </w:r>
            <w:r/>
          </w:p>
        </w:tc>
        <w:tc>
          <w:tcPr>
            <w:tcW w:w="2552" w:type="dxa"/>
            <w:vAlign w:val="center"/>
            <w:textDirection w:val="lrTb"/>
            <w:noWrap w:val="false"/>
          </w:tcPr>
          <w:p>
            <w:pPr>
              <w:pStyle w:val="1151"/>
              <w:jc w:val="center"/>
              <w:widowControl/>
              <w:rPr>
                <w:szCs w:val="21"/>
              </w:rPr>
            </w:pPr>
            <w:r>
              <w:rPr>
                <w:szCs w:val="21"/>
              </w:rPr>
            </w:r>
            <w:r/>
          </w:p>
        </w:tc>
        <w:tc>
          <w:tcPr>
            <w:tcW w:w="1701" w:type="dxa"/>
            <w:vAlign w:val="center"/>
            <w:textDirection w:val="lrTb"/>
            <w:noWrap w:val="false"/>
          </w:tcPr>
          <w:p>
            <w:pPr>
              <w:pStyle w:val="1151"/>
              <w:jc w:val="center"/>
              <w:widowControl/>
              <w:rPr>
                <w:szCs w:val="21"/>
              </w:rPr>
            </w:pPr>
            <w:r>
              <w:rPr>
                <w:szCs w:val="21"/>
              </w:rPr>
            </w:r>
            <w:r/>
          </w:p>
        </w:tc>
        <w:tc>
          <w:tcPr>
            <w:tcW w:w="1848" w:type="dxa"/>
            <w:vAlign w:val="center"/>
            <w:textDirection w:val="lrTb"/>
            <w:noWrap w:val="false"/>
          </w:tcPr>
          <w:p>
            <w:pPr>
              <w:pStyle w:val="1151"/>
              <w:jc w:val="left"/>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4</w:t>
            </w:r>
            <w:r>
              <w:rPr>
                <w:szCs w:val="21"/>
              </w:rPr>
            </w:r>
            <w:r/>
          </w:p>
        </w:tc>
        <w:tc>
          <w:tcPr>
            <w:tcW w:w="1417" w:type="dxa"/>
            <w:vAlign w:val="center"/>
            <w:textDirection w:val="lrTb"/>
            <w:noWrap w:val="false"/>
          </w:tcPr>
          <w:p>
            <w:pPr>
              <w:pStyle w:val="1151"/>
              <w:jc w:val="center"/>
              <w:widowControl/>
              <w:rPr>
                <w:szCs w:val="21"/>
              </w:rPr>
            </w:pPr>
            <w:r>
              <w:rPr>
                <w:szCs w:val="21"/>
              </w:rPr>
            </w:r>
            <w:r/>
          </w:p>
        </w:tc>
        <w:tc>
          <w:tcPr>
            <w:tcW w:w="2552" w:type="dxa"/>
            <w:vAlign w:val="center"/>
            <w:textDirection w:val="lrTb"/>
            <w:noWrap w:val="false"/>
          </w:tcPr>
          <w:p>
            <w:pPr>
              <w:pStyle w:val="1151"/>
              <w:jc w:val="center"/>
              <w:widowControl/>
              <w:rPr>
                <w:szCs w:val="21"/>
              </w:rPr>
            </w:pPr>
            <w:r>
              <w:rPr>
                <w:szCs w:val="21"/>
              </w:rPr>
            </w:r>
            <w:r/>
          </w:p>
        </w:tc>
        <w:tc>
          <w:tcPr>
            <w:tcW w:w="1701" w:type="dxa"/>
            <w:vAlign w:val="center"/>
            <w:textDirection w:val="lrTb"/>
            <w:noWrap w:val="false"/>
          </w:tcPr>
          <w:p>
            <w:pPr>
              <w:pStyle w:val="1151"/>
              <w:jc w:val="center"/>
              <w:widowControl/>
              <w:rPr>
                <w:szCs w:val="21"/>
              </w:rPr>
            </w:pPr>
            <w:r>
              <w:rPr>
                <w:szCs w:val="21"/>
              </w:rPr>
            </w:r>
            <w:r/>
          </w:p>
        </w:tc>
        <w:tc>
          <w:tcPr>
            <w:tcW w:w="1848" w:type="dxa"/>
            <w:vAlign w:val="center"/>
            <w:textDirection w:val="lrTb"/>
            <w:noWrap w:val="false"/>
          </w:tcPr>
          <w:p>
            <w:pPr>
              <w:pStyle w:val="1151"/>
              <w:jc w:val="left"/>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5</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工作电源+</w:t>
            </w:r>
            <w:r>
              <w:rPr>
                <w:szCs w:val="21"/>
              </w:rPr>
            </w:r>
            <w:r/>
          </w:p>
        </w:tc>
        <w:tc>
          <w:tcPr>
            <w:tcW w:w="2552" w:type="dxa"/>
            <w:vAlign w:val="center"/>
            <w:vMerge w:val="restart"/>
            <w:textDirection w:val="lrTb"/>
            <w:noWrap w:val="false"/>
          </w:tcPr>
          <w:p>
            <w:pPr>
              <w:pStyle w:val="1151"/>
              <w:jc w:val="center"/>
              <w:widowControl/>
              <w:rPr>
                <w:szCs w:val="21"/>
              </w:rPr>
            </w:pPr>
            <w:r>
              <w:rPr>
                <w:rFonts w:hint="eastAsia"/>
                <w:szCs w:val="21"/>
              </w:rPr>
              <w:t xml:space="preserve">工作电源</w:t>
            </w:r>
            <w:r>
              <w:rPr>
                <w:szCs w:val="21"/>
              </w:rPr>
            </w:r>
            <w:r/>
          </w:p>
        </w:tc>
        <w:tc>
          <w:tcPr>
            <w:tcW w:w="1701" w:type="dxa"/>
            <w:vAlign w:val="center"/>
            <w:textDirection w:val="lrTb"/>
            <w:noWrap w:val="false"/>
          </w:tcPr>
          <w:p>
            <w:pPr>
              <w:pStyle w:val="1151"/>
              <w:jc w:val="center"/>
              <w:widowControl/>
              <w:rPr>
                <w:szCs w:val="21"/>
              </w:rPr>
            </w:pPr>
            <w:r>
              <w:rPr>
                <w:rFonts w:hint="eastAsia"/>
                <w:szCs w:val="21"/>
              </w:rPr>
              <w:t xml:space="preserve">RV</w:t>
            </w:r>
            <w:r>
              <w:rPr>
                <w:szCs w:val="21"/>
              </w:rPr>
              <w:t xml:space="preserve">V</w:t>
            </w:r>
            <w:r>
              <w:rPr>
                <w:rFonts w:hint="eastAsia"/>
                <w:szCs w:val="21"/>
              </w:rPr>
              <w:t xml:space="preserve">1.5mm²</w:t>
            </w:r>
            <w:r>
              <w:rPr>
                <w:szCs w:val="21"/>
              </w:rPr>
            </w:r>
            <w:r/>
          </w:p>
        </w:tc>
        <w:tc>
          <w:tcPr>
            <w:tcW w:w="1848" w:type="dxa"/>
            <w:vAlign w:val="center"/>
            <w:textDirection w:val="lrTb"/>
            <w:noWrap w:val="false"/>
          </w:tcPr>
          <w:p>
            <w:pPr>
              <w:pStyle w:val="1151"/>
              <w:jc w:val="left"/>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6</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工作电源-</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c>
          <w:tcPr>
            <w:tcW w:w="1701" w:type="dxa"/>
            <w:vAlign w:val="center"/>
            <w:textDirection w:val="lrTb"/>
            <w:noWrap w:val="false"/>
          </w:tcPr>
          <w:p>
            <w:pPr>
              <w:pStyle w:val="1151"/>
              <w:jc w:val="center"/>
              <w:widowControl/>
              <w:rPr>
                <w:szCs w:val="21"/>
              </w:rPr>
            </w:pPr>
            <w:r>
              <w:rPr>
                <w:rFonts w:hint="eastAsia"/>
                <w:szCs w:val="21"/>
              </w:rPr>
              <w:t xml:space="preserve">RV</w:t>
            </w:r>
            <w:r>
              <w:rPr>
                <w:szCs w:val="21"/>
              </w:rPr>
              <w:t xml:space="preserve">V</w:t>
            </w:r>
            <w:r>
              <w:rPr>
                <w:rFonts w:hint="eastAsia"/>
                <w:szCs w:val="21"/>
              </w:rPr>
              <w:t xml:space="preserve">1.5mm²</w:t>
            </w:r>
            <w:r>
              <w:rPr>
                <w:szCs w:val="21"/>
              </w:rPr>
            </w:r>
            <w:r/>
          </w:p>
        </w:tc>
        <w:tc>
          <w:tcPr>
            <w:tcW w:w="1848" w:type="dxa"/>
            <w:vAlign w:val="center"/>
            <w:textDirection w:val="lrTb"/>
            <w:noWrap w:val="false"/>
          </w:tcPr>
          <w:p>
            <w:pPr>
              <w:pStyle w:val="1151"/>
              <w:jc w:val="left"/>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7</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通信电源+</w:t>
            </w:r>
            <w:r>
              <w:rPr>
                <w:szCs w:val="21"/>
              </w:rPr>
            </w:r>
            <w:r/>
          </w:p>
        </w:tc>
        <w:tc>
          <w:tcPr>
            <w:tcW w:w="2552" w:type="dxa"/>
            <w:vAlign w:val="center"/>
            <w:vMerge w:val="restart"/>
            <w:textDirection w:val="lrTb"/>
            <w:noWrap w:val="false"/>
          </w:tcPr>
          <w:p>
            <w:pPr>
              <w:pStyle w:val="1151"/>
              <w:jc w:val="center"/>
              <w:widowControl/>
              <w:rPr>
                <w:szCs w:val="21"/>
              </w:rPr>
            </w:pPr>
            <w:r>
              <w:rPr>
                <w:rFonts w:hint="eastAsia"/>
                <w:szCs w:val="21"/>
              </w:rPr>
              <w:t xml:space="preserve">通信电源</w:t>
            </w:r>
            <w:r>
              <w:rPr>
                <w:szCs w:val="21"/>
              </w:rPr>
            </w:r>
            <w:r/>
          </w:p>
        </w:tc>
        <w:tc>
          <w:tcPr>
            <w:tcW w:w="1701" w:type="dxa"/>
            <w:vAlign w:val="center"/>
            <w:textDirection w:val="lrTb"/>
            <w:noWrap w:val="false"/>
          </w:tcPr>
          <w:p>
            <w:pPr>
              <w:pStyle w:val="1151"/>
              <w:jc w:val="center"/>
              <w:widowControl/>
              <w:rPr>
                <w:szCs w:val="21"/>
              </w:rPr>
            </w:pPr>
            <w:r>
              <w:rPr>
                <w:rFonts w:hint="eastAsia"/>
                <w:szCs w:val="21"/>
              </w:rPr>
              <w:t xml:space="preserve">RV</w:t>
            </w:r>
            <w:r>
              <w:rPr>
                <w:szCs w:val="21"/>
              </w:rPr>
              <w:t xml:space="preserve">V</w:t>
            </w:r>
            <w:r>
              <w:rPr>
                <w:rFonts w:hint="eastAsia"/>
                <w:szCs w:val="21"/>
              </w:rPr>
              <w:t xml:space="preserve">1.5mm²</w:t>
            </w:r>
            <w:r>
              <w:rPr>
                <w:szCs w:val="21"/>
              </w:rPr>
            </w:r>
            <w:r/>
          </w:p>
        </w:tc>
        <w:tc>
          <w:tcPr>
            <w:tcW w:w="1848" w:type="dxa"/>
            <w:vAlign w:val="center"/>
            <w:textDirection w:val="lrTb"/>
            <w:noWrap w:val="false"/>
          </w:tcPr>
          <w:p>
            <w:pPr>
              <w:pStyle w:val="1151"/>
              <w:jc w:val="left"/>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8</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通信电源-</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c>
          <w:tcPr>
            <w:tcW w:w="1701" w:type="dxa"/>
            <w:vAlign w:val="center"/>
            <w:textDirection w:val="lrTb"/>
            <w:noWrap w:val="false"/>
          </w:tcPr>
          <w:p>
            <w:pPr>
              <w:pStyle w:val="1151"/>
              <w:jc w:val="center"/>
              <w:widowControl/>
              <w:rPr>
                <w:szCs w:val="21"/>
              </w:rPr>
            </w:pPr>
            <w:r>
              <w:rPr>
                <w:rFonts w:hint="eastAsia"/>
                <w:szCs w:val="21"/>
              </w:rPr>
              <w:t xml:space="preserve">RV</w:t>
            </w:r>
            <w:r>
              <w:rPr>
                <w:szCs w:val="21"/>
              </w:rPr>
              <w:t xml:space="preserve">V</w:t>
            </w:r>
            <w:r>
              <w:rPr>
                <w:rFonts w:hint="eastAsia"/>
                <w:szCs w:val="21"/>
              </w:rPr>
              <w:t xml:space="preserve">1.5mm²</w:t>
            </w:r>
            <w:r>
              <w:rPr>
                <w:szCs w:val="21"/>
              </w:rPr>
            </w:r>
            <w:r/>
          </w:p>
        </w:tc>
        <w:tc>
          <w:tcPr>
            <w:tcW w:w="1848" w:type="dxa"/>
            <w:vAlign w:val="center"/>
            <w:textDirection w:val="lrTb"/>
            <w:noWrap w:val="false"/>
          </w:tcPr>
          <w:p>
            <w:pPr>
              <w:pStyle w:val="1151"/>
              <w:jc w:val="left"/>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9</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电源485+</w:t>
            </w:r>
            <w:r>
              <w:rPr>
                <w:szCs w:val="21"/>
              </w:rPr>
            </w:r>
            <w:r/>
          </w:p>
        </w:tc>
        <w:tc>
          <w:tcPr>
            <w:tcW w:w="2552" w:type="dxa"/>
            <w:vAlign w:val="center"/>
            <w:vMerge w:val="restart"/>
            <w:textDirection w:val="lrTb"/>
            <w:noWrap w:val="false"/>
          </w:tcPr>
          <w:p>
            <w:pPr>
              <w:pStyle w:val="1151"/>
              <w:jc w:val="center"/>
              <w:widowControl/>
              <w:rPr>
                <w:szCs w:val="21"/>
              </w:rPr>
            </w:pPr>
            <w:r>
              <w:rPr>
                <w:rFonts w:hint="eastAsia"/>
                <w:szCs w:val="21"/>
              </w:rPr>
              <w:t xml:space="preserve">串行通信</w:t>
            </w:r>
            <w:r>
              <w:rPr>
                <w:szCs w:val="21"/>
              </w:rPr>
            </w:r>
            <w:r/>
          </w:p>
          <w:p>
            <w:pPr>
              <w:pStyle w:val="1151"/>
              <w:jc w:val="center"/>
              <w:widowControl/>
              <w:rPr>
                <w:szCs w:val="21"/>
              </w:rPr>
            </w:pPr>
            <w:r>
              <w:rPr>
                <w:szCs w:val="21"/>
              </w:rPr>
            </w:r>
            <w:r/>
          </w:p>
        </w:tc>
        <w:tc>
          <w:tcPr>
            <w:tcW w:w="1701" w:type="dxa"/>
            <w:vAlign w:val="center"/>
            <w:textDirection w:val="lrTb"/>
            <w:noWrap w:val="false"/>
          </w:tcPr>
          <w:p>
            <w:pPr>
              <w:pStyle w:val="1151"/>
              <w:jc w:val="center"/>
              <w:widowControl/>
              <w:rPr>
                <w:szCs w:val="21"/>
              </w:rPr>
            </w:pPr>
            <w:r>
              <w:rPr>
                <w:rFonts w:hint="eastAsia"/>
                <w:szCs w:val="21"/>
              </w:rPr>
              <w:t xml:space="preserve">RV</w:t>
            </w:r>
            <w:r>
              <w:rPr>
                <w:szCs w:val="21"/>
              </w:rPr>
              <w:t xml:space="preserve">V</w:t>
            </w:r>
            <w:r>
              <w:rPr>
                <w:rFonts w:hint="eastAsia"/>
                <w:szCs w:val="21"/>
              </w:rPr>
              <w:t xml:space="preserve">1.0mm²</w:t>
            </w:r>
            <w:r>
              <w:rPr>
                <w:szCs w:val="21"/>
              </w:rPr>
            </w:r>
            <w:r/>
          </w:p>
        </w:tc>
        <w:tc>
          <w:tcPr>
            <w:tcW w:w="1848" w:type="dxa"/>
            <w:vAlign w:val="center"/>
            <w:textDirection w:val="lrTb"/>
            <w:noWrap w:val="false"/>
          </w:tcPr>
          <w:p>
            <w:pPr>
              <w:pStyle w:val="1151"/>
              <w:jc w:val="left"/>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10</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电源485-</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c>
          <w:tcPr>
            <w:tcW w:w="1701" w:type="dxa"/>
            <w:vAlign w:val="center"/>
            <w:textDirection w:val="lrTb"/>
            <w:noWrap w:val="false"/>
          </w:tcPr>
          <w:p>
            <w:pPr>
              <w:pStyle w:val="1151"/>
              <w:jc w:val="center"/>
              <w:widowControl/>
              <w:rPr>
                <w:szCs w:val="21"/>
              </w:rPr>
            </w:pPr>
            <w:r>
              <w:rPr>
                <w:rFonts w:hint="eastAsia"/>
                <w:szCs w:val="21"/>
              </w:rPr>
              <w:t xml:space="preserve">RV</w:t>
            </w:r>
            <w:r>
              <w:rPr>
                <w:szCs w:val="21"/>
              </w:rPr>
              <w:t xml:space="preserve">V</w:t>
            </w:r>
            <w:r>
              <w:rPr>
                <w:rFonts w:hint="eastAsia"/>
                <w:szCs w:val="21"/>
              </w:rPr>
              <w:t xml:space="preserve">1.0mm²</w:t>
            </w:r>
            <w:r>
              <w:rPr>
                <w:szCs w:val="21"/>
              </w:rPr>
            </w:r>
            <w:r/>
          </w:p>
        </w:tc>
        <w:tc>
          <w:tcPr>
            <w:tcW w:w="1848" w:type="dxa"/>
            <w:vAlign w:val="center"/>
            <w:textDirection w:val="lrTb"/>
            <w:noWrap w:val="false"/>
          </w:tcPr>
          <w:p>
            <w:pPr>
              <w:pStyle w:val="1151"/>
              <w:jc w:val="left"/>
              <w:widowControl/>
              <w:rPr>
                <w:szCs w:val="21"/>
              </w:rPr>
            </w:pPr>
            <w:r>
              <w:rPr>
                <w:szCs w:val="21"/>
              </w:rPr>
            </w:r>
            <w:r/>
          </w:p>
        </w:tc>
      </w:tr>
    </w:tbl>
    <w:p>
      <w:pPr>
        <w:pStyle w:val="1151"/>
        <w:jc w:val="left"/>
        <w:widowControl/>
      </w:pPr>
      <w:r/>
      <w:r/>
    </w:p>
    <w:p>
      <w:pPr>
        <w:pStyle w:val="1151"/>
        <w:spacing w:line="312" w:lineRule="exact"/>
        <w:rPr>
          <w:szCs w:val="21"/>
        </w:rPr>
        <w:outlineLvl w:val="2"/>
      </w:pPr>
      <w:r/>
      <w:bookmarkStart w:id="410" w:name="_Toc35713681"/>
      <w:r>
        <w:rPr>
          <w:szCs w:val="21"/>
        </w:rPr>
        <w:t xml:space="preserve">D.1.6 </w:t>
      </w:r>
      <w:r>
        <w:rPr>
          <w:rFonts w:hint="eastAsia" w:ascii="宋体" w:hAnsi="宋体" w:eastAsia="宋体"/>
          <w:szCs w:val="21"/>
        </w:rPr>
        <w:t xml:space="preserve">电源模块下行</w:t>
      </w:r>
      <w:r>
        <w:rPr>
          <w:rFonts w:ascii="宋体" w:hAnsi="宋体" w:eastAsia="宋体"/>
          <w:szCs w:val="21"/>
        </w:rPr>
        <w:t xml:space="preserve">10</w:t>
      </w:r>
      <w:r>
        <w:rPr>
          <w:rFonts w:hint="eastAsia" w:ascii="宋体" w:hAnsi="宋体" w:eastAsia="宋体"/>
          <w:szCs w:val="21"/>
        </w:rPr>
        <w:t xml:space="preserve">芯矩形连接器</w:t>
      </w:r>
      <w:bookmarkEnd w:id="410"/>
      <w:r>
        <w:rPr>
          <w:szCs w:val="21"/>
        </w:rPr>
      </w:r>
      <w:r/>
    </w:p>
    <w:p>
      <w:pPr>
        <w:pStyle w:val="1151"/>
        <w:ind w:firstLine="420"/>
        <w:jc w:val="left"/>
        <w:widowControl/>
        <w:rPr>
          <w:szCs w:val="21"/>
        </w:rPr>
      </w:pPr>
      <w:r>
        <w:rPr>
          <w:rFonts w:hint="eastAsia"/>
          <w:szCs w:val="21"/>
        </w:rPr>
        <w:t xml:space="preserve">电源模块下行10芯矩形连接器引脚定义如表</w:t>
      </w:r>
      <w:r>
        <w:rPr>
          <w:szCs w:val="21"/>
        </w:rPr>
        <w:t xml:space="preserve">D</w:t>
      </w:r>
      <w:r>
        <w:rPr>
          <w:rFonts w:hint="eastAsia"/>
          <w:szCs w:val="21"/>
        </w:rPr>
        <w:t xml:space="preserve">-6所示：</w:t>
      </w:r>
      <w:r>
        <w:rPr>
          <w:szCs w:val="21"/>
        </w:rPr>
      </w:r>
      <w:r/>
    </w:p>
    <w:p>
      <w:pPr>
        <w:pStyle w:val="1151"/>
        <w:jc w:val="center"/>
        <w:widowControl/>
      </w:pPr>
      <w:r>
        <w:rPr>
          <w:rFonts w:hint="eastAsia"/>
        </w:rPr>
        <w:t xml:space="preserve">表D</w:t>
      </w:r>
      <w:r>
        <w:t xml:space="preserve">.1</w:t>
      </w:r>
      <w:r>
        <w:rPr>
          <w:rFonts w:hint="eastAsia"/>
        </w:rPr>
        <w:t xml:space="preserve">-6 </w:t>
      </w:r>
      <w:r>
        <w:rPr>
          <w:rFonts w:hint="eastAsia"/>
          <w:szCs w:val="21"/>
        </w:rPr>
        <w:t xml:space="preserve">电源模块下行10芯矩形连接器引脚定义</w:t>
      </w:r>
      <w:r/>
    </w:p>
    <w:tbl>
      <w:tblPr>
        <w:tblW w:w="87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1417"/>
        <w:gridCol w:w="2552"/>
        <w:gridCol w:w="1701"/>
        <w:gridCol w:w="1848"/>
      </w:tblGrid>
      <w:tr>
        <w:trPr/>
        <w:tc>
          <w:tcPr>
            <w:tcW w:w="1226" w:type="dxa"/>
            <w:vAlign w:val="center"/>
            <w:textDirection w:val="lrTb"/>
            <w:noWrap w:val="false"/>
          </w:tcPr>
          <w:p>
            <w:pPr>
              <w:pStyle w:val="1151"/>
              <w:jc w:val="center"/>
              <w:widowControl/>
              <w:rPr>
                <w:szCs w:val="21"/>
              </w:rPr>
            </w:pPr>
            <w:r>
              <w:rPr>
                <w:rFonts w:hint="eastAsia"/>
                <w:szCs w:val="21"/>
              </w:rPr>
              <w:t xml:space="preserve">引脚号</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标记</w:t>
            </w:r>
            <w:r>
              <w:rPr>
                <w:szCs w:val="21"/>
              </w:rPr>
            </w:r>
            <w:r/>
          </w:p>
        </w:tc>
        <w:tc>
          <w:tcPr>
            <w:tcW w:w="2552" w:type="dxa"/>
            <w:vAlign w:val="center"/>
            <w:textDirection w:val="lrTb"/>
            <w:noWrap w:val="false"/>
          </w:tcPr>
          <w:p>
            <w:pPr>
              <w:pStyle w:val="1151"/>
              <w:jc w:val="center"/>
              <w:widowControl/>
              <w:rPr>
                <w:szCs w:val="21"/>
              </w:rPr>
            </w:pPr>
            <w:r>
              <w:rPr>
                <w:rFonts w:hint="eastAsia"/>
                <w:szCs w:val="21"/>
              </w:rPr>
              <w:t xml:space="preserve">标记说明</w:t>
            </w:r>
            <w:r>
              <w:rPr>
                <w:szCs w:val="21"/>
              </w:rPr>
            </w:r>
            <w:r/>
          </w:p>
        </w:tc>
        <w:tc>
          <w:tcPr>
            <w:tcW w:w="1701" w:type="dxa"/>
            <w:vAlign w:val="center"/>
            <w:textDirection w:val="lrTb"/>
            <w:noWrap w:val="false"/>
          </w:tcPr>
          <w:p>
            <w:pPr>
              <w:pStyle w:val="1151"/>
              <w:jc w:val="center"/>
              <w:widowControl/>
              <w:rPr>
                <w:szCs w:val="21"/>
              </w:rPr>
            </w:pPr>
            <w:r>
              <w:rPr>
                <w:rFonts w:hint="eastAsia"/>
                <w:szCs w:val="21"/>
              </w:rPr>
              <w:t xml:space="preserve">电缆规格</w:t>
            </w:r>
            <w:r>
              <w:rPr>
                <w:szCs w:val="21"/>
              </w:rPr>
            </w:r>
            <w:r/>
          </w:p>
        </w:tc>
        <w:tc>
          <w:tcPr>
            <w:tcW w:w="1848" w:type="dxa"/>
            <w:vAlign w:val="center"/>
            <w:textDirection w:val="lrTb"/>
            <w:noWrap w:val="false"/>
          </w:tcPr>
          <w:p>
            <w:pPr>
              <w:pStyle w:val="1151"/>
              <w:jc w:val="center"/>
              <w:widowControl/>
              <w:rPr>
                <w:szCs w:val="21"/>
              </w:rPr>
            </w:pPr>
            <w:r>
              <w:rPr>
                <w:rFonts w:hint="eastAsia"/>
                <w:szCs w:val="21"/>
              </w:rPr>
              <w:t xml:space="preserve">备注</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1</w:t>
            </w:r>
            <w:r>
              <w:rPr>
                <w:szCs w:val="21"/>
              </w:rPr>
            </w:r>
            <w:r/>
          </w:p>
        </w:tc>
        <w:tc>
          <w:tcPr>
            <w:tcW w:w="1417" w:type="dxa"/>
            <w:vAlign w:val="center"/>
            <w:textDirection w:val="lrTb"/>
            <w:noWrap w:val="false"/>
          </w:tcPr>
          <w:p>
            <w:pPr>
              <w:pStyle w:val="1151"/>
              <w:jc w:val="center"/>
              <w:widowControl/>
              <w:rPr>
                <w:szCs w:val="21"/>
              </w:rPr>
            </w:pPr>
            <w:r>
              <w:rPr>
                <w:szCs w:val="21"/>
              </w:rPr>
              <w:t xml:space="preserve">Ul</w:t>
            </w:r>
            <w:r>
              <w:rPr>
                <w:rFonts w:hint="eastAsia"/>
                <w:szCs w:val="21"/>
              </w:rPr>
              <w:t xml:space="preserve">a</w:t>
            </w:r>
            <w:r>
              <w:rPr>
                <w:szCs w:val="21"/>
              </w:rPr>
            </w:r>
            <w:r/>
          </w:p>
        </w:tc>
        <w:tc>
          <w:tcPr>
            <w:tcW w:w="2552" w:type="dxa"/>
            <w:vAlign w:val="center"/>
            <w:vMerge w:val="restart"/>
            <w:textDirection w:val="lrTb"/>
            <w:noWrap w:val="false"/>
          </w:tcPr>
          <w:p>
            <w:pPr>
              <w:pStyle w:val="1151"/>
              <w:jc w:val="center"/>
              <w:widowControl/>
              <w:rPr>
                <w:szCs w:val="21"/>
              </w:rPr>
            </w:pPr>
            <w:r>
              <w:rPr>
                <w:rFonts w:hint="eastAsia"/>
                <w:szCs w:val="21"/>
              </w:rPr>
              <w:t xml:space="preserve">交流输入电源</w:t>
            </w:r>
            <w:r>
              <w:rPr>
                <w:szCs w:val="21"/>
              </w:rPr>
            </w:r>
            <w:r/>
          </w:p>
          <w:p>
            <w:pPr>
              <w:pStyle w:val="1151"/>
              <w:jc w:val="center"/>
              <w:widowControl/>
              <w:rPr>
                <w:szCs w:val="21"/>
              </w:rPr>
            </w:pPr>
            <w:r>
              <w:rPr>
                <w:szCs w:val="21"/>
              </w:rPr>
            </w:r>
            <w:r/>
          </w:p>
        </w:tc>
        <w:tc>
          <w:tcPr>
            <w:tcW w:w="1701" w:type="dxa"/>
            <w:vAlign w:val="center"/>
            <w:textDirection w:val="lrTb"/>
            <w:noWrap w:val="false"/>
          </w:tcPr>
          <w:p>
            <w:pPr>
              <w:pStyle w:val="1151"/>
              <w:jc w:val="center"/>
              <w:widowControl/>
              <w:rPr>
                <w:szCs w:val="21"/>
              </w:rPr>
            </w:pPr>
            <w:r>
              <w:rPr>
                <w:rFonts w:hint="eastAsia"/>
                <w:szCs w:val="21"/>
              </w:rPr>
              <w:t xml:space="preserve">RVV1.5mm²</w:t>
            </w:r>
            <w:r>
              <w:rPr>
                <w:szCs w:val="21"/>
              </w:rPr>
            </w:r>
            <w:r/>
          </w:p>
        </w:tc>
        <w:tc>
          <w:tcPr>
            <w:tcW w:w="1848" w:type="dxa"/>
            <w:vAlign w:val="center"/>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2</w:t>
            </w:r>
            <w:r>
              <w:rPr>
                <w:szCs w:val="21"/>
              </w:rPr>
            </w:r>
            <w:r/>
          </w:p>
        </w:tc>
        <w:tc>
          <w:tcPr>
            <w:tcW w:w="1417" w:type="dxa"/>
            <w:vAlign w:val="center"/>
            <w:textDirection w:val="lrTb"/>
            <w:noWrap w:val="false"/>
          </w:tcPr>
          <w:p>
            <w:pPr>
              <w:pStyle w:val="1151"/>
              <w:jc w:val="center"/>
              <w:widowControl/>
              <w:rPr>
                <w:szCs w:val="21"/>
              </w:rPr>
            </w:pPr>
            <w:r>
              <w:rPr>
                <w:szCs w:val="21"/>
              </w:rPr>
              <w:t xml:space="preserve">Ul</w:t>
            </w:r>
            <w:r>
              <w:rPr>
                <w:rFonts w:hint="eastAsia"/>
                <w:szCs w:val="21"/>
              </w:rPr>
              <w:t xml:space="preserve">b</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c>
          <w:tcPr>
            <w:tcW w:w="1701" w:type="dxa"/>
            <w:vAlign w:val="center"/>
            <w:textDirection w:val="lrTb"/>
            <w:noWrap w:val="false"/>
          </w:tcPr>
          <w:p>
            <w:pPr>
              <w:pStyle w:val="1151"/>
              <w:jc w:val="center"/>
              <w:widowControl/>
              <w:rPr>
                <w:szCs w:val="21"/>
              </w:rPr>
            </w:pPr>
            <w:r>
              <w:rPr>
                <w:rFonts w:hint="eastAsia"/>
                <w:szCs w:val="21"/>
              </w:rPr>
              <w:t xml:space="preserve">RVV1.5mm²</w:t>
            </w:r>
            <w:r>
              <w:rPr>
                <w:szCs w:val="21"/>
              </w:rPr>
            </w:r>
            <w:r/>
          </w:p>
        </w:tc>
        <w:tc>
          <w:tcPr>
            <w:tcW w:w="1848" w:type="dxa"/>
            <w:vAlign w:val="center"/>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3</w:t>
            </w:r>
            <w:r>
              <w:rPr>
                <w:szCs w:val="21"/>
              </w:rPr>
            </w:r>
            <w:r/>
          </w:p>
        </w:tc>
        <w:tc>
          <w:tcPr>
            <w:tcW w:w="1417" w:type="dxa"/>
            <w:vAlign w:val="center"/>
            <w:textDirection w:val="lrTb"/>
            <w:noWrap w:val="false"/>
          </w:tcPr>
          <w:p>
            <w:pPr>
              <w:pStyle w:val="1151"/>
              <w:jc w:val="center"/>
              <w:widowControl/>
              <w:rPr>
                <w:szCs w:val="21"/>
              </w:rPr>
            </w:pPr>
            <w:r>
              <w:rPr>
                <w:szCs w:val="21"/>
              </w:rPr>
              <w:t xml:space="preserve">Ul</w:t>
            </w:r>
            <w:r>
              <w:rPr>
                <w:rFonts w:hint="eastAsia"/>
                <w:szCs w:val="21"/>
              </w:rPr>
              <w:t xml:space="preserve">c</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c>
          <w:tcPr>
            <w:tcW w:w="1701" w:type="dxa"/>
            <w:vAlign w:val="center"/>
            <w:textDirection w:val="lrTb"/>
            <w:noWrap w:val="false"/>
          </w:tcPr>
          <w:p>
            <w:pPr>
              <w:pStyle w:val="1151"/>
              <w:jc w:val="center"/>
              <w:widowControl/>
              <w:rPr>
                <w:szCs w:val="21"/>
              </w:rPr>
            </w:pPr>
            <w:r>
              <w:rPr>
                <w:rFonts w:hint="eastAsia"/>
                <w:szCs w:val="21"/>
              </w:rPr>
              <w:t xml:space="preserve">RVV1.5mm²</w:t>
            </w:r>
            <w:r>
              <w:rPr>
                <w:szCs w:val="21"/>
              </w:rPr>
            </w:r>
            <w:r/>
          </w:p>
        </w:tc>
        <w:tc>
          <w:tcPr>
            <w:tcW w:w="1848" w:type="dxa"/>
            <w:vAlign w:val="center"/>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4</w:t>
            </w:r>
            <w:r>
              <w:rPr>
                <w:szCs w:val="21"/>
              </w:rPr>
            </w:r>
            <w:r/>
          </w:p>
        </w:tc>
        <w:tc>
          <w:tcPr>
            <w:tcW w:w="1417" w:type="dxa"/>
            <w:vAlign w:val="center"/>
            <w:textDirection w:val="lrTb"/>
            <w:noWrap w:val="false"/>
          </w:tcPr>
          <w:p>
            <w:pPr>
              <w:pStyle w:val="1151"/>
              <w:ind w:firstLine="420"/>
              <w:jc w:val="center"/>
              <w:widowControl/>
              <w:rPr>
                <w:szCs w:val="21"/>
              </w:rPr>
            </w:pPr>
            <w:r>
              <w:rPr>
                <w:szCs w:val="21"/>
              </w:rPr>
            </w:r>
            <w:r/>
          </w:p>
        </w:tc>
        <w:tc>
          <w:tcPr>
            <w:tcW w:w="2552" w:type="dxa"/>
            <w:vAlign w:val="center"/>
            <w:textDirection w:val="lrTb"/>
            <w:noWrap w:val="false"/>
          </w:tcPr>
          <w:p>
            <w:pPr>
              <w:pStyle w:val="1151"/>
              <w:jc w:val="center"/>
              <w:widowControl/>
              <w:rPr>
                <w:szCs w:val="21"/>
              </w:rPr>
            </w:pPr>
            <w:r>
              <w:rPr>
                <w:szCs w:val="21"/>
              </w:rPr>
            </w:r>
            <w:r/>
          </w:p>
        </w:tc>
        <w:tc>
          <w:tcPr>
            <w:tcW w:w="1701" w:type="dxa"/>
            <w:vAlign w:val="center"/>
            <w:textDirection w:val="lrTb"/>
            <w:noWrap w:val="false"/>
          </w:tcPr>
          <w:p>
            <w:pPr>
              <w:pStyle w:val="1151"/>
              <w:jc w:val="center"/>
              <w:widowControl/>
              <w:rPr>
                <w:szCs w:val="21"/>
              </w:rPr>
            </w:pPr>
            <w:r>
              <w:rPr>
                <w:szCs w:val="21"/>
              </w:rPr>
            </w:r>
            <w:r/>
          </w:p>
        </w:tc>
        <w:tc>
          <w:tcPr>
            <w:tcW w:w="1848" w:type="dxa"/>
            <w:vAlign w:val="center"/>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5</w:t>
            </w:r>
            <w:r>
              <w:rPr>
                <w:szCs w:val="21"/>
              </w:rPr>
            </w:r>
            <w:r/>
          </w:p>
        </w:tc>
        <w:tc>
          <w:tcPr>
            <w:tcW w:w="1417" w:type="dxa"/>
            <w:vAlign w:val="center"/>
            <w:textDirection w:val="lrTb"/>
            <w:noWrap w:val="false"/>
          </w:tcPr>
          <w:p>
            <w:pPr>
              <w:pStyle w:val="1151"/>
              <w:ind w:firstLine="420"/>
              <w:jc w:val="center"/>
              <w:widowControl/>
              <w:rPr>
                <w:szCs w:val="21"/>
              </w:rPr>
            </w:pPr>
            <w:r>
              <w:rPr>
                <w:szCs w:val="21"/>
              </w:rPr>
            </w:r>
            <w:r/>
          </w:p>
        </w:tc>
        <w:tc>
          <w:tcPr>
            <w:tcW w:w="2552" w:type="dxa"/>
            <w:vAlign w:val="center"/>
            <w:textDirection w:val="lrTb"/>
            <w:noWrap w:val="false"/>
          </w:tcPr>
          <w:p>
            <w:pPr>
              <w:pStyle w:val="1151"/>
              <w:jc w:val="center"/>
              <w:widowControl/>
              <w:rPr>
                <w:szCs w:val="21"/>
              </w:rPr>
            </w:pPr>
            <w:r>
              <w:rPr>
                <w:szCs w:val="21"/>
              </w:rPr>
            </w:r>
            <w:r/>
          </w:p>
        </w:tc>
        <w:tc>
          <w:tcPr>
            <w:tcW w:w="1701" w:type="dxa"/>
            <w:vAlign w:val="center"/>
            <w:textDirection w:val="lrTb"/>
            <w:noWrap w:val="false"/>
          </w:tcPr>
          <w:p>
            <w:pPr>
              <w:pStyle w:val="1151"/>
              <w:jc w:val="center"/>
              <w:widowControl/>
              <w:rPr>
                <w:szCs w:val="21"/>
              </w:rPr>
            </w:pPr>
            <w:r>
              <w:rPr>
                <w:szCs w:val="21"/>
              </w:rPr>
            </w:r>
            <w:r/>
          </w:p>
        </w:tc>
        <w:tc>
          <w:tcPr>
            <w:tcW w:w="1848" w:type="dxa"/>
            <w:vAlign w:val="center"/>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6</w:t>
            </w:r>
            <w:r>
              <w:rPr>
                <w:szCs w:val="21"/>
              </w:rPr>
            </w:r>
            <w:r/>
          </w:p>
        </w:tc>
        <w:tc>
          <w:tcPr>
            <w:tcW w:w="1417" w:type="dxa"/>
            <w:vAlign w:val="center"/>
            <w:textDirection w:val="lrTb"/>
            <w:noWrap w:val="false"/>
          </w:tcPr>
          <w:p>
            <w:pPr>
              <w:pStyle w:val="1151"/>
              <w:ind w:firstLine="420"/>
              <w:jc w:val="center"/>
              <w:widowControl/>
              <w:rPr>
                <w:szCs w:val="21"/>
              </w:rPr>
            </w:pPr>
            <w:r>
              <w:rPr>
                <w:szCs w:val="21"/>
              </w:rPr>
            </w:r>
            <w:r/>
          </w:p>
        </w:tc>
        <w:tc>
          <w:tcPr>
            <w:tcW w:w="2552" w:type="dxa"/>
            <w:vAlign w:val="center"/>
            <w:textDirection w:val="lrTb"/>
            <w:noWrap w:val="false"/>
          </w:tcPr>
          <w:p>
            <w:pPr>
              <w:pStyle w:val="1151"/>
              <w:jc w:val="center"/>
              <w:widowControl/>
              <w:rPr>
                <w:szCs w:val="21"/>
              </w:rPr>
            </w:pPr>
            <w:r>
              <w:rPr>
                <w:szCs w:val="21"/>
              </w:rPr>
            </w:r>
            <w:r/>
          </w:p>
        </w:tc>
        <w:tc>
          <w:tcPr>
            <w:tcW w:w="1701" w:type="dxa"/>
            <w:vAlign w:val="center"/>
            <w:textDirection w:val="lrTb"/>
            <w:noWrap w:val="false"/>
          </w:tcPr>
          <w:p>
            <w:pPr>
              <w:pStyle w:val="1151"/>
              <w:jc w:val="center"/>
              <w:widowControl/>
              <w:rPr>
                <w:szCs w:val="21"/>
              </w:rPr>
            </w:pPr>
            <w:r>
              <w:rPr>
                <w:szCs w:val="21"/>
              </w:rPr>
            </w:r>
            <w:r/>
          </w:p>
        </w:tc>
        <w:tc>
          <w:tcPr>
            <w:tcW w:w="1848" w:type="dxa"/>
            <w:vAlign w:val="center"/>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7</w:t>
            </w:r>
            <w:r>
              <w:rPr>
                <w:szCs w:val="21"/>
              </w:rPr>
            </w:r>
            <w:r/>
          </w:p>
        </w:tc>
        <w:tc>
          <w:tcPr>
            <w:tcW w:w="1417" w:type="dxa"/>
            <w:vAlign w:val="center"/>
            <w:textDirection w:val="lrTb"/>
            <w:noWrap w:val="false"/>
          </w:tcPr>
          <w:p>
            <w:pPr>
              <w:pStyle w:val="1151"/>
              <w:ind w:firstLine="420"/>
              <w:jc w:val="center"/>
              <w:widowControl/>
              <w:rPr>
                <w:szCs w:val="21"/>
              </w:rPr>
            </w:pPr>
            <w:r>
              <w:rPr>
                <w:szCs w:val="21"/>
              </w:rPr>
            </w:r>
            <w:r/>
          </w:p>
        </w:tc>
        <w:tc>
          <w:tcPr>
            <w:tcW w:w="2552" w:type="dxa"/>
            <w:vAlign w:val="center"/>
            <w:textDirection w:val="lrTb"/>
            <w:noWrap w:val="false"/>
          </w:tcPr>
          <w:p>
            <w:pPr>
              <w:pStyle w:val="1151"/>
              <w:jc w:val="center"/>
              <w:widowControl/>
              <w:rPr>
                <w:szCs w:val="21"/>
              </w:rPr>
            </w:pPr>
            <w:r>
              <w:rPr>
                <w:szCs w:val="21"/>
              </w:rPr>
            </w:r>
            <w:r/>
          </w:p>
        </w:tc>
        <w:tc>
          <w:tcPr>
            <w:tcW w:w="1701" w:type="dxa"/>
            <w:vAlign w:val="center"/>
            <w:textDirection w:val="lrTb"/>
            <w:noWrap w:val="false"/>
          </w:tcPr>
          <w:p>
            <w:pPr>
              <w:pStyle w:val="1151"/>
              <w:jc w:val="center"/>
              <w:widowControl/>
              <w:rPr>
                <w:szCs w:val="21"/>
              </w:rPr>
            </w:pPr>
            <w:r>
              <w:rPr>
                <w:szCs w:val="21"/>
              </w:rPr>
            </w:r>
            <w:r/>
          </w:p>
        </w:tc>
        <w:tc>
          <w:tcPr>
            <w:tcW w:w="1848" w:type="dxa"/>
            <w:vAlign w:val="center"/>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8</w:t>
            </w:r>
            <w:r>
              <w:rPr>
                <w:szCs w:val="21"/>
              </w:rPr>
            </w:r>
            <w:r/>
          </w:p>
        </w:tc>
        <w:tc>
          <w:tcPr>
            <w:tcW w:w="1417" w:type="dxa"/>
            <w:vAlign w:val="center"/>
            <w:textDirection w:val="lrTb"/>
            <w:noWrap w:val="false"/>
          </w:tcPr>
          <w:p>
            <w:pPr>
              <w:pStyle w:val="1151"/>
              <w:ind w:firstLine="420"/>
              <w:jc w:val="center"/>
              <w:widowControl/>
              <w:rPr>
                <w:szCs w:val="21"/>
              </w:rPr>
            </w:pPr>
            <w:r>
              <w:rPr>
                <w:szCs w:val="21"/>
              </w:rPr>
            </w:r>
            <w:r/>
          </w:p>
        </w:tc>
        <w:tc>
          <w:tcPr>
            <w:tcW w:w="2552" w:type="dxa"/>
            <w:vAlign w:val="center"/>
            <w:textDirection w:val="lrTb"/>
            <w:noWrap w:val="false"/>
          </w:tcPr>
          <w:p>
            <w:pPr>
              <w:pStyle w:val="1151"/>
              <w:jc w:val="center"/>
              <w:widowControl/>
              <w:rPr>
                <w:szCs w:val="21"/>
              </w:rPr>
            </w:pPr>
            <w:r>
              <w:rPr>
                <w:szCs w:val="21"/>
              </w:rPr>
            </w:r>
            <w:r/>
          </w:p>
        </w:tc>
        <w:tc>
          <w:tcPr>
            <w:tcW w:w="1701" w:type="dxa"/>
            <w:vAlign w:val="center"/>
            <w:textDirection w:val="lrTb"/>
            <w:noWrap w:val="false"/>
          </w:tcPr>
          <w:p>
            <w:pPr>
              <w:pStyle w:val="1151"/>
              <w:jc w:val="center"/>
              <w:widowControl/>
              <w:rPr>
                <w:szCs w:val="21"/>
              </w:rPr>
            </w:pPr>
            <w:r>
              <w:rPr>
                <w:szCs w:val="21"/>
              </w:rPr>
            </w:r>
            <w:r/>
          </w:p>
        </w:tc>
        <w:tc>
          <w:tcPr>
            <w:tcW w:w="1848" w:type="dxa"/>
            <w:vAlign w:val="center"/>
            <w:textDirection w:val="lrTb"/>
            <w:noWrap w:val="false"/>
          </w:tcPr>
          <w:p>
            <w:pPr>
              <w:pStyle w:val="1151"/>
              <w:jc w:val="center"/>
              <w:widowControl/>
              <w:rPr>
                <w:szCs w:val="21"/>
              </w:rPr>
            </w:pPr>
            <w:r>
              <w:rPr>
                <w:szCs w:val="21"/>
              </w:rPr>
            </w:r>
            <w:r/>
          </w:p>
        </w:tc>
      </w:tr>
      <w:tr>
        <w:trPr>
          <w:trHeight w:val="367"/>
        </w:trPr>
        <w:tc>
          <w:tcPr>
            <w:tcW w:w="1226" w:type="dxa"/>
            <w:vAlign w:val="center"/>
            <w:textDirection w:val="lrTb"/>
            <w:noWrap w:val="false"/>
          </w:tcPr>
          <w:p>
            <w:pPr>
              <w:pStyle w:val="1151"/>
              <w:jc w:val="center"/>
              <w:widowControl/>
              <w:rPr>
                <w:szCs w:val="21"/>
              </w:rPr>
            </w:pPr>
            <w:r>
              <w:rPr>
                <w:rFonts w:hint="eastAsia"/>
                <w:szCs w:val="21"/>
              </w:rPr>
              <w:t xml:space="preserve">9</w:t>
            </w:r>
            <w:r>
              <w:rPr>
                <w:szCs w:val="21"/>
              </w:rPr>
            </w:r>
            <w:r/>
          </w:p>
        </w:tc>
        <w:tc>
          <w:tcPr>
            <w:tcW w:w="1417" w:type="dxa"/>
            <w:vAlign w:val="center"/>
            <w:textDirection w:val="lrTb"/>
            <w:noWrap w:val="false"/>
          </w:tcPr>
          <w:p>
            <w:pPr>
              <w:pStyle w:val="1151"/>
              <w:ind w:firstLine="420"/>
              <w:jc w:val="center"/>
              <w:widowControl/>
              <w:rPr>
                <w:szCs w:val="21"/>
              </w:rPr>
            </w:pPr>
            <w:r>
              <w:rPr>
                <w:szCs w:val="21"/>
              </w:rPr>
            </w:r>
            <w:r/>
          </w:p>
        </w:tc>
        <w:tc>
          <w:tcPr>
            <w:tcW w:w="2552" w:type="dxa"/>
            <w:vAlign w:val="center"/>
            <w:textDirection w:val="lrTb"/>
            <w:noWrap w:val="false"/>
          </w:tcPr>
          <w:p>
            <w:pPr>
              <w:pStyle w:val="1151"/>
              <w:jc w:val="center"/>
              <w:widowControl/>
              <w:rPr>
                <w:szCs w:val="21"/>
              </w:rPr>
            </w:pPr>
            <w:r>
              <w:rPr>
                <w:szCs w:val="21"/>
              </w:rPr>
            </w:r>
            <w:r/>
          </w:p>
        </w:tc>
        <w:tc>
          <w:tcPr>
            <w:tcW w:w="1701" w:type="dxa"/>
            <w:vAlign w:val="center"/>
            <w:textDirection w:val="lrTb"/>
            <w:noWrap w:val="false"/>
          </w:tcPr>
          <w:p>
            <w:pPr>
              <w:pStyle w:val="1151"/>
              <w:jc w:val="center"/>
              <w:widowControl/>
              <w:rPr>
                <w:szCs w:val="21"/>
              </w:rPr>
            </w:pPr>
            <w:r>
              <w:rPr>
                <w:szCs w:val="21"/>
              </w:rPr>
            </w:r>
            <w:r/>
          </w:p>
        </w:tc>
        <w:tc>
          <w:tcPr>
            <w:tcW w:w="1848" w:type="dxa"/>
            <w:vAlign w:val="center"/>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10</w:t>
            </w:r>
            <w:r>
              <w:rPr>
                <w:szCs w:val="21"/>
              </w:rPr>
            </w:r>
            <w:r/>
          </w:p>
        </w:tc>
        <w:tc>
          <w:tcPr>
            <w:tcW w:w="1417" w:type="dxa"/>
            <w:vAlign w:val="center"/>
            <w:textDirection w:val="lrTb"/>
            <w:noWrap w:val="false"/>
          </w:tcPr>
          <w:p>
            <w:pPr>
              <w:pStyle w:val="1151"/>
              <w:ind w:firstLine="420"/>
              <w:jc w:val="center"/>
              <w:widowControl/>
              <w:rPr>
                <w:szCs w:val="21"/>
              </w:rPr>
            </w:pPr>
            <w:r>
              <w:rPr>
                <w:szCs w:val="21"/>
              </w:rPr>
            </w:r>
            <w:r/>
          </w:p>
        </w:tc>
        <w:tc>
          <w:tcPr>
            <w:tcW w:w="2552" w:type="dxa"/>
            <w:vAlign w:val="center"/>
            <w:textDirection w:val="lrTb"/>
            <w:noWrap w:val="false"/>
          </w:tcPr>
          <w:p>
            <w:pPr>
              <w:pStyle w:val="1151"/>
              <w:jc w:val="center"/>
              <w:widowControl/>
              <w:rPr>
                <w:szCs w:val="21"/>
              </w:rPr>
            </w:pPr>
            <w:r>
              <w:rPr>
                <w:szCs w:val="21"/>
              </w:rPr>
            </w:r>
            <w:r/>
          </w:p>
        </w:tc>
        <w:tc>
          <w:tcPr>
            <w:tcW w:w="1701" w:type="dxa"/>
            <w:vAlign w:val="center"/>
            <w:textDirection w:val="lrTb"/>
            <w:noWrap w:val="false"/>
          </w:tcPr>
          <w:p>
            <w:pPr>
              <w:pStyle w:val="1151"/>
              <w:jc w:val="center"/>
              <w:widowControl/>
              <w:rPr>
                <w:szCs w:val="21"/>
              </w:rPr>
            </w:pPr>
            <w:r>
              <w:rPr>
                <w:szCs w:val="21"/>
              </w:rPr>
            </w:r>
            <w:r/>
          </w:p>
        </w:tc>
        <w:tc>
          <w:tcPr>
            <w:tcW w:w="1848" w:type="dxa"/>
            <w:vAlign w:val="center"/>
            <w:textDirection w:val="lrTb"/>
            <w:noWrap w:val="false"/>
          </w:tcPr>
          <w:p>
            <w:pPr>
              <w:pStyle w:val="1151"/>
              <w:jc w:val="center"/>
              <w:widowControl/>
              <w:rPr>
                <w:szCs w:val="21"/>
              </w:rPr>
            </w:pPr>
            <w:r>
              <w:rPr>
                <w:szCs w:val="21"/>
              </w:rPr>
            </w:r>
            <w:r/>
          </w:p>
        </w:tc>
      </w:tr>
    </w:tbl>
    <w:p>
      <w:pPr>
        <w:pStyle w:val="1151"/>
        <w:jc w:val="left"/>
        <w:spacing w:line="312" w:lineRule="exact"/>
        <w:rPr>
          <w:rFonts w:ascii="黑体" w:hAnsi="黑体" w:eastAsia="黑体"/>
          <w:szCs w:val="21"/>
        </w:rPr>
        <w:outlineLvl w:val="2"/>
      </w:pPr>
      <w:r>
        <w:rPr>
          <w:rFonts w:ascii="黑体" w:hAnsi="黑体" w:eastAsia="黑体"/>
          <w:szCs w:val="21"/>
        </w:rPr>
        <w:t xml:space="preserve">D.1.7 </w:t>
      </w:r>
      <w:r>
        <w:rPr>
          <w:rFonts w:hint="eastAsia" w:ascii="黑体" w:hAnsi="黑体" w:eastAsia="黑体"/>
          <w:szCs w:val="21"/>
        </w:rPr>
        <w:t xml:space="preserve">PT柜二次模块下行10芯矩形连接器</w:t>
      </w:r>
      <w:r>
        <w:rPr>
          <w:rFonts w:ascii="黑体" w:hAnsi="黑体" w:eastAsia="黑体"/>
          <w:szCs w:val="21"/>
        </w:rPr>
      </w:r>
      <w:r/>
    </w:p>
    <w:p>
      <w:pPr>
        <w:pStyle w:val="1151"/>
        <w:jc w:val="center"/>
        <w:rPr>
          <w:szCs w:val="21"/>
        </w:rPr>
      </w:pPr>
      <w:r>
        <w:rPr>
          <w:rFonts w:hint="eastAsia"/>
          <w:szCs w:val="21"/>
        </w:rPr>
        <w:t xml:space="preserve">表</w:t>
      </w:r>
      <w:r>
        <w:rPr>
          <w:szCs w:val="21"/>
        </w:rPr>
        <w:t xml:space="preserve">D</w:t>
      </w:r>
      <w:r>
        <w:rPr>
          <w:rFonts w:hint="eastAsia"/>
          <w:szCs w:val="21"/>
        </w:rPr>
        <w:t xml:space="preserve">.</w:t>
      </w:r>
      <w:r>
        <w:rPr>
          <w:szCs w:val="21"/>
        </w:rPr>
        <w:t xml:space="preserve">1</w:t>
      </w:r>
      <w:r>
        <w:rPr>
          <w:rFonts w:hint="eastAsia"/>
          <w:szCs w:val="21"/>
        </w:rPr>
        <w:t xml:space="preserve">-</w:t>
      </w:r>
      <w:r>
        <w:rPr>
          <w:szCs w:val="21"/>
        </w:rPr>
        <w:t xml:space="preserve">7 </w:t>
      </w:r>
      <w:r>
        <w:rPr>
          <w:rFonts w:hint="eastAsia"/>
          <w:szCs w:val="21"/>
        </w:rPr>
        <w:t xml:space="preserve"> PT柜二次模块下行10芯矩形连接器引脚定义</w:t>
      </w:r>
      <w:r>
        <w:rPr>
          <w:szCs w:val="21"/>
        </w:rPr>
      </w:r>
      <w:r/>
    </w:p>
    <w:tbl>
      <w:tblPr>
        <w:tblW w:w="51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1417"/>
        <w:gridCol w:w="2552"/>
      </w:tblGrid>
      <w:tr>
        <w:trPr/>
        <w:tc>
          <w:tcPr>
            <w:tcW w:w="1226" w:type="dxa"/>
            <w:vAlign w:val="center"/>
            <w:textDirection w:val="lrTb"/>
            <w:noWrap w:val="false"/>
          </w:tcPr>
          <w:p>
            <w:pPr>
              <w:pStyle w:val="1151"/>
              <w:jc w:val="center"/>
              <w:widowControl/>
              <w:rPr>
                <w:szCs w:val="21"/>
              </w:rPr>
            </w:pPr>
            <w:r>
              <w:rPr>
                <w:rFonts w:hint="eastAsia"/>
                <w:szCs w:val="21"/>
              </w:rPr>
              <w:t xml:space="preserve">引脚号</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标记</w:t>
            </w:r>
            <w:r>
              <w:rPr>
                <w:szCs w:val="21"/>
              </w:rPr>
            </w:r>
            <w:r/>
          </w:p>
        </w:tc>
        <w:tc>
          <w:tcPr>
            <w:tcW w:w="2552" w:type="dxa"/>
            <w:vAlign w:val="center"/>
            <w:textDirection w:val="lrTb"/>
            <w:noWrap w:val="false"/>
          </w:tcPr>
          <w:p>
            <w:pPr>
              <w:pStyle w:val="1151"/>
              <w:jc w:val="center"/>
              <w:widowControl/>
              <w:rPr>
                <w:szCs w:val="21"/>
              </w:rPr>
            </w:pPr>
            <w:r>
              <w:rPr>
                <w:rFonts w:hint="eastAsia"/>
                <w:szCs w:val="21"/>
              </w:rPr>
              <w:t xml:space="preserve">标记说明</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1</w:t>
            </w:r>
            <w:r>
              <w:rPr>
                <w:szCs w:val="21"/>
              </w:rPr>
            </w:r>
            <w:r/>
          </w:p>
        </w:tc>
        <w:tc>
          <w:tcPr>
            <w:tcW w:w="1417" w:type="dxa"/>
            <w:vAlign w:val="center"/>
            <w:textDirection w:val="lrTb"/>
            <w:noWrap w:val="false"/>
          </w:tcPr>
          <w:p>
            <w:pPr>
              <w:pStyle w:val="1151"/>
              <w:jc w:val="center"/>
              <w:widowControl/>
              <w:rPr>
                <w:szCs w:val="21"/>
              </w:rPr>
            </w:pPr>
            <w:r>
              <w:rPr>
                <w:szCs w:val="21"/>
              </w:rPr>
              <w:t xml:space="preserve">Ul</w:t>
            </w:r>
            <w:r>
              <w:rPr>
                <w:rFonts w:hint="eastAsia"/>
                <w:szCs w:val="21"/>
              </w:rPr>
              <w:t xml:space="preserve">a</w:t>
            </w:r>
            <w:r>
              <w:rPr>
                <w:szCs w:val="21"/>
              </w:rPr>
            </w:r>
            <w:r/>
          </w:p>
        </w:tc>
        <w:tc>
          <w:tcPr>
            <w:tcW w:w="2552" w:type="dxa"/>
            <w:vAlign w:val="center"/>
            <w:vMerge w:val="restart"/>
            <w:textDirection w:val="lrTb"/>
            <w:noWrap w:val="false"/>
          </w:tcPr>
          <w:p>
            <w:pPr>
              <w:pStyle w:val="1151"/>
              <w:jc w:val="center"/>
              <w:widowControl/>
              <w:rPr>
                <w:szCs w:val="21"/>
              </w:rPr>
            </w:pPr>
            <w:r>
              <w:rPr>
                <w:rFonts w:hint="eastAsia"/>
                <w:szCs w:val="21"/>
              </w:rPr>
              <w:t xml:space="preserve">交流输入电源</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2</w:t>
            </w:r>
            <w:r>
              <w:rPr>
                <w:szCs w:val="21"/>
              </w:rPr>
            </w:r>
            <w:r/>
          </w:p>
        </w:tc>
        <w:tc>
          <w:tcPr>
            <w:tcW w:w="1417" w:type="dxa"/>
            <w:vAlign w:val="center"/>
            <w:textDirection w:val="lrTb"/>
            <w:noWrap w:val="false"/>
          </w:tcPr>
          <w:p>
            <w:pPr>
              <w:pStyle w:val="1151"/>
              <w:jc w:val="center"/>
              <w:widowControl/>
              <w:rPr>
                <w:szCs w:val="21"/>
              </w:rPr>
            </w:pPr>
            <w:r>
              <w:rPr>
                <w:szCs w:val="21"/>
              </w:rPr>
              <w:t xml:space="preserve">Ul</w:t>
            </w:r>
            <w:r>
              <w:rPr>
                <w:rFonts w:hint="eastAsia"/>
                <w:szCs w:val="21"/>
              </w:rPr>
              <w:t xml:space="preserve">b</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3</w:t>
            </w:r>
            <w:r>
              <w:rPr>
                <w:szCs w:val="21"/>
              </w:rPr>
            </w:r>
            <w:r/>
          </w:p>
        </w:tc>
        <w:tc>
          <w:tcPr>
            <w:tcW w:w="1417" w:type="dxa"/>
            <w:vAlign w:val="center"/>
            <w:textDirection w:val="lrTb"/>
            <w:noWrap w:val="false"/>
          </w:tcPr>
          <w:p>
            <w:pPr>
              <w:pStyle w:val="1151"/>
              <w:jc w:val="center"/>
              <w:widowControl/>
              <w:rPr>
                <w:szCs w:val="21"/>
              </w:rPr>
            </w:pPr>
            <w:r>
              <w:rPr>
                <w:szCs w:val="21"/>
              </w:rPr>
              <w:t xml:space="preserve">Ul</w:t>
            </w:r>
            <w:r>
              <w:rPr>
                <w:rFonts w:hint="eastAsia"/>
                <w:szCs w:val="21"/>
              </w:rPr>
              <w:t xml:space="preserve">c</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4</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Uln</w:t>
            </w:r>
            <w:r>
              <w:rPr>
                <w:szCs w:val="21"/>
              </w:rPr>
            </w:r>
            <w:r/>
          </w:p>
        </w:tc>
        <w:tc>
          <w:tcPr>
            <w:tcW w:w="2552" w:type="dxa"/>
            <w:vAlign w:val="center"/>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5</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w:t>
            </w:r>
            <w:r>
              <w:rPr>
                <w:szCs w:val="21"/>
              </w:rPr>
              <w:t xml:space="preserve">a</w:t>
            </w:r>
            <w:r>
              <w:rPr>
                <w:szCs w:val="21"/>
              </w:rPr>
            </w:r>
            <w:r/>
          </w:p>
        </w:tc>
        <w:tc>
          <w:tcPr>
            <w:tcW w:w="2552" w:type="dxa"/>
            <w:vAlign w:val="center"/>
            <w:textDirection w:val="lrTb"/>
            <w:noWrap w:val="false"/>
          </w:tcPr>
          <w:p>
            <w:pPr>
              <w:pStyle w:val="1151"/>
              <w:jc w:val="center"/>
              <w:widowControl/>
              <w:rPr>
                <w:szCs w:val="21"/>
              </w:rPr>
            </w:pPr>
            <w:r>
              <w:rPr>
                <w:szCs w:val="21"/>
              </w:rPr>
              <w:t xml:space="preserve">A 相电压(计量/测量)</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6</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w:t>
            </w:r>
            <w:r>
              <w:rPr>
                <w:szCs w:val="21"/>
              </w:rPr>
              <w:t xml:space="preserve">b</w:t>
            </w:r>
            <w:r>
              <w:rPr>
                <w:szCs w:val="21"/>
              </w:rPr>
            </w:r>
            <w:r/>
          </w:p>
        </w:tc>
        <w:tc>
          <w:tcPr>
            <w:tcW w:w="2552" w:type="dxa"/>
            <w:vAlign w:val="center"/>
            <w:textDirection w:val="lrTb"/>
            <w:noWrap w:val="false"/>
          </w:tcPr>
          <w:p>
            <w:pPr>
              <w:pStyle w:val="1151"/>
              <w:jc w:val="center"/>
              <w:widowControl/>
              <w:rPr>
                <w:szCs w:val="21"/>
              </w:rPr>
            </w:pPr>
            <w:r>
              <w:rPr>
                <w:szCs w:val="21"/>
              </w:rPr>
              <w:t xml:space="preserve">B相电压(计量/测量)</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7</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w:t>
            </w:r>
            <w:r>
              <w:rPr>
                <w:szCs w:val="21"/>
              </w:rPr>
              <w:t xml:space="preserve">c</w:t>
            </w:r>
            <w:r>
              <w:rPr>
                <w:szCs w:val="21"/>
              </w:rPr>
            </w:r>
            <w:r/>
          </w:p>
        </w:tc>
        <w:tc>
          <w:tcPr>
            <w:tcW w:w="2552" w:type="dxa"/>
            <w:vAlign w:val="center"/>
            <w:textDirection w:val="lrTb"/>
            <w:noWrap w:val="false"/>
          </w:tcPr>
          <w:p>
            <w:pPr>
              <w:pStyle w:val="1151"/>
              <w:jc w:val="center"/>
              <w:widowControl/>
              <w:rPr>
                <w:szCs w:val="21"/>
              </w:rPr>
            </w:pPr>
            <w:r>
              <w:rPr>
                <w:szCs w:val="21"/>
              </w:rPr>
              <w:t xml:space="preserve">C相电压(计量/测量)</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8</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w:t>
            </w:r>
            <w:r>
              <w:rPr>
                <w:szCs w:val="21"/>
              </w:rPr>
              <w:t xml:space="preserve">n</w:t>
            </w:r>
            <w:r>
              <w:rPr>
                <w:szCs w:val="21"/>
              </w:rPr>
            </w:r>
            <w:r/>
          </w:p>
        </w:tc>
        <w:tc>
          <w:tcPr>
            <w:tcW w:w="2552" w:type="dxa"/>
            <w:vAlign w:val="center"/>
            <w:textDirection w:val="lrTb"/>
            <w:noWrap w:val="false"/>
          </w:tcPr>
          <w:p>
            <w:pPr>
              <w:pStyle w:val="1151"/>
              <w:jc w:val="center"/>
              <w:widowControl/>
              <w:rPr>
                <w:szCs w:val="21"/>
              </w:rPr>
            </w:pPr>
            <w:r>
              <w:rPr>
                <w:rFonts w:hint="eastAsia"/>
                <w:szCs w:val="21"/>
              </w:rPr>
              <w:t xml:space="preserve">相电压公共端</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9</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w:t>
            </w:r>
            <w:r>
              <w:rPr>
                <w:szCs w:val="21"/>
              </w:rPr>
              <w:t xml:space="preserve">0</w:t>
            </w:r>
            <w:r>
              <w:rPr>
                <w:szCs w:val="21"/>
              </w:rPr>
            </w:r>
            <w:r/>
          </w:p>
        </w:tc>
        <w:tc>
          <w:tcPr>
            <w:tcW w:w="2552" w:type="dxa"/>
            <w:vAlign w:val="center"/>
            <w:textDirection w:val="lrTb"/>
            <w:noWrap w:val="false"/>
          </w:tcPr>
          <w:p>
            <w:pPr>
              <w:pStyle w:val="1151"/>
              <w:jc w:val="center"/>
              <w:widowControl/>
              <w:rPr>
                <w:szCs w:val="21"/>
              </w:rPr>
            </w:pPr>
            <w:r>
              <w:rPr>
                <w:rFonts w:hint="eastAsia"/>
                <w:szCs w:val="21"/>
              </w:rPr>
              <w:t xml:space="preserve">零序电压</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10</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w:t>
            </w:r>
            <w:r>
              <w:rPr>
                <w:szCs w:val="21"/>
              </w:rPr>
              <w:t xml:space="preserve">0</w:t>
            </w:r>
            <w:r>
              <w:rPr>
                <w:rFonts w:hint="eastAsia"/>
                <w:szCs w:val="21"/>
              </w:rPr>
              <w:t xml:space="preserve">n</w:t>
            </w:r>
            <w:r>
              <w:rPr>
                <w:szCs w:val="21"/>
              </w:rPr>
            </w:r>
            <w:r/>
          </w:p>
        </w:tc>
        <w:tc>
          <w:tcPr>
            <w:tcW w:w="2552" w:type="dxa"/>
            <w:vAlign w:val="center"/>
            <w:textDirection w:val="lrTb"/>
            <w:noWrap w:val="false"/>
          </w:tcPr>
          <w:p>
            <w:pPr>
              <w:pStyle w:val="1151"/>
              <w:jc w:val="center"/>
              <w:widowControl/>
              <w:rPr>
                <w:szCs w:val="21"/>
              </w:rPr>
            </w:pPr>
            <w:r>
              <w:rPr>
                <w:rFonts w:hint="eastAsia"/>
                <w:szCs w:val="21"/>
              </w:rPr>
              <w:t xml:space="preserve">零序电压公共端</w:t>
            </w:r>
            <w:r>
              <w:rPr>
                <w:szCs w:val="21"/>
              </w:rPr>
            </w:r>
            <w:r/>
          </w:p>
        </w:tc>
      </w:tr>
    </w:tbl>
    <w:p>
      <w:pPr>
        <w:pStyle w:val="1151"/>
        <w:jc w:val="left"/>
        <w:spacing w:line="312" w:lineRule="exact"/>
        <w:rPr>
          <w:rFonts w:ascii="黑体" w:hAnsi="黑体" w:eastAsia="黑体"/>
          <w:szCs w:val="21"/>
        </w:rPr>
        <w:outlineLvl w:val="2"/>
      </w:pPr>
      <w:r>
        <w:rPr>
          <w:rFonts w:ascii="黑体" w:hAnsi="黑体" w:eastAsia="黑体"/>
          <w:szCs w:val="21"/>
        </w:rPr>
        <w:t xml:space="preserve">D.1.8 </w:t>
      </w:r>
      <w:r>
        <w:rPr>
          <w:rFonts w:hint="eastAsia" w:ascii="黑体" w:hAnsi="黑体" w:eastAsia="黑体"/>
          <w:szCs w:val="21"/>
        </w:rPr>
        <w:t xml:space="preserve">PT柜二次模块上行10芯矩形连接器</w:t>
      </w:r>
      <w:r>
        <w:rPr>
          <w:rFonts w:ascii="黑体" w:hAnsi="黑体" w:eastAsia="黑体"/>
          <w:szCs w:val="21"/>
        </w:rPr>
      </w:r>
      <w:r/>
    </w:p>
    <w:p>
      <w:pPr>
        <w:pStyle w:val="1151"/>
        <w:jc w:val="center"/>
        <w:rPr>
          <w:szCs w:val="21"/>
        </w:rPr>
      </w:pPr>
      <w:r>
        <w:rPr>
          <w:rFonts w:hint="eastAsia"/>
          <w:szCs w:val="21"/>
        </w:rPr>
        <w:t xml:space="preserve">表</w:t>
      </w:r>
      <w:r>
        <w:rPr>
          <w:szCs w:val="21"/>
        </w:rPr>
        <w:t xml:space="preserve">D</w:t>
      </w:r>
      <w:r>
        <w:rPr>
          <w:rFonts w:hint="eastAsia"/>
          <w:szCs w:val="21"/>
        </w:rPr>
        <w:t xml:space="preserve">.</w:t>
      </w:r>
      <w:r>
        <w:rPr>
          <w:szCs w:val="21"/>
        </w:rPr>
        <w:t xml:space="preserve">1</w:t>
      </w:r>
      <w:r>
        <w:rPr>
          <w:rFonts w:hint="eastAsia"/>
          <w:szCs w:val="21"/>
        </w:rPr>
        <w:t xml:space="preserve">-</w:t>
      </w:r>
      <w:r>
        <w:rPr>
          <w:szCs w:val="21"/>
        </w:rPr>
        <w:t xml:space="preserve">8 </w:t>
      </w:r>
      <w:r>
        <w:rPr>
          <w:rFonts w:hint="eastAsia"/>
          <w:szCs w:val="21"/>
        </w:rPr>
        <w:t xml:space="preserve">PT柜二次模块上行10芯矩形连接器引脚定义</w:t>
      </w:r>
      <w:r>
        <w:rPr>
          <w:szCs w:val="21"/>
        </w:rPr>
      </w:r>
      <w:r/>
    </w:p>
    <w:tbl>
      <w:tblPr>
        <w:tblW w:w="51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1417"/>
        <w:gridCol w:w="2552"/>
      </w:tblGrid>
      <w:tr>
        <w:trPr/>
        <w:tc>
          <w:tcPr>
            <w:tcW w:w="1226" w:type="dxa"/>
            <w:vAlign w:val="center"/>
            <w:textDirection w:val="lrTb"/>
            <w:noWrap w:val="false"/>
          </w:tcPr>
          <w:p>
            <w:pPr>
              <w:pStyle w:val="1151"/>
              <w:jc w:val="center"/>
              <w:widowControl/>
              <w:rPr>
                <w:szCs w:val="21"/>
              </w:rPr>
            </w:pPr>
            <w:r>
              <w:rPr>
                <w:rFonts w:hint="eastAsia"/>
                <w:szCs w:val="21"/>
              </w:rPr>
              <w:t xml:space="preserve">引脚号</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标记</w:t>
            </w:r>
            <w:r>
              <w:rPr>
                <w:szCs w:val="21"/>
              </w:rPr>
            </w:r>
            <w:r/>
          </w:p>
        </w:tc>
        <w:tc>
          <w:tcPr>
            <w:tcW w:w="2552" w:type="dxa"/>
            <w:vAlign w:val="center"/>
            <w:textDirection w:val="lrTb"/>
            <w:noWrap w:val="false"/>
          </w:tcPr>
          <w:p>
            <w:pPr>
              <w:pStyle w:val="1151"/>
              <w:jc w:val="center"/>
              <w:widowControl/>
              <w:rPr>
                <w:szCs w:val="21"/>
              </w:rPr>
            </w:pPr>
            <w:r>
              <w:rPr>
                <w:rFonts w:hint="eastAsia"/>
                <w:szCs w:val="21"/>
              </w:rPr>
              <w:t xml:space="preserve">标记说明</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1</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52" w:type="dxa"/>
            <w:vAlign w:val="center"/>
            <w:vMerge w:val="restart"/>
            <w:textDirection w:val="lrTb"/>
            <w:noWrap w:val="false"/>
          </w:tcPr>
          <w:p>
            <w:pPr>
              <w:pStyle w:val="1151"/>
              <w:jc w:val="center"/>
              <w:widowControl/>
              <w:rPr>
                <w:szCs w:val="21"/>
              </w:rPr>
            </w:pPr>
            <w:r>
              <w:rPr>
                <w:rFonts w:hint="eastAsia"/>
                <w:szCs w:val="21"/>
              </w:rPr>
              <w:t xml:space="preserve">/</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2</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3</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4</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5</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w:t>
            </w:r>
            <w:r>
              <w:rPr>
                <w:szCs w:val="21"/>
              </w:rPr>
              <w:t xml:space="preserve">a</w:t>
            </w:r>
            <w:r>
              <w:rPr>
                <w:szCs w:val="21"/>
              </w:rPr>
            </w:r>
            <w:r/>
          </w:p>
        </w:tc>
        <w:tc>
          <w:tcPr>
            <w:tcW w:w="2552" w:type="dxa"/>
            <w:vAlign w:val="center"/>
            <w:textDirection w:val="lrTb"/>
            <w:noWrap w:val="false"/>
          </w:tcPr>
          <w:p>
            <w:pPr>
              <w:pStyle w:val="1151"/>
              <w:jc w:val="center"/>
              <w:widowControl/>
              <w:rPr>
                <w:szCs w:val="21"/>
              </w:rPr>
            </w:pPr>
            <w:r>
              <w:rPr>
                <w:szCs w:val="21"/>
              </w:rPr>
              <w:t xml:space="preserve">A 相电压(计量/测量)</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6</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w:t>
            </w:r>
            <w:r>
              <w:rPr>
                <w:szCs w:val="21"/>
              </w:rPr>
              <w:t xml:space="preserve">b</w:t>
            </w:r>
            <w:r>
              <w:rPr>
                <w:szCs w:val="21"/>
              </w:rPr>
            </w:r>
            <w:r/>
          </w:p>
        </w:tc>
        <w:tc>
          <w:tcPr>
            <w:tcW w:w="2552" w:type="dxa"/>
            <w:vAlign w:val="center"/>
            <w:textDirection w:val="lrTb"/>
            <w:noWrap w:val="false"/>
          </w:tcPr>
          <w:p>
            <w:pPr>
              <w:pStyle w:val="1151"/>
              <w:jc w:val="center"/>
              <w:widowControl/>
              <w:rPr>
                <w:szCs w:val="21"/>
              </w:rPr>
            </w:pPr>
            <w:r>
              <w:rPr>
                <w:szCs w:val="21"/>
              </w:rPr>
              <w:t xml:space="preserve">B相电压(计量/测量)</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7</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w:t>
            </w:r>
            <w:r>
              <w:rPr>
                <w:szCs w:val="21"/>
              </w:rPr>
              <w:t xml:space="preserve">c</w:t>
            </w:r>
            <w:r>
              <w:rPr>
                <w:szCs w:val="21"/>
              </w:rPr>
            </w:r>
            <w:r/>
          </w:p>
        </w:tc>
        <w:tc>
          <w:tcPr>
            <w:tcW w:w="2552" w:type="dxa"/>
            <w:vAlign w:val="center"/>
            <w:textDirection w:val="lrTb"/>
            <w:noWrap w:val="false"/>
          </w:tcPr>
          <w:p>
            <w:pPr>
              <w:pStyle w:val="1151"/>
              <w:jc w:val="center"/>
              <w:widowControl/>
              <w:rPr>
                <w:szCs w:val="21"/>
              </w:rPr>
            </w:pPr>
            <w:r>
              <w:rPr>
                <w:szCs w:val="21"/>
              </w:rPr>
              <w:t xml:space="preserve">C相电压(计量/测量)</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8</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w:t>
            </w:r>
            <w:r>
              <w:rPr>
                <w:szCs w:val="21"/>
              </w:rPr>
              <w:t xml:space="preserve">n</w:t>
            </w:r>
            <w:r>
              <w:rPr>
                <w:szCs w:val="21"/>
              </w:rPr>
            </w:r>
            <w:r/>
          </w:p>
        </w:tc>
        <w:tc>
          <w:tcPr>
            <w:tcW w:w="2552" w:type="dxa"/>
            <w:vAlign w:val="center"/>
            <w:textDirection w:val="lrTb"/>
            <w:noWrap w:val="false"/>
          </w:tcPr>
          <w:p>
            <w:pPr>
              <w:pStyle w:val="1151"/>
              <w:jc w:val="center"/>
              <w:widowControl/>
              <w:rPr>
                <w:szCs w:val="21"/>
              </w:rPr>
            </w:pPr>
            <w:r>
              <w:rPr>
                <w:rFonts w:hint="eastAsia"/>
                <w:szCs w:val="21"/>
              </w:rPr>
              <w:t xml:space="preserve">相电压公共端</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9</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52" w:type="dxa"/>
            <w:vAlign w:val="center"/>
            <w:textDirection w:val="lrTb"/>
            <w:noWrap w:val="false"/>
          </w:tcPr>
          <w:p>
            <w:pPr>
              <w:pStyle w:val="1151"/>
              <w:jc w:val="center"/>
              <w:widowControl/>
              <w:rPr>
                <w:szCs w:val="21"/>
              </w:rPr>
            </w:pPr>
            <w:r>
              <w:rPr>
                <w:rFonts w:hint="eastAsia"/>
                <w:szCs w:val="21"/>
              </w:rPr>
              <w:t xml:space="preserve">/</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10</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552" w:type="dxa"/>
            <w:vAlign w:val="center"/>
            <w:textDirection w:val="lrTb"/>
            <w:noWrap w:val="false"/>
          </w:tcPr>
          <w:p>
            <w:pPr>
              <w:pStyle w:val="1151"/>
              <w:jc w:val="center"/>
              <w:widowControl/>
              <w:rPr>
                <w:szCs w:val="21"/>
              </w:rPr>
            </w:pPr>
            <w:r>
              <w:rPr>
                <w:rFonts w:hint="eastAsia"/>
                <w:szCs w:val="21"/>
              </w:rPr>
              <w:t xml:space="preserve">/</w:t>
            </w:r>
            <w:r>
              <w:rPr>
                <w:szCs w:val="21"/>
              </w:rPr>
            </w:r>
            <w:r/>
          </w:p>
        </w:tc>
      </w:tr>
    </w:tbl>
    <w:p>
      <w:pPr>
        <w:pStyle w:val="1151"/>
        <w:jc w:val="left"/>
        <w:spacing w:line="312" w:lineRule="exact"/>
        <w:rPr>
          <w:rFonts w:ascii="黑体" w:hAnsi="黑体" w:eastAsia="黑体"/>
          <w:szCs w:val="21"/>
        </w:rPr>
        <w:outlineLvl w:val="2"/>
      </w:pPr>
      <w:r>
        <w:rPr>
          <w:rFonts w:ascii="黑体" w:hAnsi="黑体" w:eastAsia="黑体"/>
          <w:szCs w:val="21"/>
        </w:rPr>
        <w:t xml:space="preserve">D.1.9 </w:t>
      </w:r>
      <w:r>
        <w:rPr>
          <w:rFonts w:hint="eastAsia" w:ascii="黑体" w:hAnsi="黑体" w:eastAsia="黑体"/>
          <w:szCs w:val="21"/>
        </w:rPr>
        <w:t xml:space="preserve">PT柜二次模块上行32+1芯矩形连接</w:t>
      </w:r>
      <w:r>
        <w:rPr>
          <w:rFonts w:ascii="黑体" w:hAnsi="黑体" w:eastAsia="黑体"/>
          <w:szCs w:val="21"/>
        </w:rPr>
      </w:r>
      <w:r/>
    </w:p>
    <w:p>
      <w:pPr>
        <w:pStyle w:val="1151"/>
        <w:jc w:val="center"/>
        <w:rPr>
          <w:szCs w:val="21"/>
        </w:rPr>
      </w:pPr>
      <w:r>
        <w:rPr>
          <w:rFonts w:hint="eastAsia"/>
          <w:szCs w:val="21"/>
        </w:rPr>
        <w:t xml:space="preserve">表</w:t>
      </w:r>
      <w:r>
        <w:rPr>
          <w:szCs w:val="21"/>
        </w:rPr>
        <w:t xml:space="preserve">D</w:t>
      </w:r>
      <w:r>
        <w:rPr>
          <w:rFonts w:hint="eastAsia"/>
          <w:szCs w:val="21"/>
        </w:rPr>
        <w:t xml:space="preserve">.</w:t>
      </w:r>
      <w:r>
        <w:rPr>
          <w:szCs w:val="21"/>
        </w:rPr>
        <w:t xml:space="preserve">1</w:t>
      </w:r>
      <w:r>
        <w:rPr>
          <w:rFonts w:hint="eastAsia"/>
          <w:szCs w:val="21"/>
        </w:rPr>
        <w:t xml:space="preserve">-</w:t>
      </w:r>
      <w:r>
        <w:rPr>
          <w:szCs w:val="21"/>
        </w:rPr>
        <w:t xml:space="preserve">9 </w:t>
      </w:r>
      <w:r>
        <w:rPr>
          <w:rFonts w:hint="eastAsia"/>
          <w:szCs w:val="21"/>
        </w:rPr>
        <w:t xml:space="preserve"> PT柜二次模块上行32+1芯矩形连接器引脚定义</w:t>
      </w:r>
      <w:r>
        <w:rPr>
          <w:szCs w:val="21"/>
        </w:rPr>
      </w:r>
      <w:r/>
    </w:p>
    <w:tbl>
      <w:tblPr>
        <w:tblW w:w="51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3"/>
        <w:gridCol w:w="1080"/>
        <w:gridCol w:w="2851"/>
      </w:tblGrid>
      <w:tr>
        <w:trPr/>
        <w:tc>
          <w:tcPr>
            <w:tcW w:w="1183" w:type="dxa"/>
            <w:vAlign w:val="center"/>
            <w:textDirection w:val="lrTb"/>
            <w:noWrap w:val="false"/>
          </w:tcPr>
          <w:p>
            <w:pPr>
              <w:pStyle w:val="1151"/>
              <w:jc w:val="center"/>
              <w:widowControl/>
              <w:rPr>
                <w:szCs w:val="21"/>
              </w:rPr>
            </w:pPr>
            <w:r>
              <w:rPr>
                <w:szCs w:val="21"/>
              </w:rPr>
              <w:t xml:space="preserve">引脚</w:t>
            </w:r>
            <w:r>
              <w:rPr>
                <w:rFonts w:hint="eastAsia"/>
                <w:szCs w:val="21"/>
              </w:rPr>
              <w:t xml:space="preserve">号</w:t>
            </w:r>
            <w:r>
              <w:rPr>
                <w:szCs w:val="21"/>
              </w:rPr>
            </w:r>
            <w:r/>
          </w:p>
        </w:tc>
        <w:tc>
          <w:tcPr>
            <w:tcW w:w="1080" w:type="dxa"/>
            <w:vAlign w:val="center"/>
            <w:textDirection w:val="lrTb"/>
            <w:noWrap w:val="false"/>
          </w:tcPr>
          <w:p>
            <w:pPr>
              <w:pStyle w:val="1151"/>
              <w:jc w:val="center"/>
              <w:widowControl/>
              <w:rPr>
                <w:szCs w:val="21"/>
              </w:rPr>
            </w:pPr>
            <w:r>
              <w:rPr>
                <w:szCs w:val="21"/>
              </w:rPr>
              <w:t xml:space="preserve">标记</w:t>
            </w:r>
            <w:r>
              <w:rPr>
                <w:szCs w:val="21"/>
              </w:rPr>
            </w:r>
            <w:r/>
          </w:p>
        </w:tc>
        <w:tc>
          <w:tcPr>
            <w:tcW w:w="2851" w:type="dxa"/>
            <w:vAlign w:val="center"/>
            <w:textDirection w:val="lrTb"/>
            <w:noWrap w:val="false"/>
          </w:tcPr>
          <w:p>
            <w:pPr>
              <w:pStyle w:val="1151"/>
              <w:jc w:val="center"/>
              <w:widowControl/>
              <w:rPr>
                <w:szCs w:val="21"/>
              </w:rPr>
            </w:pPr>
            <w:r>
              <w:rPr>
                <w:szCs w:val="21"/>
              </w:rPr>
              <w:t xml:space="preserve">标记说明</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rPr>
                <w:szCs w:val="21"/>
              </w:rPr>
            </w:pPr>
            <w:r>
              <w:rPr>
                <w:rFonts w:hint="eastAsia"/>
                <w:szCs w:val="21"/>
              </w:rPr>
              <w:t xml:space="preserve">不使用</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3</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4</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5</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6</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7</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8</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不使用</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9</w:t>
            </w:r>
            <w:r>
              <w:rPr>
                <w:szCs w:val="21"/>
              </w:rPr>
            </w:r>
            <w:r/>
          </w:p>
        </w:tc>
        <w:tc>
          <w:tcPr>
            <w:tcW w:w="1080" w:type="dxa"/>
            <w:vAlign w:val="center"/>
            <w:textDirection w:val="lrTb"/>
            <w:noWrap w:val="false"/>
          </w:tcPr>
          <w:p>
            <w:pPr>
              <w:pStyle w:val="1151"/>
              <w:jc w:val="center"/>
              <w:widowControl/>
              <w:rPr>
                <w:szCs w:val="21"/>
              </w:rPr>
            </w:pPr>
            <w:r>
              <w:rPr>
                <w:szCs w:val="21"/>
              </w:rPr>
              <w:t xml:space="preserve">Ul</w:t>
            </w:r>
            <w:r>
              <w:rPr>
                <w:rFonts w:hint="eastAsia"/>
                <w:szCs w:val="21"/>
              </w:rPr>
              <w:t xml:space="preserve">a</w:t>
            </w:r>
            <w:r>
              <w:rPr>
                <w:szCs w:val="21"/>
              </w:rPr>
            </w:r>
            <w:r/>
          </w:p>
        </w:tc>
        <w:tc>
          <w:tcPr>
            <w:tcW w:w="2851" w:type="dxa"/>
            <w:vAlign w:val="center"/>
            <w:vMerge w:val="restart"/>
            <w:textDirection w:val="lrTb"/>
            <w:noWrap w:val="false"/>
          </w:tcPr>
          <w:p>
            <w:pPr>
              <w:pStyle w:val="1151"/>
              <w:jc w:val="center"/>
              <w:widowControl/>
              <w:rPr>
                <w:szCs w:val="21"/>
              </w:rPr>
            </w:pPr>
            <w:r>
              <w:rPr>
                <w:rFonts w:hint="eastAsia"/>
                <w:szCs w:val="21"/>
              </w:rPr>
              <w:t xml:space="preserve">交流输入电源</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0</w:t>
            </w:r>
            <w:r>
              <w:rPr>
                <w:szCs w:val="21"/>
              </w:rPr>
            </w:r>
            <w:r/>
          </w:p>
        </w:tc>
        <w:tc>
          <w:tcPr>
            <w:tcW w:w="1080" w:type="dxa"/>
            <w:vAlign w:val="center"/>
            <w:textDirection w:val="lrTb"/>
            <w:noWrap w:val="false"/>
          </w:tcPr>
          <w:p>
            <w:pPr>
              <w:pStyle w:val="1151"/>
              <w:jc w:val="center"/>
              <w:widowControl/>
              <w:rPr>
                <w:szCs w:val="21"/>
              </w:rPr>
            </w:pPr>
            <w:r>
              <w:rPr>
                <w:szCs w:val="21"/>
              </w:rPr>
              <w:t xml:space="preserve">Ul</w:t>
            </w:r>
            <w:r>
              <w:rPr>
                <w:rFonts w:hint="eastAsia"/>
                <w:szCs w:val="21"/>
              </w:rPr>
              <w:t xml:space="preserve">b</w:t>
            </w:r>
            <w:r>
              <w:rPr>
                <w:szCs w:val="21"/>
              </w:rPr>
            </w:r>
            <w:r/>
          </w:p>
        </w:tc>
        <w:tc>
          <w:tcPr>
            <w:tcW w:w="2851" w:type="dxa"/>
            <w:vAlign w:val="center"/>
            <w:vMerge w:val="continue"/>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1</w:t>
            </w:r>
            <w:r>
              <w:rPr>
                <w:szCs w:val="21"/>
              </w:rPr>
            </w:r>
            <w:r/>
          </w:p>
        </w:tc>
        <w:tc>
          <w:tcPr>
            <w:tcW w:w="1080" w:type="dxa"/>
            <w:vAlign w:val="center"/>
            <w:textDirection w:val="lrTb"/>
            <w:noWrap w:val="false"/>
          </w:tcPr>
          <w:p>
            <w:pPr>
              <w:pStyle w:val="1151"/>
              <w:jc w:val="center"/>
              <w:widowControl/>
              <w:rPr>
                <w:szCs w:val="21"/>
              </w:rPr>
            </w:pPr>
            <w:r>
              <w:rPr>
                <w:szCs w:val="21"/>
              </w:rPr>
              <w:t xml:space="preserve">Ul</w:t>
            </w:r>
            <w:r>
              <w:rPr>
                <w:rFonts w:hint="eastAsia"/>
                <w:szCs w:val="21"/>
              </w:rPr>
              <w:t xml:space="preserve">c</w:t>
            </w:r>
            <w:r>
              <w:rPr>
                <w:szCs w:val="21"/>
              </w:rPr>
            </w:r>
            <w:r/>
          </w:p>
        </w:tc>
        <w:tc>
          <w:tcPr>
            <w:tcW w:w="2851" w:type="dxa"/>
            <w:vAlign w:val="center"/>
            <w:vMerge w:val="continue"/>
            <w:textDirection w:val="lrTb"/>
            <w:noWrap w:val="false"/>
          </w:tcPr>
          <w:p>
            <w:pPr>
              <w:pStyle w:val="1151"/>
              <w:jc w:val="center"/>
              <w:widowControl/>
              <w:rPr>
                <w:szCs w:val="21"/>
              </w:rPr>
            </w:pP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2</w:t>
            </w:r>
            <w:r>
              <w:rPr>
                <w:szCs w:val="21"/>
              </w:rPr>
            </w:r>
            <w:r/>
          </w:p>
        </w:tc>
        <w:tc>
          <w:tcPr>
            <w:tcW w:w="1080" w:type="dxa"/>
            <w:vAlign w:val="center"/>
            <w:textDirection w:val="lrTb"/>
            <w:noWrap w:val="false"/>
          </w:tcPr>
          <w:p>
            <w:pPr>
              <w:pStyle w:val="1151"/>
              <w:jc w:val="center"/>
              <w:widowControl/>
              <w:rPr>
                <w:szCs w:val="21"/>
              </w:rPr>
            </w:pPr>
            <w:r>
              <w:rPr>
                <w:szCs w:val="21"/>
              </w:rPr>
              <w:t xml:space="preserve">BY</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备用</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3</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U</w:t>
            </w:r>
            <w:r>
              <w:rPr>
                <w:szCs w:val="21"/>
              </w:rPr>
              <w:t xml:space="preserve">a</w:t>
            </w:r>
            <w:r>
              <w:rPr>
                <w:szCs w:val="21"/>
              </w:rPr>
            </w:r>
            <w:r/>
          </w:p>
        </w:tc>
        <w:tc>
          <w:tcPr>
            <w:tcW w:w="2851" w:type="dxa"/>
            <w:vAlign w:val="center"/>
            <w:textDirection w:val="lrTb"/>
            <w:noWrap w:val="false"/>
          </w:tcPr>
          <w:p>
            <w:pPr>
              <w:pStyle w:val="1151"/>
              <w:jc w:val="center"/>
              <w:widowControl/>
              <w:rPr>
                <w:szCs w:val="21"/>
              </w:rPr>
            </w:pPr>
            <w:r>
              <w:rPr>
                <w:szCs w:val="21"/>
              </w:rPr>
              <w:t xml:space="preserve">A 相电压(计量/测量)</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4</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U</w:t>
            </w:r>
            <w:r>
              <w:rPr>
                <w:szCs w:val="21"/>
              </w:rPr>
              <w:t xml:space="preserve">b</w:t>
            </w:r>
            <w:r>
              <w:rPr>
                <w:szCs w:val="21"/>
              </w:rPr>
            </w:r>
            <w:r/>
          </w:p>
        </w:tc>
        <w:tc>
          <w:tcPr>
            <w:tcW w:w="2851" w:type="dxa"/>
            <w:vAlign w:val="center"/>
            <w:textDirection w:val="lrTb"/>
            <w:noWrap w:val="false"/>
          </w:tcPr>
          <w:p>
            <w:pPr>
              <w:pStyle w:val="1151"/>
              <w:jc w:val="center"/>
              <w:widowControl/>
              <w:rPr>
                <w:szCs w:val="21"/>
              </w:rPr>
            </w:pPr>
            <w:r>
              <w:rPr>
                <w:szCs w:val="21"/>
              </w:rPr>
              <w:t xml:space="preserve">B相电压(计量/测量)</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5</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U</w:t>
            </w:r>
            <w:r>
              <w:rPr>
                <w:szCs w:val="21"/>
              </w:rPr>
              <w:t xml:space="preserve">c</w:t>
            </w:r>
            <w:r>
              <w:rPr>
                <w:szCs w:val="21"/>
              </w:rPr>
            </w:r>
            <w:r/>
          </w:p>
        </w:tc>
        <w:tc>
          <w:tcPr>
            <w:tcW w:w="2851" w:type="dxa"/>
            <w:vAlign w:val="center"/>
            <w:textDirection w:val="lrTb"/>
            <w:noWrap w:val="false"/>
          </w:tcPr>
          <w:p>
            <w:pPr>
              <w:pStyle w:val="1151"/>
              <w:jc w:val="center"/>
              <w:widowControl/>
              <w:rPr>
                <w:szCs w:val="21"/>
              </w:rPr>
            </w:pPr>
            <w:r>
              <w:rPr>
                <w:szCs w:val="21"/>
              </w:rPr>
              <w:t xml:space="preserve">C相电压(计量/测量)</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6</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U</w:t>
            </w:r>
            <w:r>
              <w:rPr>
                <w:szCs w:val="21"/>
              </w:rPr>
              <w:t xml:space="preserve">n</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相电压公共端</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7</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U</w:t>
            </w:r>
            <w:r>
              <w:rPr>
                <w:szCs w:val="21"/>
              </w:rPr>
              <w:t xml:space="preserve">0</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零序电压</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8</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U</w:t>
            </w:r>
            <w:r>
              <w:rPr>
                <w:szCs w:val="21"/>
              </w:rPr>
              <w:t xml:space="preserve">0</w:t>
            </w:r>
            <w:r>
              <w:rPr>
                <w:rFonts w:hint="eastAsia"/>
                <w:szCs w:val="21"/>
              </w:rPr>
              <w:t xml:space="preserve">n</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零序电压公共端</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1</w:t>
            </w:r>
            <w:r>
              <w:rPr>
                <w:szCs w:val="21"/>
              </w:rPr>
              <w:t xml:space="preserve">9</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w:t>
            </w:r>
            <w:r>
              <w:rPr>
                <w:szCs w:val="21"/>
              </w:rPr>
            </w:r>
            <w:r/>
          </w:p>
        </w:tc>
      </w:tr>
      <w:tr>
        <w:trPr>
          <w:trHeight w:val="90"/>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t xml:space="preserve">0</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t xml:space="preserve">1</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t xml:space="preserve">2</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t xml:space="preserve">3</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t xml:space="preserve">4</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t xml:space="preserve">5</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w:t>
            </w:r>
            <w:r>
              <w:rPr>
                <w:szCs w:val="21"/>
              </w:rPr>
            </w:r>
            <w:r/>
          </w:p>
        </w:tc>
      </w:tr>
      <w:tr>
        <w:trPr/>
        <w:tc>
          <w:tcPr>
            <w:tcW w:w="1183" w:type="dxa"/>
            <w:vAlign w:val="center"/>
            <w:textDirection w:val="lrTb"/>
            <w:noWrap w:val="false"/>
          </w:tcPr>
          <w:p>
            <w:pPr>
              <w:pStyle w:val="1151"/>
              <w:jc w:val="center"/>
              <w:widowControl/>
              <w:rPr>
                <w:szCs w:val="21"/>
              </w:rPr>
            </w:pPr>
            <w:r>
              <w:rPr>
                <w:rFonts w:hint="eastAsia"/>
                <w:szCs w:val="21"/>
              </w:rPr>
              <w:t xml:space="preserve">2</w:t>
            </w:r>
            <w:r>
              <w:rPr>
                <w:szCs w:val="21"/>
              </w:rPr>
              <w:t xml:space="preserve">6</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w:t>
            </w:r>
            <w:r>
              <w:rPr>
                <w:szCs w:val="21"/>
              </w:rPr>
            </w:r>
            <w:r/>
          </w:p>
        </w:tc>
      </w:tr>
      <w:tr>
        <w:trPr/>
        <w:tc>
          <w:tcPr>
            <w:tcW w:w="1183" w:type="dxa"/>
            <w:vAlign w:val="center"/>
            <w:textDirection w:val="lrTb"/>
            <w:noWrap w:val="false"/>
          </w:tcPr>
          <w:p>
            <w:pPr>
              <w:pStyle w:val="1151"/>
              <w:jc w:val="center"/>
              <w:widowControl/>
              <w:rPr>
                <w:szCs w:val="21"/>
              </w:rPr>
            </w:pPr>
            <w:r>
              <w:rPr>
                <w:szCs w:val="21"/>
              </w:rPr>
              <w:t xml:space="preserve">27</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w:t>
            </w:r>
            <w:r>
              <w:rPr>
                <w:szCs w:val="21"/>
              </w:rPr>
            </w:r>
            <w:r/>
          </w:p>
        </w:tc>
      </w:tr>
      <w:tr>
        <w:trPr/>
        <w:tc>
          <w:tcPr>
            <w:tcW w:w="1183" w:type="dxa"/>
            <w:vAlign w:val="center"/>
            <w:textDirection w:val="lrTb"/>
            <w:noWrap w:val="false"/>
          </w:tcPr>
          <w:p>
            <w:pPr>
              <w:pStyle w:val="1151"/>
              <w:jc w:val="center"/>
              <w:widowControl/>
              <w:rPr>
                <w:szCs w:val="21"/>
              </w:rPr>
            </w:pPr>
            <w:r>
              <w:rPr>
                <w:szCs w:val="21"/>
              </w:rPr>
              <w:t xml:space="preserve">28</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w:t>
            </w:r>
            <w:r>
              <w:rPr>
                <w:szCs w:val="21"/>
              </w:rPr>
            </w:r>
            <w:r/>
          </w:p>
        </w:tc>
      </w:tr>
      <w:tr>
        <w:trPr/>
        <w:tc>
          <w:tcPr>
            <w:tcW w:w="1183" w:type="dxa"/>
            <w:vAlign w:val="center"/>
            <w:textDirection w:val="lrTb"/>
            <w:noWrap w:val="false"/>
          </w:tcPr>
          <w:p>
            <w:pPr>
              <w:pStyle w:val="1151"/>
              <w:jc w:val="center"/>
              <w:widowControl/>
              <w:rPr>
                <w:szCs w:val="21"/>
              </w:rPr>
            </w:pPr>
            <w:r>
              <w:rPr>
                <w:szCs w:val="21"/>
              </w:rPr>
              <w:t xml:space="preserve">29</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w:t>
            </w:r>
            <w:r>
              <w:rPr>
                <w:szCs w:val="21"/>
              </w:rPr>
            </w:r>
            <w:r/>
          </w:p>
        </w:tc>
      </w:tr>
      <w:tr>
        <w:trPr/>
        <w:tc>
          <w:tcPr>
            <w:tcW w:w="1183" w:type="dxa"/>
            <w:vAlign w:val="center"/>
            <w:textDirection w:val="lrTb"/>
            <w:noWrap w:val="false"/>
          </w:tcPr>
          <w:p>
            <w:pPr>
              <w:pStyle w:val="1151"/>
              <w:jc w:val="center"/>
              <w:widowControl/>
              <w:rPr>
                <w:szCs w:val="21"/>
              </w:rPr>
            </w:pPr>
            <w:r>
              <w:rPr>
                <w:szCs w:val="21"/>
              </w:rPr>
              <w:t xml:space="preserve">30</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w:t>
            </w:r>
            <w:r>
              <w:rPr>
                <w:szCs w:val="21"/>
              </w:rPr>
            </w:r>
            <w:r/>
          </w:p>
        </w:tc>
      </w:tr>
      <w:tr>
        <w:trPr/>
        <w:tc>
          <w:tcPr>
            <w:tcW w:w="1183" w:type="dxa"/>
            <w:vAlign w:val="center"/>
            <w:textDirection w:val="lrTb"/>
            <w:noWrap w:val="false"/>
          </w:tcPr>
          <w:p>
            <w:pPr>
              <w:pStyle w:val="1151"/>
              <w:jc w:val="center"/>
              <w:widowControl/>
              <w:rPr>
                <w:szCs w:val="21"/>
              </w:rPr>
            </w:pPr>
            <w:r>
              <w:rPr>
                <w:szCs w:val="21"/>
              </w:rPr>
              <w:t xml:space="preserve">31</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w:t>
            </w:r>
            <w:r>
              <w:rPr>
                <w:szCs w:val="21"/>
              </w:rPr>
            </w:r>
            <w:r/>
          </w:p>
        </w:tc>
      </w:tr>
      <w:tr>
        <w:trPr/>
        <w:tc>
          <w:tcPr>
            <w:tcW w:w="1183" w:type="dxa"/>
            <w:vAlign w:val="center"/>
            <w:textDirection w:val="lrTb"/>
            <w:noWrap w:val="false"/>
          </w:tcPr>
          <w:p>
            <w:pPr>
              <w:pStyle w:val="1151"/>
              <w:jc w:val="center"/>
              <w:widowControl/>
              <w:rPr>
                <w:szCs w:val="21"/>
              </w:rPr>
            </w:pPr>
            <w:r>
              <w:rPr>
                <w:szCs w:val="21"/>
              </w:rPr>
              <w:t xml:space="preserve">32</w:t>
            </w:r>
            <w:r>
              <w:rPr>
                <w:szCs w:val="21"/>
              </w:rPr>
            </w:r>
            <w:r/>
          </w:p>
        </w:tc>
        <w:tc>
          <w:tcPr>
            <w:tcW w:w="1080" w:type="dxa"/>
            <w:vAlign w:val="center"/>
            <w:textDirection w:val="lrTb"/>
            <w:noWrap w:val="false"/>
          </w:tcPr>
          <w:p>
            <w:pPr>
              <w:pStyle w:val="1151"/>
              <w:jc w:val="center"/>
              <w:widowControl/>
              <w:rPr>
                <w:szCs w:val="21"/>
              </w:rPr>
            </w:pPr>
            <w:r>
              <w:rPr>
                <w:rFonts w:hint="eastAsia"/>
                <w:szCs w:val="21"/>
              </w:rPr>
              <w:t xml:space="preserve">/</w:t>
            </w:r>
            <w:r>
              <w:rPr>
                <w:szCs w:val="21"/>
              </w:rPr>
            </w:r>
            <w:r/>
          </w:p>
        </w:tc>
        <w:tc>
          <w:tcPr>
            <w:tcW w:w="2851" w:type="dxa"/>
            <w:vAlign w:val="center"/>
            <w:textDirection w:val="lrTb"/>
            <w:noWrap w:val="false"/>
          </w:tcPr>
          <w:p>
            <w:pPr>
              <w:pStyle w:val="1151"/>
              <w:jc w:val="center"/>
              <w:widowControl/>
              <w:rPr>
                <w:szCs w:val="21"/>
              </w:rPr>
            </w:pPr>
            <w:r>
              <w:rPr>
                <w:rFonts w:hint="eastAsia"/>
                <w:szCs w:val="21"/>
              </w:rPr>
              <w:t xml:space="preserve">/</w:t>
            </w:r>
            <w:r>
              <w:rPr>
                <w:szCs w:val="21"/>
              </w:rPr>
            </w:r>
            <w:r/>
          </w:p>
        </w:tc>
      </w:tr>
    </w:tbl>
    <w:p>
      <w:pPr>
        <w:pStyle w:val="1151"/>
        <w:jc w:val="left"/>
        <w:spacing w:line="312" w:lineRule="exact"/>
        <w:rPr>
          <w:rFonts w:ascii="黑体" w:hAnsi="黑体" w:eastAsia="黑体"/>
          <w:szCs w:val="21"/>
        </w:rPr>
        <w:outlineLvl w:val="2"/>
      </w:pPr>
      <w:r>
        <w:rPr>
          <w:rFonts w:ascii="黑体" w:hAnsi="黑体" w:eastAsia="黑体"/>
          <w:szCs w:val="21"/>
        </w:rPr>
        <w:t xml:space="preserve">D</w:t>
      </w:r>
      <w:r>
        <w:rPr>
          <w:rFonts w:hint="eastAsia" w:ascii="黑体" w:hAnsi="黑体" w:eastAsia="黑体"/>
          <w:szCs w:val="21"/>
        </w:rPr>
        <w:t xml:space="preserve">.1.</w:t>
      </w:r>
      <w:r>
        <w:rPr>
          <w:rFonts w:ascii="黑体" w:hAnsi="黑体" w:eastAsia="黑体"/>
          <w:szCs w:val="21"/>
        </w:rPr>
        <w:t xml:space="preserve">10</w:t>
      </w:r>
      <w:r>
        <w:rPr>
          <w:rFonts w:hint="eastAsia" w:ascii="黑体" w:hAnsi="黑体" w:eastAsia="黑体"/>
          <w:szCs w:val="21"/>
        </w:rPr>
        <w:t xml:space="preserve">间隔操作模块16芯连接器</w:t>
      </w:r>
      <w:r>
        <w:rPr>
          <w:rFonts w:ascii="黑体" w:hAnsi="黑体" w:eastAsia="黑体"/>
          <w:szCs w:val="21"/>
        </w:rPr>
      </w:r>
      <w:r/>
    </w:p>
    <w:p>
      <w:pPr>
        <w:pStyle w:val="1151"/>
        <w:jc w:val="center"/>
        <w:widowControl/>
        <w:rPr>
          <w:rFonts w:ascii="Calibri" w:hAnsi="Calibri"/>
          <w:szCs w:val="21"/>
        </w:rPr>
      </w:pPr>
      <w:r>
        <w:rPr>
          <w:rFonts w:hint="eastAsia"/>
          <w:szCs w:val="21"/>
        </w:rPr>
        <w:t xml:space="preserve">表</w:t>
      </w:r>
      <w:r>
        <w:rPr>
          <w:szCs w:val="21"/>
        </w:rPr>
        <w:t xml:space="preserve">D</w:t>
      </w:r>
      <w:r>
        <w:rPr>
          <w:rFonts w:hint="eastAsia"/>
          <w:szCs w:val="21"/>
        </w:rPr>
        <w:t xml:space="preserve">.</w:t>
      </w:r>
      <w:r>
        <w:rPr>
          <w:szCs w:val="21"/>
        </w:rPr>
        <w:t xml:space="preserve">1</w:t>
      </w:r>
      <w:r>
        <w:rPr>
          <w:rFonts w:hint="eastAsia"/>
          <w:szCs w:val="21"/>
        </w:rPr>
        <w:t xml:space="preserve">-</w:t>
      </w:r>
      <w:r>
        <w:rPr>
          <w:szCs w:val="21"/>
        </w:rPr>
        <w:t xml:space="preserve">10</w:t>
      </w:r>
      <w:r>
        <w:rPr>
          <w:rFonts w:hint="eastAsia" w:ascii="Calibri" w:hAnsi="Calibri"/>
          <w:szCs w:val="21"/>
        </w:rPr>
        <w:t xml:space="preserve">间隔操作</w:t>
      </w:r>
      <w:r>
        <w:rPr>
          <w:rFonts w:ascii="Calibri" w:hAnsi="Calibri"/>
          <w:szCs w:val="21"/>
        </w:rPr>
        <w:t xml:space="preserve">模块</w:t>
      </w:r>
      <w:r>
        <w:rPr>
          <w:rFonts w:hint="eastAsia" w:ascii="Calibri" w:hAnsi="Calibri"/>
          <w:szCs w:val="21"/>
        </w:rPr>
        <w:t xml:space="preserve">16芯连接器引脚定义</w:t>
      </w:r>
      <w:r>
        <w:rPr>
          <w:rFonts w:ascii="Calibri" w:hAnsi="Calibri"/>
          <w:szCs w:val="21"/>
        </w:rPr>
      </w:r>
      <w:r/>
    </w:p>
    <w:tbl>
      <w:tblPr>
        <w:tblW w:w="69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1097"/>
        <w:gridCol w:w="2251"/>
        <w:gridCol w:w="1770"/>
        <w:gridCol w:w="825"/>
      </w:tblGrid>
      <w:tr>
        <w:trPr/>
        <w:tc>
          <w:tcPr>
            <w:tcW w:w="968"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引脚号</w:t>
            </w:r>
            <w:r>
              <w:rPr>
                <w:rFonts w:ascii="Calibri" w:hAnsi="Calibri"/>
                <w:szCs w:val="21"/>
              </w:rPr>
            </w:r>
            <w:r/>
          </w:p>
        </w:tc>
        <w:tc>
          <w:tcPr>
            <w:tcW w:w="1097"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标记</w:t>
            </w:r>
            <w:r>
              <w:rPr>
                <w:rFonts w:ascii="Calibri" w:hAnsi="Calibri"/>
                <w:szCs w:val="21"/>
              </w:rPr>
            </w:r>
            <w:r/>
          </w:p>
        </w:tc>
        <w:tc>
          <w:tcPr>
            <w:tcW w:w="2251"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标记说明</w:t>
            </w:r>
            <w:r>
              <w:rPr>
                <w:rFonts w:ascii="Calibri" w:hAnsi="Calibri"/>
                <w:szCs w:val="21"/>
              </w:rPr>
            </w:r>
            <w:r/>
          </w:p>
        </w:tc>
        <w:tc>
          <w:tcPr>
            <w:tcW w:w="1770"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电缆规格</w:t>
            </w:r>
            <w:r>
              <w:rPr>
                <w:rFonts w:ascii="Calibri" w:hAnsi="Calibri"/>
                <w:szCs w:val="21"/>
              </w:rPr>
            </w:r>
            <w:r/>
          </w:p>
        </w:tc>
        <w:tc>
          <w:tcPr>
            <w:tcW w:w="8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备注</w:t>
            </w:r>
            <w:r>
              <w:rPr>
                <w:rFonts w:ascii="Calibri" w:hAnsi="Calibri"/>
                <w:szCs w:val="21"/>
              </w:rPr>
            </w:r>
            <w:r/>
          </w:p>
        </w:tc>
      </w:tr>
      <w:tr>
        <w:trPr/>
        <w:tc>
          <w:tcPr>
            <w:tcW w:w="968" w:type="dxa"/>
            <w:vAlign w:val="center"/>
            <w:textDirection w:val="lrTb"/>
            <w:noWrap w:val="false"/>
          </w:tcPr>
          <w:p>
            <w:pPr>
              <w:pStyle w:val="1151"/>
              <w:ind w:firstLine="420"/>
              <w:widowControl/>
              <w:rPr>
                <w:rFonts w:ascii="Calibri" w:hAnsi="Calibri"/>
                <w:szCs w:val="21"/>
              </w:rPr>
            </w:pPr>
            <w:r>
              <w:rPr>
                <w:rFonts w:ascii="Calibri" w:hAnsi="Calibri"/>
                <w:szCs w:val="21"/>
              </w:rPr>
              <w:t xml:space="preserve">1</w:t>
            </w:r>
            <w:r>
              <w:rPr>
                <w:rFonts w:ascii="Calibri" w:hAnsi="Calibri"/>
                <w:szCs w:val="21"/>
              </w:rPr>
            </w:r>
            <w:r/>
          </w:p>
        </w:tc>
        <w:tc>
          <w:tcPr>
            <w:tcW w:w="1097" w:type="dxa"/>
            <w:vAlign w:val="center"/>
            <w:textDirection w:val="lrTb"/>
            <w:noWrap w:val="false"/>
          </w:tcPr>
          <w:p>
            <w:pPr>
              <w:pStyle w:val="1151"/>
              <w:jc w:val="center"/>
              <w:widowControl/>
              <w:rPr>
                <w:rFonts w:ascii="Calibri" w:hAnsi="Calibri"/>
                <w:szCs w:val="21"/>
              </w:rPr>
            </w:pPr>
            <w:r>
              <w:rPr>
                <w:rFonts w:ascii="Calibri" w:hAnsi="Calibri"/>
                <w:szCs w:val="21"/>
              </w:rPr>
              <w:t xml:space="preserve">Ycom</w:t>
            </w:r>
            <w:r>
              <w:rPr>
                <w:rFonts w:ascii="Calibri" w:hAnsi="Calibri"/>
                <w:szCs w:val="21"/>
              </w:rPr>
            </w:r>
            <w:r/>
          </w:p>
        </w:tc>
        <w:tc>
          <w:tcPr>
            <w:tcW w:w="2251" w:type="dxa"/>
            <w:vAlign w:val="center"/>
            <w:textDirection w:val="lrTb"/>
            <w:noWrap w:val="false"/>
          </w:tcPr>
          <w:p>
            <w:pPr>
              <w:pStyle w:val="1151"/>
              <w:jc w:val="center"/>
              <w:widowControl/>
              <w:rPr>
                <w:rFonts w:ascii="Calibri" w:hAnsi="Calibri"/>
                <w:szCs w:val="21"/>
              </w:rPr>
            </w:pPr>
            <w:r>
              <w:rPr>
                <w:rFonts w:ascii="Calibri" w:hAnsi="Calibri"/>
                <w:szCs w:val="21"/>
              </w:rPr>
              <w:t xml:space="preserve">正极公共端</w:t>
            </w:r>
            <w:r>
              <w:rPr>
                <w:rFonts w:ascii="Calibri" w:hAnsi="Calibri"/>
                <w:szCs w:val="21"/>
              </w:rPr>
            </w:r>
            <w:r/>
          </w:p>
        </w:tc>
        <w:tc>
          <w:tcPr>
            <w:tcW w:w="1770"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82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68" w:type="dxa"/>
            <w:vAlign w:val="center"/>
            <w:textDirection w:val="lrTb"/>
            <w:noWrap w:val="false"/>
          </w:tcPr>
          <w:p>
            <w:pPr>
              <w:pStyle w:val="1151"/>
              <w:ind w:firstLine="420"/>
              <w:widowControl/>
              <w:rPr>
                <w:rFonts w:ascii="Calibri" w:hAnsi="Calibri"/>
                <w:szCs w:val="21"/>
              </w:rPr>
            </w:pPr>
            <w:r>
              <w:rPr>
                <w:rFonts w:ascii="Calibri" w:hAnsi="Calibri"/>
                <w:szCs w:val="21"/>
              </w:rPr>
              <w:t xml:space="preserve">2</w:t>
            </w:r>
            <w:r>
              <w:rPr>
                <w:rFonts w:ascii="Calibri" w:hAnsi="Calibri"/>
                <w:szCs w:val="21"/>
              </w:rPr>
            </w:r>
            <w:r/>
          </w:p>
        </w:tc>
        <w:tc>
          <w:tcPr>
            <w:tcW w:w="1097" w:type="dxa"/>
            <w:vAlign w:val="center"/>
            <w:textDirection w:val="lrTb"/>
            <w:noWrap w:val="false"/>
          </w:tcPr>
          <w:p>
            <w:pPr>
              <w:pStyle w:val="1151"/>
              <w:jc w:val="center"/>
              <w:widowControl/>
              <w:rPr>
                <w:rFonts w:ascii="Calibri" w:hAnsi="Calibri"/>
                <w:szCs w:val="21"/>
              </w:rPr>
            </w:pPr>
            <w:r>
              <w:rPr>
                <w:rFonts w:ascii="Calibri" w:hAnsi="Calibri"/>
                <w:szCs w:val="21"/>
              </w:rPr>
              <w:t xml:space="preserve">YSA3</w:t>
            </w:r>
            <w:r>
              <w:rPr>
                <w:rFonts w:ascii="Calibri" w:hAnsi="Calibri"/>
                <w:szCs w:val="21"/>
              </w:rPr>
            </w:r>
            <w:r/>
          </w:p>
        </w:tc>
        <w:tc>
          <w:tcPr>
            <w:tcW w:w="2251"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远方</w:t>
            </w:r>
            <w:r>
              <w:rPr>
                <w:rFonts w:ascii="Calibri" w:hAnsi="Calibri"/>
                <w:szCs w:val="21"/>
              </w:rPr>
              <w:t xml:space="preserve">操作</w:t>
            </w:r>
            <w:r>
              <w:rPr>
                <w:rFonts w:ascii="Calibri" w:hAnsi="Calibri"/>
                <w:szCs w:val="21"/>
              </w:rPr>
            </w:r>
            <w:r/>
          </w:p>
        </w:tc>
        <w:tc>
          <w:tcPr>
            <w:tcW w:w="1770" w:type="dxa"/>
            <w:vAlign w:val="center"/>
            <w:textDirection w:val="lrTb"/>
            <w:noWrap w:val="false"/>
          </w:tcPr>
          <w:p>
            <w:pPr>
              <w:pStyle w:val="1151"/>
              <w:jc w:val="center"/>
              <w:widowControl/>
              <w:rPr>
                <w:rFonts w:ascii="Calibri" w:hAnsi="Calibri"/>
                <w:szCs w:val="21"/>
              </w:rPr>
            </w:pPr>
            <w:r>
              <w:rPr>
                <w:rFonts w:ascii="Calibri" w:hAnsi="Calibri"/>
                <w:szCs w:val="21"/>
              </w:rPr>
            </w:r>
            <w:r/>
          </w:p>
        </w:tc>
        <w:tc>
          <w:tcPr>
            <w:tcW w:w="82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68" w:type="dxa"/>
            <w:vAlign w:val="center"/>
            <w:textDirection w:val="lrTb"/>
            <w:noWrap w:val="false"/>
          </w:tcPr>
          <w:p>
            <w:pPr>
              <w:pStyle w:val="1151"/>
              <w:ind w:firstLine="420"/>
              <w:widowControl/>
              <w:rPr>
                <w:rFonts w:ascii="Calibri" w:hAnsi="Calibri"/>
                <w:szCs w:val="21"/>
              </w:rPr>
            </w:pPr>
            <w:r>
              <w:rPr>
                <w:rFonts w:ascii="Calibri" w:hAnsi="Calibri"/>
                <w:szCs w:val="21"/>
              </w:rPr>
              <w:t xml:space="preserve">3</w:t>
            </w:r>
            <w:r>
              <w:rPr>
                <w:rFonts w:ascii="Calibri" w:hAnsi="Calibri"/>
                <w:szCs w:val="21"/>
              </w:rPr>
            </w:r>
            <w:r/>
          </w:p>
        </w:tc>
        <w:tc>
          <w:tcPr>
            <w:tcW w:w="1097" w:type="dxa"/>
            <w:vAlign w:val="center"/>
            <w:textDirection w:val="lrTb"/>
            <w:noWrap w:val="false"/>
          </w:tcPr>
          <w:p>
            <w:pPr>
              <w:pStyle w:val="1151"/>
              <w:jc w:val="center"/>
              <w:widowControl/>
              <w:rPr>
                <w:rFonts w:ascii="Calibri" w:hAnsi="Calibri"/>
                <w:szCs w:val="21"/>
              </w:rPr>
            </w:pPr>
            <w:r>
              <w:rPr>
                <w:rFonts w:ascii="Calibri" w:hAnsi="Calibri"/>
                <w:szCs w:val="21"/>
              </w:rPr>
              <w:t xml:space="preserve">SHCZ</w:t>
            </w:r>
            <w:r>
              <w:rPr>
                <w:rFonts w:ascii="Calibri" w:hAnsi="Calibri"/>
                <w:szCs w:val="21"/>
              </w:rPr>
            </w:r>
            <w:r/>
          </w:p>
        </w:tc>
        <w:tc>
          <w:tcPr>
            <w:tcW w:w="2251" w:type="dxa"/>
            <w:vAlign w:val="center"/>
            <w:textDirection w:val="lrTb"/>
            <w:noWrap w:val="false"/>
          </w:tcPr>
          <w:p>
            <w:pPr>
              <w:pStyle w:val="1151"/>
              <w:jc w:val="center"/>
              <w:widowControl/>
              <w:rPr>
                <w:rFonts w:ascii="Calibri" w:hAnsi="Calibri"/>
                <w:szCs w:val="21"/>
              </w:rPr>
            </w:pPr>
            <w:r>
              <w:rPr>
                <w:rFonts w:ascii="Calibri" w:hAnsi="Calibri"/>
                <w:szCs w:val="21"/>
              </w:rPr>
              <w:t xml:space="preserve">手动合闸操作</w:t>
            </w:r>
            <w:r>
              <w:rPr>
                <w:rFonts w:ascii="Calibri" w:hAnsi="Calibri"/>
                <w:szCs w:val="21"/>
              </w:rPr>
            </w:r>
            <w:r/>
          </w:p>
        </w:tc>
        <w:tc>
          <w:tcPr>
            <w:tcW w:w="1770"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82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68" w:type="dxa"/>
            <w:vAlign w:val="center"/>
            <w:textDirection w:val="lrTb"/>
            <w:noWrap w:val="false"/>
          </w:tcPr>
          <w:p>
            <w:pPr>
              <w:pStyle w:val="1151"/>
              <w:ind w:firstLine="420"/>
              <w:widowControl/>
              <w:rPr>
                <w:rFonts w:ascii="Calibri" w:hAnsi="Calibri"/>
                <w:szCs w:val="21"/>
              </w:rPr>
            </w:pPr>
            <w:r>
              <w:rPr>
                <w:rFonts w:ascii="Calibri" w:hAnsi="Calibri"/>
                <w:szCs w:val="21"/>
              </w:rPr>
              <w:t xml:space="preserve">4</w:t>
            </w:r>
            <w:r>
              <w:rPr>
                <w:rFonts w:ascii="Calibri" w:hAnsi="Calibri"/>
                <w:szCs w:val="21"/>
              </w:rPr>
            </w:r>
            <w:r/>
          </w:p>
        </w:tc>
        <w:tc>
          <w:tcPr>
            <w:tcW w:w="1097" w:type="dxa"/>
            <w:vAlign w:val="center"/>
            <w:textDirection w:val="lrTb"/>
            <w:noWrap w:val="false"/>
          </w:tcPr>
          <w:p>
            <w:pPr>
              <w:pStyle w:val="1151"/>
              <w:jc w:val="center"/>
              <w:widowControl/>
              <w:rPr>
                <w:rFonts w:ascii="Calibri" w:hAnsi="Calibri"/>
                <w:szCs w:val="21"/>
              </w:rPr>
            </w:pPr>
            <w:r>
              <w:rPr>
                <w:rFonts w:ascii="Calibri" w:hAnsi="Calibri"/>
                <w:szCs w:val="21"/>
              </w:rPr>
              <w:t xml:space="preserve">SFCZ</w:t>
            </w:r>
            <w:r>
              <w:rPr>
                <w:rFonts w:ascii="Calibri" w:hAnsi="Calibri"/>
                <w:szCs w:val="21"/>
              </w:rPr>
            </w:r>
            <w:r/>
          </w:p>
        </w:tc>
        <w:tc>
          <w:tcPr>
            <w:tcW w:w="2251" w:type="dxa"/>
            <w:vAlign w:val="center"/>
            <w:textDirection w:val="lrTb"/>
            <w:noWrap w:val="false"/>
          </w:tcPr>
          <w:p>
            <w:pPr>
              <w:pStyle w:val="1151"/>
              <w:jc w:val="center"/>
              <w:widowControl/>
              <w:rPr>
                <w:rFonts w:ascii="Calibri" w:hAnsi="Calibri"/>
                <w:szCs w:val="21"/>
              </w:rPr>
            </w:pPr>
            <w:r>
              <w:rPr>
                <w:rFonts w:ascii="Calibri" w:hAnsi="Calibri"/>
                <w:szCs w:val="21"/>
              </w:rPr>
              <w:t xml:space="preserve">手动</w:t>
            </w:r>
            <w:r>
              <w:rPr>
                <w:rFonts w:hint="eastAsia" w:ascii="Calibri" w:hAnsi="Calibri"/>
                <w:szCs w:val="21"/>
              </w:rPr>
              <w:t xml:space="preserve">分</w:t>
            </w:r>
            <w:r>
              <w:rPr>
                <w:rFonts w:ascii="Calibri" w:hAnsi="Calibri"/>
                <w:szCs w:val="21"/>
              </w:rPr>
              <w:t xml:space="preserve">闸操作</w:t>
            </w:r>
            <w:r>
              <w:rPr>
                <w:rFonts w:ascii="Calibri" w:hAnsi="Calibri"/>
                <w:szCs w:val="21"/>
              </w:rPr>
            </w:r>
            <w:r/>
          </w:p>
        </w:tc>
        <w:tc>
          <w:tcPr>
            <w:tcW w:w="1770"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82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68" w:type="dxa"/>
            <w:vAlign w:val="center"/>
            <w:textDirection w:val="lrTb"/>
            <w:noWrap w:val="false"/>
          </w:tcPr>
          <w:p>
            <w:pPr>
              <w:pStyle w:val="1151"/>
              <w:ind w:firstLine="420"/>
              <w:widowControl/>
              <w:rPr>
                <w:rFonts w:ascii="Calibri" w:hAnsi="Calibri"/>
                <w:szCs w:val="21"/>
              </w:rPr>
            </w:pPr>
            <w:r>
              <w:rPr>
                <w:rFonts w:ascii="Calibri" w:hAnsi="Calibri"/>
                <w:szCs w:val="21"/>
              </w:rPr>
              <w:t xml:space="preserve">5</w:t>
            </w:r>
            <w:r>
              <w:rPr>
                <w:rFonts w:ascii="Calibri" w:hAnsi="Calibri"/>
                <w:szCs w:val="21"/>
              </w:rPr>
            </w:r>
            <w:r/>
          </w:p>
        </w:tc>
        <w:tc>
          <w:tcPr>
            <w:tcW w:w="1097" w:type="dxa"/>
            <w:vAlign w:val="center"/>
            <w:textDirection w:val="lrTb"/>
            <w:noWrap w:val="false"/>
          </w:tcPr>
          <w:p>
            <w:pPr>
              <w:pStyle w:val="1151"/>
              <w:jc w:val="center"/>
              <w:widowControl/>
              <w:rPr>
                <w:rFonts w:ascii="Calibri" w:hAnsi="Calibri"/>
                <w:szCs w:val="21"/>
              </w:rPr>
            </w:pPr>
            <w:r>
              <w:rPr>
                <w:rFonts w:ascii="Calibri" w:hAnsi="Calibri"/>
                <w:szCs w:val="21"/>
              </w:rPr>
              <w:t xml:space="preserve">FD</w:t>
            </w:r>
            <w:r>
              <w:rPr>
                <w:rFonts w:ascii="Calibri" w:hAnsi="Calibri"/>
                <w:szCs w:val="21"/>
              </w:rPr>
            </w:r>
            <w:r/>
          </w:p>
        </w:tc>
        <w:tc>
          <w:tcPr>
            <w:tcW w:w="2251" w:type="dxa"/>
            <w:vAlign w:val="center"/>
            <w:textDirection w:val="lrTb"/>
            <w:noWrap w:val="false"/>
          </w:tcPr>
          <w:p>
            <w:pPr>
              <w:pStyle w:val="1151"/>
              <w:jc w:val="center"/>
              <w:widowControl/>
              <w:rPr>
                <w:rFonts w:ascii="Calibri" w:hAnsi="Calibri"/>
                <w:szCs w:val="21"/>
              </w:rPr>
            </w:pPr>
            <w:r>
              <w:rPr>
                <w:rFonts w:ascii="Calibri" w:hAnsi="Calibri"/>
                <w:szCs w:val="21"/>
              </w:rPr>
              <w:t xml:space="preserve">分闸指示灯</w:t>
            </w:r>
            <w:r>
              <w:rPr>
                <w:rFonts w:ascii="Calibri" w:hAnsi="Calibri"/>
                <w:szCs w:val="21"/>
              </w:rPr>
            </w:r>
            <w:r/>
          </w:p>
        </w:tc>
        <w:tc>
          <w:tcPr>
            <w:tcW w:w="1770"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82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rHeight w:val="207"/>
        </w:trPr>
        <w:tc>
          <w:tcPr>
            <w:tcW w:w="968" w:type="dxa"/>
            <w:vAlign w:val="center"/>
            <w:textDirection w:val="lrTb"/>
            <w:noWrap w:val="false"/>
          </w:tcPr>
          <w:p>
            <w:pPr>
              <w:pStyle w:val="1151"/>
              <w:ind w:firstLine="420"/>
              <w:widowControl/>
              <w:rPr>
                <w:rFonts w:ascii="Calibri" w:hAnsi="Calibri"/>
                <w:szCs w:val="21"/>
              </w:rPr>
            </w:pPr>
            <w:r>
              <w:rPr>
                <w:rFonts w:ascii="Calibri" w:hAnsi="Calibri"/>
                <w:szCs w:val="21"/>
              </w:rPr>
              <w:t xml:space="preserve">6</w:t>
            </w:r>
            <w:r>
              <w:rPr>
                <w:rFonts w:ascii="Calibri" w:hAnsi="Calibri"/>
                <w:szCs w:val="21"/>
              </w:rPr>
            </w:r>
            <w:r/>
          </w:p>
        </w:tc>
        <w:tc>
          <w:tcPr>
            <w:tcW w:w="1097" w:type="dxa"/>
            <w:vAlign w:val="center"/>
            <w:textDirection w:val="lrTb"/>
            <w:noWrap w:val="false"/>
          </w:tcPr>
          <w:p>
            <w:pPr>
              <w:pStyle w:val="1151"/>
              <w:jc w:val="center"/>
              <w:widowControl/>
              <w:rPr>
                <w:rFonts w:ascii="Calibri" w:hAnsi="Calibri"/>
                <w:szCs w:val="21"/>
              </w:rPr>
            </w:pPr>
            <w:r>
              <w:rPr>
                <w:rFonts w:ascii="Calibri" w:hAnsi="Calibri"/>
                <w:szCs w:val="21"/>
              </w:rPr>
              <w:t xml:space="preserve">HD</w:t>
            </w:r>
            <w:r>
              <w:rPr>
                <w:rFonts w:ascii="Calibri" w:hAnsi="Calibri"/>
                <w:szCs w:val="21"/>
              </w:rPr>
            </w:r>
            <w:r/>
          </w:p>
        </w:tc>
        <w:tc>
          <w:tcPr>
            <w:tcW w:w="2251" w:type="dxa"/>
            <w:vAlign w:val="center"/>
            <w:textDirection w:val="lrTb"/>
            <w:noWrap w:val="false"/>
          </w:tcPr>
          <w:p>
            <w:pPr>
              <w:pStyle w:val="1151"/>
              <w:jc w:val="center"/>
              <w:widowControl/>
              <w:rPr>
                <w:rFonts w:ascii="Calibri" w:hAnsi="Calibri"/>
                <w:szCs w:val="21"/>
              </w:rPr>
            </w:pPr>
            <w:r>
              <w:rPr>
                <w:rFonts w:ascii="Calibri" w:hAnsi="Calibri"/>
                <w:szCs w:val="21"/>
              </w:rPr>
              <w:t xml:space="preserve">合闸指示灯</w:t>
            </w:r>
            <w:r>
              <w:rPr>
                <w:rFonts w:ascii="Calibri" w:hAnsi="Calibri"/>
                <w:szCs w:val="21"/>
              </w:rPr>
            </w:r>
            <w:r/>
          </w:p>
        </w:tc>
        <w:tc>
          <w:tcPr>
            <w:tcW w:w="1770"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82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68" w:type="dxa"/>
            <w:vAlign w:val="center"/>
            <w:textDirection w:val="lrTb"/>
            <w:noWrap w:val="false"/>
          </w:tcPr>
          <w:p>
            <w:pPr>
              <w:pStyle w:val="1151"/>
              <w:ind w:firstLine="420"/>
              <w:widowControl/>
              <w:rPr>
                <w:rFonts w:ascii="Calibri" w:hAnsi="Calibri"/>
                <w:szCs w:val="21"/>
              </w:rPr>
            </w:pPr>
            <w:r>
              <w:rPr>
                <w:rFonts w:ascii="Calibri" w:hAnsi="Calibri"/>
                <w:szCs w:val="21"/>
              </w:rPr>
              <w:t xml:space="preserve">7</w:t>
            </w:r>
            <w:r>
              <w:rPr>
                <w:rFonts w:ascii="Calibri" w:hAnsi="Calibri"/>
                <w:szCs w:val="21"/>
              </w:rPr>
            </w:r>
            <w:r/>
          </w:p>
        </w:tc>
        <w:tc>
          <w:tcPr>
            <w:tcW w:w="1097" w:type="dxa"/>
            <w:vAlign w:val="center"/>
            <w:textDirection w:val="lrTb"/>
            <w:noWrap w:val="false"/>
          </w:tcPr>
          <w:p>
            <w:pPr>
              <w:pStyle w:val="1151"/>
              <w:jc w:val="center"/>
              <w:widowControl/>
              <w:rPr>
                <w:rFonts w:ascii="Calibri" w:hAnsi="Calibri"/>
                <w:szCs w:val="21"/>
              </w:rPr>
            </w:pPr>
            <w:r>
              <w:rPr>
                <w:rFonts w:ascii="Calibri" w:hAnsi="Calibri"/>
                <w:szCs w:val="21"/>
              </w:rPr>
              <w:t xml:space="preserve">SA3</w:t>
            </w:r>
            <w:r>
              <w:rPr>
                <w:rFonts w:hint="eastAsia" w:ascii="Calibri" w:hAnsi="Calibri"/>
                <w:szCs w:val="21"/>
              </w:rPr>
              <w:t xml:space="preserve">+</w:t>
            </w:r>
            <w:r>
              <w:rPr>
                <w:rFonts w:ascii="Calibri" w:hAnsi="Calibri"/>
                <w:szCs w:val="21"/>
              </w:rPr>
            </w:r>
            <w:r/>
          </w:p>
        </w:tc>
        <w:tc>
          <w:tcPr>
            <w:tcW w:w="2251" w:type="dxa"/>
            <w:vAlign w:val="center"/>
            <w:textDirection w:val="lrTb"/>
            <w:noWrap w:val="false"/>
          </w:tcPr>
          <w:p>
            <w:pPr>
              <w:pStyle w:val="1151"/>
              <w:jc w:val="center"/>
              <w:widowControl/>
              <w:rPr>
                <w:rFonts w:ascii="Calibri" w:hAnsi="Calibri"/>
                <w:szCs w:val="21"/>
              </w:rPr>
            </w:pPr>
            <w:r>
              <w:rPr>
                <w:rFonts w:ascii="Calibri" w:hAnsi="Calibri"/>
                <w:szCs w:val="21"/>
              </w:rPr>
              <w:t xml:space="preserve">远方遥信</w:t>
            </w:r>
            <w:r>
              <w:rPr>
                <w:rFonts w:hint="eastAsia" w:ascii="Calibri" w:hAnsi="Calibri"/>
                <w:szCs w:val="21"/>
              </w:rPr>
              <w:t xml:space="preserve">+</w:t>
            </w:r>
            <w:r>
              <w:rPr>
                <w:rFonts w:ascii="Calibri" w:hAnsi="Calibri"/>
                <w:szCs w:val="21"/>
              </w:rPr>
              <w:t xml:space="preserve">端</w:t>
            </w:r>
            <w:r>
              <w:rPr>
                <w:rFonts w:ascii="Calibri" w:hAnsi="Calibri"/>
                <w:szCs w:val="21"/>
              </w:rPr>
            </w:r>
            <w:r/>
          </w:p>
        </w:tc>
        <w:tc>
          <w:tcPr>
            <w:tcW w:w="1770"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82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68" w:type="dxa"/>
            <w:vAlign w:val="center"/>
            <w:textDirection w:val="lrTb"/>
            <w:noWrap w:val="false"/>
          </w:tcPr>
          <w:p>
            <w:pPr>
              <w:pStyle w:val="1151"/>
              <w:ind w:firstLine="420"/>
              <w:widowControl/>
              <w:rPr>
                <w:rFonts w:ascii="Calibri" w:hAnsi="Calibri"/>
                <w:szCs w:val="21"/>
              </w:rPr>
            </w:pPr>
            <w:r>
              <w:rPr>
                <w:rFonts w:ascii="Calibri" w:hAnsi="Calibri"/>
                <w:szCs w:val="21"/>
              </w:rPr>
              <w:t xml:space="preserve">8</w:t>
            </w:r>
            <w:r>
              <w:rPr>
                <w:rFonts w:ascii="Calibri" w:hAnsi="Calibri"/>
                <w:szCs w:val="21"/>
              </w:rPr>
            </w:r>
            <w:r/>
          </w:p>
        </w:tc>
        <w:tc>
          <w:tcPr>
            <w:tcW w:w="1097" w:type="dxa"/>
            <w:vAlign w:val="center"/>
            <w:textDirection w:val="lrTb"/>
            <w:noWrap w:val="false"/>
          </w:tcPr>
          <w:p>
            <w:pPr>
              <w:pStyle w:val="1151"/>
              <w:jc w:val="center"/>
              <w:widowControl/>
              <w:rPr>
                <w:rFonts w:ascii="Calibri" w:hAnsi="Calibri"/>
                <w:szCs w:val="21"/>
              </w:rPr>
            </w:pPr>
            <w:r>
              <w:rPr>
                <w:rFonts w:ascii="Calibri" w:hAnsi="Calibri"/>
                <w:szCs w:val="21"/>
              </w:rPr>
              <w:t xml:space="preserve">SA</w:t>
            </w:r>
            <w:r>
              <w:rPr>
                <w:rFonts w:hint="eastAsia" w:ascii="Calibri" w:hAnsi="Calibri"/>
                <w:szCs w:val="21"/>
              </w:rPr>
              <w:t xml:space="preserve">3-</w:t>
            </w:r>
            <w:r>
              <w:rPr>
                <w:rFonts w:ascii="Calibri" w:hAnsi="Calibri"/>
                <w:szCs w:val="21"/>
              </w:rPr>
            </w:r>
            <w:r/>
          </w:p>
        </w:tc>
        <w:tc>
          <w:tcPr>
            <w:tcW w:w="2251" w:type="dxa"/>
            <w:vAlign w:val="center"/>
            <w:textDirection w:val="lrTb"/>
            <w:noWrap w:val="false"/>
          </w:tcPr>
          <w:p>
            <w:pPr>
              <w:pStyle w:val="1151"/>
              <w:jc w:val="center"/>
              <w:widowControl/>
              <w:rPr>
                <w:rFonts w:ascii="Calibri" w:hAnsi="Calibri"/>
                <w:szCs w:val="21"/>
              </w:rPr>
            </w:pPr>
            <w:r>
              <w:rPr>
                <w:rFonts w:ascii="Calibri" w:hAnsi="Calibri"/>
                <w:szCs w:val="21"/>
              </w:rPr>
              <w:t xml:space="preserve">远方遥信</w:t>
            </w:r>
            <w:r>
              <w:rPr>
                <w:rFonts w:hint="eastAsia" w:ascii="Calibri" w:hAnsi="Calibri"/>
                <w:szCs w:val="21"/>
              </w:rPr>
              <w:t xml:space="preserve">-</w:t>
            </w:r>
            <w:r>
              <w:rPr>
                <w:rFonts w:ascii="Calibri" w:hAnsi="Calibri"/>
                <w:szCs w:val="21"/>
              </w:rPr>
              <w:t xml:space="preserve">端</w:t>
            </w:r>
            <w:r>
              <w:rPr>
                <w:rFonts w:ascii="Calibri" w:hAnsi="Calibri"/>
                <w:szCs w:val="21"/>
              </w:rPr>
            </w:r>
            <w:r/>
          </w:p>
        </w:tc>
        <w:tc>
          <w:tcPr>
            <w:tcW w:w="1770"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82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68" w:type="dxa"/>
            <w:vAlign w:val="center"/>
            <w:textDirection w:val="lrTb"/>
            <w:noWrap w:val="false"/>
          </w:tcPr>
          <w:p>
            <w:pPr>
              <w:pStyle w:val="1151"/>
              <w:ind w:firstLine="420"/>
              <w:widowControl/>
              <w:rPr>
                <w:rFonts w:ascii="Calibri" w:hAnsi="Calibri"/>
                <w:szCs w:val="21"/>
              </w:rPr>
            </w:pPr>
            <w:r>
              <w:rPr>
                <w:rFonts w:ascii="Calibri" w:hAnsi="Calibri"/>
                <w:szCs w:val="21"/>
              </w:rPr>
              <w:t xml:space="preserve">9</w:t>
            </w:r>
            <w:r>
              <w:rPr>
                <w:rFonts w:ascii="Calibri" w:hAnsi="Calibri"/>
                <w:szCs w:val="21"/>
              </w:rPr>
            </w:r>
            <w:r/>
          </w:p>
        </w:tc>
        <w:tc>
          <w:tcPr>
            <w:tcW w:w="1097" w:type="dxa"/>
            <w:vAlign w:val="center"/>
            <w:textDirection w:val="lrTb"/>
            <w:noWrap w:val="false"/>
          </w:tcPr>
          <w:p>
            <w:pPr>
              <w:pStyle w:val="1151"/>
              <w:jc w:val="center"/>
              <w:widowControl/>
              <w:rPr>
                <w:rFonts w:ascii="Calibri" w:hAnsi="Calibri"/>
                <w:szCs w:val="21"/>
              </w:rPr>
            </w:pPr>
            <w:r>
              <w:rPr>
                <w:rFonts w:ascii="Calibri" w:hAnsi="Calibri"/>
                <w:szCs w:val="21"/>
              </w:rPr>
              <w:t xml:space="preserve">YHCZ+</w:t>
            </w:r>
            <w:r>
              <w:rPr>
                <w:rFonts w:ascii="Calibri" w:hAnsi="Calibri"/>
                <w:szCs w:val="21"/>
              </w:rPr>
            </w:r>
            <w:r/>
          </w:p>
        </w:tc>
        <w:tc>
          <w:tcPr>
            <w:tcW w:w="2251" w:type="dxa"/>
            <w:vAlign w:val="center"/>
            <w:textDirection w:val="lrTb"/>
            <w:noWrap w:val="false"/>
          </w:tcPr>
          <w:p>
            <w:pPr>
              <w:pStyle w:val="1151"/>
              <w:jc w:val="center"/>
              <w:widowControl/>
              <w:rPr>
                <w:rFonts w:ascii="Calibri" w:hAnsi="Calibri"/>
                <w:szCs w:val="21"/>
              </w:rPr>
            </w:pPr>
            <w:r>
              <w:rPr>
                <w:rFonts w:ascii="Calibri" w:hAnsi="Calibri"/>
                <w:szCs w:val="21"/>
              </w:rPr>
              <w:t xml:space="preserve">遥控合闸</w:t>
            </w:r>
            <w:r>
              <w:rPr>
                <w:rFonts w:hint="eastAsia" w:ascii="Calibri" w:hAnsi="Calibri"/>
                <w:szCs w:val="21"/>
              </w:rPr>
              <w:t xml:space="preserve">压板</w:t>
            </w:r>
            <w:r>
              <w:rPr>
                <w:rFonts w:ascii="Calibri" w:hAnsi="Calibri"/>
                <w:szCs w:val="21"/>
              </w:rPr>
            </w:r>
            <w:r/>
          </w:p>
        </w:tc>
        <w:tc>
          <w:tcPr>
            <w:tcW w:w="1770"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82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68" w:type="dxa"/>
            <w:vAlign w:val="center"/>
            <w:textDirection w:val="lrTb"/>
            <w:noWrap w:val="false"/>
          </w:tcPr>
          <w:p>
            <w:pPr>
              <w:pStyle w:val="1151"/>
              <w:ind w:firstLine="420"/>
              <w:widowControl/>
              <w:rPr>
                <w:rFonts w:ascii="Calibri" w:hAnsi="Calibri"/>
                <w:szCs w:val="21"/>
              </w:rPr>
            </w:pPr>
            <w:r>
              <w:rPr>
                <w:rFonts w:ascii="Calibri" w:hAnsi="Calibri"/>
                <w:szCs w:val="21"/>
              </w:rPr>
              <w:t xml:space="preserve">10</w:t>
            </w:r>
            <w:r>
              <w:rPr>
                <w:rFonts w:ascii="Calibri" w:hAnsi="Calibri"/>
                <w:szCs w:val="21"/>
              </w:rPr>
            </w:r>
            <w:r/>
          </w:p>
        </w:tc>
        <w:tc>
          <w:tcPr>
            <w:tcW w:w="1097" w:type="dxa"/>
            <w:vAlign w:val="center"/>
            <w:textDirection w:val="lrTb"/>
            <w:noWrap w:val="false"/>
          </w:tcPr>
          <w:p>
            <w:pPr>
              <w:pStyle w:val="1151"/>
              <w:jc w:val="center"/>
              <w:widowControl/>
              <w:rPr>
                <w:rFonts w:ascii="Calibri" w:hAnsi="Calibri"/>
                <w:szCs w:val="21"/>
              </w:rPr>
            </w:pPr>
            <w:r>
              <w:rPr>
                <w:rFonts w:ascii="Calibri" w:hAnsi="Calibri"/>
                <w:szCs w:val="21"/>
              </w:rPr>
              <w:t xml:space="preserve">YHCZ-</w:t>
            </w:r>
            <w:r>
              <w:rPr>
                <w:rFonts w:ascii="Calibri" w:hAnsi="Calibri"/>
                <w:szCs w:val="21"/>
              </w:rPr>
            </w:r>
            <w:r/>
          </w:p>
        </w:tc>
        <w:tc>
          <w:tcPr>
            <w:tcW w:w="2251" w:type="dxa"/>
            <w:vAlign w:val="center"/>
            <w:textDirection w:val="lrTb"/>
            <w:noWrap w:val="false"/>
          </w:tcPr>
          <w:p>
            <w:pPr>
              <w:pStyle w:val="1151"/>
              <w:jc w:val="center"/>
              <w:widowControl/>
              <w:rPr>
                <w:rFonts w:ascii="Calibri" w:hAnsi="Calibri"/>
                <w:szCs w:val="21"/>
              </w:rPr>
            </w:pPr>
            <w:r>
              <w:rPr>
                <w:rFonts w:ascii="Calibri" w:hAnsi="Calibri"/>
                <w:szCs w:val="21"/>
              </w:rPr>
              <w:t xml:space="preserve">遥控合闸</w:t>
            </w:r>
            <w:r>
              <w:rPr>
                <w:rFonts w:hint="eastAsia" w:ascii="Calibri" w:hAnsi="Calibri"/>
                <w:szCs w:val="21"/>
              </w:rPr>
              <w:t xml:space="preserve">压板</w:t>
            </w:r>
            <w:r>
              <w:rPr>
                <w:rFonts w:ascii="Calibri" w:hAnsi="Calibri"/>
                <w:szCs w:val="21"/>
              </w:rPr>
            </w:r>
            <w:r/>
          </w:p>
        </w:tc>
        <w:tc>
          <w:tcPr>
            <w:tcW w:w="1770"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82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68" w:type="dxa"/>
            <w:vAlign w:val="center"/>
            <w:textDirection w:val="lrTb"/>
            <w:noWrap w:val="false"/>
          </w:tcPr>
          <w:p>
            <w:pPr>
              <w:pStyle w:val="1151"/>
              <w:ind w:firstLine="420"/>
              <w:widowControl/>
              <w:rPr>
                <w:rFonts w:ascii="Calibri" w:hAnsi="Calibri"/>
                <w:szCs w:val="21"/>
              </w:rPr>
            </w:pPr>
            <w:r>
              <w:rPr>
                <w:rFonts w:ascii="Calibri" w:hAnsi="Calibri"/>
                <w:szCs w:val="21"/>
              </w:rPr>
              <w:t xml:space="preserve">11</w:t>
            </w:r>
            <w:r>
              <w:rPr>
                <w:rFonts w:ascii="Calibri" w:hAnsi="Calibri"/>
                <w:szCs w:val="21"/>
              </w:rPr>
            </w:r>
            <w:r/>
          </w:p>
        </w:tc>
        <w:tc>
          <w:tcPr>
            <w:tcW w:w="1097" w:type="dxa"/>
            <w:vAlign w:val="center"/>
            <w:textDirection w:val="lrTb"/>
            <w:noWrap w:val="false"/>
          </w:tcPr>
          <w:p>
            <w:pPr>
              <w:pStyle w:val="1151"/>
              <w:jc w:val="center"/>
              <w:widowControl/>
              <w:rPr>
                <w:rFonts w:ascii="Calibri" w:hAnsi="Calibri"/>
                <w:szCs w:val="21"/>
              </w:rPr>
            </w:pPr>
            <w:r>
              <w:rPr>
                <w:rFonts w:ascii="Calibri" w:hAnsi="Calibri"/>
                <w:szCs w:val="21"/>
              </w:rPr>
              <w:t xml:space="preserve">YFCZ+</w:t>
            </w:r>
            <w:r>
              <w:rPr>
                <w:rFonts w:ascii="Calibri" w:hAnsi="Calibri"/>
                <w:szCs w:val="21"/>
              </w:rPr>
            </w:r>
            <w:r/>
          </w:p>
        </w:tc>
        <w:tc>
          <w:tcPr>
            <w:tcW w:w="2251" w:type="dxa"/>
            <w:vAlign w:val="center"/>
            <w:textDirection w:val="lrTb"/>
            <w:noWrap w:val="false"/>
          </w:tcPr>
          <w:p>
            <w:pPr>
              <w:pStyle w:val="1151"/>
              <w:jc w:val="center"/>
              <w:widowControl/>
              <w:rPr>
                <w:rFonts w:ascii="Calibri" w:hAnsi="Calibri"/>
                <w:szCs w:val="21"/>
              </w:rPr>
            </w:pPr>
            <w:r>
              <w:rPr>
                <w:rFonts w:ascii="Calibri" w:hAnsi="Calibri"/>
                <w:szCs w:val="21"/>
              </w:rPr>
              <w:t xml:space="preserve">遥控分闸</w:t>
            </w:r>
            <w:r>
              <w:rPr>
                <w:rFonts w:hint="eastAsia" w:ascii="Calibri" w:hAnsi="Calibri"/>
                <w:szCs w:val="21"/>
              </w:rPr>
              <w:t xml:space="preserve">压板</w:t>
            </w:r>
            <w:r>
              <w:rPr>
                <w:rFonts w:ascii="Calibri" w:hAnsi="Calibri"/>
                <w:szCs w:val="21"/>
              </w:rPr>
            </w:r>
            <w:r/>
          </w:p>
        </w:tc>
        <w:tc>
          <w:tcPr>
            <w:tcW w:w="1770"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825" w:type="dxa"/>
            <w:vAlign w:val="center"/>
            <w:textDirection w:val="lrTb"/>
            <w:noWrap w:val="false"/>
          </w:tcPr>
          <w:p>
            <w:pPr>
              <w:pStyle w:val="1151"/>
              <w:ind w:firstLine="420"/>
              <w:jc w:val="center"/>
              <w:widowControl/>
              <w:rPr>
                <w:rFonts w:ascii="Calibri" w:hAnsi="Calibri"/>
                <w:szCs w:val="21"/>
              </w:rPr>
            </w:pPr>
            <w:r>
              <w:rPr>
                <w:rFonts w:ascii="Calibri" w:hAnsi="Calibri"/>
                <w:szCs w:val="21"/>
              </w:rPr>
            </w:r>
            <w:r/>
          </w:p>
        </w:tc>
      </w:tr>
      <w:tr>
        <w:trPr/>
        <w:tc>
          <w:tcPr>
            <w:tcW w:w="968" w:type="dxa"/>
            <w:vAlign w:val="center"/>
            <w:textDirection w:val="lrTb"/>
            <w:noWrap w:val="false"/>
          </w:tcPr>
          <w:p>
            <w:pPr>
              <w:pStyle w:val="1151"/>
              <w:ind w:firstLine="420"/>
              <w:widowControl/>
              <w:rPr>
                <w:rFonts w:ascii="Calibri" w:hAnsi="Calibri"/>
                <w:szCs w:val="21"/>
              </w:rPr>
            </w:pPr>
            <w:r>
              <w:rPr>
                <w:rFonts w:ascii="Calibri" w:hAnsi="Calibri"/>
                <w:szCs w:val="21"/>
              </w:rPr>
              <w:t xml:space="preserve">12</w:t>
            </w:r>
            <w:r>
              <w:rPr>
                <w:rFonts w:ascii="Calibri" w:hAnsi="Calibri"/>
                <w:szCs w:val="21"/>
              </w:rPr>
            </w:r>
            <w:r/>
          </w:p>
        </w:tc>
        <w:tc>
          <w:tcPr>
            <w:tcW w:w="1097" w:type="dxa"/>
            <w:vAlign w:val="center"/>
            <w:textDirection w:val="lrTb"/>
            <w:noWrap w:val="false"/>
          </w:tcPr>
          <w:p>
            <w:pPr>
              <w:pStyle w:val="1151"/>
              <w:jc w:val="center"/>
              <w:widowControl/>
              <w:rPr>
                <w:rFonts w:ascii="Calibri" w:hAnsi="Calibri"/>
                <w:szCs w:val="21"/>
              </w:rPr>
            </w:pPr>
            <w:r>
              <w:rPr>
                <w:rFonts w:ascii="Calibri" w:hAnsi="Calibri"/>
                <w:szCs w:val="21"/>
              </w:rPr>
              <w:t xml:space="preserve">YFCZ-</w:t>
            </w:r>
            <w:r>
              <w:rPr>
                <w:rFonts w:ascii="Calibri" w:hAnsi="Calibri"/>
                <w:szCs w:val="21"/>
              </w:rPr>
            </w:r>
            <w:r/>
          </w:p>
        </w:tc>
        <w:tc>
          <w:tcPr>
            <w:tcW w:w="2251" w:type="dxa"/>
            <w:vAlign w:val="center"/>
            <w:textDirection w:val="lrTb"/>
            <w:noWrap w:val="false"/>
          </w:tcPr>
          <w:p>
            <w:pPr>
              <w:pStyle w:val="1151"/>
              <w:jc w:val="center"/>
              <w:widowControl/>
              <w:rPr>
                <w:rFonts w:ascii="Calibri" w:hAnsi="Calibri"/>
                <w:szCs w:val="21"/>
              </w:rPr>
            </w:pPr>
            <w:r>
              <w:rPr>
                <w:rFonts w:ascii="Calibri" w:hAnsi="Calibri"/>
                <w:szCs w:val="21"/>
              </w:rPr>
              <w:t xml:space="preserve">遥控分闸</w:t>
            </w:r>
            <w:r>
              <w:rPr>
                <w:rFonts w:hint="eastAsia" w:ascii="Calibri" w:hAnsi="Calibri"/>
                <w:szCs w:val="21"/>
              </w:rPr>
              <w:t xml:space="preserve">压板</w:t>
            </w:r>
            <w:r>
              <w:rPr>
                <w:rFonts w:ascii="Calibri" w:hAnsi="Calibri"/>
                <w:szCs w:val="21"/>
              </w:rPr>
            </w:r>
            <w:r/>
          </w:p>
        </w:tc>
        <w:tc>
          <w:tcPr>
            <w:tcW w:w="1770"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825" w:type="dxa"/>
            <w:vAlign w:val="center"/>
            <w:textDirection w:val="lrTb"/>
            <w:noWrap w:val="false"/>
          </w:tcPr>
          <w:p>
            <w:pPr>
              <w:pStyle w:val="1151"/>
              <w:ind w:firstLine="420"/>
              <w:jc w:val="center"/>
              <w:widowControl/>
              <w:rPr>
                <w:rFonts w:ascii="Calibri" w:hAnsi="Calibri"/>
                <w:szCs w:val="21"/>
              </w:rPr>
            </w:pPr>
            <w:r>
              <w:rPr>
                <w:rFonts w:ascii="Calibri" w:hAnsi="Calibri"/>
                <w:szCs w:val="21"/>
              </w:rPr>
            </w:r>
            <w:r/>
          </w:p>
        </w:tc>
      </w:tr>
      <w:tr>
        <w:trPr/>
        <w:tc>
          <w:tcPr>
            <w:tcW w:w="968" w:type="dxa"/>
            <w:vAlign w:val="center"/>
            <w:textDirection w:val="lrTb"/>
            <w:noWrap w:val="false"/>
          </w:tcPr>
          <w:p>
            <w:pPr>
              <w:pStyle w:val="1151"/>
              <w:ind w:firstLine="420"/>
              <w:widowControl/>
              <w:rPr>
                <w:rFonts w:ascii="Calibri" w:hAnsi="Calibri"/>
                <w:szCs w:val="21"/>
              </w:rPr>
            </w:pPr>
            <w:r>
              <w:rPr>
                <w:rFonts w:hint="eastAsia" w:ascii="Calibri" w:hAnsi="Calibri"/>
                <w:szCs w:val="21"/>
              </w:rPr>
              <w:t xml:space="preserve">13</w:t>
            </w:r>
            <w:r>
              <w:rPr>
                <w:rFonts w:ascii="Calibri" w:hAnsi="Calibri"/>
                <w:szCs w:val="21"/>
              </w:rPr>
            </w:r>
            <w:r/>
          </w:p>
        </w:tc>
        <w:tc>
          <w:tcPr>
            <w:tcW w:w="1097" w:type="dxa"/>
            <w:vAlign w:val="center"/>
            <w:textDirection w:val="lrTb"/>
            <w:noWrap w:val="false"/>
          </w:tcPr>
          <w:p>
            <w:pPr>
              <w:pStyle w:val="1151"/>
              <w:jc w:val="center"/>
              <w:widowControl/>
              <w:rPr>
                <w:rFonts w:ascii="Calibri" w:hAnsi="Calibri"/>
                <w:szCs w:val="21"/>
              </w:rPr>
            </w:pPr>
            <w:r>
              <w:rPr>
                <w:rFonts w:ascii="Calibri" w:hAnsi="Calibri"/>
                <w:szCs w:val="21"/>
              </w:rPr>
              <w:t xml:space="preserve">DHCZ+</w:t>
            </w:r>
            <w:r>
              <w:rPr>
                <w:rFonts w:ascii="Calibri" w:hAnsi="Calibri"/>
                <w:szCs w:val="21"/>
              </w:rPr>
            </w:r>
            <w:r/>
          </w:p>
        </w:tc>
        <w:tc>
          <w:tcPr>
            <w:tcW w:w="2251"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保护</w:t>
            </w:r>
            <w:r>
              <w:rPr>
                <w:rFonts w:ascii="Calibri" w:hAnsi="Calibri"/>
                <w:szCs w:val="21"/>
              </w:rPr>
              <w:t xml:space="preserve">合闸</w:t>
            </w:r>
            <w:r>
              <w:rPr>
                <w:rFonts w:hint="eastAsia" w:ascii="Calibri" w:hAnsi="Calibri"/>
                <w:szCs w:val="21"/>
              </w:rPr>
              <w:t xml:space="preserve">压板</w:t>
            </w:r>
            <w:r>
              <w:rPr>
                <w:rFonts w:ascii="Calibri" w:hAnsi="Calibri"/>
                <w:szCs w:val="21"/>
              </w:rPr>
            </w:r>
            <w:r/>
          </w:p>
        </w:tc>
        <w:tc>
          <w:tcPr>
            <w:tcW w:w="1770"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825" w:type="dxa"/>
            <w:vAlign w:val="center"/>
            <w:textDirection w:val="lrTb"/>
            <w:noWrap w:val="false"/>
          </w:tcPr>
          <w:p>
            <w:pPr>
              <w:pStyle w:val="1151"/>
              <w:ind w:firstLine="420"/>
              <w:jc w:val="center"/>
              <w:widowControl/>
              <w:rPr>
                <w:rFonts w:ascii="Calibri" w:hAnsi="Calibri"/>
                <w:szCs w:val="21"/>
              </w:rPr>
            </w:pPr>
            <w:r>
              <w:rPr>
                <w:rFonts w:ascii="Calibri" w:hAnsi="Calibri"/>
                <w:szCs w:val="21"/>
              </w:rPr>
            </w:r>
            <w:r/>
          </w:p>
        </w:tc>
      </w:tr>
      <w:tr>
        <w:trPr/>
        <w:tc>
          <w:tcPr>
            <w:tcW w:w="968" w:type="dxa"/>
            <w:vAlign w:val="center"/>
            <w:textDirection w:val="lrTb"/>
            <w:noWrap w:val="false"/>
          </w:tcPr>
          <w:p>
            <w:pPr>
              <w:pStyle w:val="1151"/>
              <w:ind w:firstLine="420"/>
              <w:widowControl/>
              <w:rPr>
                <w:rFonts w:ascii="Calibri" w:hAnsi="Calibri"/>
                <w:szCs w:val="21"/>
              </w:rPr>
            </w:pPr>
            <w:r>
              <w:rPr>
                <w:rFonts w:hint="eastAsia" w:ascii="Calibri" w:hAnsi="Calibri"/>
                <w:szCs w:val="21"/>
              </w:rPr>
              <w:t xml:space="preserve">14</w:t>
            </w:r>
            <w:r>
              <w:rPr>
                <w:rFonts w:ascii="Calibri" w:hAnsi="Calibri"/>
                <w:szCs w:val="21"/>
              </w:rPr>
            </w:r>
            <w:r/>
          </w:p>
        </w:tc>
        <w:tc>
          <w:tcPr>
            <w:tcW w:w="1097" w:type="dxa"/>
            <w:vAlign w:val="center"/>
            <w:textDirection w:val="lrTb"/>
            <w:noWrap w:val="false"/>
          </w:tcPr>
          <w:p>
            <w:pPr>
              <w:pStyle w:val="1151"/>
              <w:jc w:val="center"/>
              <w:widowControl/>
              <w:rPr>
                <w:rFonts w:ascii="Calibri" w:hAnsi="Calibri"/>
                <w:szCs w:val="21"/>
              </w:rPr>
            </w:pPr>
            <w:r>
              <w:rPr>
                <w:rFonts w:ascii="Calibri" w:hAnsi="Calibri"/>
                <w:szCs w:val="21"/>
              </w:rPr>
              <w:t xml:space="preserve">DHCZ-</w:t>
            </w:r>
            <w:r>
              <w:rPr>
                <w:rFonts w:ascii="Calibri" w:hAnsi="Calibri"/>
                <w:szCs w:val="21"/>
              </w:rPr>
            </w:r>
            <w:r/>
          </w:p>
        </w:tc>
        <w:tc>
          <w:tcPr>
            <w:tcW w:w="2251"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保护</w:t>
            </w:r>
            <w:r>
              <w:rPr>
                <w:rFonts w:ascii="Calibri" w:hAnsi="Calibri"/>
                <w:szCs w:val="21"/>
              </w:rPr>
              <w:t xml:space="preserve">合闸</w:t>
            </w:r>
            <w:r>
              <w:rPr>
                <w:rFonts w:hint="eastAsia" w:ascii="Calibri" w:hAnsi="Calibri"/>
                <w:szCs w:val="21"/>
              </w:rPr>
              <w:t xml:space="preserve">压板</w:t>
            </w:r>
            <w:r>
              <w:rPr>
                <w:rFonts w:ascii="Calibri" w:hAnsi="Calibri"/>
                <w:szCs w:val="21"/>
              </w:rPr>
            </w:r>
            <w:r/>
          </w:p>
        </w:tc>
        <w:tc>
          <w:tcPr>
            <w:tcW w:w="1770"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825" w:type="dxa"/>
            <w:vAlign w:val="center"/>
            <w:textDirection w:val="lrTb"/>
            <w:noWrap w:val="false"/>
          </w:tcPr>
          <w:p>
            <w:pPr>
              <w:pStyle w:val="1151"/>
              <w:ind w:firstLine="420"/>
              <w:jc w:val="center"/>
              <w:widowControl/>
              <w:rPr>
                <w:rFonts w:ascii="Calibri" w:hAnsi="Calibri"/>
                <w:szCs w:val="21"/>
              </w:rPr>
            </w:pPr>
            <w:r>
              <w:rPr>
                <w:rFonts w:ascii="Calibri" w:hAnsi="Calibri"/>
                <w:szCs w:val="21"/>
              </w:rPr>
            </w:r>
            <w:r/>
          </w:p>
        </w:tc>
      </w:tr>
      <w:tr>
        <w:trPr/>
        <w:tc>
          <w:tcPr>
            <w:tcW w:w="968" w:type="dxa"/>
            <w:vAlign w:val="center"/>
            <w:textDirection w:val="lrTb"/>
            <w:noWrap w:val="false"/>
          </w:tcPr>
          <w:p>
            <w:pPr>
              <w:pStyle w:val="1151"/>
              <w:ind w:firstLine="420"/>
              <w:widowControl/>
              <w:rPr>
                <w:rFonts w:ascii="Calibri" w:hAnsi="Calibri"/>
                <w:szCs w:val="21"/>
              </w:rPr>
            </w:pPr>
            <w:r>
              <w:rPr>
                <w:rFonts w:hint="eastAsia" w:ascii="Calibri" w:hAnsi="Calibri"/>
                <w:szCs w:val="21"/>
              </w:rPr>
              <w:t xml:space="preserve">15</w:t>
            </w:r>
            <w:r>
              <w:rPr>
                <w:rFonts w:ascii="Calibri" w:hAnsi="Calibri"/>
                <w:szCs w:val="21"/>
              </w:rPr>
            </w:r>
            <w:r/>
          </w:p>
        </w:tc>
        <w:tc>
          <w:tcPr>
            <w:tcW w:w="1097" w:type="dxa"/>
            <w:vAlign w:val="center"/>
            <w:textDirection w:val="lrTb"/>
            <w:noWrap w:val="false"/>
          </w:tcPr>
          <w:p>
            <w:pPr>
              <w:pStyle w:val="1151"/>
              <w:jc w:val="center"/>
              <w:widowControl/>
              <w:rPr>
                <w:rFonts w:ascii="Calibri" w:hAnsi="Calibri"/>
                <w:szCs w:val="21"/>
              </w:rPr>
            </w:pPr>
            <w:r>
              <w:rPr>
                <w:rFonts w:ascii="Calibri" w:hAnsi="Calibri"/>
                <w:szCs w:val="21"/>
              </w:rPr>
              <w:t xml:space="preserve">D</w:t>
            </w:r>
            <w:r>
              <w:rPr>
                <w:rFonts w:hint="eastAsia" w:ascii="Calibri" w:hAnsi="Calibri"/>
                <w:szCs w:val="21"/>
              </w:rPr>
              <w:t xml:space="preserve">F</w:t>
            </w:r>
            <w:r>
              <w:rPr>
                <w:rFonts w:ascii="Calibri" w:hAnsi="Calibri"/>
                <w:szCs w:val="21"/>
              </w:rPr>
              <w:t xml:space="preserve">CZ+</w:t>
            </w:r>
            <w:r>
              <w:rPr>
                <w:rFonts w:ascii="Calibri" w:hAnsi="Calibri"/>
                <w:szCs w:val="21"/>
              </w:rPr>
            </w:r>
            <w:r/>
          </w:p>
        </w:tc>
        <w:tc>
          <w:tcPr>
            <w:tcW w:w="2251"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保护跳</w:t>
            </w:r>
            <w:r>
              <w:rPr>
                <w:rFonts w:ascii="Calibri" w:hAnsi="Calibri"/>
                <w:szCs w:val="21"/>
              </w:rPr>
              <w:t xml:space="preserve">闸</w:t>
            </w:r>
            <w:r>
              <w:rPr>
                <w:rFonts w:hint="eastAsia" w:ascii="Calibri" w:hAnsi="Calibri"/>
                <w:szCs w:val="21"/>
              </w:rPr>
              <w:t xml:space="preserve">压板</w:t>
            </w:r>
            <w:r>
              <w:rPr>
                <w:rFonts w:ascii="Calibri" w:hAnsi="Calibri"/>
                <w:szCs w:val="21"/>
              </w:rPr>
            </w:r>
            <w:r/>
          </w:p>
        </w:tc>
        <w:tc>
          <w:tcPr>
            <w:tcW w:w="1770"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825" w:type="dxa"/>
            <w:vAlign w:val="center"/>
            <w:textDirection w:val="lrTb"/>
            <w:noWrap w:val="false"/>
          </w:tcPr>
          <w:p>
            <w:pPr>
              <w:pStyle w:val="1151"/>
              <w:ind w:firstLine="420"/>
              <w:jc w:val="center"/>
              <w:widowControl/>
              <w:rPr>
                <w:rFonts w:ascii="Calibri" w:hAnsi="Calibri"/>
                <w:szCs w:val="21"/>
              </w:rPr>
            </w:pPr>
            <w:r>
              <w:rPr>
                <w:rFonts w:ascii="Calibri" w:hAnsi="Calibri"/>
                <w:szCs w:val="21"/>
              </w:rPr>
            </w:r>
            <w:r/>
          </w:p>
        </w:tc>
      </w:tr>
      <w:tr>
        <w:trPr/>
        <w:tc>
          <w:tcPr>
            <w:tcW w:w="968" w:type="dxa"/>
            <w:vAlign w:val="center"/>
            <w:textDirection w:val="lrTb"/>
            <w:noWrap w:val="false"/>
          </w:tcPr>
          <w:p>
            <w:pPr>
              <w:pStyle w:val="1151"/>
              <w:ind w:firstLine="420"/>
              <w:widowControl/>
              <w:rPr>
                <w:rFonts w:ascii="Calibri" w:hAnsi="Calibri"/>
                <w:szCs w:val="21"/>
              </w:rPr>
            </w:pPr>
            <w:r>
              <w:rPr>
                <w:rFonts w:hint="eastAsia" w:ascii="Calibri" w:hAnsi="Calibri"/>
                <w:szCs w:val="21"/>
              </w:rPr>
              <w:t xml:space="preserve">16</w:t>
            </w:r>
            <w:r>
              <w:rPr>
                <w:rFonts w:ascii="Calibri" w:hAnsi="Calibri"/>
                <w:szCs w:val="21"/>
              </w:rPr>
            </w:r>
            <w:r/>
          </w:p>
        </w:tc>
        <w:tc>
          <w:tcPr>
            <w:tcW w:w="1097" w:type="dxa"/>
            <w:vAlign w:val="center"/>
            <w:textDirection w:val="lrTb"/>
            <w:noWrap w:val="false"/>
          </w:tcPr>
          <w:p>
            <w:pPr>
              <w:pStyle w:val="1151"/>
              <w:jc w:val="center"/>
              <w:widowControl/>
              <w:rPr>
                <w:rFonts w:ascii="Calibri" w:hAnsi="Calibri"/>
                <w:szCs w:val="21"/>
              </w:rPr>
            </w:pPr>
            <w:r>
              <w:rPr>
                <w:rFonts w:ascii="Calibri" w:hAnsi="Calibri"/>
                <w:szCs w:val="21"/>
              </w:rPr>
              <w:t xml:space="preserve">D</w:t>
            </w:r>
            <w:r>
              <w:rPr>
                <w:rFonts w:hint="eastAsia" w:ascii="Calibri" w:hAnsi="Calibri"/>
                <w:szCs w:val="21"/>
              </w:rPr>
              <w:t xml:space="preserve">F</w:t>
            </w:r>
            <w:r>
              <w:rPr>
                <w:rFonts w:ascii="Calibri" w:hAnsi="Calibri"/>
                <w:szCs w:val="21"/>
              </w:rPr>
              <w:t xml:space="preserve">CZ-</w:t>
            </w:r>
            <w:r>
              <w:rPr>
                <w:rFonts w:ascii="Calibri" w:hAnsi="Calibri"/>
                <w:szCs w:val="21"/>
              </w:rPr>
            </w:r>
            <w:r/>
          </w:p>
        </w:tc>
        <w:tc>
          <w:tcPr>
            <w:tcW w:w="2251"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保护跳</w:t>
            </w:r>
            <w:r>
              <w:rPr>
                <w:rFonts w:ascii="Calibri" w:hAnsi="Calibri"/>
                <w:szCs w:val="21"/>
              </w:rPr>
              <w:t xml:space="preserve">闸</w:t>
            </w:r>
            <w:r>
              <w:rPr>
                <w:rFonts w:hint="eastAsia" w:ascii="Calibri" w:hAnsi="Calibri"/>
                <w:szCs w:val="21"/>
              </w:rPr>
              <w:t xml:space="preserve">压板</w:t>
            </w:r>
            <w:r>
              <w:rPr>
                <w:rFonts w:ascii="Calibri" w:hAnsi="Calibri"/>
                <w:szCs w:val="21"/>
              </w:rPr>
            </w:r>
            <w:r/>
          </w:p>
        </w:tc>
        <w:tc>
          <w:tcPr>
            <w:tcW w:w="1770"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825" w:type="dxa"/>
            <w:vAlign w:val="center"/>
            <w:textDirection w:val="lrTb"/>
            <w:noWrap w:val="false"/>
          </w:tcPr>
          <w:p>
            <w:pPr>
              <w:pStyle w:val="1151"/>
              <w:ind w:firstLine="420"/>
              <w:jc w:val="center"/>
              <w:widowControl/>
              <w:rPr>
                <w:rFonts w:ascii="Calibri" w:hAnsi="Calibri"/>
                <w:szCs w:val="21"/>
              </w:rPr>
            </w:pPr>
            <w:r>
              <w:rPr>
                <w:rFonts w:ascii="Calibri" w:hAnsi="Calibri"/>
                <w:szCs w:val="21"/>
              </w:rPr>
            </w:r>
            <w:r/>
          </w:p>
        </w:tc>
      </w:tr>
    </w:tbl>
    <w:p>
      <w:pPr>
        <w:pStyle w:val="1151"/>
        <w:jc w:val="left"/>
        <w:spacing w:line="312" w:lineRule="exact"/>
        <w:rPr>
          <w:rFonts w:ascii="Calibri" w:hAnsi="Calibri"/>
        </w:rPr>
        <w:outlineLvl w:val="2"/>
      </w:pPr>
      <w:r>
        <w:rPr>
          <w:rFonts w:ascii="黑体" w:hAnsi="黑体" w:eastAsia="黑体"/>
          <w:szCs w:val="21"/>
        </w:rPr>
        <w:t xml:space="preserve">D</w:t>
      </w:r>
      <w:r>
        <w:rPr>
          <w:rFonts w:hint="eastAsia" w:ascii="黑体" w:hAnsi="黑体" w:eastAsia="黑体"/>
          <w:szCs w:val="21"/>
        </w:rPr>
        <w:t xml:space="preserve">.1.</w:t>
      </w:r>
      <w:r>
        <w:rPr>
          <w:rFonts w:ascii="黑体" w:hAnsi="黑体" w:eastAsia="黑体"/>
          <w:szCs w:val="21"/>
        </w:rPr>
        <w:t xml:space="preserve">11</w:t>
      </w:r>
      <w:r>
        <w:rPr>
          <w:rFonts w:hint="eastAsia" w:ascii="黑体" w:hAnsi="黑体" w:eastAsia="黑体"/>
          <w:szCs w:val="21"/>
        </w:rPr>
        <w:t xml:space="preserve">间隔二次模块</w:t>
      </w:r>
      <w:r>
        <w:rPr>
          <w:rFonts w:ascii="黑体" w:hAnsi="黑体" w:eastAsia="黑体"/>
          <w:szCs w:val="21"/>
        </w:rPr>
        <w:t xml:space="preserve">32</w:t>
      </w:r>
      <w:r>
        <w:rPr>
          <w:rFonts w:hint="eastAsia" w:ascii="黑体" w:hAnsi="黑体" w:eastAsia="黑体"/>
          <w:szCs w:val="21"/>
        </w:rPr>
        <w:t xml:space="preserve">芯连接器</w:t>
      </w:r>
      <w:r>
        <w:rPr>
          <w:rFonts w:ascii="Calibri" w:hAnsi="Calibri"/>
        </w:rPr>
      </w:r>
      <w:r/>
    </w:p>
    <w:p>
      <w:pPr>
        <w:pStyle w:val="1151"/>
        <w:jc w:val="center"/>
        <w:rPr>
          <w:szCs w:val="21"/>
        </w:rPr>
      </w:pPr>
      <w:r>
        <w:rPr>
          <w:rFonts w:hint="eastAsia"/>
          <w:szCs w:val="21"/>
        </w:rPr>
        <w:t xml:space="preserve">表</w:t>
      </w:r>
      <w:r>
        <w:rPr>
          <w:szCs w:val="21"/>
        </w:rPr>
        <w:t xml:space="preserve">D</w:t>
      </w:r>
      <w:r>
        <w:rPr>
          <w:rFonts w:hint="eastAsia"/>
          <w:szCs w:val="21"/>
        </w:rPr>
        <w:t xml:space="preserve">.</w:t>
      </w:r>
      <w:r>
        <w:rPr>
          <w:szCs w:val="21"/>
        </w:rPr>
        <w:t xml:space="preserve">1</w:t>
      </w:r>
      <w:r>
        <w:rPr>
          <w:rFonts w:hint="eastAsia"/>
          <w:szCs w:val="21"/>
        </w:rPr>
        <w:t xml:space="preserve">-</w:t>
      </w:r>
      <w:r>
        <w:rPr>
          <w:szCs w:val="21"/>
        </w:rPr>
        <w:t xml:space="preserve">11</w:t>
      </w:r>
      <w:r>
        <w:rPr>
          <w:rFonts w:hint="eastAsia"/>
          <w:szCs w:val="21"/>
        </w:rPr>
        <w:t xml:space="preserve">间隔二次模块32芯矩形连接器引脚定义</w:t>
      </w:r>
      <w:r>
        <w:rPr>
          <w:szCs w:val="21"/>
        </w:rPr>
      </w:r>
      <w:r/>
    </w:p>
    <w:tbl>
      <w:tblPr>
        <w:tblW w:w="77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
        <w:gridCol w:w="1397"/>
        <w:gridCol w:w="2025"/>
        <w:gridCol w:w="1595"/>
        <w:gridCol w:w="1735"/>
      </w:tblGrid>
      <w:tr>
        <w:trPr/>
        <w:tc>
          <w:tcPr>
            <w:tcW w:w="974"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引脚号</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标记</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标记说明</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电缆规格</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备注</w:t>
            </w: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1</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HW</w:t>
            </w:r>
            <w:r>
              <w:rPr>
                <w:rFonts w:hint="eastAsia" w:ascii="Calibri" w:hAnsi="Calibri"/>
                <w:szCs w:val="21"/>
              </w:rPr>
              <w:t xml:space="preserve">1-</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合位节点+</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合闸</w:t>
            </w:r>
            <w:r>
              <w:rPr>
                <w:rFonts w:ascii="Calibri" w:hAnsi="Calibri"/>
                <w:szCs w:val="21"/>
              </w:rPr>
              <w:t xml:space="preserve">指示灯</w:t>
            </w:r>
            <w:r>
              <w:rPr>
                <w:rFonts w:hint="eastAsia" w:ascii="Calibri" w:hAnsi="Calibri"/>
                <w:szCs w:val="21"/>
              </w:rPr>
              <w:t xml:space="preserve">用</w:t>
            </w: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2</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FW</w:t>
            </w:r>
            <w:r>
              <w:rPr>
                <w:rFonts w:hint="eastAsia" w:ascii="Calibri" w:hAnsi="Calibri"/>
                <w:szCs w:val="21"/>
              </w:rPr>
              <w:t xml:space="preserve">1+</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分位节点+</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分闸</w:t>
            </w:r>
            <w:r>
              <w:rPr>
                <w:rFonts w:ascii="Calibri" w:hAnsi="Calibri"/>
                <w:szCs w:val="21"/>
              </w:rPr>
              <w:t xml:space="preserve">指示灯</w:t>
            </w:r>
            <w:r>
              <w:rPr>
                <w:rFonts w:hint="eastAsia" w:ascii="Calibri" w:hAnsi="Calibri"/>
                <w:szCs w:val="21"/>
              </w:rPr>
              <w:t xml:space="preserve">用</w:t>
            </w: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3</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Y3com</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公共端</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指示灯</w:t>
            </w:r>
            <w:r>
              <w:rPr>
                <w:rFonts w:ascii="Calibri" w:hAnsi="Calibri"/>
                <w:szCs w:val="21"/>
              </w:rPr>
              <w:t xml:space="preserve">用公共端</w:t>
            </w: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4</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DQYB</w:t>
            </w:r>
            <w:r>
              <w:rPr>
                <w:rFonts w:hint="eastAsia" w:ascii="Calibri" w:hAnsi="Calibri"/>
                <w:szCs w:val="21"/>
              </w:rPr>
              <w:t xml:space="preserve">S</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低气压闭锁</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操作回路使用</w:t>
            </w: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5</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DQYB</w:t>
            </w:r>
            <w:r>
              <w:rPr>
                <w:rFonts w:hint="eastAsia" w:ascii="Calibri" w:hAnsi="Calibri"/>
                <w:szCs w:val="21"/>
              </w:rPr>
              <w:t xml:space="preserve">S</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低气压闭锁</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操作回路使用</w:t>
            </w: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6</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HW</w:t>
            </w:r>
            <w:r>
              <w:rPr>
                <w:rFonts w:hint="eastAsia" w:ascii="Calibri" w:hAnsi="Calibri"/>
                <w:szCs w:val="21"/>
              </w:rPr>
              <w:t xml:space="preserve">2+</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合位节点</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分闸</w:t>
            </w:r>
            <w:r>
              <w:rPr>
                <w:rFonts w:ascii="Calibri" w:hAnsi="Calibri"/>
                <w:szCs w:val="21"/>
              </w:rPr>
              <w:t xml:space="preserve">回路使用</w:t>
            </w: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7</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HW</w:t>
            </w:r>
            <w:r>
              <w:rPr>
                <w:rFonts w:hint="eastAsia" w:ascii="Calibri" w:hAnsi="Calibri"/>
                <w:szCs w:val="21"/>
              </w:rPr>
              <w:t xml:space="preserve">2-</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合位节点</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分闸</w:t>
            </w:r>
            <w:r>
              <w:rPr>
                <w:rFonts w:ascii="Calibri" w:hAnsi="Calibri"/>
                <w:szCs w:val="21"/>
              </w:rPr>
              <w:t xml:space="preserve">回路使用</w:t>
            </w: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8</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FW</w:t>
            </w:r>
            <w:r>
              <w:rPr>
                <w:rFonts w:hint="eastAsia" w:ascii="Calibri" w:hAnsi="Calibri"/>
                <w:szCs w:val="21"/>
              </w:rPr>
              <w:t xml:space="preserve">2+</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分位节点+</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合闸</w:t>
            </w:r>
            <w:r>
              <w:rPr>
                <w:rFonts w:ascii="Calibri" w:hAnsi="Calibri"/>
                <w:szCs w:val="21"/>
              </w:rPr>
              <w:t xml:space="preserve">回路使用</w:t>
            </w: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9</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FW</w:t>
            </w:r>
            <w:r>
              <w:rPr>
                <w:rFonts w:hint="eastAsia" w:ascii="Calibri" w:hAnsi="Calibri"/>
                <w:szCs w:val="21"/>
              </w:rPr>
              <w:t xml:space="preserve">2-</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分位节点-</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合闸</w:t>
            </w:r>
            <w:r>
              <w:rPr>
                <w:rFonts w:ascii="Calibri" w:hAnsi="Calibri"/>
                <w:szCs w:val="21"/>
              </w:rPr>
              <w:t xml:space="preserve">回路使用</w:t>
            </w: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10</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HZ</w:t>
            </w:r>
            <w:r>
              <w:rPr>
                <w:rFonts w:hint="eastAsia" w:ascii="Calibri" w:hAnsi="Calibri"/>
                <w:szCs w:val="21"/>
              </w:rPr>
              <w:t xml:space="preserve">+</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ascii="Calibri" w:hAnsi="Calibri"/>
                <w:szCs w:val="21"/>
              </w:rPr>
              <w:t xml:space="preserve">合闸</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11</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FZ</w:t>
            </w:r>
            <w:r>
              <w:rPr>
                <w:rFonts w:hint="eastAsia" w:ascii="Calibri" w:hAnsi="Calibri"/>
                <w:szCs w:val="21"/>
              </w:rPr>
              <w:t xml:space="preserve">+</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ascii="Calibri" w:hAnsi="Calibri"/>
                <w:szCs w:val="21"/>
              </w:rPr>
              <w:t xml:space="preserve">分闸</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12</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HFZ</w:t>
            </w:r>
            <w:r>
              <w:rPr>
                <w:rFonts w:hint="eastAsia" w:ascii="Calibri" w:hAnsi="Calibri"/>
                <w:szCs w:val="21"/>
              </w:rPr>
              <w:t xml:space="preserve">-</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ascii="Calibri" w:hAnsi="Calibri"/>
                <w:szCs w:val="21"/>
              </w:rPr>
              <w:t xml:space="preserve">分</w:t>
            </w:r>
            <w:r>
              <w:rPr>
                <w:rFonts w:hint="eastAsia" w:ascii="Calibri" w:hAnsi="Calibri"/>
                <w:szCs w:val="21"/>
              </w:rPr>
              <w:t xml:space="preserve">合</w:t>
            </w:r>
            <w:r>
              <w:rPr>
                <w:rFonts w:ascii="Calibri" w:hAnsi="Calibri"/>
                <w:szCs w:val="21"/>
              </w:rPr>
              <w:t xml:space="preserve">闸</w:t>
            </w:r>
            <w:r>
              <w:rPr>
                <w:rFonts w:hint="eastAsia" w:ascii="Calibri" w:hAnsi="Calibri"/>
                <w:szCs w:val="21"/>
              </w:rPr>
              <w:t xml:space="preserve">公共端</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13</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CN</w:t>
            </w:r>
            <w:r>
              <w:rPr>
                <w:rFonts w:hint="eastAsia" w:ascii="Calibri" w:hAnsi="Calibri"/>
                <w:szCs w:val="21"/>
              </w:rPr>
              <w:t xml:space="preserve">+</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ascii="Calibri" w:hAnsi="Calibri"/>
                <w:szCs w:val="21"/>
              </w:rPr>
              <w:t xml:space="preserve">储能</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14</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CN</w:t>
            </w:r>
            <w:r>
              <w:rPr>
                <w:rFonts w:hint="eastAsia" w:ascii="Calibri" w:hAnsi="Calibri"/>
                <w:szCs w:val="21"/>
              </w:rPr>
              <w:t xml:space="preserve">-</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ascii="Calibri" w:hAnsi="Calibri"/>
                <w:szCs w:val="21"/>
              </w:rPr>
              <w:t xml:space="preserve">储能</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15</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备用</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16</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Ycom</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ascii="Calibri" w:hAnsi="Calibri"/>
                <w:szCs w:val="21"/>
              </w:rPr>
              <w:t xml:space="preserve">遥信公共端</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t xml:space="preserve">DC</w:t>
            </w:r>
            <w:r>
              <w:rPr>
                <w:rFonts w:hint="eastAsia" w:ascii="Calibri" w:hAnsi="Calibri"/>
                <w:szCs w:val="21"/>
              </w:rPr>
              <w:t xml:space="preserve">2</w:t>
            </w:r>
            <w:r>
              <w:rPr>
                <w:rFonts w:ascii="Calibri" w:hAnsi="Calibri"/>
                <w:szCs w:val="21"/>
              </w:rPr>
              <w:t xml:space="preserve">4V+</w:t>
            </w: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17</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HW</w:t>
            </w:r>
            <w:r>
              <w:rPr>
                <w:rFonts w:hint="eastAsia" w:ascii="Calibri" w:hAnsi="Calibri"/>
                <w:szCs w:val="21"/>
              </w:rPr>
              <w:t xml:space="preserve">3</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合位</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18</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FW</w:t>
            </w:r>
            <w:r>
              <w:rPr>
                <w:rFonts w:hint="eastAsia" w:ascii="Calibri" w:hAnsi="Calibri"/>
                <w:szCs w:val="21"/>
              </w:rPr>
              <w:t xml:space="preserve">3</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分位</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19</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GKW</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隔离开关位置</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20</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DKW</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接地开关位置</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21</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WCN</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未储能位</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22</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KZHL</w:t>
            </w:r>
            <w:r>
              <w:rPr>
                <w:rFonts w:ascii="Calibri" w:hAnsi="Calibri"/>
                <w:szCs w:val="21"/>
              </w:rPr>
              <w:t xml:space="preserve">BJ</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控制回路报警</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23</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备用</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24</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备用</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25</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Ia+</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ascii="Calibri" w:hAnsi="Calibri"/>
                <w:szCs w:val="21"/>
              </w:rPr>
              <w:t xml:space="preserve">A</w:t>
            </w:r>
            <w:r>
              <w:rPr>
                <w:rFonts w:hint="eastAsia" w:ascii="Calibri" w:hAnsi="Calibri"/>
                <w:szCs w:val="21"/>
              </w:rPr>
              <w:t xml:space="preserve">相电流</w:t>
            </w:r>
            <w:r>
              <w:rPr>
                <w:rFonts w:ascii="Calibri" w:hAnsi="Calibri"/>
                <w:szCs w:val="21"/>
              </w:rPr>
              <w:t xml:space="preserve">+</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2.5mm</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26</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Ia-</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ascii="Calibri" w:hAnsi="Calibri"/>
                <w:szCs w:val="21"/>
              </w:rPr>
              <w:t xml:space="preserve">A</w:t>
            </w:r>
            <w:r>
              <w:rPr>
                <w:rFonts w:hint="eastAsia" w:ascii="Calibri" w:hAnsi="Calibri"/>
                <w:szCs w:val="21"/>
              </w:rPr>
              <w:t xml:space="preserve">相电流</w:t>
            </w:r>
            <w:r>
              <w:rPr>
                <w:rFonts w:ascii="Calibri" w:hAnsi="Calibri"/>
                <w:szCs w:val="21"/>
              </w:rPr>
              <w:t xml:space="preserve">-</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2.5mm²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27</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Ib+</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ascii="Calibri" w:hAnsi="Calibri"/>
                <w:szCs w:val="21"/>
              </w:rPr>
              <w:t xml:space="preserve">B</w:t>
            </w:r>
            <w:r>
              <w:rPr>
                <w:rFonts w:hint="eastAsia" w:ascii="Calibri" w:hAnsi="Calibri"/>
                <w:szCs w:val="21"/>
              </w:rPr>
              <w:t xml:space="preserve">相电流</w:t>
            </w:r>
            <w:r>
              <w:rPr>
                <w:rFonts w:ascii="Calibri" w:hAnsi="Calibri"/>
                <w:szCs w:val="21"/>
              </w:rPr>
              <w:t xml:space="preserve">+</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2.5mm²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28</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Ib-</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ascii="Calibri" w:hAnsi="Calibri"/>
                <w:szCs w:val="21"/>
              </w:rPr>
              <w:t xml:space="preserve">B</w:t>
            </w:r>
            <w:r>
              <w:rPr>
                <w:rFonts w:hint="eastAsia" w:ascii="Calibri" w:hAnsi="Calibri"/>
                <w:szCs w:val="21"/>
              </w:rPr>
              <w:t xml:space="preserve">相电流</w:t>
            </w:r>
            <w:r>
              <w:rPr>
                <w:rFonts w:ascii="Calibri" w:hAnsi="Calibri"/>
                <w:szCs w:val="21"/>
              </w:rPr>
              <w:t xml:space="preserve">-</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2.5mm²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29</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Ic+</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ascii="Calibri" w:hAnsi="Calibri"/>
                <w:szCs w:val="21"/>
              </w:rPr>
              <w:t xml:space="preserve">C</w:t>
            </w:r>
            <w:r>
              <w:rPr>
                <w:rFonts w:hint="eastAsia" w:ascii="Calibri" w:hAnsi="Calibri"/>
                <w:szCs w:val="21"/>
              </w:rPr>
              <w:t xml:space="preserve">相电流</w:t>
            </w:r>
            <w:r>
              <w:rPr>
                <w:rFonts w:ascii="Calibri" w:hAnsi="Calibri"/>
                <w:szCs w:val="21"/>
              </w:rPr>
              <w:t xml:space="preserve">+</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2.5mm²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30</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Ic-</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ascii="Calibri" w:hAnsi="Calibri"/>
                <w:szCs w:val="21"/>
              </w:rPr>
              <w:t xml:space="preserve">C</w:t>
            </w:r>
            <w:r>
              <w:rPr>
                <w:rFonts w:hint="eastAsia" w:ascii="Calibri" w:hAnsi="Calibri"/>
                <w:szCs w:val="21"/>
              </w:rPr>
              <w:t xml:space="preserve">相电流</w:t>
            </w:r>
            <w:r>
              <w:rPr>
                <w:rFonts w:ascii="Calibri" w:hAnsi="Calibri"/>
                <w:szCs w:val="21"/>
              </w:rPr>
              <w:t xml:space="preserve">-</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2.5mm²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31</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I0+</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零序电流</w:t>
            </w:r>
            <w:r>
              <w:rPr>
                <w:rFonts w:ascii="Calibri" w:hAnsi="Calibri"/>
                <w:szCs w:val="21"/>
              </w:rPr>
              <w:t xml:space="preserve">+</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2.5mm²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32</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t xml:space="preserve">I0-</w:t>
            </w: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零序电流</w:t>
            </w:r>
            <w:r>
              <w:rPr>
                <w:rFonts w:ascii="Calibri" w:hAnsi="Calibri"/>
                <w:szCs w:val="21"/>
              </w:rPr>
              <w:t xml:space="preserve">-</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2.5mm²</w:t>
            </w: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r>
        <w:trPr/>
        <w:tc>
          <w:tcPr>
            <w:tcW w:w="974" w:type="dxa"/>
            <w:vAlign w:val="center"/>
            <w:textDirection w:val="lrTb"/>
            <w:noWrap w:val="false"/>
          </w:tcPr>
          <w:p>
            <w:pPr>
              <w:pStyle w:val="1151"/>
              <w:jc w:val="center"/>
              <w:widowControl/>
              <w:rPr>
                <w:rFonts w:ascii="Calibri" w:hAnsi="Calibri"/>
                <w:szCs w:val="21"/>
              </w:rPr>
            </w:pPr>
            <w:r>
              <w:rPr>
                <w:rFonts w:ascii="Calibri" w:hAnsi="Calibri"/>
                <w:szCs w:val="21"/>
              </w:rPr>
              <w:t xml:space="preserve">33</w:t>
            </w:r>
            <w:r>
              <w:rPr>
                <w:rFonts w:ascii="Calibri" w:hAnsi="Calibri"/>
                <w:szCs w:val="21"/>
              </w:rPr>
            </w:r>
            <w:r/>
          </w:p>
        </w:tc>
        <w:tc>
          <w:tcPr>
            <w:tcW w:w="1397" w:type="dxa"/>
            <w:vAlign w:val="center"/>
            <w:textDirection w:val="lrTb"/>
            <w:noWrap w:val="false"/>
          </w:tcPr>
          <w:p>
            <w:pPr>
              <w:pStyle w:val="1151"/>
              <w:jc w:val="center"/>
              <w:widowControl/>
              <w:rPr>
                <w:rFonts w:ascii="Calibri" w:hAnsi="Calibri"/>
                <w:szCs w:val="21"/>
              </w:rPr>
            </w:pPr>
            <w:r>
              <w:rPr>
                <w:rFonts w:ascii="Calibri" w:hAnsi="Calibri"/>
                <w:szCs w:val="21"/>
              </w:rPr>
            </w:r>
            <w:r/>
          </w:p>
        </w:tc>
        <w:tc>
          <w:tcPr>
            <w:tcW w:w="2025" w:type="dxa"/>
            <w:vAlign w:val="center"/>
            <w:textDirection w:val="lrTb"/>
            <w:noWrap w:val="false"/>
          </w:tcPr>
          <w:p>
            <w:pPr>
              <w:pStyle w:val="1151"/>
              <w:jc w:val="center"/>
              <w:widowControl/>
              <w:rPr>
                <w:rFonts w:ascii="Calibri" w:hAnsi="Calibri"/>
                <w:szCs w:val="21"/>
              </w:rPr>
            </w:pPr>
            <w:r>
              <w:rPr>
                <w:rFonts w:ascii="Calibri" w:hAnsi="Calibri"/>
                <w:szCs w:val="21"/>
              </w:rPr>
              <w:t xml:space="preserve">接地</w:t>
            </w:r>
            <w:r>
              <w:rPr>
                <w:rFonts w:ascii="Calibri" w:hAnsi="Calibri"/>
                <w:szCs w:val="21"/>
              </w:rPr>
            </w:r>
            <w:r/>
          </w:p>
        </w:tc>
        <w:tc>
          <w:tcPr>
            <w:tcW w:w="1595" w:type="dxa"/>
            <w:vAlign w:val="center"/>
            <w:textDirection w:val="lrTb"/>
            <w:noWrap w:val="false"/>
          </w:tcPr>
          <w:p>
            <w:pPr>
              <w:pStyle w:val="1151"/>
              <w:jc w:val="center"/>
              <w:widowControl/>
              <w:rPr>
                <w:rFonts w:ascii="Calibri" w:hAnsi="Calibri"/>
                <w:szCs w:val="21"/>
              </w:rPr>
            </w:pPr>
            <w:r>
              <w:rPr>
                <w:rFonts w:ascii="Calibri" w:hAnsi="Calibri"/>
                <w:szCs w:val="21"/>
              </w:rPr>
            </w:r>
            <w:r/>
          </w:p>
        </w:tc>
        <w:tc>
          <w:tcPr>
            <w:tcW w:w="1735" w:type="dxa"/>
            <w:vAlign w:val="center"/>
            <w:textDirection w:val="lrTb"/>
            <w:noWrap w:val="false"/>
          </w:tcPr>
          <w:p>
            <w:pPr>
              <w:pStyle w:val="1151"/>
              <w:jc w:val="center"/>
              <w:widowControl/>
              <w:rPr>
                <w:rFonts w:ascii="Calibri" w:hAnsi="Calibri"/>
                <w:szCs w:val="21"/>
              </w:rPr>
            </w:pPr>
            <w:r>
              <w:rPr>
                <w:rFonts w:ascii="Calibri" w:hAnsi="Calibri"/>
                <w:szCs w:val="21"/>
              </w:rPr>
            </w:r>
            <w:r/>
          </w:p>
        </w:tc>
      </w:tr>
    </w:tbl>
    <w:p>
      <w:pPr>
        <w:pStyle w:val="1151"/>
        <w:ind w:firstLine="418"/>
        <w:rPr>
          <w:szCs w:val="21"/>
        </w:rPr>
      </w:pPr>
      <w:r>
        <w:rPr>
          <w:szCs w:val="21"/>
        </w:rPr>
      </w:r>
      <w:r/>
    </w:p>
    <w:p>
      <w:pPr>
        <w:pStyle w:val="1151"/>
        <w:jc w:val="left"/>
        <w:spacing w:line="312" w:lineRule="exact"/>
        <w:rPr>
          <w:rFonts w:ascii="黑体" w:hAnsi="黑体" w:eastAsia="黑体"/>
          <w:szCs w:val="21"/>
        </w:rPr>
        <w:outlineLvl w:val="2"/>
      </w:pPr>
      <w:r>
        <w:rPr>
          <w:rFonts w:ascii="黑体" w:hAnsi="黑体" w:eastAsia="黑体"/>
          <w:szCs w:val="21"/>
        </w:rPr>
        <w:t xml:space="preserve">D</w:t>
      </w:r>
      <w:r>
        <w:rPr>
          <w:rFonts w:hint="eastAsia" w:ascii="黑体" w:hAnsi="黑体" w:eastAsia="黑体"/>
          <w:szCs w:val="21"/>
        </w:rPr>
        <w:t xml:space="preserve">.1.</w:t>
      </w:r>
      <w:r>
        <w:rPr>
          <w:rFonts w:ascii="黑体" w:hAnsi="黑体" w:eastAsia="黑体"/>
          <w:szCs w:val="21"/>
        </w:rPr>
        <w:t xml:space="preserve">12</w:t>
      </w:r>
      <w:r>
        <w:rPr>
          <w:rFonts w:hint="eastAsia" w:ascii="黑体" w:hAnsi="黑体" w:eastAsia="黑体"/>
          <w:szCs w:val="21"/>
        </w:rPr>
        <w:t xml:space="preserve">间隔二次模块20芯凤凰</w:t>
      </w:r>
      <w:r>
        <w:rPr>
          <w:rFonts w:ascii="黑体" w:hAnsi="黑体" w:eastAsia="黑体"/>
          <w:szCs w:val="21"/>
        </w:rPr>
        <w:t xml:space="preserve">端子排定义</w:t>
      </w:r>
      <w:r>
        <w:rPr>
          <w:rFonts w:ascii="黑体" w:hAnsi="黑体" w:eastAsia="黑体"/>
          <w:szCs w:val="21"/>
        </w:rPr>
      </w:r>
      <w:r/>
    </w:p>
    <w:p>
      <w:pPr>
        <w:pStyle w:val="1151"/>
        <w:jc w:val="center"/>
        <w:rPr>
          <w:szCs w:val="21"/>
        </w:rPr>
      </w:pPr>
      <w:r>
        <w:rPr>
          <w:rFonts w:hint="eastAsia"/>
          <w:szCs w:val="21"/>
        </w:rPr>
        <w:t xml:space="preserve">表</w:t>
      </w:r>
      <w:r>
        <w:rPr>
          <w:szCs w:val="21"/>
        </w:rPr>
        <w:t xml:space="preserve">D</w:t>
      </w:r>
      <w:r>
        <w:rPr>
          <w:rFonts w:hint="eastAsia"/>
          <w:szCs w:val="21"/>
        </w:rPr>
        <w:t xml:space="preserve">.</w:t>
      </w:r>
      <w:r>
        <w:rPr>
          <w:szCs w:val="21"/>
        </w:rPr>
        <w:t xml:space="preserve">1</w:t>
      </w:r>
      <w:r>
        <w:rPr>
          <w:rFonts w:hint="eastAsia"/>
          <w:szCs w:val="21"/>
        </w:rPr>
        <w:t xml:space="preserve">-</w:t>
      </w:r>
      <w:r>
        <w:rPr>
          <w:szCs w:val="21"/>
        </w:rPr>
        <w:t xml:space="preserve">12</w:t>
      </w:r>
      <w:r>
        <w:rPr>
          <w:rFonts w:hint="eastAsia"/>
          <w:szCs w:val="21"/>
        </w:rPr>
        <w:t xml:space="preserve">间隔二次模块20芯凤凰</w:t>
      </w:r>
      <w:r>
        <w:rPr>
          <w:szCs w:val="21"/>
        </w:rPr>
        <w:t xml:space="preserve">端子排定义</w:t>
      </w:r>
      <w:r>
        <w:rPr>
          <w:szCs w:val="21"/>
        </w:rPr>
      </w:r>
      <w:r/>
    </w:p>
    <w:tbl>
      <w:tblPr>
        <w:tblW w:w="74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225"/>
        <w:gridCol w:w="979"/>
        <w:gridCol w:w="1496"/>
        <w:gridCol w:w="1809"/>
        <w:gridCol w:w="1088"/>
      </w:tblGrid>
      <w:tr>
        <w:trPr/>
        <w:tc>
          <w:tcPr>
            <w:tcW w:w="846"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引脚号</w:t>
            </w:r>
            <w:r>
              <w:rPr>
                <w:rFonts w:ascii="Calibri" w:hAnsi="Calibri"/>
                <w:szCs w:val="21"/>
              </w:rPr>
            </w:r>
            <w:r/>
          </w:p>
        </w:tc>
        <w:tc>
          <w:tcPr>
            <w:tcW w:w="12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标记</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r>
            <w:r/>
          </w:p>
        </w:tc>
        <w:tc>
          <w:tcPr>
            <w:tcW w:w="1496"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标记说明</w:t>
            </w:r>
            <w:r>
              <w:rPr>
                <w:rFonts w:ascii="Calibri" w:hAnsi="Calibri"/>
                <w:szCs w:val="21"/>
              </w:rPr>
            </w:r>
            <w:r/>
          </w:p>
        </w:tc>
        <w:tc>
          <w:tcPr>
            <w:tcW w:w="1809"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电缆规格</w:t>
            </w:r>
            <w:r>
              <w:rPr>
                <w:rFonts w:ascii="Calibri" w:hAnsi="Calibri"/>
                <w:szCs w:val="21"/>
              </w:rPr>
            </w:r>
            <w:r/>
          </w:p>
        </w:tc>
        <w:tc>
          <w:tcPr>
            <w:tcW w:w="1088"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备注</w:t>
            </w:r>
            <w:r>
              <w:rPr>
                <w:rFonts w:ascii="Calibri" w:hAnsi="Calibri"/>
                <w:szCs w:val="21"/>
              </w:rPr>
            </w:r>
            <w:r/>
          </w:p>
        </w:tc>
      </w:tr>
      <w:tr>
        <w:trPr>
          <w:trHeight w:val="9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1</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PW+</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t xml:space="preserve">PW+</w:t>
            </w: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24V电源</w:t>
            </w:r>
            <w:r>
              <w:rPr>
                <w:rFonts w:hint="eastAsia" w:ascii="Calibri" w:hAnsi="Calibri"/>
                <w:szCs w:val="21"/>
              </w:rPr>
              <w:t xml:space="preserve">+</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9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t xml:space="preserve">PW+</w:t>
            </w:r>
            <w:r>
              <w:rPr>
                <w:rFonts w:ascii="Calibri" w:hAnsi="Calibri"/>
                <w:szCs w:val="21"/>
              </w:rPr>
            </w:r>
            <w:r/>
          </w:p>
        </w:tc>
        <w:tc>
          <w:tcPr>
            <w:tcW w:w="149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9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2</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PW -</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t xml:space="preserve">PW -</w:t>
            </w: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24V电源-</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9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t xml:space="preserve">PW -</w:t>
            </w:r>
            <w:r>
              <w:rPr>
                <w:rFonts w:ascii="Calibri" w:hAnsi="Calibri"/>
                <w:szCs w:val="21"/>
              </w:rPr>
            </w:r>
            <w:r/>
          </w:p>
        </w:tc>
        <w:tc>
          <w:tcPr>
            <w:tcW w:w="149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9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3</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KM+</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t xml:space="preserve">KM+</w:t>
            </w: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48V电源+</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9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t xml:space="preserve">KM+</w:t>
            </w:r>
            <w:r>
              <w:rPr>
                <w:rFonts w:ascii="Calibri" w:hAnsi="Calibri"/>
                <w:szCs w:val="21"/>
              </w:rPr>
            </w:r>
            <w:r/>
          </w:p>
        </w:tc>
        <w:tc>
          <w:tcPr>
            <w:tcW w:w="149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9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4</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KM-</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t xml:space="preserve">KM-</w:t>
            </w: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48V电源-</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9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t xml:space="preserve">KM-</w:t>
            </w:r>
            <w:r>
              <w:rPr>
                <w:rFonts w:ascii="Calibri" w:hAnsi="Calibri"/>
                <w:szCs w:val="21"/>
              </w:rPr>
            </w:r>
            <w:r/>
          </w:p>
        </w:tc>
        <w:tc>
          <w:tcPr>
            <w:tcW w:w="149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9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5</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KM+</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t xml:space="preserve">KM+</w:t>
            </w: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48V电源+</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9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t xml:space="preserve">KM+</w:t>
            </w:r>
            <w:r>
              <w:rPr>
                <w:rFonts w:ascii="Calibri" w:hAnsi="Calibri"/>
                <w:szCs w:val="21"/>
              </w:rPr>
            </w:r>
            <w:r/>
          </w:p>
        </w:tc>
        <w:tc>
          <w:tcPr>
            <w:tcW w:w="149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9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6</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KM-</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t xml:space="preserve">KM-</w:t>
            </w: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48V电源-</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9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t xml:space="preserve">KM-</w:t>
            </w:r>
            <w:r>
              <w:rPr>
                <w:rFonts w:ascii="Calibri" w:hAnsi="Calibri"/>
                <w:szCs w:val="21"/>
              </w:rPr>
            </w:r>
            <w:r/>
          </w:p>
        </w:tc>
        <w:tc>
          <w:tcPr>
            <w:tcW w:w="149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9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7</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hint="eastAsia"/>
                <w:szCs w:val="21"/>
              </w:rPr>
              <w:t xml:space="preserve">Ua</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hint="eastAsia"/>
                <w:szCs w:val="21"/>
              </w:rPr>
              <w:t xml:space="preserve">Ua</w:t>
            </w: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A</w:t>
            </w:r>
            <w:r>
              <w:rPr>
                <w:rFonts w:ascii="Calibri" w:hAnsi="Calibri"/>
                <w:szCs w:val="21"/>
              </w:rPr>
              <w:t xml:space="preserve">相电压</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9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hint="eastAsia"/>
                <w:szCs w:val="21"/>
              </w:rPr>
              <w:t xml:space="preserve">Ua</w:t>
            </w:r>
            <w:r>
              <w:rPr>
                <w:rFonts w:ascii="Calibri" w:hAnsi="Calibri"/>
                <w:szCs w:val="21"/>
              </w:rPr>
            </w:r>
            <w:r/>
          </w:p>
        </w:tc>
        <w:tc>
          <w:tcPr>
            <w:tcW w:w="149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9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8</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hint="eastAsia"/>
                <w:szCs w:val="21"/>
              </w:rPr>
              <w:t xml:space="preserve">Ub</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hint="eastAsia"/>
                <w:szCs w:val="21"/>
              </w:rPr>
              <w:t xml:space="preserve">Ub</w:t>
            </w: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B相电压</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9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hint="eastAsia"/>
                <w:szCs w:val="21"/>
              </w:rPr>
              <w:t xml:space="preserve">Ub</w:t>
            </w:r>
            <w:r>
              <w:rPr>
                <w:rFonts w:ascii="Calibri" w:hAnsi="Calibri"/>
                <w:szCs w:val="21"/>
              </w:rPr>
            </w:r>
            <w:r/>
          </w:p>
        </w:tc>
        <w:tc>
          <w:tcPr>
            <w:tcW w:w="149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9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9</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hint="eastAsia"/>
                <w:szCs w:val="21"/>
              </w:rPr>
              <w:t xml:space="preserve">Uc</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hint="eastAsia"/>
                <w:szCs w:val="21"/>
              </w:rPr>
              <w:t xml:space="preserve">Uc</w:t>
            </w: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C相电压</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9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hint="eastAsia"/>
                <w:szCs w:val="21"/>
              </w:rPr>
              <w:t xml:space="preserve">Uc</w:t>
            </w:r>
            <w:r>
              <w:rPr>
                <w:rFonts w:ascii="Calibri" w:hAnsi="Calibri"/>
                <w:szCs w:val="21"/>
              </w:rPr>
            </w:r>
            <w:r/>
          </w:p>
        </w:tc>
        <w:tc>
          <w:tcPr>
            <w:tcW w:w="149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9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10</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hint="eastAsia"/>
                <w:szCs w:val="21"/>
              </w:rPr>
              <w:t xml:space="preserve">Un</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hint="eastAsia"/>
                <w:szCs w:val="21"/>
              </w:rPr>
              <w:t xml:space="preserve">Un</w:t>
            </w: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公共端</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9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hint="eastAsia"/>
                <w:szCs w:val="21"/>
              </w:rPr>
              <w:t xml:space="preserve">Un</w:t>
            </w:r>
            <w:r>
              <w:rPr>
                <w:rFonts w:ascii="Calibri" w:hAnsi="Calibri"/>
                <w:szCs w:val="21"/>
              </w:rPr>
            </w:r>
            <w:r/>
          </w:p>
        </w:tc>
        <w:tc>
          <w:tcPr>
            <w:tcW w:w="149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9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11</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hint="eastAsia"/>
                <w:szCs w:val="21"/>
              </w:rPr>
              <w:t xml:space="preserve">U0</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hint="eastAsia"/>
                <w:szCs w:val="21"/>
              </w:rPr>
              <w:t xml:space="preserve">U0</w:t>
            </w: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零序电压</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9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hint="eastAsia"/>
                <w:szCs w:val="21"/>
              </w:rPr>
              <w:t xml:space="preserve">U0</w:t>
            </w:r>
            <w:r>
              <w:rPr>
                <w:rFonts w:ascii="Calibri" w:hAnsi="Calibri"/>
                <w:szCs w:val="21"/>
              </w:rPr>
            </w:r>
            <w:r/>
          </w:p>
        </w:tc>
        <w:tc>
          <w:tcPr>
            <w:tcW w:w="149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9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12</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hint="eastAsia"/>
                <w:szCs w:val="21"/>
              </w:rPr>
              <w:t xml:space="preserve">U</w:t>
            </w:r>
            <w:r>
              <w:rPr>
                <w:szCs w:val="21"/>
              </w:rPr>
              <w:t xml:space="preserve">0</w:t>
            </w:r>
            <w:r>
              <w:rPr>
                <w:rFonts w:hint="eastAsia"/>
                <w:szCs w:val="21"/>
              </w:rPr>
              <w:t xml:space="preserve">n</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hint="eastAsia"/>
                <w:szCs w:val="21"/>
              </w:rPr>
              <w:t xml:space="preserve">U</w:t>
            </w:r>
            <w:r>
              <w:rPr>
                <w:szCs w:val="21"/>
              </w:rPr>
              <w:t xml:space="preserve">0</w:t>
            </w:r>
            <w:r>
              <w:rPr>
                <w:rFonts w:hint="eastAsia"/>
                <w:szCs w:val="21"/>
              </w:rPr>
              <w:t xml:space="preserve">n</w:t>
            </w: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零序电压</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1.5mm</w:t>
            </w:r>
            <w:r>
              <w:rPr>
                <w:rFonts w:hint="eastAsia" w:ascii="Calibri" w:hAnsi="Calibri"/>
                <w:szCs w:val="21"/>
              </w:rPr>
              <w:t xml:space="preserve">²</w:t>
            </w: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9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hint="eastAsia"/>
                <w:szCs w:val="21"/>
              </w:rPr>
              <w:t xml:space="preserve">U</w:t>
            </w:r>
            <w:r>
              <w:rPr>
                <w:szCs w:val="21"/>
              </w:rPr>
              <w:t xml:space="preserve">0</w:t>
            </w:r>
            <w:r>
              <w:rPr>
                <w:rFonts w:hint="eastAsia"/>
                <w:szCs w:val="21"/>
              </w:rPr>
              <w:t xml:space="preserve">n</w:t>
            </w:r>
            <w:r>
              <w:rPr>
                <w:rFonts w:ascii="Calibri" w:hAnsi="Calibri"/>
                <w:szCs w:val="21"/>
              </w:rPr>
            </w:r>
            <w:r/>
          </w:p>
        </w:tc>
        <w:tc>
          <w:tcPr>
            <w:tcW w:w="149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9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13</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PPS+</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hint="eastAsia" w:ascii="Calibri" w:hAnsi="Calibri"/>
                <w:szCs w:val="21"/>
              </w:rPr>
              <w:t xml:space="preserve">PPS+</w:t>
            </w: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秒脉冲</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9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hint="eastAsia" w:ascii="Calibri" w:hAnsi="Calibri"/>
                <w:szCs w:val="21"/>
              </w:rPr>
              <w:t xml:space="preserve">PPS+</w:t>
            </w:r>
            <w:r>
              <w:rPr>
                <w:rFonts w:ascii="Calibri" w:hAnsi="Calibri"/>
                <w:szCs w:val="21"/>
              </w:rPr>
            </w:r>
            <w:r/>
          </w:p>
        </w:tc>
        <w:tc>
          <w:tcPr>
            <w:tcW w:w="149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9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14</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PPS-</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hint="eastAsia" w:ascii="Calibri" w:hAnsi="Calibri"/>
                <w:szCs w:val="21"/>
              </w:rPr>
              <w:t xml:space="preserve">PPS-</w:t>
            </w: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秒脉冲</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9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hint="eastAsia" w:ascii="Calibri" w:hAnsi="Calibri"/>
                <w:szCs w:val="21"/>
              </w:rPr>
              <w:t xml:space="preserve">PPS-</w:t>
            </w:r>
            <w:r>
              <w:rPr>
                <w:rFonts w:ascii="Calibri" w:hAnsi="Calibri"/>
                <w:szCs w:val="21"/>
              </w:rPr>
            </w:r>
            <w:r/>
          </w:p>
        </w:tc>
        <w:tc>
          <w:tcPr>
            <w:tcW w:w="149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9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15</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PA</w:t>
            </w:r>
            <w:r>
              <w:rPr>
                <w:rFonts w:ascii="Calibri" w:hAnsi="Calibri"/>
                <w:szCs w:val="21"/>
              </w:rPr>
              <w:t xml:space="preserve">1+</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A相</w:t>
            </w:r>
            <w:r>
              <w:rPr>
                <w:rFonts w:ascii="Calibri" w:hAnsi="Calibri"/>
                <w:szCs w:val="21"/>
              </w:rPr>
              <w:t xml:space="preserve">电流表</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2.5mm</w:t>
            </w:r>
            <w:r>
              <w:rPr>
                <w:rFonts w:hint="eastAsia" w:ascii="Calibri" w:hAnsi="Calibri"/>
                <w:szCs w:val="21"/>
              </w:rPr>
              <w:t xml:space="preserve">²</w:t>
            </w: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9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r>
            <w:r/>
          </w:p>
        </w:tc>
        <w:tc>
          <w:tcPr>
            <w:tcW w:w="149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9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16</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PA</w:t>
            </w:r>
            <w:r>
              <w:rPr>
                <w:rFonts w:ascii="Calibri" w:hAnsi="Calibri"/>
                <w:szCs w:val="21"/>
              </w:rPr>
              <w:t xml:space="preserve">1-</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A相</w:t>
            </w:r>
            <w:r>
              <w:rPr>
                <w:rFonts w:ascii="Calibri" w:hAnsi="Calibri"/>
                <w:szCs w:val="21"/>
              </w:rPr>
              <w:t xml:space="preserve">电流表</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2.5mm</w:t>
            </w:r>
            <w:r>
              <w:rPr>
                <w:rFonts w:hint="eastAsia" w:ascii="Calibri" w:hAnsi="Calibri"/>
                <w:szCs w:val="21"/>
              </w:rPr>
              <w:t xml:space="preserve">²</w:t>
            </w: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9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r>
            <w:r/>
          </w:p>
        </w:tc>
        <w:tc>
          <w:tcPr>
            <w:tcW w:w="149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9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17</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PA</w:t>
            </w:r>
            <w:r>
              <w:rPr>
                <w:rFonts w:ascii="Calibri" w:hAnsi="Calibri"/>
                <w:szCs w:val="21"/>
              </w:rPr>
              <w:t xml:space="preserve">2+</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B相</w:t>
            </w:r>
            <w:r>
              <w:rPr>
                <w:rFonts w:ascii="Calibri" w:hAnsi="Calibri"/>
                <w:szCs w:val="21"/>
              </w:rPr>
              <w:t xml:space="preserve">电流表</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2.5mm</w:t>
            </w:r>
            <w:r>
              <w:rPr>
                <w:rFonts w:hint="eastAsia" w:ascii="Calibri" w:hAnsi="Calibri"/>
                <w:szCs w:val="21"/>
              </w:rPr>
              <w:t xml:space="preserve">²</w:t>
            </w: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9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r>
            <w:r/>
          </w:p>
        </w:tc>
        <w:tc>
          <w:tcPr>
            <w:tcW w:w="149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9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18</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PA</w:t>
            </w:r>
            <w:r>
              <w:rPr>
                <w:rFonts w:ascii="Calibri" w:hAnsi="Calibri"/>
                <w:szCs w:val="21"/>
              </w:rPr>
              <w:t xml:space="preserve">2-</w:t>
            </w:r>
            <w:r>
              <w:rPr>
                <w:rFonts w:ascii="Calibri" w:hAnsi="Calibri"/>
                <w:szCs w:val="21"/>
              </w:rPr>
            </w:r>
            <w:r/>
          </w:p>
        </w:tc>
        <w:tc>
          <w:tcPr>
            <w:tcW w:w="979" w:type="dxa"/>
            <w:vAlign w:val="top"/>
            <w:textDirection w:val="lrTb"/>
            <w:noWrap w:val="false"/>
          </w:tcPr>
          <w:p>
            <w:pPr>
              <w:pStyle w:val="1151"/>
              <w:ind w:firstLine="420"/>
              <w:jc w:val="center"/>
              <w:widowControl/>
              <w:rPr>
                <w:rFonts w:ascii="Calibri" w:hAnsi="Calibri"/>
                <w:szCs w:val="21"/>
              </w:rPr>
            </w:pP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B相</w:t>
            </w:r>
            <w:r>
              <w:rPr>
                <w:rFonts w:ascii="Calibri" w:hAnsi="Calibri"/>
                <w:szCs w:val="21"/>
              </w:rPr>
              <w:t xml:space="preserve">电流表</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2.5mm</w:t>
            </w:r>
            <w:r>
              <w:rPr>
                <w:rFonts w:hint="eastAsia" w:ascii="Calibri" w:hAnsi="Calibri"/>
                <w:szCs w:val="21"/>
              </w:rPr>
              <w:t xml:space="preserve">²</w:t>
            </w: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9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ind w:firstLine="420"/>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ind w:firstLine="420"/>
              <w:jc w:val="center"/>
              <w:widowControl/>
              <w:rPr>
                <w:rFonts w:ascii="Calibri" w:hAnsi="Calibri"/>
                <w:szCs w:val="21"/>
              </w:rPr>
            </w:pPr>
            <w:r>
              <w:rPr>
                <w:rFonts w:ascii="Calibri" w:hAnsi="Calibri"/>
                <w:szCs w:val="21"/>
              </w:rPr>
            </w:r>
            <w:r/>
          </w:p>
        </w:tc>
        <w:tc>
          <w:tcPr>
            <w:tcW w:w="1496" w:type="dxa"/>
            <w:vAlign w:val="center"/>
            <w:vMerge w:val="continue"/>
            <w:textDirection w:val="lrTb"/>
            <w:noWrap w:val="false"/>
          </w:tcPr>
          <w:p>
            <w:pPr>
              <w:pStyle w:val="1151"/>
              <w:ind w:firstLine="420"/>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63"/>
        </w:trPr>
        <w:tc>
          <w:tcPr>
            <w:tcW w:w="84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19</w:t>
            </w:r>
            <w:r>
              <w:rPr>
                <w:rFonts w:ascii="Calibri" w:hAnsi="Calibri"/>
                <w:szCs w:val="21"/>
              </w:rPr>
            </w:r>
            <w:r/>
          </w:p>
        </w:tc>
        <w:tc>
          <w:tcPr>
            <w:tcW w:w="1225"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PA</w:t>
            </w:r>
            <w:r>
              <w:rPr>
                <w:rFonts w:ascii="Calibri" w:hAnsi="Calibri"/>
                <w:szCs w:val="21"/>
              </w:rPr>
              <w:t xml:space="preserve">3+</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r>
            <w:r/>
          </w:p>
        </w:tc>
        <w:tc>
          <w:tcPr>
            <w:tcW w:w="1496" w:type="dxa"/>
            <w:vAlign w:val="center"/>
            <w:vMerge w:val="restart"/>
            <w:textDirection w:val="lrTb"/>
            <w:noWrap w:val="false"/>
          </w:tcPr>
          <w:p>
            <w:pPr>
              <w:pStyle w:val="1151"/>
              <w:jc w:val="center"/>
              <w:widowControl/>
              <w:rPr>
                <w:rFonts w:ascii="Calibri" w:hAnsi="Calibri"/>
                <w:szCs w:val="21"/>
              </w:rPr>
            </w:pPr>
            <w:r>
              <w:rPr>
                <w:rFonts w:ascii="Calibri" w:hAnsi="Calibri"/>
                <w:szCs w:val="21"/>
              </w:rPr>
              <w:t xml:space="preserve">C</w:t>
            </w:r>
            <w:r>
              <w:rPr>
                <w:rFonts w:hint="eastAsia" w:ascii="Calibri" w:hAnsi="Calibri"/>
                <w:szCs w:val="21"/>
              </w:rPr>
              <w:t xml:space="preserve">相</w:t>
            </w:r>
            <w:r>
              <w:rPr>
                <w:rFonts w:ascii="Calibri" w:hAnsi="Calibri"/>
                <w:szCs w:val="21"/>
              </w:rPr>
              <w:t xml:space="preserve">电流表</w:t>
            </w:r>
            <w:r>
              <w:rPr>
                <w:rFonts w:ascii="Calibri" w:hAnsi="Calibri"/>
                <w:szCs w:val="21"/>
              </w:rPr>
            </w:r>
            <w:r/>
          </w:p>
        </w:tc>
        <w:tc>
          <w:tcPr>
            <w:tcW w:w="1809" w:type="dxa"/>
            <w:vAlign w:val="center"/>
            <w:vMerge w:val="restart"/>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2.5mm</w:t>
            </w:r>
            <w:r>
              <w:rPr>
                <w:rFonts w:hint="eastAsia" w:ascii="Calibri" w:hAnsi="Calibri"/>
                <w:szCs w:val="21"/>
              </w:rPr>
              <w:t xml:space="preserve">²</w:t>
            </w:r>
            <w:r>
              <w:rPr>
                <w:rFonts w:ascii="Calibri" w:hAnsi="Calibri"/>
                <w:szCs w:val="21"/>
              </w:rPr>
            </w:r>
            <w:r/>
          </w:p>
        </w:tc>
        <w:tc>
          <w:tcPr>
            <w:tcW w:w="1088" w:type="dxa"/>
            <w:vAlign w:val="center"/>
            <w:vMerge w:val="restart"/>
            <w:textDirection w:val="lrTb"/>
            <w:noWrap w:val="false"/>
          </w:tcPr>
          <w:p>
            <w:pPr>
              <w:pStyle w:val="1151"/>
              <w:jc w:val="center"/>
              <w:widowControl/>
              <w:rPr>
                <w:rFonts w:ascii="Calibri" w:hAnsi="Calibri"/>
                <w:szCs w:val="21"/>
              </w:rPr>
            </w:pPr>
            <w:r>
              <w:rPr>
                <w:rFonts w:ascii="Calibri" w:hAnsi="Calibri"/>
                <w:szCs w:val="21"/>
              </w:rPr>
            </w:r>
            <w:r/>
          </w:p>
        </w:tc>
      </w:tr>
      <w:tr>
        <w:trPr>
          <w:trHeight w:val="62"/>
        </w:trPr>
        <w:tc>
          <w:tcPr>
            <w:tcW w:w="84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225"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r>
            <w:r/>
          </w:p>
        </w:tc>
        <w:tc>
          <w:tcPr>
            <w:tcW w:w="1496"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809"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c>
          <w:tcPr>
            <w:tcW w:w="1088" w:type="dxa"/>
            <w:vAlign w:val="center"/>
            <w:vMerge w:val="continue"/>
            <w:textDirection w:val="lrTb"/>
            <w:noWrap w:val="false"/>
          </w:tcPr>
          <w:p>
            <w:pPr>
              <w:pStyle w:val="1151"/>
              <w:jc w:val="center"/>
              <w:widowControl/>
              <w:rPr>
                <w:rFonts w:ascii="Calibri" w:hAnsi="Calibri"/>
                <w:szCs w:val="21"/>
              </w:rPr>
            </w:pPr>
            <w:r>
              <w:rPr>
                <w:rFonts w:ascii="Calibri" w:hAnsi="Calibri"/>
                <w:szCs w:val="21"/>
              </w:rPr>
            </w:r>
            <w:r/>
          </w:p>
        </w:tc>
      </w:tr>
      <w:tr>
        <w:trPr>
          <w:trHeight w:val="63"/>
        </w:trPr>
        <w:tc>
          <w:tcPr>
            <w:tcW w:w="846" w:type="dxa"/>
            <w:vAlign w:val="center"/>
            <w:textDirection w:val="lrTb"/>
            <w:noWrap w:val="false"/>
          </w:tcPr>
          <w:p>
            <w:pPr>
              <w:pStyle w:val="1151"/>
              <w:jc w:val="center"/>
              <w:widowControl/>
              <w:rPr>
                <w:rFonts w:ascii="Calibri" w:hAnsi="Calibri"/>
                <w:szCs w:val="21"/>
              </w:rPr>
            </w:pPr>
            <w:r>
              <w:rPr>
                <w:rFonts w:ascii="Calibri" w:hAnsi="Calibri"/>
                <w:szCs w:val="21"/>
              </w:rPr>
              <w:t xml:space="preserve">20</w:t>
            </w:r>
            <w:r>
              <w:rPr>
                <w:rFonts w:ascii="Calibri" w:hAnsi="Calibri"/>
                <w:szCs w:val="21"/>
              </w:rPr>
            </w:r>
            <w:r/>
          </w:p>
        </w:tc>
        <w:tc>
          <w:tcPr>
            <w:tcW w:w="1225"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PA</w:t>
            </w:r>
            <w:r>
              <w:rPr>
                <w:rFonts w:ascii="Calibri" w:hAnsi="Calibri"/>
                <w:szCs w:val="21"/>
              </w:rPr>
              <w:t xml:space="preserve">3-</w:t>
            </w:r>
            <w:r>
              <w:rPr>
                <w:rFonts w:ascii="Calibri" w:hAnsi="Calibri"/>
                <w:szCs w:val="21"/>
              </w:rPr>
            </w:r>
            <w:r/>
          </w:p>
        </w:tc>
        <w:tc>
          <w:tcPr>
            <w:tcW w:w="979" w:type="dxa"/>
            <w:vAlign w:val="top"/>
            <w:textDirection w:val="lrTb"/>
            <w:noWrap w:val="false"/>
          </w:tcPr>
          <w:p>
            <w:pPr>
              <w:pStyle w:val="1151"/>
              <w:jc w:val="center"/>
              <w:widowControl/>
              <w:rPr>
                <w:rFonts w:ascii="Calibri" w:hAnsi="Calibri"/>
                <w:szCs w:val="21"/>
              </w:rPr>
            </w:pPr>
            <w:r>
              <w:rPr>
                <w:rFonts w:ascii="Calibri" w:hAnsi="Calibri"/>
                <w:szCs w:val="21"/>
              </w:rPr>
            </w:r>
            <w:r/>
          </w:p>
        </w:tc>
        <w:tc>
          <w:tcPr>
            <w:tcW w:w="1496" w:type="dxa"/>
            <w:vAlign w:val="center"/>
            <w:textDirection w:val="lrTb"/>
            <w:noWrap w:val="false"/>
          </w:tcPr>
          <w:p>
            <w:pPr>
              <w:pStyle w:val="1151"/>
              <w:jc w:val="center"/>
              <w:widowControl/>
              <w:rPr>
                <w:rFonts w:ascii="Calibri" w:hAnsi="Calibri"/>
                <w:szCs w:val="21"/>
              </w:rPr>
            </w:pPr>
            <w:r>
              <w:rPr>
                <w:rFonts w:ascii="Calibri" w:hAnsi="Calibri"/>
                <w:szCs w:val="21"/>
              </w:rPr>
              <w:t xml:space="preserve">C</w:t>
            </w:r>
            <w:r>
              <w:rPr>
                <w:rFonts w:hint="eastAsia" w:ascii="Calibri" w:hAnsi="Calibri"/>
                <w:szCs w:val="21"/>
              </w:rPr>
              <w:t xml:space="preserve">相</w:t>
            </w:r>
            <w:r>
              <w:rPr>
                <w:rFonts w:ascii="Calibri" w:hAnsi="Calibri"/>
                <w:szCs w:val="21"/>
              </w:rPr>
              <w:t xml:space="preserve">电流表</w:t>
            </w:r>
            <w:r>
              <w:rPr>
                <w:rFonts w:ascii="Calibri" w:hAnsi="Calibri"/>
                <w:szCs w:val="21"/>
              </w:rPr>
            </w:r>
            <w:r/>
          </w:p>
        </w:tc>
        <w:tc>
          <w:tcPr>
            <w:tcW w:w="1809" w:type="dxa"/>
            <w:vAlign w:val="center"/>
            <w:textDirection w:val="lrTb"/>
            <w:noWrap w:val="false"/>
          </w:tcPr>
          <w:p>
            <w:pPr>
              <w:pStyle w:val="1151"/>
              <w:jc w:val="center"/>
              <w:widowControl/>
              <w:rPr>
                <w:rFonts w:ascii="Calibri" w:hAnsi="Calibri"/>
                <w:szCs w:val="21"/>
              </w:rPr>
            </w:pPr>
            <w:r>
              <w:rPr>
                <w:rFonts w:hint="eastAsia" w:ascii="Calibri" w:hAnsi="Calibri"/>
                <w:szCs w:val="21"/>
              </w:rPr>
              <w:t xml:space="preserve">RV</w:t>
            </w:r>
            <w:r>
              <w:rPr>
                <w:rFonts w:ascii="Calibri" w:hAnsi="Calibri"/>
                <w:szCs w:val="21"/>
              </w:rPr>
              <w:t xml:space="preserve">2.5mm</w:t>
            </w:r>
            <w:r>
              <w:rPr>
                <w:rFonts w:hint="eastAsia" w:ascii="Calibri" w:hAnsi="Calibri"/>
                <w:szCs w:val="21"/>
              </w:rPr>
              <w:t xml:space="preserve">²</w:t>
            </w:r>
            <w:r>
              <w:rPr>
                <w:rFonts w:ascii="Calibri" w:hAnsi="Calibri"/>
                <w:szCs w:val="21"/>
              </w:rPr>
            </w:r>
            <w:r/>
          </w:p>
        </w:tc>
        <w:tc>
          <w:tcPr>
            <w:tcW w:w="1088" w:type="dxa"/>
            <w:vAlign w:val="center"/>
            <w:textDirection w:val="lrTb"/>
            <w:noWrap w:val="false"/>
          </w:tcPr>
          <w:p>
            <w:pPr>
              <w:pStyle w:val="1151"/>
              <w:jc w:val="center"/>
              <w:widowControl/>
              <w:rPr>
                <w:rFonts w:ascii="Calibri" w:hAnsi="Calibri"/>
                <w:szCs w:val="21"/>
              </w:rPr>
            </w:pPr>
            <w:r>
              <w:rPr>
                <w:rFonts w:ascii="Calibri" w:hAnsi="Calibri"/>
                <w:szCs w:val="21"/>
              </w:rPr>
            </w:r>
            <w:r/>
          </w:p>
        </w:tc>
      </w:tr>
    </w:tbl>
    <w:p>
      <w:pPr>
        <w:pStyle w:val="1151"/>
        <w:jc w:val="left"/>
        <w:widowControl/>
      </w:pPr>
      <w:r/>
      <w:r/>
    </w:p>
    <w:p>
      <w:pPr>
        <w:pStyle w:val="1151"/>
        <w:spacing w:line="312" w:lineRule="exact"/>
        <w:rPr>
          <w:rFonts w:ascii="黑体" w:hAnsi="黑体"/>
          <w:szCs w:val="21"/>
        </w:rPr>
        <w:outlineLvl w:val="1"/>
      </w:pPr>
      <w:r/>
      <w:bookmarkStart w:id="411" w:name="_Toc35713686"/>
      <w:r>
        <w:rPr>
          <w:rFonts w:ascii="黑体" w:hAnsi="黑体" w:eastAsia="黑体"/>
          <w:szCs w:val="21"/>
        </w:rPr>
        <w:t xml:space="preserve">D.2</w:t>
      </w:r>
      <w:r>
        <w:rPr>
          <w:rFonts w:hint="eastAsia" w:ascii="黑体" w:hAnsi="黑体" w:eastAsia="黑体"/>
          <w:szCs w:val="21"/>
        </w:rPr>
        <w:t xml:space="preserve">矩形连接器结构尺寸</w:t>
      </w:r>
      <w:bookmarkEnd w:id="411"/>
      <w:r>
        <w:rPr>
          <w:rFonts w:ascii="黑体" w:hAnsi="黑体"/>
          <w:szCs w:val="21"/>
        </w:rPr>
      </w:r>
      <w:r/>
    </w:p>
    <w:p>
      <w:pPr>
        <w:pStyle w:val="1151"/>
        <w:ind w:firstLine="480"/>
        <w:rPr>
          <w:rStyle w:val="1246"/>
          <w:rFonts w:hAnsi="宋体" w:cs="宋体"/>
        </w:rPr>
      </w:pPr>
      <w:r>
        <w:rPr>
          <w:rStyle w:val="1246"/>
          <w:rFonts w:hint="eastAsia" w:hAnsi="宋体" w:cs="宋体"/>
        </w:rPr>
        <w:t xml:space="preserve">6.5.9.1 防呆设计</w:t>
      </w:r>
      <w:r>
        <w:rPr>
          <w:rStyle w:val="1246"/>
          <w:rFonts w:hAnsi="宋体" w:cs="宋体"/>
        </w:rPr>
      </w:r>
      <w:r/>
    </w:p>
    <w:p>
      <w:pPr>
        <w:pStyle w:val="1151"/>
        <w:jc w:val="left"/>
        <w:spacing w:line="312" w:lineRule="exact"/>
        <w:rPr>
          <w:rFonts w:ascii="黑体" w:hAnsi="黑体" w:eastAsia="黑体"/>
          <w:szCs w:val="21"/>
        </w:rPr>
        <w:outlineLvl w:val="2"/>
      </w:pPr>
      <w:r>
        <w:rPr>
          <w:rFonts w:ascii="黑体" w:hAnsi="黑体" w:eastAsia="黑体"/>
          <w:szCs w:val="21"/>
        </w:rPr>
        <w:t xml:space="preserve">D.2</w:t>
      </w:r>
      <w:r>
        <w:rPr>
          <w:rFonts w:hint="eastAsia" w:ascii="黑体" w:hAnsi="黑体" w:eastAsia="黑体"/>
          <w:szCs w:val="21"/>
        </w:rPr>
        <w:t xml:space="preserve">.</w:t>
      </w:r>
      <w:r>
        <w:rPr>
          <w:rFonts w:ascii="黑体" w:hAnsi="黑体" w:eastAsia="黑体"/>
          <w:szCs w:val="21"/>
        </w:rPr>
        <w:t xml:space="preserve">1</w:t>
      </w:r>
      <w:r>
        <w:rPr>
          <w:rFonts w:hint="eastAsia" w:ascii="黑体" w:hAnsi="黑体" w:eastAsia="黑体"/>
          <w:szCs w:val="21"/>
        </w:rPr>
        <w:t xml:space="preserve">矩形连接器防呆设计</w:t>
      </w:r>
      <w:r>
        <w:rPr>
          <w:rFonts w:ascii="黑体" w:hAnsi="黑体" w:eastAsia="黑体"/>
          <w:szCs w:val="21"/>
        </w:rPr>
      </w:r>
      <w:r/>
    </w:p>
    <w:p>
      <w:pPr>
        <w:pStyle w:val="1151"/>
        <w:ind w:firstLine="420"/>
        <w:rPr>
          <w:szCs w:val="21"/>
        </w:rPr>
      </w:pPr>
      <w:r>
        <w:rPr>
          <w:rFonts w:hint="eastAsia"/>
          <w:szCs w:val="21"/>
        </w:rPr>
        <w:t xml:space="preserve">矩形连接器应具有防呆设计，其中分为自防呆(即一套头座间，防止正反都能互插的情况</w:t>
      </w:r>
      <w:r>
        <w:rPr>
          <w:szCs w:val="21"/>
        </w:rPr>
        <w:t xml:space="preserve">)</w:t>
      </w:r>
      <w:r>
        <w:rPr>
          <w:rFonts w:hint="eastAsia"/>
          <w:szCs w:val="21"/>
        </w:rPr>
        <w:t xml:space="preserve">和互防呆(即多套头座间，防止互相配插的情况</w:t>
      </w:r>
      <w:r>
        <w:rPr>
          <w:szCs w:val="21"/>
        </w:rPr>
        <w:t xml:space="preserve">)</w:t>
      </w:r>
      <w:r>
        <w:rPr>
          <w:rFonts w:hint="eastAsia"/>
          <w:szCs w:val="21"/>
        </w:rPr>
        <w:t xml:space="preserve">。</w:t>
      </w:r>
      <w:r>
        <w:rPr>
          <w:szCs w:val="21"/>
        </w:rPr>
      </w:r>
      <w:r/>
    </w:p>
    <w:p>
      <w:pPr>
        <w:pStyle w:val="1151"/>
        <w:ind w:firstLine="210"/>
        <w:spacing w:line="360" w:lineRule="auto"/>
        <w:rPr>
          <w:rStyle w:val="1246"/>
          <w:rFonts w:hAnsi="宋体"/>
        </w:rPr>
      </w:pPr>
      <w:r>
        <w:rPr>
          <w:rStyle w:val="1246"/>
          <w:rFonts w:hint="eastAsia" w:hAnsi="宋体"/>
        </w:rPr>
        <w:t xml:space="preserve">1、自防</w:t>
      </w:r>
      <w:r>
        <w:rPr>
          <w:rStyle w:val="1246"/>
          <w:rFonts w:hint="eastAsia" w:hAnsi="宋体" w:cs="宋体"/>
        </w:rPr>
        <w:t xml:space="preserve">呆设计</w:t>
      </w:r>
      <w:r>
        <w:rPr>
          <w:rStyle w:val="1246"/>
          <w:rFonts w:hAnsi="宋体"/>
        </w:rPr>
      </w:r>
      <w:r/>
    </w:p>
    <w:p>
      <w:pPr>
        <w:pStyle w:val="1151"/>
        <w:ind w:firstLine="420"/>
        <w:rPr>
          <w:szCs w:val="21"/>
        </w:rPr>
      </w:pPr>
      <w:r>
        <w:rPr>
          <w:rFonts w:hint="eastAsia"/>
          <w:szCs w:val="21"/>
        </w:rPr>
        <w:t xml:space="preserve">自防呆的结构设计如图D.</w:t>
      </w:r>
      <w:r>
        <w:rPr>
          <w:szCs w:val="21"/>
        </w:rPr>
        <w:t xml:space="preserve">2</w:t>
      </w:r>
      <w:r>
        <w:rPr>
          <w:rFonts w:hint="eastAsia"/>
          <w:szCs w:val="21"/>
        </w:rPr>
        <w:t xml:space="preserve">-1所示：</w:t>
      </w:r>
      <w:r>
        <w:rPr>
          <w:szCs w:val="21"/>
        </w:rPr>
      </w:r>
      <w:r/>
    </w:p>
    <w:p>
      <w:pPr>
        <w:pStyle w:val="1151"/>
        <w:ind w:firstLine="480"/>
      </w:pPr>
      <w:r>
        <mc:AlternateContent>
          <mc:Choice Requires="wpg">
            <w:drawing>
              <wp:inline xmlns:wp="http://schemas.openxmlformats.org/drawingml/2006/wordprocessingDrawing" distT="0" distB="0" distL="0" distR="0">
                <wp:extent cx="2474849" cy="1318197"/>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2474848" cy="1318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194.9pt;height:103.8pt;mso-wrap-distance-left:0.0pt;mso-wrap-distance-top:0.0pt;mso-wrap-distance-right:0.0pt;mso-wrap-distance-bottom:0.0pt;" stroked="f">
                <v:path textboxrect="0,0,0,0"/>
                <v:imagedata r:id="rId104" o:title=""/>
              </v:shape>
            </w:pict>
          </mc:Fallback>
        </mc:AlternateContent>
      </w:r>
      <w:r>
        <mc:AlternateContent>
          <mc:Choice Requires="wpg">
            <w:drawing>
              <wp:inline xmlns:wp="http://schemas.openxmlformats.org/drawingml/2006/wordprocessingDrawing" distT="0" distB="0" distL="0" distR="0">
                <wp:extent cx="2130997" cy="1289850"/>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2130997" cy="1289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167.8pt;height:101.6pt;mso-wrap-distance-left:0.0pt;mso-wrap-distance-top:0.0pt;mso-wrap-distance-right:0.0pt;mso-wrap-distance-bottom:0.0pt;" stroked="f">
                <v:path textboxrect="0,0,0,0"/>
                <v:imagedata r:id="rId105" o:title=""/>
              </v:shape>
            </w:pict>
          </mc:Fallback>
        </mc:AlternateContent>
      </w:r>
      <w:r/>
    </w:p>
    <w:p>
      <w:pPr>
        <w:pStyle w:val="1151"/>
        <w:jc w:val="center"/>
        <w:rPr>
          <w:szCs w:val="21"/>
        </w:rPr>
      </w:pPr>
      <w:r>
        <w:rPr>
          <w:rStyle w:val="1246"/>
          <w:rFonts w:hint="eastAsia" w:hAnsi="宋体"/>
        </w:rPr>
        <w:t xml:space="preserve">插座四周有非旋转对称的凸筋</w:t>
      </w:r>
      <w:r>
        <w:rPr>
          <w:szCs w:val="21"/>
        </w:rPr>
      </w:r>
      <w:r/>
    </w:p>
    <w:p>
      <w:pPr>
        <w:pStyle w:val="1151"/>
        <w:ind w:firstLine="480"/>
        <w:rPr>
          <w:rFonts w:ascii="宋体" w:hAnsi="宋体"/>
        </w:rPr>
      </w:pPr>
      <w:r>
        <mc:AlternateContent>
          <mc:Choice Requires="wpg">
            <w:drawing>
              <wp:inline xmlns:wp="http://schemas.openxmlformats.org/drawingml/2006/wordprocessingDrawing" distT="0" distB="0" distL="0" distR="0">
                <wp:extent cx="2446020" cy="1318260"/>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2446019" cy="1318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192.6pt;height:103.8pt;mso-wrap-distance-left:0.0pt;mso-wrap-distance-top:0.0pt;mso-wrap-distance-right:0.0pt;mso-wrap-distance-bottom:0.0pt;" stroked="f">
                <v:path textboxrect="0,0,0,0"/>
                <v:imagedata r:id="rId106" o:title=""/>
              </v:shape>
            </w:pict>
          </mc:Fallback>
        </mc:AlternateContent>
      </w:r>
      <w:r>
        <mc:AlternateContent>
          <mc:Choice Requires="wpg">
            <w:drawing>
              <wp:inline xmlns:wp="http://schemas.openxmlformats.org/drawingml/2006/wordprocessingDrawing" distT="0" distB="0" distL="0" distR="0">
                <wp:extent cx="1179830" cy="1297305"/>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1179830" cy="1297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92.9pt;height:102.1pt;mso-wrap-distance-left:0.0pt;mso-wrap-distance-top:0.0pt;mso-wrap-distance-right:0.0pt;mso-wrap-distance-bottom:0.0pt;" stroked="f">
                <v:path textboxrect="0,0,0,0"/>
                <v:imagedata r:id="rId107" o:title=""/>
              </v:shape>
            </w:pict>
          </mc:Fallback>
        </mc:AlternateContent>
      </w:r>
      <w:r>
        <w:rPr>
          <w:rFonts w:ascii="宋体" w:hAnsi="宋体"/>
        </w:rPr>
      </w:r>
      <w:r/>
    </w:p>
    <w:p>
      <w:pPr>
        <w:pStyle w:val="1151"/>
        <w:jc w:val="center"/>
        <w:rPr>
          <w:rStyle w:val="1246"/>
          <w:rFonts w:hAnsi="宋体"/>
        </w:rPr>
      </w:pPr>
      <w:r>
        <w:rPr>
          <w:rStyle w:val="1246"/>
          <w:rFonts w:hint="eastAsia" w:hAnsi="宋体"/>
        </w:rPr>
        <w:t xml:space="preserve">插头四周有非旋转对称的凹穴</w:t>
      </w:r>
      <w:r>
        <w:rPr>
          <w:rStyle w:val="1246"/>
          <w:rFonts w:hAnsi="宋体"/>
        </w:rPr>
      </w:r>
      <w:r/>
    </w:p>
    <w:p>
      <w:pPr>
        <w:pStyle w:val="1151"/>
        <w:ind w:firstLine="1890"/>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398145</wp:posOffset>
                </wp:positionH>
                <wp:positionV relativeFrom="paragraph">
                  <wp:posOffset>311785</wp:posOffset>
                </wp:positionV>
                <wp:extent cx="914400" cy="520065"/>
                <wp:effectExtent l="0" t="0" r="0" b="0"/>
                <wp:wrapNone/>
                <wp:docPr id="95" name=""/>
                <wp:cNvGraphicFramePr/>
                <a:graphic xmlns:a="http://schemas.openxmlformats.org/drawingml/2006/main">
                  <a:graphicData uri="http://schemas.microsoft.com/office/word/2010/wordprocessingShape">
                    <wps:wsp>
                      <wps:cNvPr id="0" name=""/>
                      <wps:cNvSpPr/>
                      <wps:spPr bwMode="auto">
                        <a:xfrm>
                          <a:off x="0" y="0"/>
                          <a:ext cx="914400" cy="520064"/>
                        </a:xfrm>
                        <a:custGeom>
                          <a:avLst>
                            <a:gd name="adj0" fmla="val 15458"/>
                            <a:gd name="adj1" fmla="val 5400"/>
                          </a:avLst>
                          <a:gdLst>
                            <a:gd name="gd0" fmla="val 65536"/>
                            <a:gd name="gd1" fmla="val adj0"/>
                            <a:gd name="gd2" fmla="val adj1"/>
                            <a:gd name="gd3" fmla="+- 21600 0 adj1"/>
                            <a:gd name="gd4" fmla="+- 10800 0 adj1"/>
                            <a:gd name="gd5" fmla="+- 21600 0 adj0"/>
                            <a:gd name="gd6" fmla="*/ gd5 gd4 10800"/>
                            <a:gd name="gd7" fmla="+- 21600 0 gd6"/>
                            <a:gd name="gd8" fmla="val gd1"/>
                            <a:gd name="gd9" fmla="val 0"/>
                            <a:gd name="gd10" fmla="val gd1"/>
                            <a:gd name="gd11" fmla="val gd2"/>
                            <a:gd name="gd12" fmla="val 0"/>
                            <a:gd name="gd13" fmla="val gd2"/>
                            <a:gd name="gd14" fmla="val 0"/>
                            <a:gd name="gd15" fmla="val gd3"/>
                            <a:gd name="gd16" fmla="val gd1"/>
                            <a:gd name="gd17" fmla="val gd3"/>
                            <a:gd name="gd18" fmla="val gd1"/>
                            <a:gd name="gd19" fmla="val 21600"/>
                            <a:gd name="gd20" fmla="val 21600"/>
                            <a:gd name="gd21" fmla="val 10800"/>
                            <a:gd name="gd22" fmla="*/ w 0 21600"/>
                            <a:gd name="gd23" fmla="*/ h gd2 21600"/>
                            <a:gd name="gd24" fmla="*/ w gd7 21600"/>
                            <a:gd name="gd25" fmla="*/ h gd3 21600"/>
                            <a:gd name="gd26" fmla="*/ w adj0 21600"/>
                            <a:gd name="gd27" fmla="*/ h adj1 21600"/>
                          </a:gdLst>
                          <a:ahLst>
                            <a:ahXY gdRefX="adj0" minX="0" maxX="21600" gdRefY="adj1" minY="0" maxY="10800">
                              <a:pos x="gd26" y="gd27"/>
                            </a:ahXY>
                          </a:ahLst>
                          <a:cxnLst/>
                          <a:rect l="gd22" t="gd23" r="gd24" b="gd25"/>
                          <a:pathLst>
                            <a:path w="21600" h="21600" fill="norm" stroke="1" extrusionOk="0">
                              <a:moveTo>
                                <a:pt x="gd8" y="gd9"/>
                              </a:moveTo>
                              <a:lnTo>
                                <a:pt x="gd10" y="gd11"/>
                              </a:lnTo>
                              <a:lnTo>
                                <a:pt x="gd12" y="gd13"/>
                              </a:lnTo>
                              <a:lnTo>
                                <a:pt x="gd14" y="gd15"/>
                              </a:lnTo>
                              <a:lnTo>
                                <a:pt x="gd16" y="gd17"/>
                              </a:lnTo>
                              <a:lnTo>
                                <a:pt x="gd18" y="gd19"/>
                              </a:lnTo>
                              <a:lnTo>
                                <a:pt x="gd20" y="gd21"/>
                              </a:lnTo>
                              <a:close/>
                            </a:path>
                            <a:path w="21600" h="21600" fill="norm" stroke="1" extrusionOk="0"/>
                          </a:pathLst>
                        </a:custGeom>
                        <a:solidFill>
                          <a:srgbClr val="4F81BD"/>
                        </a:solidFill>
                        <a:ln w="25400">
                          <a:solidFill>
                            <a:srgbClr val="243F60"/>
                          </a:solidFill>
                        </a:ln>
                      </wps:spPr>
                      <wps:txbx>
                        <w:txbxContent>
                          <w:p>
                            <w:pPr>
                              <w:pStyle w:val="1151"/>
                              <w:ind w:firstLine="360"/>
                              <w:jc w:val="center"/>
                              <w:rPr>
                                <w:sz w:val="18"/>
                                <w:szCs w:val="20"/>
                              </w:rPr>
                            </w:pPr>
                            <w:r>
                              <w:rPr>
                                <w:rFonts w:hint="eastAsia"/>
                                <w:sz w:val="18"/>
                                <w:szCs w:val="20"/>
                              </w:rPr>
                              <w:t xml:space="preserve">配插正确时</w:t>
                            </w:r>
                            <w:r>
                              <w:rPr>
                                <w:sz w:val="18"/>
                                <w:szCs w:val="20"/>
                              </w:rPr>
                            </w:r>
                            <w:r/>
                          </w:p>
                          <w:p>
                            <w:pPr>
                              <w:pStyle w:val="1151"/>
                              <w:ind w:firstLine="480"/>
                            </w:pPr>
                            <w:r>
                              <w:rPr>
                                <w:rFonts w:hint="eastAsia"/>
                              </w:rPr>
                              <w:t xml:space="preserve">正确</w:t>
                            </w:r>
                            <w:r/>
                          </w:p>
                          <w:p>
                            <w:pPr>
                              <w:pStyle w:val="1151"/>
                            </w:pPr>
                            <w:r/>
                            <w:r/>
                          </w:p>
                        </w:txbxContent>
                      </wps:txbx>
                      <wps:bodyPr wrap="square" anchor="ctr" upright="1"/>
                    </wps:wsp>
                  </a:graphicData>
                </a:graphic>
              </wp:anchor>
            </w:drawing>
          </mc:Choice>
          <mc:Fallback>
            <w:pict>
              <v:shape id="shape 94" o:spid="_x0000_s94" style="position:absolute;z-index:251658247;o:allowoverlap:true;o:allowincell:true;mso-position-horizontal-relative:text;margin-left:31.3pt;mso-position-horizontal:absolute;mso-position-vertical-relative:text;margin-top:24.5pt;mso-position-vertical:absolute;width:72.0pt;height:40.9pt;mso-wrap-distance-left:9.0pt;mso-wrap-distance-top:0.0pt;mso-wrap-distance-right:9.0pt;mso-wrap-distance-bottom:0.0pt;v-text-anchor:middle;visibility:visible;" path="m71565,0l71565,25000l0,25000l0,75000l71565,75000l71565,100000l100000,50000xee" coordsize="100000,100000" fillcolor="#4F81BD" strokecolor="#243F60" strokeweight="2.00pt">
                <v:path textboxrect="0,25000,85782,75000"/>
                <v:textbox inset="0,0,0,0">
                  <w:txbxContent>
                    <w:p>
                      <w:pPr>
                        <w:pStyle w:val="1151"/>
                        <w:ind w:firstLine="360"/>
                        <w:jc w:val="center"/>
                        <w:rPr>
                          <w:sz w:val="18"/>
                          <w:szCs w:val="20"/>
                        </w:rPr>
                      </w:pPr>
                      <w:r>
                        <w:rPr>
                          <w:rFonts w:hint="eastAsia"/>
                          <w:sz w:val="18"/>
                          <w:szCs w:val="20"/>
                        </w:rPr>
                        <w:t xml:space="preserve">配插正确时</w:t>
                      </w:r>
                      <w:r>
                        <w:rPr>
                          <w:sz w:val="18"/>
                          <w:szCs w:val="20"/>
                        </w:rPr>
                      </w:r>
                      <w:r/>
                    </w:p>
                    <w:p>
                      <w:pPr>
                        <w:pStyle w:val="1151"/>
                        <w:ind w:firstLine="480"/>
                      </w:pPr>
                      <w:r>
                        <w:rPr>
                          <w:rFonts w:hint="eastAsia"/>
                        </w:rPr>
                        <w:t xml:space="preserve">正确</w:t>
                      </w:r>
                      <w:r/>
                    </w:p>
                    <w:p>
                      <w:pPr>
                        <w:pStyle w:val="1151"/>
                      </w:pPr>
                      <w:r/>
                      <w:r/>
                    </w:p>
                  </w:txbxContent>
                </v:textbox>
              </v:shape>
            </w:pict>
          </mc:Fallback>
        </mc:AlternateContent>
      </w:r>
      <w:r>
        <mc:AlternateContent>
          <mc:Choice Requires="wpg">
            <w:drawing>
              <wp:inline xmlns:wp="http://schemas.openxmlformats.org/drawingml/2006/wordprocessingDrawing" distT="0" distB="0" distL="0" distR="0">
                <wp:extent cx="2727858" cy="1330630"/>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2727858" cy="13306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214.8pt;height:104.8pt;mso-wrap-distance-left:0.0pt;mso-wrap-distance-top:0.0pt;mso-wrap-distance-right:0.0pt;mso-wrap-distance-bottom:0.0pt;" stroked="f">
                <v:path textboxrect="0,0,0,0"/>
                <v:imagedata r:id="rId108" o:title=""/>
              </v:shape>
            </w:pict>
          </mc:Fallback>
        </mc:AlternateContent>
      </w:r>
      <w:r>
        <w:rPr>
          <w:rFonts w:ascii="宋体" w:hAnsi="宋体"/>
        </w:rPr>
      </w:r>
      <w:r/>
    </w:p>
    <w:p>
      <w:pPr>
        <w:pStyle w:val="1151"/>
        <w:jc w:val="center"/>
        <w:rPr>
          <w:rStyle w:val="1246"/>
          <w:rFonts w:hAnsi="宋体"/>
        </w:rPr>
      </w:pPr>
      <w:r>
        <w:rPr>
          <w:rStyle w:val="1246"/>
          <w:rFonts w:hint="eastAsia" w:hAnsi="宋体"/>
        </w:rPr>
        <w:t xml:space="preserve">插座的凸筋和插头的凹穴互相吻合</w:t>
      </w:r>
      <w:r>
        <w:rPr>
          <w:rStyle w:val="1246"/>
          <w:rFonts w:hAnsi="宋体"/>
        </w:rPr>
      </w:r>
      <w:r/>
    </w:p>
    <w:p>
      <w:pPr>
        <w:pStyle w:val="1151"/>
        <w:ind w:firstLine="1890"/>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390525</wp:posOffset>
                </wp:positionH>
                <wp:positionV relativeFrom="paragraph">
                  <wp:posOffset>506095</wp:posOffset>
                </wp:positionV>
                <wp:extent cx="914400" cy="520065"/>
                <wp:effectExtent l="0" t="0" r="0" b="0"/>
                <wp:wrapNone/>
                <wp:docPr id="97" name=""/>
                <wp:cNvGraphicFramePr/>
                <a:graphic xmlns:a="http://schemas.openxmlformats.org/drawingml/2006/main">
                  <a:graphicData uri="http://schemas.microsoft.com/office/word/2010/wordprocessingShape">
                    <wps:wsp>
                      <wps:cNvPr id="0" name=""/>
                      <wps:cNvSpPr/>
                      <wps:spPr bwMode="auto">
                        <a:xfrm>
                          <a:off x="0" y="0"/>
                          <a:ext cx="914400" cy="520064"/>
                        </a:xfrm>
                        <a:custGeom>
                          <a:avLst>
                            <a:gd name="adj0" fmla="val 15458"/>
                            <a:gd name="adj1" fmla="val 5400"/>
                          </a:avLst>
                          <a:gdLst>
                            <a:gd name="gd0" fmla="val 65536"/>
                            <a:gd name="gd1" fmla="val adj0"/>
                            <a:gd name="gd2" fmla="val adj1"/>
                            <a:gd name="gd3" fmla="+- 21600 0 adj1"/>
                            <a:gd name="gd4" fmla="+- 10800 0 adj1"/>
                            <a:gd name="gd5" fmla="+- 21600 0 adj0"/>
                            <a:gd name="gd6" fmla="*/ gd5 gd4 10800"/>
                            <a:gd name="gd7" fmla="+- 21600 0 gd6"/>
                            <a:gd name="gd8" fmla="val gd1"/>
                            <a:gd name="gd9" fmla="val 0"/>
                            <a:gd name="gd10" fmla="val gd1"/>
                            <a:gd name="gd11" fmla="val gd2"/>
                            <a:gd name="gd12" fmla="val 0"/>
                            <a:gd name="gd13" fmla="val gd2"/>
                            <a:gd name="gd14" fmla="val 0"/>
                            <a:gd name="gd15" fmla="val gd3"/>
                            <a:gd name="gd16" fmla="val gd1"/>
                            <a:gd name="gd17" fmla="val gd3"/>
                            <a:gd name="gd18" fmla="val gd1"/>
                            <a:gd name="gd19" fmla="val 21600"/>
                            <a:gd name="gd20" fmla="val 21600"/>
                            <a:gd name="gd21" fmla="val 10800"/>
                            <a:gd name="gd22" fmla="*/ w 0 21600"/>
                            <a:gd name="gd23" fmla="*/ h gd2 21600"/>
                            <a:gd name="gd24" fmla="*/ w gd7 21600"/>
                            <a:gd name="gd25" fmla="*/ h gd3 21600"/>
                            <a:gd name="gd26" fmla="*/ w adj0 21600"/>
                            <a:gd name="gd27" fmla="*/ h adj1 21600"/>
                          </a:gdLst>
                          <a:ahLst>
                            <a:ahXY gdRefX="adj0" minX="0" maxX="21600" gdRefY="adj1" minY="0" maxY="10800">
                              <a:pos x="gd26" y="gd27"/>
                            </a:ahXY>
                          </a:ahLst>
                          <a:cxnLst/>
                          <a:rect l="gd22" t="gd23" r="gd24" b="gd25"/>
                          <a:pathLst>
                            <a:path w="21600" h="21600" fill="norm" stroke="1" extrusionOk="0">
                              <a:moveTo>
                                <a:pt x="gd8" y="gd9"/>
                              </a:moveTo>
                              <a:lnTo>
                                <a:pt x="gd10" y="gd11"/>
                              </a:lnTo>
                              <a:lnTo>
                                <a:pt x="gd12" y="gd13"/>
                              </a:lnTo>
                              <a:lnTo>
                                <a:pt x="gd14" y="gd15"/>
                              </a:lnTo>
                              <a:lnTo>
                                <a:pt x="gd16" y="gd17"/>
                              </a:lnTo>
                              <a:lnTo>
                                <a:pt x="gd18" y="gd19"/>
                              </a:lnTo>
                              <a:lnTo>
                                <a:pt x="gd20" y="gd21"/>
                              </a:lnTo>
                              <a:close/>
                            </a:path>
                            <a:path w="21600" h="21600" fill="norm" stroke="1" extrusionOk="0"/>
                          </a:pathLst>
                        </a:custGeom>
                        <a:solidFill>
                          <a:srgbClr val="4F81BD"/>
                        </a:solidFill>
                        <a:ln w="25400">
                          <a:solidFill>
                            <a:srgbClr val="243F60"/>
                          </a:solidFill>
                        </a:ln>
                      </wps:spPr>
                      <wps:txbx>
                        <w:txbxContent>
                          <w:p>
                            <w:pPr>
                              <w:pStyle w:val="1151"/>
                              <w:ind w:firstLine="360"/>
                              <w:jc w:val="center"/>
                              <w:rPr>
                                <w:sz w:val="20"/>
                                <w:szCs w:val="21"/>
                              </w:rPr>
                            </w:pPr>
                            <w:r>
                              <w:rPr>
                                <w:rFonts w:hint="eastAsia"/>
                                <w:sz w:val="18"/>
                                <w:szCs w:val="20"/>
                              </w:rPr>
                              <w:t xml:space="preserve">配插错误时</w:t>
                            </w:r>
                            <w:r>
                              <w:rPr>
                                <w:sz w:val="20"/>
                                <w:szCs w:val="21"/>
                              </w:rPr>
                            </w:r>
                            <w:r/>
                          </w:p>
                          <w:p>
                            <w:pPr>
                              <w:pStyle w:val="1151"/>
                              <w:ind w:firstLine="480"/>
                              <w:jc w:val="center"/>
                            </w:pPr>
                            <w:r/>
                            <w:r/>
                          </w:p>
                          <w:p>
                            <w:pPr>
                              <w:pStyle w:val="1151"/>
                            </w:pPr>
                            <w:r/>
                            <w:r/>
                          </w:p>
                        </w:txbxContent>
                      </wps:txbx>
                      <wps:bodyPr wrap="square" anchor="ctr" upright="1"/>
                    </wps:wsp>
                  </a:graphicData>
                </a:graphic>
              </wp:anchor>
            </w:drawing>
          </mc:Choice>
          <mc:Fallback>
            <w:pict>
              <v:shape id="shape 96" o:spid="_x0000_s96" style="position:absolute;z-index:251658248;o:allowoverlap:true;o:allowincell:true;mso-position-horizontal-relative:text;margin-left:30.8pt;mso-position-horizontal:absolute;mso-position-vertical-relative:text;margin-top:39.9pt;mso-position-vertical:absolute;width:72.0pt;height:40.9pt;mso-wrap-distance-left:9.0pt;mso-wrap-distance-top:0.0pt;mso-wrap-distance-right:9.0pt;mso-wrap-distance-bottom:0.0pt;v-text-anchor:middle;visibility:visible;" path="m71565,0l71565,25000l0,25000l0,75000l71565,75000l71565,100000l100000,50000xee" coordsize="100000,100000" fillcolor="#4F81BD" strokecolor="#243F60" strokeweight="2.00pt">
                <v:path textboxrect="0,25000,85782,75000"/>
                <v:textbox inset="0,0,0,0">
                  <w:txbxContent>
                    <w:p>
                      <w:pPr>
                        <w:pStyle w:val="1151"/>
                        <w:ind w:firstLine="360"/>
                        <w:jc w:val="center"/>
                        <w:rPr>
                          <w:sz w:val="20"/>
                          <w:szCs w:val="21"/>
                        </w:rPr>
                      </w:pPr>
                      <w:r>
                        <w:rPr>
                          <w:rFonts w:hint="eastAsia"/>
                          <w:sz w:val="18"/>
                          <w:szCs w:val="20"/>
                        </w:rPr>
                        <w:t xml:space="preserve">配插错误时</w:t>
                      </w:r>
                      <w:r>
                        <w:rPr>
                          <w:sz w:val="20"/>
                          <w:szCs w:val="21"/>
                        </w:rPr>
                      </w:r>
                      <w:r/>
                    </w:p>
                    <w:p>
                      <w:pPr>
                        <w:pStyle w:val="1151"/>
                        <w:ind w:firstLine="480"/>
                        <w:jc w:val="center"/>
                      </w:pPr>
                      <w:r/>
                      <w:r/>
                    </w:p>
                    <w:p>
                      <w:pPr>
                        <w:pStyle w:val="1151"/>
                      </w:pPr>
                      <w:r/>
                      <w:r/>
                    </w:p>
                  </w:txbxContent>
                </v:textbox>
              </v:shape>
            </w:pict>
          </mc:Fallback>
        </mc:AlternateContent>
      </w:r>
      <w:r>
        <mc:AlternateContent>
          <mc:Choice Requires="wpg">
            <w:drawing>
              <wp:inline xmlns:wp="http://schemas.openxmlformats.org/drawingml/2006/wordprocessingDrawing" distT="0" distB="0" distL="0" distR="0">
                <wp:extent cx="2938640" cy="1416291"/>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2938640" cy="14162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231.4pt;height:111.5pt;mso-wrap-distance-left:0.0pt;mso-wrap-distance-top:0.0pt;mso-wrap-distance-right:0.0pt;mso-wrap-distance-bottom:0.0pt;" stroked="f">
                <v:path textboxrect="0,0,0,0"/>
                <v:imagedata r:id="rId109" o:title=""/>
              </v:shape>
            </w:pict>
          </mc:Fallback>
        </mc:AlternateContent>
      </w:r>
      <w:r>
        <w:rPr>
          <w:rFonts w:ascii="宋体" w:hAnsi="宋体"/>
        </w:rPr>
      </w:r>
      <w:r/>
    </w:p>
    <w:p>
      <w:pPr>
        <w:pStyle w:val="1151"/>
        <w:jc w:val="center"/>
        <w:rPr>
          <w:rStyle w:val="1246"/>
          <w:rFonts w:hAnsi="宋体"/>
        </w:rPr>
      </w:pPr>
      <w:r>
        <w:rPr>
          <w:rStyle w:val="1246"/>
          <w:rFonts w:hint="eastAsia" w:hAnsi="宋体"/>
        </w:rPr>
        <w:t xml:space="preserve">插座的凸筋与插头干涉阻止插入</w:t>
      </w:r>
      <w:r>
        <w:rPr>
          <w:rStyle w:val="1246"/>
          <w:rFonts w:hAnsi="宋体"/>
        </w:rPr>
      </w:r>
      <w:r/>
    </w:p>
    <w:p>
      <w:pPr>
        <w:pStyle w:val="1151"/>
        <w:jc w:val="center"/>
        <w:rPr>
          <w:rStyle w:val="1246"/>
          <w:rFonts w:hAnsi="宋体"/>
        </w:rPr>
      </w:pPr>
      <w:r>
        <w:rPr>
          <w:rStyle w:val="1246"/>
          <w:rFonts w:hint="eastAsia" w:hAnsi="宋体"/>
        </w:rPr>
        <w:t xml:space="preserve">图</w:t>
      </w:r>
      <w:r>
        <w:rPr>
          <w:rStyle w:val="1246"/>
          <w:rFonts w:hAnsi="宋体"/>
        </w:rPr>
        <w:t xml:space="preserve">D</w:t>
      </w:r>
      <w:r>
        <w:rPr>
          <w:rStyle w:val="1246"/>
          <w:rFonts w:hint="eastAsia" w:hAnsi="宋体"/>
        </w:rPr>
        <w:t xml:space="preserve">.</w:t>
      </w:r>
      <w:r>
        <w:rPr>
          <w:rStyle w:val="1246"/>
          <w:rFonts w:hAnsi="宋体"/>
        </w:rPr>
        <w:t xml:space="preserve">2</w:t>
      </w:r>
      <w:r>
        <w:rPr>
          <w:rStyle w:val="1246"/>
          <w:rFonts w:hint="eastAsia" w:hAnsi="宋体"/>
        </w:rPr>
        <w:t xml:space="preserve">-1 自防呆设计</w:t>
      </w:r>
      <w:r>
        <w:rPr>
          <w:rStyle w:val="1246"/>
          <w:rFonts w:hAnsi="宋体"/>
        </w:rPr>
      </w:r>
      <w:r/>
    </w:p>
    <w:p>
      <w:pPr>
        <w:pStyle w:val="1151"/>
        <w:ind w:firstLine="420"/>
        <w:rPr>
          <w:szCs w:val="21"/>
        </w:rPr>
      </w:pPr>
      <w:r>
        <w:rPr>
          <w:rFonts w:hint="eastAsia"/>
          <w:szCs w:val="21"/>
        </w:rPr>
        <w:t xml:space="preserve">图</w:t>
      </w:r>
      <w:r>
        <w:rPr>
          <w:szCs w:val="21"/>
        </w:rPr>
        <w:t xml:space="preserve">D</w:t>
      </w:r>
      <w:r>
        <w:rPr>
          <w:rFonts w:hint="eastAsia"/>
          <w:szCs w:val="21"/>
        </w:rPr>
        <w:t xml:space="preserve">.</w:t>
      </w:r>
      <w:r>
        <w:rPr>
          <w:szCs w:val="21"/>
        </w:rPr>
        <w:t xml:space="preserve">2</w:t>
      </w:r>
      <w:r>
        <w:rPr>
          <w:rFonts w:hint="eastAsia"/>
          <w:szCs w:val="21"/>
        </w:rPr>
        <w:t xml:space="preserve">-1为10芯自防呆结构。2</w:t>
      </w:r>
      <w:r>
        <w:rPr>
          <w:szCs w:val="21"/>
        </w:rPr>
        <w:t xml:space="preserve">6</w:t>
      </w:r>
      <w:r>
        <w:rPr>
          <w:rFonts w:hint="eastAsia"/>
          <w:szCs w:val="21"/>
        </w:rPr>
        <w:t xml:space="preserve">芯、3</w:t>
      </w:r>
      <w:r>
        <w:rPr>
          <w:szCs w:val="21"/>
        </w:rPr>
        <w:t xml:space="preserve">2</w:t>
      </w:r>
      <w:r>
        <w:rPr>
          <w:rFonts w:hint="eastAsia"/>
          <w:szCs w:val="21"/>
        </w:rPr>
        <w:t xml:space="preserve">芯矩形连接器也具备此种凸筋与凹穴的防呆结构，但由于2</w:t>
      </w:r>
      <w:r>
        <w:rPr>
          <w:szCs w:val="21"/>
        </w:rPr>
        <w:t xml:space="preserve">6</w:t>
      </w:r>
      <w:r>
        <w:rPr>
          <w:rFonts w:hint="eastAsia"/>
          <w:szCs w:val="21"/>
        </w:rPr>
        <w:t xml:space="preserve">芯与3</w:t>
      </w:r>
      <w:r>
        <w:rPr>
          <w:szCs w:val="21"/>
        </w:rPr>
        <w:t xml:space="preserve">2</w:t>
      </w:r>
      <w:r>
        <w:rPr>
          <w:rFonts w:hint="eastAsia"/>
          <w:szCs w:val="21"/>
        </w:rPr>
        <w:t xml:space="preserve">芯连接器左右结构的不同，表现为一侧带有自短路结构，一侧没有，且左右两侧针间距也不同。故其本身结构就是一种自防呆。</w:t>
      </w:r>
      <w:r>
        <w:rPr>
          <w:szCs w:val="21"/>
        </w:rPr>
      </w:r>
      <w:r/>
    </w:p>
    <w:p>
      <w:pPr>
        <w:pStyle w:val="1151"/>
        <w:ind w:firstLine="420"/>
        <w:rPr>
          <w:rStyle w:val="1246"/>
          <w:rFonts w:hAnsi="宋体"/>
        </w:rPr>
      </w:pPr>
      <w:r>
        <w:rPr>
          <w:rStyle w:val="1246"/>
          <w:rFonts w:hint="eastAsia" w:hAnsi="宋体"/>
        </w:rPr>
        <w:t xml:space="preserve">2.互防呆设计：</w:t>
      </w:r>
      <w:r>
        <w:rPr>
          <w:rStyle w:val="1246"/>
          <w:rFonts w:hAnsi="宋体"/>
        </w:rPr>
      </w:r>
      <w:r/>
    </w:p>
    <w:p>
      <w:pPr>
        <w:pStyle w:val="1151"/>
        <w:ind w:firstLine="420"/>
        <w:rPr>
          <w:rFonts w:hAnsi="宋体"/>
          <w:szCs w:val="21"/>
        </w:rPr>
      </w:pPr>
      <w:r>
        <w:rPr>
          <w:rFonts w:hAnsi="宋体"/>
          <w:szCs w:val="21"/>
        </w:rPr>
        <w:t xml:space="preserve">DTU</w:t>
      </w:r>
      <w:r>
        <w:rPr>
          <w:rFonts w:hint="eastAsia" w:hAnsi="宋体"/>
          <w:szCs w:val="21"/>
        </w:rPr>
        <w:t xml:space="preserve">装置中存在一个模块单元内使用多套同类型的矩形连接器，所以互相之间的防呆尤为重要。</w:t>
      </w:r>
      <w:r>
        <w:rPr>
          <w:rFonts w:hAnsi="宋体"/>
          <w:szCs w:val="21"/>
        </w:rPr>
      </w:r>
      <w:r/>
    </w:p>
    <w:p>
      <w:pPr>
        <w:pStyle w:val="1151"/>
        <w:numPr>
          <w:ilvl w:val="0"/>
          <w:numId w:val="68"/>
        </w:numPr>
        <w:ind w:firstLine="420"/>
        <w:spacing w:line="360" w:lineRule="auto"/>
        <w:rPr>
          <w:rFonts w:hAnsi="宋体"/>
          <w:szCs w:val="21"/>
        </w:rPr>
      </w:pPr>
      <w:r>
        <w:rPr>
          <w:rFonts w:hint="eastAsia" w:hAnsi="宋体"/>
          <w:szCs w:val="21"/>
        </w:rPr>
        <w:t xml:space="preserve">视觉防呆：</w:t>
      </w:r>
      <w:r>
        <w:rPr>
          <w:rFonts w:hAnsi="宋体"/>
          <w:szCs w:val="21"/>
        </w:rPr>
      </w:r>
      <w:r/>
    </w:p>
    <w:p>
      <w:pPr>
        <w:pStyle w:val="1151"/>
        <w:ind w:firstLine="420"/>
        <w:rPr>
          <w:rFonts w:ascii="宋体" w:hAnsi="宋体"/>
          <w:szCs w:val="21"/>
        </w:rPr>
      </w:pPr>
      <w:r>
        <w:rPr>
          <w:rFonts w:hint="eastAsia" w:ascii="宋体" w:hAnsi="宋体"/>
          <w:szCs w:val="21"/>
        </w:rPr>
        <w:t xml:space="preserve">板外安装防呆设计，插头防护外壳顶端过盈插入颜色标识块，插座标识块借助紧固插座的法兰螺丝固定在插座上。板外安装视觉防呆设计如图</w:t>
      </w:r>
      <w:r>
        <w:rPr>
          <w:rFonts w:ascii="宋体" w:hAnsi="宋体"/>
          <w:szCs w:val="21"/>
        </w:rPr>
        <w:t xml:space="preserve">D.7-2</w:t>
      </w:r>
      <w:r>
        <w:rPr>
          <w:rFonts w:hint="eastAsia" w:ascii="宋体" w:hAnsi="宋体"/>
          <w:szCs w:val="21"/>
        </w:rPr>
        <w:t xml:space="preserve">所示。</w:t>
      </w:r>
      <w:r>
        <w:rPr>
          <w:rFonts w:ascii="宋体" w:hAnsi="宋体"/>
          <w:szCs w:val="21"/>
        </w:rPr>
      </w:r>
      <w:r/>
    </w:p>
    <w:p>
      <w:pPr>
        <w:pStyle w:val="1249"/>
        <w:rPr>
          <w:rFonts w:ascii="宋体" w:hAnsi="宋体"/>
          <w:szCs w:val="21"/>
        </w:rPr>
      </w:pPr>
      <w:r>
        <mc:AlternateContent>
          <mc:Choice Requires="wpg">
            <w:drawing>
              <wp:anchor xmlns:wp="http://schemas.openxmlformats.org/drawingml/2006/wordprocessingDrawing" xmlns:wp14="http://schemas.microsoft.com/office/word/2010/wordprocessingDrawing" distT="0" distB="0" distL="0" distR="0" simplePos="0" relativeHeight="251658253" behindDoc="0" locked="0" layoutInCell="1" allowOverlap="1">
                <wp:simplePos x="0" y="0"/>
                <wp:positionH relativeFrom="column">
                  <wp:posOffset>763270</wp:posOffset>
                </wp:positionH>
                <wp:positionV relativeFrom="paragraph">
                  <wp:posOffset>20955</wp:posOffset>
                </wp:positionV>
                <wp:extent cx="1946910" cy="1934845"/>
                <wp:effectExtent l="0" t="0" r="0" b="0"/>
                <wp:wrapSquare wrapText="bothSides"/>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1946910" cy="1934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253;o:allowoverlap:true;o:allowincell:true;mso-position-horizontal-relative:text;margin-left:60.1pt;mso-position-horizontal:absolute;mso-position-vertical-relative:text;margin-top:1.6pt;mso-position-vertical:absolute;width:153.3pt;height:152.3pt;mso-wrap-distance-left:0.0pt;mso-wrap-distance-top:0.0pt;mso-wrap-distance-right:0.0pt;mso-wrap-distance-bottom:0.0pt;" stroked="f">
                <v:path textboxrect="0,0,0,0"/>
                <w10:wrap type="square"/>
                <v:imagedata r:id="rId110" o:title=""/>
              </v:shape>
            </w:pict>
          </mc:Fallback>
        </mc:AlternateContent>
      </w:r>
      <w:r>
        <w:rPr>
          <w:rFonts w:ascii="宋体" w:hAnsi="宋体"/>
          <w:szCs w:val="21"/>
        </w:rPr>
      </w:r>
      <w:r/>
    </w:p>
    <w:p>
      <w:pPr>
        <w:pStyle w:val="1249"/>
        <w:rPr>
          <w:rFonts w:ascii="宋体" w:hAnsi="宋体"/>
          <w:szCs w:val="21"/>
        </w:rPr>
      </w:pPr>
      <w:r>
        <w:rPr>
          <w:rFonts w:ascii="宋体" w:hAnsi="宋体"/>
          <w:szCs w:val="21"/>
        </w:rPr>
      </w:r>
      <w:r/>
    </w:p>
    <w:p>
      <w:pPr>
        <w:pStyle w:val="1249"/>
        <w:rPr>
          <w:rFonts w:ascii="宋体" w:hAnsi="宋体"/>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3194050</wp:posOffset>
                </wp:positionH>
                <wp:positionV relativeFrom="paragraph">
                  <wp:posOffset>50165</wp:posOffset>
                </wp:positionV>
                <wp:extent cx="2008505" cy="510540"/>
                <wp:effectExtent l="0" t="0" r="0" b="0"/>
                <wp:wrapNone/>
                <wp:docPr id="100" name=""/>
                <wp:cNvGraphicFramePr/>
                <a:graphic xmlns:a="http://schemas.openxmlformats.org/drawingml/2006/main">
                  <a:graphicData uri="http://schemas.microsoft.com/office/word/2010/wordprocessingGroup">
                    <wpg:wgp>
                      <wpg:cNvGrpSpPr/>
                      <wpg:grpSpPr bwMode="auto">
                        <a:xfrm>
                          <a:off x="0" y="0"/>
                          <a:ext cx="2008505" cy="510540"/>
                          <a:chOff x="0" y="0"/>
                          <a:chExt cx="50524" cy="14279552"/>
                        </a:xfrm>
                      </wpg:grpSpPr>
                      <pic:pic xmlns:pic="http://schemas.openxmlformats.org/drawingml/2006/picture">
                        <pic:nvPicPr>
                          <pic:cNvPr id="98" name=""/>
                          <pic:cNvPicPr/>
                          <pic:nvPr/>
                        </pic:nvPicPr>
                        <pic:blipFill>
                          <a:blip r:embed="rId111"/>
                          <a:stretch/>
                        </pic:blipFill>
                        <pic:spPr bwMode="auto">
                          <a:xfrm>
                            <a:off x="0" y="0"/>
                            <a:ext cx="17159" cy="14279"/>
                          </a:xfrm>
                          <a:prstGeom prst="rect">
                            <a:avLst/>
                          </a:prstGeom>
                          <a:noFill/>
                          <a:ln>
                            <a:noFill/>
                          </a:ln>
                        </pic:spPr>
                      </pic:pic>
                      <pic:pic xmlns:pic="http://schemas.openxmlformats.org/drawingml/2006/picture">
                        <pic:nvPicPr>
                          <pic:cNvPr id="100" name=""/>
                          <pic:cNvPicPr/>
                          <pic:nvPr/>
                        </pic:nvPicPr>
                        <pic:blipFill>
                          <a:blip r:embed="rId112"/>
                          <a:stretch/>
                        </pic:blipFill>
                        <pic:spPr bwMode="auto">
                          <a:xfrm>
                            <a:off x="20983" y="0"/>
                            <a:ext cx="29541" cy="12478"/>
                          </a:xfrm>
                          <a:prstGeom prst="rect">
                            <a:avLst/>
                          </a:prstGeom>
                          <a:noFill/>
                          <a:ln>
                            <a:noFill/>
                          </a:ln>
                        </pic:spPr>
                      </pic:pic>
                    </wpg:wgp>
                  </a:graphicData>
                </a:graphic>
              </wp:anchor>
            </w:drawing>
          </mc:Choice>
          <mc:Fallback>
            <w:pict>
              <v:group id="group 99" o:spid="_x0000_s0000" style="position:absolute;z-index:251658251;o:allowoverlap:true;o:allowincell:true;mso-position-horizontal-relative:text;margin-left:251.5pt;mso-position-horizontal:absolute;mso-position-vertical-relative:text;margin-top:3.9pt;mso-position-vertical:absolute;width:158.2pt;height:40.2pt;mso-wrap-distance-left:9.0pt;mso-wrap-distance-top:0.0pt;mso-wrap-distance-right:9.0pt;mso-wrap-distance-bottom:0.0pt;" coordorigin="0,0" coordsize="505,1427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left:0;top:0;width:171;height:142;" stroked="f">
                  <v:path textboxrect="0,0,0,0"/>
                  <v:imagedata r:id="rId111"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left:209;top:0;width:295;height:124;" stroked="f">
                  <v:path textboxrect="0,0,0,0"/>
                  <v:imagedata r:id="rId112" o:title=""/>
                </v:shape>
              </v:group>
            </w:pict>
          </mc:Fallback>
        </mc:AlternateContent>
      </w:r>
      <w:r>
        <w:rPr>
          <w:rFonts w:ascii="宋体" w:hAnsi="宋体"/>
          <w:szCs w:val="21"/>
        </w:rPr>
      </w:r>
      <w:r/>
    </w:p>
    <w:p>
      <w:pPr>
        <w:pStyle w:val="1249"/>
        <w:rPr>
          <w:rFonts w:ascii="宋体" w:hAnsi="宋体"/>
          <w:szCs w:val="21"/>
        </w:rPr>
      </w:pPr>
      <w:r>
        <w:rPr>
          <w:rFonts w:ascii="宋体" w:hAnsi="宋体"/>
          <w:szCs w:val="21"/>
        </w:rPr>
      </w:r>
      <w:r/>
    </w:p>
    <w:p>
      <w:pPr>
        <w:pStyle w:val="1249"/>
        <w:rPr>
          <w:rFonts w:ascii="宋体" w:hAnsi="宋体"/>
          <w:szCs w:val="21"/>
        </w:rPr>
      </w:pPr>
      <w:r>
        <w:rPr>
          <w:rFonts w:ascii="宋体" w:hAnsi="宋体"/>
          <w:szCs w:val="21"/>
        </w:rPr>
      </w:r>
      <w:r/>
    </w:p>
    <w:p>
      <w:pPr>
        <w:pStyle w:val="1249"/>
        <w:rPr>
          <w:rFonts w:ascii="宋体" w:hAnsi="宋体"/>
          <w:szCs w:val="21"/>
        </w:rPr>
      </w:pPr>
      <w:r>
        <w:rPr>
          <w:rFonts w:ascii="宋体" w:hAnsi="宋体"/>
          <w:szCs w:val="21"/>
        </w:rPr>
      </w:r>
      <w:r/>
    </w:p>
    <w:p>
      <w:pPr>
        <w:pStyle w:val="1249"/>
        <w:ind w:left="240" w:firstLine="0"/>
        <w:jc w:val="center"/>
        <w:rPr>
          <w:rStyle w:val="1246"/>
          <w:rFonts w:hAnsi="宋体"/>
        </w:rPr>
      </w:pPr>
      <w:r>
        <w:rPr>
          <w:rStyle w:val="1246"/>
          <w:rFonts w:hint="eastAsia" w:hAnsi="宋体"/>
        </w:rPr>
        <w:t xml:space="preserve">图</w:t>
      </w:r>
      <w:r>
        <w:rPr>
          <w:rStyle w:val="1246"/>
          <w:rFonts w:hAnsi="宋体"/>
        </w:rPr>
        <w:t xml:space="preserve">D</w:t>
      </w:r>
      <w:r>
        <w:rPr>
          <w:rStyle w:val="1246"/>
          <w:rFonts w:hint="eastAsia" w:hAnsi="宋体"/>
        </w:rPr>
        <w:t xml:space="preserve">.</w:t>
      </w:r>
      <w:r>
        <w:rPr>
          <w:rStyle w:val="1246"/>
          <w:rFonts w:hAnsi="宋体"/>
        </w:rPr>
        <w:t xml:space="preserve">2</w:t>
      </w:r>
      <w:r>
        <w:rPr>
          <w:rStyle w:val="1246"/>
          <w:rFonts w:hint="eastAsia" w:hAnsi="宋体"/>
        </w:rPr>
        <w:t xml:space="preserve">-2 板外安装视觉防呆</w:t>
      </w:r>
      <w:r>
        <w:rPr>
          <w:rStyle w:val="1246"/>
          <w:rFonts w:hAnsi="宋体"/>
        </w:rPr>
      </w:r>
      <w:r/>
    </w:p>
    <w:p>
      <w:pPr>
        <w:pStyle w:val="1151"/>
        <w:ind w:firstLine="367"/>
        <w:rPr>
          <w:rFonts w:ascii="宋体" w:hAnsi="宋体"/>
          <w:szCs w:val="21"/>
        </w:rPr>
      </w:pPr>
      <w:r>
        <w:rPr>
          <w:rFonts w:hint="eastAsia" w:ascii="宋体" w:hAnsi="宋体"/>
          <w:szCs w:val="21"/>
        </w:rPr>
        <w:t xml:space="preserve">板内安装防呆设计。插头防护外壳顶端过盈插入颜色标识块，插座内有安装孔，颜色标识块可以借助卡环结构固定。板内安装视觉防呆设计如图</w:t>
      </w:r>
      <w:r>
        <w:rPr>
          <w:rFonts w:ascii="宋体" w:hAnsi="宋体"/>
          <w:szCs w:val="21"/>
        </w:rPr>
        <w:t xml:space="preserve">D</w:t>
      </w: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-3所示。</w:t>
      </w:r>
      <w:r>
        <w:rPr>
          <w:rFonts w:ascii="宋体" w:hAnsi="宋体"/>
          <w:szCs w:val="21"/>
        </w:rPr>
      </w:r>
      <w:r/>
    </w:p>
    <w:p>
      <w:pPr>
        <w:pStyle w:val="1151"/>
        <w:rPr>
          <w:rFonts w:ascii="宋体" w:hAnsi="宋体"/>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3383280</wp:posOffset>
                </wp:positionH>
                <wp:positionV relativeFrom="paragraph">
                  <wp:posOffset>527050</wp:posOffset>
                </wp:positionV>
                <wp:extent cx="1481455" cy="922655"/>
                <wp:effectExtent l="0" t="0" r="0" b="0"/>
                <wp:wrapNone/>
                <wp:docPr id="101" name=""/>
                <wp:cNvGraphicFramePr/>
                <a:graphic xmlns:a="http://schemas.openxmlformats.org/drawingml/2006/main">
                  <a:graphicData uri="http://schemas.microsoft.com/office/word/2010/wordprocessingGroup">
                    <wpg:wgp>
                      <wpg:cNvGrpSpPr/>
                      <wpg:grpSpPr bwMode="auto">
                        <a:xfrm>
                          <a:off x="0" y="0"/>
                          <a:ext cx="1481455" cy="922655"/>
                          <a:chOff x="0" y="0"/>
                          <a:chExt cx="35074" cy="19309542"/>
                        </a:xfrm>
                      </wpg:grpSpPr>
                      <pic:pic xmlns:pic="http://schemas.openxmlformats.org/drawingml/2006/picture">
                        <pic:nvPicPr>
                          <pic:cNvPr id="103" name=""/>
                          <pic:cNvPicPr/>
                          <pic:nvPr/>
                        </pic:nvPicPr>
                        <pic:blipFill>
                          <a:blip r:embed="rId113"/>
                          <a:stretch/>
                        </pic:blipFill>
                        <pic:spPr bwMode="auto">
                          <a:xfrm>
                            <a:off x="0" y="0"/>
                            <a:ext cx="17159" cy="14279"/>
                          </a:xfrm>
                          <a:prstGeom prst="rect">
                            <a:avLst/>
                          </a:prstGeom>
                          <a:noFill/>
                          <a:ln>
                            <a:noFill/>
                          </a:ln>
                        </pic:spPr>
                      </pic:pic>
                      <pic:pic xmlns:pic="http://schemas.openxmlformats.org/drawingml/2006/picture">
                        <pic:nvPicPr>
                          <pic:cNvPr id="105" name=""/>
                          <pic:cNvPicPr/>
                          <pic:nvPr/>
                        </pic:nvPicPr>
                        <pic:blipFill>
                          <a:blip r:embed="rId114"/>
                          <a:stretch/>
                        </pic:blipFill>
                        <pic:spPr bwMode="auto">
                          <a:xfrm>
                            <a:off x="20312" y="0"/>
                            <a:ext cx="14762" cy="19309"/>
                          </a:xfrm>
                          <a:prstGeom prst="rect">
                            <a:avLst/>
                          </a:prstGeom>
                          <a:noFill/>
                          <a:ln>
                            <a:noFill/>
                          </a:ln>
                        </pic:spPr>
                      </pic:pic>
                    </wpg:wgp>
                  </a:graphicData>
                </a:graphic>
              </wp:anchor>
            </w:drawing>
          </mc:Choice>
          <mc:Fallback>
            <w:pict>
              <v:group id="group 102" o:spid="_x0000_s0000" style="position:absolute;z-index:251658252;o:allowoverlap:true;o:allowincell:true;mso-position-horizontal-relative:text;margin-left:266.4pt;mso-position-horizontal:absolute;mso-position-vertical-relative:text;margin-top:41.5pt;mso-position-vertical:absolute;width:116.6pt;height:72.6pt;mso-wrap-distance-left:9.0pt;mso-wrap-distance-top:0.0pt;mso-wrap-distance-right:9.0pt;mso-wrap-distance-bottom:0.0pt;" coordorigin="0,0" coordsize="350,1930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left:0;top:0;width:171;height:142;" stroked="f">
                  <v:path textboxrect="0,0,0,0"/>
                  <v:imagedata r:id="rId1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left:203;top:0;width:147;height:193;" stroked="f">
                  <v:path textboxrect="0,0,0,0"/>
                  <v:imagedata r:id="rId114" o:title=""/>
                </v:shape>
              </v:group>
            </w:pict>
          </mc:Fallback>
        </mc:AlternateContent>
      </w:r>
      <w:r>
        <mc:AlternateContent>
          <mc:Choice Requires="wpg">
            <w:drawing>
              <wp:inline xmlns:wp="http://schemas.openxmlformats.org/drawingml/2006/wordprocessingDrawing" distT="0" distB="0" distL="0" distR="0">
                <wp:extent cx="2669489" cy="1821078"/>
                <wp:effectExtent l="0" t="0" r="0" b="0"/>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2669488" cy="18210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210.2pt;height:143.4pt;mso-wrap-distance-left:0.0pt;mso-wrap-distance-top:0.0pt;mso-wrap-distance-right:0.0pt;mso-wrap-distance-bottom:0.0pt;" stroked="f">
                <v:path textboxrect="0,0,0,0"/>
                <v:imagedata r:id="rId115" o:title=""/>
              </v:shape>
            </w:pict>
          </mc:Fallback>
        </mc:AlternateContent>
      </w:r>
      <w:r>
        <w:rPr>
          <w:rFonts w:ascii="宋体" w:hAnsi="宋体"/>
          <w:lang w:val="zh-CN"/>
        </w:rPr>
      </w:r>
      <w:r/>
    </w:p>
    <w:p>
      <w:pPr>
        <w:pStyle w:val="1151"/>
        <w:jc w:val="center"/>
        <w:rPr>
          <w:rStyle w:val="1246"/>
          <w:rFonts w:hAnsi="宋体"/>
        </w:rPr>
      </w:pPr>
      <w:r>
        <w:rPr>
          <w:rStyle w:val="1246"/>
          <w:rFonts w:hint="eastAsia" w:hAnsi="宋体"/>
        </w:rPr>
        <w:t xml:space="preserve">图</w:t>
      </w:r>
      <w:r>
        <w:rPr>
          <w:rStyle w:val="1246"/>
          <w:rFonts w:hAnsi="宋体"/>
        </w:rPr>
        <w:t xml:space="preserve">D</w:t>
      </w:r>
      <w:r>
        <w:rPr>
          <w:rStyle w:val="1246"/>
          <w:rFonts w:hint="eastAsia" w:hAnsi="宋体"/>
        </w:rPr>
        <w:t xml:space="preserve">.</w:t>
      </w:r>
      <w:r>
        <w:rPr>
          <w:rStyle w:val="1246"/>
          <w:rFonts w:hAnsi="宋体"/>
        </w:rPr>
        <w:t xml:space="preserve">2</w:t>
      </w:r>
      <w:r>
        <w:rPr>
          <w:rStyle w:val="1246"/>
          <w:rFonts w:hint="eastAsia" w:hAnsi="宋体"/>
        </w:rPr>
        <w:t xml:space="preserve">-3 板内安装视觉防呆</w:t>
      </w:r>
      <w:r>
        <w:rPr>
          <w:rStyle w:val="1246"/>
          <w:rFonts w:hAnsi="宋体"/>
        </w:rPr>
      </w:r>
      <w:r/>
    </w:p>
    <w:p>
      <w:pPr>
        <w:pStyle w:val="1151"/>
        <w:jc w:val="center"/>
        <w:rPr>
          <w:rStyle w:val="1246"/>
          <w:rFonts w:hAnsi="宋体"/>
        </w:rPr>
      </w:pPr>
      <w:r>
        <w:rPr>
          <w:rStyle w:val="1246"/>
          <w:rFonts w:hint="eastAsia" w:hAnsi="宋体"/>
        </w:rPr>
        <w:t xml:space="preserve">为了增强颜色标识块的易区分性，在颜色标识块上加上数字，对应关系如下：</w:t>
      </w:r>
      <w:r>
        <w:rPr>
          <w:rStyle w:val="1246"/>
          <w:rFonts w:hAnsi="宋体"/>
        </w:rPr>
      </w:r>
      <w:r/>
    </w:p>
    <w:p>
      <w:pPr>
        <w:pStyle w:val="1151"/>
        <w:jc w:val="center"/>
        <w:rPr>
          <w:rStyle w:val="1246"/>
          <w:rFonts w:hAnsi="宋体"/>
        </w:rPr>
      </w:pPr>
      <w:r>
        <w:rPr>
          <w:rStyle w:val="1246"/>
          <w:rFonts w:hint="eastAsia" w:hAnsi="宋体"/>
        </w:rPr>
        <w:t xml:space="preserve">黑、2—白、3—红、4—绿、5—黄、6—蓝、7—灰、8—紫</w:t>
      </w:r>
      <w:r>
        <w:rPr>
          <w:rStyle w:val="1246"/>
          <w:rFonts w:hAnsi="宋体"/>
        </w:rPr>
      </w:r>
      <w:r/>
    </w:p>
    <w:p>
      <w:pPr>
        <w:pStyle w:val="1249"/>
        <w:numPr>
          <w:ilvl w:val="0"/>
          <w:numId w:val="68"/>
        </w:numPr>
        <w:ind w:left="0"/>
        <w:spacing w:line="360" w:lineRule="auto"/>
        <w:rPr>
          <w:rStyle w:val="1246"/>
          <w:rFonts w:hAnsi="宋体"/>
        </w:rPr>
      </w:pPr>
      <w:r>
        <w:rPr>
          <w:rStyle w:val="1246"/>
          <w:rFonts w:hint="eastAsia" w:hAnsi="宋体"/>
        </w:rPr>
        <w:t xml:space="preserve">结构防呆：</w:t>
      </w:r>
      <w:r>
        <w:rPr>
          <w:rStyle w:val="1246"/>
          <w:rFonts w:hAnsi="宋体"/>
        </w:rPr>
      </w:r>
      <w:r/>
    </w:p>
    <w:p>
      <w:pPr>
        <w:pStyle w:val="1151"/>
        <w:jc w:val="center"/>
        <w:rPr>
          <w:rStyle w:val="1246"/>
          <w:rFonts w:hAnsi="宋体"/>
        </w:rPr>
      </w:pPr>
      <w:r>
        <w:rPr>
          <w:rStyle w:val="1246"/>
          <w:rFonts w:hint="eastAsia" w:hAnsi="宋体"/>
        </w:rPr>
        <w:t xml:space="preserve">利用编码插销不同的安装位置，实现互防呆。编码插销结构如图6.5-4所示。</w:t>
      </w:r>
      <w:r>
        <w:rPr>
          <w:rStyle w:val="1246"/>
          <w:rFonts w:hAnsi="宋体"/>
        </w:rPr>
      </w:r>
      <w:r/>
    </w:p>
    <w:p>
      <w:pPr>
        <w:pStyle w:val="1151"/>
        <w:ind w:left="2730" w:hanging="2730"/>
        <w:jc w:val="center"/>
      </w:pPr>
      <w:r>
        <mc:AlternateContent>
          <mc:Choice Requires="wpg">
            <w:drawing>
              <wp:inline xmlns:wp="http://schemas.openxmlformats.org/drawingml/2006/wordprocessingDrawing" distT="0" distB="0" distL="0" distR="0">
                <wp:extent cx="2126615" cy="1280160"/>
                <wp:effectExtent l="0" t="0" r="0" b="0"/>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2126615" cy="1280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167.4pt;height:100.8pt;mso-wrap-distance-left:0.0pt;mso-wrap-distance-top:0.0pt;mso-wrap-distance-right:0.0pt;mso-wrap-distance-bottom:0.0pt;" stroked="f">
                <v:path textboxrect="0,0,0,0"/>
                <v:imagedata r:id="rId116" o:title=""/>
              </v:shape>
            </w:pict>
          </mc:Fallback>
        </mc:AlternateContent>
      </w:r>
      <w:r>
        <mc:AlternateContent>
          <mc:Choice Requires="wpg">
            <w:drawing>
              <wp:inline xmlns:wp="http://schemas.openxmlformats.org/drawingml/2006/wordprocessingDrawing" distT="0" distB="0" distL="0" distR="0">
                <wp:extent cx="2644153" cy="998310"/>
                <wp:effectExtent l="0" t="0" r="0" b="0"/>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2644153" cy="99831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208.2pt;height:78.6pt;mso-wrap-distance-left:0.0pt;mso-wrap-distance-top:0.0pt;mso-wrap-distance-right:0.0pt;mso-wrap-distance-bottom:0.0pt;" stroked="f">
                <v:path textboxrect="0,0,0,0"/>
                <v:imagedata r:id="rId117" o:title=""/>
              </v:shape>
            </w:pict>
          </mc:Fallback>
        </mc:AlternateContent>
      </w:r>
      <w:r/>
    </w:p>
    <w:p>
      <w:pPr>
        <w:pStyle w:val="1151"/>
        <w:ind w:left="2730" w:firstLine="1470"/>
      </w:pPr>
      <w:r>
        <mc:AlternateContent>
          <mc:Choice Requires="wpg">
            <w:drawing>
              <wp:inline xmlns:wp="http://schemas.openxmlformats.org/drawingml/2006/wordprocessingDrawing" distT="0" distB="0" distL="0" distR="0">
                <wp:extent cx="242109" cy="384922"/>
                <wp:effectExtent l="0" t="0" r="0" b="0"/>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242109" cy="3849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19.1pt;height:30.3pt;mso-wrap-distance-left:0.0pt;mso-wrap-distance-top:0.0pt;mso-wrap-distance-right:0.0pt;mso-wrap-distance-bottom:0.0pt;" stroked="f">
                <v:path textboxrect="0,0,0,0"/>
                <v:imagedata r:id="rId118" o:title=""/>
              </v:shape>
            </w:pict>
          </mc:Fallback>
        </mc:AlternateContent>
      </w:r>
      <w:r/>
    </w:p>
    <w:p>
      <w:pPr>
        <w:pStyle w:val="1151"/>
        <w:ind w:left="2940" w:firstLine="420"/>
        <w:rPr>
          <w:rFonts w:ascii="宋体" w:hAnsi="宋体"/>
          <w:lang w:val="zh-CN"/>
        </w:rPr>
      </w:pPr>
      <w:r>
        <w:rPr>
          <w:rStyle w:val="1246"/>
          <w:rFonts w:hint="eastAsia" w:hAnsi="宋体"/>
        </w:rPr>
        <w:t xml:space="preserve">图</w:t>
      </w:r>
      <w:r>
        <w:rPr>
          <w:rStyle w:val="1246"/>
          <w:rFonts w:hAnsi="宋体"/>
        </w:rPr>
        <w:t xml:space="preserve">D</w:t>
      </w:r>
      <w:r>
        <w:rPr>
          <w:rStyle w:val="1246"/>
          <w:rFonts w:hint="eastAsia" w:hAnsi="宋体"/>
        </w:rPr>
        <w:t xml:space="preserve">.</w:t>
      </w:r>
      <w:r>
        <w:rPr>
          <w:rStyle w:val="1246"/>
          <w:rFonts w:hAnsi="宋体"/>
        </w:rPr>
        <w:t xml:space="preserve">2</w:t>
      </w:r>
      <w:r>
        <w:rPr>
          <w:rStyle w:val="1246"/>
          <w:rFonts w:hint="eastAsia" w:hAnsi="宋体"/>
        </w:rPr>
        <w:t xml:space="preserve">-4 编码插销结构</w:t>
      </w:r>
      <w:r>
        <w:rPr>
          <w:rFonts w:ascii="宋体" w:hAnsi="宋体"/>
          <w:lang w:val="zh-CN"/>
        </w:rPr>
        <w:br w:type="textWrapping" w:clear="all"/>
      </w:r>
      <w:r>
        <w:rPr>
          <w:rFonts w:ascii="宋体" w:hAnsi="宋体"/>
          <w:lang w:val="zh-CN"/>
        </w:rPr>
      </w:r>
      <w:r/>
    </w:p>
    <w:p>
      <w:pPr>
        <w:pStyle w:val="1151"/>
        <w:ind w:firstLine="420"/>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6</w:t>
      </w:r>
      <w:r>
        <w:rPr>
          <w:rFonts w:hint="eastAsia" w:ascii="宋体" w:hAnsi="宋体"/>
          <w:szCs w:val="21"/>
          <w:lang w:val="zh-CN"/>
        </w:rPr>
        <w:t xml:space="preserve">芯和3</w:t>
      </w:r>
      <w:r>
        <w:rPr>
          <w:rFonts w:ascii="宋体" w:hAnsi="宋体"/>
          <w:szCs w:val="21"/>
          <w:lang w:val="zh-CN"/>
        </w:rPr>
        <w:t xml:space="preserve">2</w:t>
      </w:r>
      <w:r>
        <w:rPr>
          <w:rFonts w:hint="eastAsia" w:ascii="宋体" w:hAnsi="宋体"/>
          <w:szCs w:val="21"/>
          <w:lang w:val="zh-CN"/>
        </w:rPr>
        <w:t xml:space="preserve">芯连接器的插头插座上设有8个编码插销安装槽，1</w:t>
      </w:r>
      <w:r>
        <w:rPr>
          <w:rFonts w:ascii="宋体" w:hAnsi="宋体"/>
          <w:szCs w:val="21"/>
          <w:lang w:val="zh-CN"/>
        </w:rPr>
        <w:t xml:space="preserve">0</w:t>
      </w:r>
      <w:r>
        <w:rPr>
          <w:rFonts w:hint="eastAsia" w:ascii="宋体" w:hAnsi="宋体"/>
          <w:szCs w:val="21"/>
          <w:lang w:val="zh-CN"/>
        </w:rPr>
        <w:t xml:space="preserve">芯连接器设有4个，编码插销可以根据编码要求在头座之间任意配插。</w:t>
      </w:r>
      <w:r>
        <w:rPr>
          <w:rFonts w:hint="eastAsia" w:ascii="宋体" w:hAnsi="宋体"/>
          <w:szCs w:val="21"/>
        </w:rPr>
        <w:t xml:space="preserve">编码销</w:t>
      </w:r>
      <w:r>
        <w:rPr>
          <w:rFonts w:hint="eastAsia" w:ascii="宋体" w:hAnsi="宋体"/>
          <w:szCs w:val="21"/>
          <w:lang w:val="zh-CN"/>
        </w:rPr>
        <w:t xml:space="preserve">防呆原理如</w:t>
      </w:r>
      <w:r>
        <w:rPr>
          <w:rFonts w:hint="eastAsia" w:ascii="宋体" w:hAnsi="宋体"/>
          <w:szCs w:val="21"/>
        </w:rPr>
        <w:t xml:space="preserve">图</w:t>
      </w:r>
      <w:r>
        <w:rPr>
          <w:rFonts w:ascii="宋体" w:hAnsi="宋体"/>
          <w:szCs w:val="21"/>
        </w:rPr>
        <w:t xml:space="preserve">D</w:t>
      </w: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-5所示</w:t>
      </w:r>
      <w:r>
        <w:rPr>
          <w:rFonts w:hint="eastAsia" w:ascii="宋体" w:hAnsi="宋体"/>
          <w:szCs w:val="21"/>
          <w:lang w:val="zh-CN"/>
        </w:rPr>
        <w:t xml:space="preserve">：</w:t>
      </w:r>
      <w:r>
        <w:rPr>
          <w:rFonts w:ascii="宋体" w:hAnsi="宋体"/>
          <w:szCs w:val="21"/>
          <w:lang w:val="zh-CN"/>
        </w:rPr>
      </w:r>
      <w:r/>
    </w:p>
    <w:p>
      <w:pPr>
        <w:pStyle w:val="1151"/>
        <w:jc w:val="center"/>
      </w:pPr>
      <w:r/>
      <w:r/>
    </w:p>
    <w:p>
      <w:pPr>
        <w:pStyle w:val="1151"/>
        <w:jc w:val="center"/>
      </w:pPr>
      <w:r>
        <mc:AlternateContent>
          <mc:Choice Requires="wpg">
            <w:drawing>
              <wp:inline xmlns:wp="http://schemas.openxmlformats.org/drawingml/2006/wordprocessingDrawing" distT="0" distB="0" distL="0" distR="0">
                <wp:extent cx="2894406" cy="1092660"/>
                <wp:effectExtent l="0" t="0" r="0" b="0"/>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2894406" cy="1092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227.9pt;height:86.0pt;mso-wrap-distance-left:0.0pt;mso-wrap-distance-top:0.0pt;mso-wrap-distance-right:0.0pt;mso-wrap-distance-bottom:0.0pt;" stroked="f">
                <v:path textboxrect="0,0,0,0"/>
                <v:imagedata r:id="rId119" o:title=""/>
              </v:shape>
            </w:pict>
          </mc:Fallback>
        </mc:AlternateContent>
      </w:r>
      <w:r>
        <mc:AlternateContent>
          <mc:Choice Requires="wpg">
            <w:drawing>
              <wp:inline xmlns:wp="http://schemas.openxmlformats.org/drawingml/2006/wordprocessingDrawing" distT="0" distB="0" distL="0" distR="0">
                <wp:extent cx="2223135" cy="1338580"/>
                <wp:effectExtent l="0" t="0" r="0" b="0"/>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2223135" cy="1338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175.0pt;height:105.4pt;mso-wrap-distance-left:0.0pt;mso-wrap-distance-top:0.0pt;mso-wrap-distance-right:0.0pt;mso-wrap-distance-bottom:0.0pt;" stroked="f">
                <v:path textboxrect="0,0,0,0"/>
                <v:imagedata r:id="rId120" o:title=""/>
              </v:shape>
            </w:pict>
          </mc:Fallback>
        </mc:AlternateContent>
      </w:r>
      <w:r/>
    </w:p>
    <w:p>
      <w:pPr>
        <w:pStyle w:val="1151"/>
        <w:ind w:firstLine="420"/>
        <w:rPr>
          <w:rFonts w:ascii="宋体" w:hAnsi="宋体"/>
          <w:szCs w:val="21"/>
          <w:lang w:val="zh-CN"/>
        </w:rPr>
      </w:pPr>
      <w:r>
        <w:rPr>
          <w:rFonts w:hint="eastAsia" w:ascii="宋体" w:hAnsi="宋体"/>
          <w:szCs w:val="21"/>
          <w:lang w:val="zh-CN"/>
        </w:rPr>
        <w:t xml:space="preserve">插座作为固定端在其上安装7粒编码插销，留一穴不装。再在对应位置的活动端插头上安装一粒，这样头座之间就行成了唯一对应的关系。</w:t>
      </w:r>
      <w:r>
        <w:rPr>
          <w:rFonts w:ascii="宋体" w:hAnsi="宋体"/>
          <w:szCs w:val="21"/>
          <w:lang w:val="zh-CN"/>
        </w:rPr>
      </w:r>
      <w:r/>
    </w:p>
    <w:p>
      <w:pPr>
        <w:pStyle w:val="1151"/>
        <w:jc w:val="right"/>
        <w:rPr>
          <w:rFonts w:ascii="宋体" w:hAnsi="宋体"/>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158750</wp:posOffset>
                </wp:positionH>
                <wp:positionV relativeFrom="paragraph">
                  <wp:posOffset>248920</wp:posOffset>
                </wp:positionV>
                <wp:extent cx="1152525" cy="520065"/>
                <wp:effectExtent l="0" t="0" r="0" b="0"/>
                <wp:wrapNone/>
                <wp:docPr id="108" name=""/>
                <wp:cNvGraphicFramePr/>
                <a:graphic xmlns:a="http://schemas.openxmlformats.org/drawingml/2006/main">
                  <a:graphicData uri="http://schemas.microsoft.com/office/word/2010/wordprocessingShape">
                    <wps:wsp>
                      <wps:cNvPr id="0" name=""/>
                      <wps:cNvSpPr/>
                      <wps:spPr bwMode="auto">
                        <a:xfrm>
                          <a:off x="0" y="0"/>
                          <a:ext cx="1152525" cy="520064"/>
                        </a:xfrm>
                        <a:custGeom>
                          <a:avLst>
                            <a:gd name="adj0" fmla="val 16727"/>
                            <a:gd name="adj1" fmla="val 5400"/>
                          </a:avLst>
                          <a:gdLst>
                            <a:gd name="gd0" fmla="val 65536"/>
                            <a:gd name="gd1" fmla="val adj0"/>
                            <a:gd name="gd2" fmla="val adj1"/>
                            <a:gd name="gd3" fmla="+- 21600 0 adj1"/>
                            <a:gd name="gd4" fmla="+- 10800 0 adj1"/>
                            <a:gd name="gd5" fmla="+- 21600 0 adj0"/>
                            <a:gd name="gd6" fmla="*/ gd5 gd4 10800"/>
                            <a:gd name="gd7" fmla="+- 21600 0 gd6"/>
                            <a:gd name="gd8" fmla="val gd1"/>
                            <a:gd name="gd9" fmla="val 0"/>
                            <a:gd name="gd10" fmla="val gd1"/>
                            <a:gd name="gd11" fmla="val gd2"/>
                            <a:gd name="gd12" fmla="val 0"/>
                            <a:gd name="gd13" fmla="val gd2"/>
                            <a:gd name="gd14" fmla="val 0"/>
                            <a:gd name="gd15" fmla="val gd3"/>
                            <a:gd name="gd16" fmla="val gd1"/>
                            <a:gd name="gd17" fmla="val gd3"/>
                            <a:gd name="gd18" fmla="val gd1"/>
                            <a:gd name="gd19" fmla="val 21600"/>
                            <a:gd name="gd20" fmla="val 21600"/>
                            <a:gd name="gd21" fmla="val 10800"/>
                            <a:gd name="gd22" fmla="*/ w 0 21600"/>
                            <a:gd name="gd23" fmla="*/ h gd2 21600"/>
                            <a:gd name="gd24" fmla="*/ w gd7 21600"/>
                            <a:gd name="gd25" fmla="*/ h gd3 21600"/>
                            <a:gd name="gd26" fmla="*/ w adj0 21600"/>
                            <a:gd name="gd27" fmla="*/ h adj1 21600"/>
                          </a:gdLst>
                          <a:ahLst>
                            <a:ahXY gdRefX="adj0" minX="0" maxX="21600" gdRefY="adj1" minY="0" maxY="10800">
                              <a:pos x="gd26" y="gd27"/>
                            </a:ahXY>
                          </a:ahLst>
                          <a:cxnLst/>
                          <a:rect l="gd22" t="gd23" r="gd24" b="gd25"/>
                          <a:pathLst>
                            <a:path w="21600" h="21600" fill="norm" stroke="1" extrusionOk="0">
                              <a:moveTo>
                                <a:pt x="gd8" y="gd9"/>
                              </a:moveTo>
                              <a:lnTo>
                                <a:pt x="gd10" y="gd11"/>
                              </a:lnTo>
                              <a:lnTo>
                                <a:pt x="gd12" y="gd13"/>
                              </a:lnTo>
                              <a:lnTo>
                                <a:pt x="gd14" y="gd15"/>
                              </a:lnTo>
                              <a:lnTo>
                                <a:pt x="gd16" y="gd17"/>
                              </a:lnTo>
                              <a:lnTo>
                                <a:pt x="gd18" y="gd19"/>
                              </a:lnTo>
                              <a:lnTo>
                                <a:pt x="gd20" y="gd21"/>
                              </a:lnTo>
                              <a:close/>
                            </a:path>
                            <a:path w="21600" h="21600" fill="norm" stroke="1" extrusionOk="0"/>
                          </a:pathLst>
                        </a:custGeom>
                        <a:solidFill>
                          <a:srgbClr val="4F81BD"/>
                        </a:solidFill>
                        <a:ln w="25400">
                          <a:solidFill>
                            <a:srgbClr val="243F60"/>
                          </a:solidFill>
                        </a:ln>
                      </wps:spPr>
                      <wps:txbx>
                        <w:txbxContent>
                          <w:p>
                            <w:pPr>
                              <w:pStyle w:val="1151"/>
                              <w:ind w:firstLine="360"/>
                              <w:jc w:val="center"/>
                              <w:rPr>
                                <w:sz w:val="20"/>
                                <w:szCs w:val="21"/>
                              </w:rPr>
                            </w:pPr>
                            <w:r>
                              <w:rPr>
                                <w:rFonts w:hint="eastAsia"/>
                                <w:sz w:val="18"/>
                                <w:szCs w:val="20"/>
                              </w:rPr>
                              <w:t xml:space="preserve">配插正确时</w:t>
                            </w:r>
                            <w:r>
                              <w:rPr>
                                <w:sz w:val="20"/>
                                <w:szCs w:val="21"/>
                              </w:rPr>
                            </w:r>
                            <w:r/>
                          </w:p>
                          <w:p>
                            <w:pPr>
                              <w:pStyle w:val="1151"/>
                              <w:ind w:firstLine="480"/>
                              <w:jc w:val="center"/>
                            </w:pPr>
                            <w:r/>
                            <w:r/>
                          </w:p>
                          <w:p>
                            <w:pPr>
                              <w:pStyle w:val="1151"/>
                            </w:pPr>
                            <w:r/>
                            <w:r/>
                          </w:p>
                        </w:txbxContent>
                      </wps:txbx>
                      <wps:bodyPr wrap="square" anchor="ctr" upright="1"/>
                    </wps:wsp>
                  </a:graphicData>
                </a:graphic>
              </wp:anchor>
            </w:drawing>
          </mc:Choice>
          <mc:Fallback>
            <w:pict>
              <v:shape id="shape 111" o:spid="_x0000_s111" style="position:absolute;z-index:251658249;o:allowoverlap:true;o:allowincell:true;mso-position-horizontal-relative:text;margin-left:12.5pt;mso-position-horizontal:absolute;mso-position-vertical-relative:text;margin-top:19.6pt;mso-position-vertical:absolute;width:90.8pt;height:40.9pt;mso-wrap-distance-left:9.0pt;mso-wrap-distance-top:0.0pt;mso-wrap-distance-right:9.0pt;mso-wrap-distance-bottom:0.0pt;v-text-anchor:middle;visibility:visible;" path="m77440,0l77440,25000l0,25000l0,75000l77440,75000l77440,100000l100000,50000xee" coordsize="100000,100000" fillcolor="#4F81BD" strokecolor="#243F60" strokeweight="2.00pt">
                <v:path textboxrect="0,25000,88719,75000"/>
                <v:textbox inset="0,0,0,0">
                  <w:txbxContent>
                    <w:p>
                      <w:pPr>
                        <w:pStyle w:val="1151"/>
                        <w:ind w:firstLine="360"/>
                        <w:jc w:val="center"/>
                        <w:rPr>
                          <w:sz w:val="20"/>
                          <w:szCs w:val="21"/>
                        </w:rPr>
                      </w:pPr>
                      <w:r>
                        <w:rPr>
                          <w:rFonts w:hint="eastAsia"/>
                          <w:sz w:val="18"/>
                          <w:szCs w:val="20"/>
                        </w:rPr>
                        <w:t xml:space="preserve">配插正确时</w:t>
                      </w:r>
                      <w:r>
                        <w:rPr>
                          <w:sz w:val="20"/>
                          <w:szCs w:val="21"/>
                        </w:rPr>
                      </w:r>
                      <w:r/>
                    </w:p>
                    <w:p>
                      <w:pPr>
                        <w:pStyle w:val="1151"/>
                        <w:ind w:firstLine="480"/>
                        <w:jc w:val="center"/>
                      </w:pPr>
                      <w:r/>
                      <w:r/>
                    </w:p>
                    <w:p>
                      <w:pPr>
                        <w:pStyle w:val="1151"/>
                      </w:pPr>
                      <w:r/>
                      <w:r/>
                    </w:p>
                  </w:txbxContent>
                </v:textbox>
              </v:shape>
            </w:pict>
          </mc:Fallback>
        </mc:AlternateContent>
      </w:r>
      <w:r>
        <mc:AlternateContent>
          <mc:Choice Requires="wpg">
            <w:drawing>
              <wp:inline xmlns:wp="http://schemas.openxmlformats.org/drawingml/2006/wordprocessingDrawing" distT="0" distB="0" distL="0" distR="0">
                <wp:extent cx="4010520" cy="1025012"/>
                <wp:effectExtent l="0" t="0" r="0" b="0"/>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4010520" cy="10250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315.8pt;height:80.7pt;mso-wrap-distance-left:0.0pt;mso-wrap-distance-top:0.0pt;mso-wrap-distance-right:0.0pt;mso-wrap-distance-bottom:0.0pt;" stroked="f">
                <v:path textboxrect="0,0,0,0"/>
                <v:imagedata r:id="rId121" o:title=""/>
              </v:shape>
            </w:pict>
          </mc:Fallback>
        </mc:AlternateContent>
      </w:r>
      <w:r>
        <w:rPr>
          <w:rFonts w:ascii="宋体" w:hAnsi="宋体"/>
          <w:lang w:val="zh-CN"/>
        </w:rPr>
      </w:r>
      <w:r/>
    </w:p>
    <w:p>
      <w:pPr>
        <w:pStyle w:val="1151"/>
        <w:ind w:firstLine="420"/>
        <w:rPr>
          <w:rFonts w:ascii="宋体" w:hAnsi="宋体"/>
          <w:szCs w:val="21"/>
          <w:lang w:val="zh-CN"/>
        </w:rPr>
      </w:pPr>
      <w:r>
        <w:rPr>
          <w:rFonts w:hint="eastAsia"/>
          <w:szCs w:val="21"/>
        </w:rPr>
        <w:t xml:space="preserve">插头上的一粒编码插销刚好居于插座未装的空穴内。</w:t>
      </w:r>
      <w:r>
        <w:rPr>
          <w:rFonts w:ascii="宋体" w:hAnsi="宋体"/>
          <w:szCs w:val="21"/>
          <w:lang w:val="zh-CN"/>
        </w:rPr>
      </w:r>
      <w:r/>
    </w:p>
    <w:p>
      <w:pPr>
        <w:pStyle w:val="115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159385</wp:posOffset>
                </wp:positionH>
                <wp:positionV relativeFrom="paragraph">
                  <wp:posOffset>211455</wp:posOffset>
                </wp:positionV>
                <wp:extent cx="1144905" cy="520065"/>
                <wp:effectExtent l="0" t="0" r="0" b="0"/>
                <wp:wrapNone/>
                <wp:docPr id="110" name=""/>
                <wp:cNvGraphicFramePr/>
                <a:graphic xmlns:a="http://schemas.openxmlformats.org/drawingml/2006/main">
                  <a:graphicData uri="http://schemas.microsoft.com/office/word/2010/wordprocessingShape">
                    <wps:wsp>
                      <wps:cNvPr id="0" name=""/>
                      <wps:cNvSpPr/>
                      <wps:spPr bwMode="auto">
                        <a:xfrm>
                          <a:off x="0" y="0"/>
                          <a:ext cx="1144905" cy="520064"/>
                        </a:xfrm>
                        <a:custGeom>
                          <a:avLst>
                            <a:gd name="adj0" fmla="val 16694"/>
                            <a:gd name="adj1" fmla="val 5400"/>
                          </a:avLst>
                          <a:gdLst>
                            <a:gd name="gd0" fmla="val 65536"/>
                            <a:gd name="gd1" fmla="val adj0"/>
                            <a:gd name="gd2" fmla="val adj1"/>
                            <a:gd name="gd3" fmla="+- 21600 0 adj1"/>
                            <a:gd name="gd4" fmla="+- 10800 0 adj1"/>
                            <a:gd name="gd5" fmla="+- 21600 0 adj0"/>
                            <a:gd name="gd6" fmla="*/ gd5 gd4 10800"/>
                            <a:gd name="gd7" fmla="+- 21600 0 gd6"/>
                            <a:gd name="gd8" fmla="val gd1"/>
                            <a:gd name="gd9" fmla="val 0"/>
                            <a:gd name="gd10" fmla="val gd1"/>
                            <a:gd name="gd11" fmla="val gd2"/>
                            <a:gd name="gd12" fmla="val 0"/>
                            <a:gd name="gd13" fmla="val gd2"/>
                            <a:gd name="gd14" fmla="val 0"/>
                            <a:gd name="gd15" fmla="val gd3"/>
                            <a:gd name="gd16" fmla="val gd1"/>
                            <a:gd name="gd17" fmla="val gd3"/>
                            <a:gd name="gd18" fmla="val gd1"/>
                            <a:gd name="gd19" fmla="val 21600"/>
                            <a:gd name="gd20" fmla="val 21600"/>
                            <a:gd name="gd21" fmla="val 10800"/>
                            <a:gd name="gd22" fmla="*/ w 0 21600"/>
                            <a:gd name="gd23" fmla="*/ h gd2 21600"/>
                            <a:gd name="gd24" fmla="*/ w gd7 21600"/>
                            <a:gd name="gd25" fmla="*/ h gd3 21600"/>
                            <a:gd name="gd26" fmla="*/ w adj0 21600"/>
                            <a:gd name="gd27" fmla="*/ h adj1 21600"/>
                          </a:gdLst>
                          <a:ahLst>
                            <a:ahXY gdRefX="adj0" minX="0" maxX="21600" gdRefY="adj1" minY="0" maxY="10800">
                              <a:pos x="gd26" y="gd27"/>
                            </a:ahXY>
                          </a:ahLst>
                          <a:cxnLst/>
                          <a:rect l="gd22" t="gd23" r="gd24" b="gd25"/>
                          <a:pathLst>
                            <a:path w="21600" h="21600" fill="norm" stroke="1" extrusionOk="0">
                              <a:moveTo>
                                <a:pt x="gd8" y="gd9"/>
                              </a:moveTo>
                              <a:lnTo>
                                <a:pt x="gd10" y="gd11"/>
                              </a:lnTo>
                              <a:lnTo>
                                <a:pt x="gd12" y="gd13"/>
                              </a:lnTo>
                              <a:lnTo>
                                <a:pt x="gd14" y="gd15"/>
                              </a:lnTo>
                              <a:lnTo>
                                <a:pt x="gd16" y="gd17"/>
                              </a:lnTo>
                              <a:lnTo>
                                <a:pt x="gd18" y="gd19"/>
                              </a:lnTo>
                              <a:lnTo>
                                <a:pt x="gd20" y="gd21"/>
                              </a:lnTo>
                              <a:close/>
                            </a:path>
                            <a:path w="21600" h="21600" fill="norm" stroke="1" extrusionOk="0"/>
                          </a:pathLst>
                        </a:custGeom>
                        <a:solidFill>
                          <a:srgbClr val="4F81BD"/>
                        </a:solidFill>
                        <a:ln w="25400">
                          <a:solidFill>
                            <a:srgbClr val="243F60"/>
                          </a:solidFill>
                        </a:ln>
                      </wps:spPr>
                      <wps:txbx>
                        <w:txbxContent>
                          <w:p>
                            <w:pPr>
                              <w:pStyle w:val="1151"/>
                              <w:ind w:firstLine="360"/>
                              <w:jc w:val="center"/>
                              <w:rPr>
                                <w:sz w:val="20"/>
                                <w:szCs w:val="21"/>
                              </w:rPr>
                            </w:pPr>
                            <w:r>
                              <w:rPr>
                                <w:rFonts w:hint="eastAsia"/>
                                <w:sz w:val="18"/>
                                <w:szCs w:val="20"/>
                              </w:rPr>
                              <w:t xml:space="preserve">配插错误时</w:t>
                            </w:r>
                            <w:r>
                              <w:rPr>
                                <w:sz w:val="20"/>
                                <w:szCs w:val="21"/>
                              </w:rPr>
                            </w:r>
                            <w:r/>
                          </w:p>
                          <w:p>
                            <w:pPr>
                              <w:pStyle w:val="1151"/>
                              <w:ind w:firstLine="480"/>
                              <w:jc w:val="center"/>
                            </w:pPr>
                            <w:r/>
                            <w:r/>
                          </w:p>
                          <w:p>
                            <w:pPr>
                              <w:pStyle w:val="1151"/>
                            </w:pPr>
                            <w:r/>
                            <w:r/>
                          </w:p>
                        </w:txbxContent>
                      </wps:txbx>
                      <wps:bodyPr wrap="square" anchor="ctr" upright="1"/>
                    </wps:wsp>
                  </a:graphicData>
                </a:graphic>
              </wp:anchor>
            </w:drawing>
          </mc:Choice>
          <mc:Fallback>
            <w:pict>
              <v:shape id="shape 113" o:spid="_x0000_s113" style="position:absolute;z-index:251658250;o:allowoverlap:true;o:allowincell:true;mso-position-horizontal-relative:text;margin-left:12.5pt;mso-position-horizontal:absolute;mso-position-vertical-relative:text;margin-top:16.6pt;mso-position-vertical:absolute;width:90.1pt;height:40.9pt;mso-wrap-distance-left:9.0pt;mso-wrap-distance-top:0.0pt;mso-wrap-distance-right:9.0pt;mso-wrap-distance-bottom:0.0pt;v-text-anchor:middle;visibility:visible;" path="m77287,0l77287,25000l0,25000l0,75000l77287,75000l77287,100000l100000,50000xee" coordsize="100000,100000" fillcolor="#4F81BD" strokecolor="#243F60" strokeweight="2.00pt">
                <v:path textboxrect="0,25000,88643,75000"/>
                <v:textbox inset="0,0,0,0">
                  <w:txbxContent>
                    <w:p>
                      <w:pPr>
                        <w:pStyle w:val="1151"/>
                        <w:ind w:firstLine="360"/>
                        <w:jc w:val="center"/>
                        <w:rPr>
                          <w:sz w:val="20"/>
                          <w:szCs w:val="21"/>
                        </w:rPr>
                      </w:pPr>
                      <w:r>
                        <w:rPr>
                          <w:rFonts w:hint="eastAsia"/>
                          <w:sz w:val="18"/>
                          <w:szCs w:val="20"/>
                        </w:rPr>
                        <w:t xml:space="preserve">配插错误时</w:t>
                      </w:r>
                      <w:r>
                        <w:rPr>
                          <w:sz w:val="20"/>
                          <w:szCs w:val="21"/>
                        </w:rPr>
                      </w:r>
                      <w:r/>
                    </w:p>
                    <w:p>
                      <w:pPr>
                        <w:pStyle w:val="1151"/>
                        <w:ind w:firstLine="480"/>
                        <w:jc w:val="center"/>
                      </w:pPr>
                      <w:r/>
                      <w:r/>
                    </w:p>
                    <w:p>
                      <w:pPr>
                        <w:pStyle w:val="1151"/>
                      </w:pPr>
                      <w:r/>
                      <w:r/>
                    </w:p>
                  </w:txbxContent>
                </v:textbox>
              </v:shape>
            </w:pict>
          </mc:Fallback>
        </mc:AlternateContent>
      </w:r>
      <w:r>
        <mc:AlternateContent>
          <mc:Choice Requires="wpg">
            <w:drawing>
              <wp:inline xmlns:wp="http://schemas.openxmlformats.org/drawingml/2006/wordprocessingDrawing" distT="0" distB="0" distL="0" distR="0">
                <wp:extent cx="3948570" cy="974724"/>
                <wp:effectExtent l="0" t="0" r="0" b="0"/>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3948570" cy="9747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310.9pt;height:76.7pt;mso-wrap-distance-left:0.0pt;mso-wrap-distance-top:0.0pt;mso-wrap-distance-right:0.0pt;mso-wrap-distance-bottom:0.0pt;" stroked="f">
                <v:path textboxrect="0,0,0,0"/>
                <v:imagedata r:id="rId122" o:title=""/>
              </v:shape>
            </w:pict>
          </mc:Fallback>
        </mc:AlternateContent>
      </w:r>
      <w:r/>
    </w:p>
    <w:p>
      <w:pPr>
        <w:pStyle w:val="1151"/>
        <w:ind w:firstLine="420"/>
        <w:jc w:val="center"/>
        <w:rPr>
          <w:rFonts w:ascii="宋体" w:hAnsi="宋体"/>
          <w:szCs w:val="21"/>
          <w:lang w:val="zh-CN"/>
        </w:rPr>
      </w:pPr>
      <w:r>
        <w:rPr>
          <w:rFonts w:hint="eastAsia" w:ascii="宋体" w:hAnsi="宋体"/>
          <w:szCs w:val="21"/>
          <w:lang w:val="zh-CN"/>
        </w:rPr>
        <w:t xml:space="preserve">图</w:t>
      </w:r>
      <w:r>
        <w:rPr>
          <w:rFonts w:ascii="宋体" w:hAnsi="宋体"/>
          <w:szCs w:val="21"/>
          <w:lang w:val="zh-CN"/>
        </w:rPr>
        <w:t xml:space="preserve">D</w:t>
      </w:r>
      <w:r>
        <w:rPr>
          <w:rFonts w:hint="eastAsia" w:ascii="宋体" w:hAnsi="宋体"/>
          <w:szCs w:val="21"/>
          <w:lang w:val="zh-CN"/>
        </w:rPr>
        <w:t xml:space="preserve">.</w:t>
      </w:r>
      <w:r>
        <w:rPr>
          <w:rFonts w:ascii="宋体" w:hAnsi="宋体"/>
          <w:szCs w:val="21"/>
          <w:lang w:val="zh-CN"/>
        </w:rPr>
        <w:t xml:space="preserve">2</w:t>
      </w:r>
      <w:r>
        <w:rPr>
          <w:rFonts w:hint="eastAsia" w:ascii="宋体" w:hAnsi="宋体"/>
          <w:szCs w:val="21"/>
          <w:lang w:val="zh-CN"/>
        </w:rPr>
        <w:t xml:space="preserve">-5 编码销防呆原理</w:t>
      </w:r>
      <w:r>
        <w:rPr>
          <w:rFonts w:ascii="宋体" w:hAnsi="宋体"/>
          <w:szCs w:val="21"/>
          <w:lang w:val="zh-CN"/>
        </w:rPr>
      </w:r>
      <w:r/>
    </w:p>
    <w:p>
      <w:pPr>
        <w:pStyle w:val="1151"/>
        <w:ind w:firstLine="420"/>
        <w:rPr>
          <w:szCs w:val="21"/>
        </w:rPr>
      </w:pPr>
      <w:r>
        <w:rPr>
          <w:rFonts w:hint="eastAsia"/>
          <w:szCs w:val="21"/>
        </w:rPr>
        <w:t xml:space="preserve">除了对应的头座可以互插外，其余任意位置的编码插销都会与插座上的编码插销产生干涉，阻止插入。</w:t>
      </w:r>
      <w:r>
        <w:rPr>
          <w:szCs w:val="21"/>
        </w:rPr>
      </w:r>
      <w:r/>
    </w:p>
    <w:p>
      <w:pPr>
        <w:pStyle w:val="1151"/>
        <w:ind w:firstLine="420"/>
        <w:rPr>
          <w:szCs w:val="21"/>
        </w:rPr>
      </w:pPr>
      <w:r>
        <w:rPr>
          <w:rFonts w:hint="eastAsia"/>
          <w:szCs w:val="21"/>
        </w:rPr>
        <w:t xml:space="preserve">为了与颜色标识块以及数字标识形成统一，对插座未装的穴位给予数字代号。对</w:t>
      </w:r>
      <w:r>
        <w:rPr>
          <w:rFonts w:hint="eastAsia"/>
          <w:szCs w:val="21"/>
          <w:lang w:val="zh-CN"/>
        </w:rPr>
        <w:t xml:space="preserve">照</w:t>
      </w:r>
      <w:r>
        <w:rPr>
          <w:rFonts w:hint="eastAsia"/>
          <w:szCs w:val="21"/>
        </w:rPr>
        <w:t xml:space="preserve">关系如</w:t>
      </w:r>
      <w:r>
        <w:rPr>
          <w:rFonts w:hint="eastAsia"/>
          <w:szCs w:val="21"/>
          <w:lang w:val="zh-CN"/>
        </w:rPr>
        <w:t xml:space="preserve">表</w:t>
      </w:r>
      <w:r>
        <w:rPr>
          <w:szCs w:val="21"/>
          <w:lang w:val="zh-CN"/>
        </w:rPr>
        <w:t xml:space="preserve">D</w:t>
      </w:r>
      <w:r>
        <w:rPr>
          <w:rFonts w:hint="eastAsia"/>
          <w:szCs w:val="21"/>
          <w:lang w:val="zh-CN"/>
        </w:rPr>
        <w:t xml:space="preserve">.</w:t>
      </w:r>
      <w:r>
        <w:rPr>
          <w:szCs w:val="21"/>
          <w:lang w:val="zh-CN"/>
        </w:rPr>
        <w:t xml:space="preserve">7</w:t>
      </w:r>
      <w:r>
        <w:rPr>
          <w:rFonts w:hint="eastAsia"/>
          <w:szCs w:val="21"/>
          <w:lang w:val="zh-CN"/>
        </w:rPr>
        <w:t xml:space="preserve">-</w:t>
      </w:r>
      <w:r>
        <w:rPr>
          <w:szCs w:val="21"/>
          <w:lang w:val="zh-CN"/>
        </w:rPr>
        <w:t xml:space="preserve">1</w:t>
      </w:r>
      <w:r>
        <w:rPr>
          <w:rFonts w:hint="eastAsia"/>
          <w:szCs w:val="21"/>
          <w:lang w:val="zh-CN"/>
        </w:rPr>
        <w:t xml:space="preserve">所示</w:t>
      </w:r>
      <w:r>
        <w:rPr>
          <w:rFonts w:hint="eastAsia"/>
          <w:szCs w:val="21"/>
        </w:rPr>
        <w:t xml:space="preserve">：</w:t>
      </w:r>
      <w:r>
        <w:rPr>
          <w:szCs w:val="21"/>
        </w:rPr>
      </w:r>
      <w:r/>
    </w:p>
    <w:p>
      <w:pPr>
        <w:pStyle w:val="1151"/>
        <w:ind w:firstLine="420"/>
        <w:jc w:val="center"/>
        <w:rPr>
          <w:szCs w:val="21"/>
        </w:rPr>
      </w:pPr>
      <w:r>
        <w:rPr>
          <w:rFonts w:hint="eastAsia"/>
          <w:szCs w:val="21"/>
          <w:lang w:val="zh-CN"/>
        </w:rPr>
        <w:t xml:space="preserve">表</w:t>
      </w:r>
      <w:r>
        <w:rPr>
          <w:szCs w:val="21"/>
          <w:lang w:val="zh-CN"/>
        </w:rPr>
        <w:t xml:space="preserve">D</w:t>
      </w:r>
      <w:r>
        <w:rPr>
          <w:rFonts w:hint="eastAsia"/>
          <w:szCs w:val="21"/>
          <w:lang w:val="zh-CN"/>
        </w:rPr>
        <w:t xml:space="preserve">.</w:t>
      </w:r>
      <w:r>
        <w:rPr>
          <w:szCs w:val="21"/>
          <w:lang w:val="zh-CN"/>
        </w:rPr>
        <w:t xml:space="preserve">2</w:t>
      </w:r>
      <w:r>
        <w:rPr>
          <w:rFonts w:hint="eastAsia"/>
          <w:szCs w:val="21"/>
          <w:lang w:val="zh-CN"/>
        </w:rPr>
        <w:t xml:space="preserve">-</w:t>
      </w:r>
      <w:r>
        <w:rPr>
          <w:szCs w:val="21"/>
          <w:lang w:val="zh-CN"/>
        </w:rPr>
        <w:t xml:space="preserve">1</w:t>
      </w:r>
      <w:r>
        <w:rPr>
          <w:rFonts w:hint="eastAsia"/>
          <w:szCs w:val="21"/>
        </w:rPr>
        <w:t xml:space="preserve">插座未装的穴位数字代号</w:t>
      </w:r>
      <w:r>
        <w:rPr>
          <w:szCs w:val="21"/>
        </w:rPr>
      </w:r>
      <w:r/>
    </w:p>
    <w:tbl>
      <w:tblPr>
        <w:tblW w:w="90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134"/>
        <w:gridCol w:w="1051"/>
        <w:gridCol w:w="933"/>
        <w:gridCol w:w="1038"/>
        <w:gridCol w:w="976"/>
        <w:gridCol w:w="949"/>
        <w:gridCol w:w="966"/>
        <w:gridCol w:w="1033"/>
      </w:tblGrid>
      <w:tr>
        <w:trPr>
          <w:trHeight w:val="699"/>
        </w:trPr>
        <w:tc>
          <w:tcPr>
            <w:tcW w:w="993" w:type="dxa"/>
            <w:vAlign w:val="top"/>
            <w:textDirection w:val="lrTb"/>
            <w:noWrap w:val="false"/>
          </w:tcPr>
          <w:p>
            <w:pPr>
              <w:pStyle w:val="1151"/>
              <w:jc w:val="center"/>
              <w:rPr>
                <w:rFonts w:ascii="宋体" w:hAnsi="宋体"/>
                <w:lang w:val="zh-CN"/>
              </w:rPr>
            </w:pPr>
            <w:r>
              <w:rPr>
                <w:rFonts w:hint="eastAsia" w:ascii="宋体" w:hAnsi="宋体"/>
                <w:sz w:val="20"/>
                <w:szCs w:val="20"/>
                <w:lang w:val="zh-CN"/>
              </w:rPr>
              <w:t xml:space="preserve">对应数字代号</w:t>
            </w:r>
            <w:r>
              <w:rPr>
                <w:rFonts w:ascii="宋体" w:hAnsi="宋体"/>
                <w:lang w:val="zh-CN"/>
              </w:rPr>
            </w:r>
            <w:r/>
          </w:p>
        </w:tc>
        <w:tc>
          <w:tcPr>
            <w:tcW w:w="1134" w:type="dxa"/>
            <w:vAlign w:val="top"/>
            <w:textDirection w:val="lrTb"/>
            <w:noWrap w:val="false"/>
          </w:tcPr>
          <w:p>
            <w:pPr>
              <w:pStyle w:val="1151"/>
              <w:jc w:val="center"/>
              <w:rPr>
                <w:rFonts w:ascii="宋体" w:hAnsi="宋体"/>
                <w:lang w:val="zh-CN"/>
              </w:rPr>
            </w:pPr>
            <w:r>
              <w:rPr>
                <w:rFonts w:hint="eastAsia" w:ascii="宋体" w:hAnsi="宋体"/>
                <w:lang w:val="zh-CN"/>
              </w:rPr>
              <w:t xml:space="preserve">1</w:t>
            </w:r>
            <w:r>
              <w:rPr>
                <w:rFonts w:ascii="宋体" w:hAnsi="宋体"/>
                <w:lang w:val="zh-CN"/>
              </w:rPr>
            </w:r>
            <w:r/>
          </w:p>
        </w:tc>
        <w:tc>
          <w:tcPr>
            <w:tcW w:w="1051" w:type="dxa"/>
            <w:vAlign w:val="top"/>
            <w:textDirection w:val="lrTb"/>
            <w:noWrap w:val="false"/>
          </w:tcPr>
          <w:p>
            <w:pPr>
              <w:pStyle w:val="1151"/>
              <w:jc w:val="center"/>
              <w:rPr>
                <w:rFonts w:ascii="宋体" w:hAnsi="宋体"/>
                <w:lang w:val="zh-CN"/>
              </w:rPr>
            </w:pPr>
            <w:r>
              <w:rPr>
                <w:rFonts w:hint="eastAsia" w:ascii="宋体" w:hAnsi="宋体"/>
                <w:lang w:val="zh-CN"/>
              </w:rPr>
              <w:t xml:space="preserve">2</w:t>
            </w:r>
            <w:r>
              <w:rPr>
                <w:rFonts w:ascii="宋体" w:hAnsi="宋体"/>
                <w:lang w:val="zh-CN"/>
              </w:rPr>
            </w:r>
            <w:r/>
          </w:p>
        </w:tc>
        <w:tc>
          <w:tcPr>
            <w:tcW w:w="933" w:type="dxa"/>
            <w:vAlign w:val="top"/>
            <w:textDirection w:val="lrTb"/>
            <w:noWrap w:val="false"/>
          </w:tcPr>
          <w:p>
            <w:pPr>
              <w:pStyle w:val="1151"/>
              <w:jc w:val="center"/>
              <w:rPr>
                <w:rFonts w:ascii="宋体" w:hAnsi="宋体"/>
                <w:lang w:val="zh-CN"/>
              </w:rPr>
            </w:pPr>
            <w:r>
              <w:rPr>
                <w:rFonts w:hint="eastAsia" w:ascii="宋体" w:hAnsi="宋体"/>
                <w:lang w:val="zh-CN"/>
              </w:rPr>
              <w:t xml:space="preserve">3</w:t>
            </w:r>
            <w:r>
              <w:rPr>
                <w:rFonts w:ascii="宋体" w:hAnsi="宋体"/>
                <w:lang w:val="zh-CN"/>
              </w:rPr>
            </w:r>
            <w:r/>
          </w:p>
        </w:tc>
        <w:tc>
          <w:tcPr>
            <w:tcW w:w="1038" w:type="dxa"/>
            <w:vAlign w:val="top"/>
            <w:textDirection w:val="lrTb"/>
            <w:noWrap w:val="false"/>
          </w:tcPr>
          <w:p>
            <w:pPr>
              <w:pStyle w:val="1151"/>
              <w:jc w:val="center"/>
              <w:rPr>
                <w:rFonts w:ascii="宋体" w:hAnsi="宋体"/>
                <w:lang w:val="zh-CN"/>
              </w:rPr>
            </w:pPr>
            <w:r>
              <w:rPr>
                <w:rFonts w:hint="eastAsia" w:ascii="宋体" w:hAnsi="宋体"/>
                <w:lang w:val="zh-CN"/>
              </w:rPr>
              <w:t xml:space="preserve">4</w:t>
            </w:r>
            <w:r>
              <w:rPr>
                <w:rFonts w:ascii="宋体" w:hAnsi="宋体"/>
                <w:lang w:val="zh-CN"/>
              </w:rPr>
            </w:r>
            <w:r/>
          </w:p>
        </w:tc>
        <w:tc>
          <w:tcPr>
            <w:tcW w:w="976" w:type="dxa"/>
            <w:vAlign w:val="top"/>
            <w:textDirection w:val="lrTb"/>
            <w:noWrap w:val="false"/>
          </w:tcPr>
          <w:p>
            <w:pPr>
              <w:pStyle w:val="1151"/>
              <w:jc w:val="center"/>
              <w:rPr>
                <w:rFonts w:ascii="宋体" w:hAnsi="宋体"/>
                <w:lang w:val="zh-CN"/>
              </w:rPr>
            </w:pPr>
            <w:r>
              <w:rPr>
                <w:rFonts w:hint="eastAsia" w:ascii="宋体" w:hAnsi="宋体"/>
                <w:lang w:val="zh-CN"/>
              </w:rPr>
              <w:t xml:space="preserve">5</w:t>
            </w:r>
            <w:r>
              <w:rPr>
                <w:rFonts w:ascii="宋体" w:hAnsi="宋体"/>
                <w:lang w:val="zh-CN"/>
              </w:rPr>
            </w:r>
            <w:r/>
          </w:p>
        </w:tc>
        <w:tc>
          <w:tcPr>
            <w:tcW w:w="949" w:type="dxa"/>
            <w:vAlign w:val="top"/>
            <w:textDirection w:val="lrTb"/>
            <w:noWrap w:val="false"/>
          </w:tcPr>
          <w:p>
            <w:pPr>
              <w:pStyle w:val="1151"/>
              <w:jc w:val="center"/>
              <w:rPr>
                <w:rFonts w:ascii="宋体" w:hAnsi="宋体"/>
                <w:lang w:val="zh-CN"/>
              </w:rPr>
            </w:pPr>
            <w:r>
              <w:rPr>
                <w:rFonts w:hint="eastAsia" w:ascii="宋体" w:hAnsi="宋体"/>
                <w:lang w:val="zh-CN"/>
              </w:rPr>
              <w:t xml:space="preserve">6</w:t>
            </w:r>
            <w:r>
              <w:rPr>
                <w:rFonts w:ascii="宋体" w:hAnsi="宋体"/>
                <w:lang w:val="zh-CN"/>
              </w:rPr>
            </w:r>
            <w:r/>
          </w:p>
        </w:tc>
        <w:tc>
          <w:tcPr>
            <w:tcW w:w="966" w:type="dxa"/>
            <w:vAlign w:val="top"/>
            <w:textDirection w:val="lrTb"/>
            <w:noWrap w:val="false"/>
          </w:tcPr>
          <w:p>
            <w:pPr>
              <w:pStyle w:val="1151"/>
              <w:jc w:val="center"/>
              <w:rPr>
                <w:rFonts w:ascii="宋体" w:hAnsi="宋体"/>
                <w:lang w:val="zh-CN"/>
              </w:rPr>
            </w:pPr>
            <w:r>
              <w:rPr>
                <w:rFonts w:hint="eastAsia" w:ascii="宋体" w:hAnsi="宋体"/>
                <w:lang w:val="zh-CN"/>
              </w:rPr>
              <w:t xml:space="preserve">7</w:t>
            </w:r>
            <w:r>
              <w:rPr>
                <w:rFonts w:ascii="宋体" w:hAnsi="宋体"/>
                <w:lang w:val="zh-CN"/>
              </w:rPr>
            </w:r>
            <w:r/>
          </w:p>
        </w:tc>
        <w:tc>
          <w:tcPr>
            <w:tcW w:w="1033" w:type="dxa"/>
            <w:vAlign w:val="top"/>
            <w:textDirection w:val="lrTb"/>
            <w:noWrap w:val="false"/>
          </w:tcPr>
          <w:p>
            <w:pPr>
              <w:pStyle w:val="1151"/>
              <w:jc w:val="center"/>
              <w:rPr>
                <w:rFonts w:ascii="宋体" w:hAnsi="宋体"/>
                <w:lang w:val="zh-CN"/>
              </w:rPr>
            </w:pPr>
            <w:r>
              <w:rPr>
                <w:rFonts w:hint="eastAsia" w:ascii="宋体" w:hAnsi="宋体"/>
                <w:lang w:val="zh-CN"/>
              </w:rPr>
              <w:t xml:space="preserve">8</w:t>
            </w:r>
            <w:r>
              <w:rPr>
                <w:rFonts w:ascii="宋体" w:hAnsi="宋体"/>
                <w:lang w:val="zh-CN"/>
              </w:rPr>
            </w:r>
            <w:r/>
          </w:p>
        </w:tc>
      </w:tr>
      <w:tr>
        <w:trPr>
          <w:trHeight w:val="3247"/>
        </w:trPr>
        <w:tc>
          <w:tcPr>
            <w:tcW w:w="993" w:type="dxa"/>
            <w:vAlign w:val="top"/>
            <w:textDirection w:val="lrTb"/>
            <w:noWrap w:val="false"/>
          </w:tcPr>
          <w:p>
            <w:pPr>
              <w:pStyle w:val="1151"/>
              <w:rPr>
                <w:rFonts w:ascii="宋体" w:hAnsi="宋体"/>
                <w:sz w:val="22"/>
                <w:lang w:val="zh-CN"/>
              </w:rPr>
            </w:pPr>
            <w:r>
              <w:rPr>
                <w:rFonts w:ascii="宋体" w:hAnsi="宋体"/>
                <w:sz w:val="22"/>
                <w:lang w:val="zh-CN"/>
              </w:rPr>
            </w:r>
            <w:r/>
          </w:p>
          <w:p>
            <w:pPr>
              <w:pStyle w:val="1151"/>
              <w:jc w:val="center"/>
              <w:rPr>
                <w:rFonts w:ascii="宋体" w:hAnsi="宋体"/>
                <w:lang w:val="zh-CN"/>
              </w:rPr>
            </w:pPr>
            <w:r>
              <w:rPr>
                <w:rFonts w:hint="eastAsia" w:ascii="宋体" w:hAnsi="宋体"/>
                <w:sz w:val="22"/>
                <w:lang w:val="zh-CN"/>
              </w:rPr>
              <w:t xml:space="preserve">插座编码插销安装形式</w:t>
            </w:r>
            <w:r>
              <w:rPr>
                <w:rFonts w:ascii="宋体" w:hAnsi="宋体"/>
                <w:lang w:val="zh-CN"/>
              </w:rPr>
            </w:r>
            <w:r/>
          </w:p>
        </w:tc>
        <w:tc>
          <w:tcPr>
            <w:tcW w:w="1134" w:type="dxa"/>
            <w:vAlign w:val="top"/>
            <w:textDirection w:val="lrTb"/>
            <w:noWrap w:val="false"/>
          </w:tcPr>
          <w:p>
            <w:pPr>
              <w:pStyle w:val="1151"/>
              <w:rPr>
                <w:rFonts w:ascii="宋体" w:hAnsi="宋体"/>
                <w:b/>
                <w:bCs/>
                <w:lang w:val="zh-CN"/>
              </w:rPr>
            </w:pPr>
            <w:r>
              <w:rPr>
                <w:b/>
                <w:bCs/>
              </w:rPr>
              <mc:AlternateContent>
                <mc:Choice Requires="wpg">
                  <w:drawing>
                    <wp:inline xmlns:wp="http://schemas.openxmlformats.org/drawingml/2006/wordprocessingDrawing" distT="0" distB="0" distL="0" distR="0">
                      <wp:extent cx="478111" cy="1844167"/>
                      <wp:effectExtent l="0" t="0" r="0" b="0"/>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478111" cy="1844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37.6pt;height:145.2pt;mso-wrap-distance-left:0.0pt;mso-wrap-distance-top:0.0pt;mso-wrap-distance-right:0.0pt;mso-wrap-distance-bottom:0.0pt;" stroked="f">
                      <v:path textboxrect="0,0,0,0"/>
                      <v:imagedata r:id="rId123" o:title=""/>
                    </v:shape>
                  </w:pict>
                </mc:Fallback>
              </mc:AlternateContent>
            </w:r>
            <w:r>
              <w:rPr>
                <w:rFonts w:ascii="宋体" w:hAnsi="宋体"/>
                <w:b/>
                <w:bCs/>
                <w:lang w:val="zh-CN"/>
              </w:rPr>
            </w:r>
            <w:r/>
          </w:p>
        </w:tc>
        <w:tc>
          <w:tcPr>
            <w:tcW w:w="1051" w:type="dxa"/>
            <w:vAlign w:val="top"/>
            <w:textDirection w:val="lrTb"/>
            <w:noWrap w:val="false"/>
          </w:tcPr>
          <w:p>
            <w:pPr>
              <w:pStyle w:val="1151"/>
              <w:rPr>
                <w:rFonts w:ascii="宋体" w:hAnsi="宋体"/>
                <w:lang w:val="zh-CN"/>
              </w:rPr>
            </w:pPr>
            <w:r>
              <mc:AlternateContent>
                <mc:Choice Requires="wpg">
                  <w:drawing>
                    <wp:inline xmlns:wp="http://schemas.openxmlformats.org/drawingml/2006/wordprocessingDrawing" distT="0" distB="0" distL="0" distR="0">
                      <wp:extent cx="473737" cy="1848396"/>
                      <wp:effectExtent l="0" t="0" r="0" b="0"/>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473737" cy="18483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37.3pt;height:145.5pt;mso-wrap-distance-left:0.0pt;mso-wrap-distance-top:0.0pt;mso-wrap-distance-right:0.0pt;mso-wrap-distance-bottom:0.0pt;" stroked="f">
                      <v:path textboxrect="0,0,0,0"/>
                      <v:imagedata r:id="rId124" o:title=""/>
                    </v:shape>
                  </w:pict>
                </mc:Fallback>
              </mc:AlternateContent>
            </w:r>
            <w:r>
              <w:rPr>
                <w:rFonts w:ascii="宋体" w:hAnsi="宋体"/>
                <w:lang w:val="zh-CN"/>
              </w:rPr>
            </w:r>
            <w:r/>
          </w:p>
        </w:tc>
        <w:tc>
          <w:tcPr>
            <w:tcW w:w="933" w:type="dxa"/>
            <w:vAlign w:val="top"/>
            <w:textDirection w:val="lrTb"/>
            <w:noWrap w:val="false"/>
          </w:tcPr>
          <w:p>
            <w:pPr>
              <w:pStyle w:val="1151"/>
              <w:rPr>
                <w:rFonts w:ascii="宋体" w:hAnsi="宋体"/>
                <w:lang w:val="zh-CN"/>
              </w:rPr>
            </w:pPr>
            <w:r>
              <mc:AlternateContent>
                <mc:Choice Requires="wpg">
                  <w:drawing>
                    <wp:inline xmlns:wp="http://schemas.openxmlformats.org/drawingml/2006/wordprocessingDrawing" distT="0" distB="0" distL="0" distR="0">
                      <wp:extent cx="490728" cy="1879092"/>
                      <wp:effectExtent l="0" t="0" r="0" b="0"/>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490728" cy="18790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38.6pt;height:148.0pt;mso-wrap-distance-left:0.0pt;mso-wrap-distance-top:0.0pt;mso-wrap-distance-right:0.0pt;mso-wrap-distance-bottom:0.0pt;" stroked="f">
                      <v:path textboxrect="0,0,0,0"/>
                      <v:imagedata r:id="rId125" o:title=""/>
                    </v:shape>
                  </w:pict>
                </mc:Fallback>
              </mc:AlternateContent>
            </w:r>
            <w:r>
              <w:rPr>
                <w:rFonts w:ascii="宋体" w:hAnsi="宋体"/>
                <w:lang w:val="zh-CN"/>
              </w:rPr>
            </w:r>
            <w:r/>
          </w:p>
        </w:tc>
        <w:tc>
          <w:tcPr>
            <w:tcW w:w="1038" w:type="dxa"/>
            <w:vAlign w:val="top"/>
            <w:textDirection w:val="lrTb"/>
            <w:noWrap w:val="false"/>
          </w:tcPr>
          <w:p>
            <w:pPr>
              <w:pStyle w:val="1151"/>
              <w:rPr>
                <w:rFonts w:ascii="宋体" w:hAnsi="宋体"/>
                <w:lang w:val="zh-CN"/>
              </w:rPr>
            </w:pPr>
            <w:r>
              <mc:AlternateContent>
                <mc:Choice Requires="wpg">
                  <w:drawing>
                    <wp:inline xmlns:wp="http://schemas.openxmlformats.org/drawingml/2006/wordprocessingDrawing" distT="0" distB="0" distL="0" distR="0">
                      <wp:extent cx="482023" cy="1871205"/>
                      <wp:effectExtent l="0" t="0" r="0" b="0"/>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482023" cy="1871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38.0pt;height:147.3pt;mso-wrap-distance-left:0.0pt;mso-wrap-distance-top:0.0pt;mso-wrap-distance-right:0.0pt;mso-wrap-distance-bottom:0.0pt;" stroked="f">
                      <v:path textboxrect="0,0,0,0"/>
                      <v:imagedata r:id="rId126" o:title=""/>
                    </v:shape>
                  </w:pict>
                </mc:Fallback>
              </mc:AlternateContent>
            </w:r>
            <w:r>
              <w:rPr>
                <w:rFonts w:ascii="宋体" w:hAnsi="宋体"/>
                <w:lang w:val="zh-CN"/>
              </w:rPr>
            </w:r>
            <w:r/>
          </w:p>
        </w:tc>
        <w:tc>
          <w:tcPr>
            <w:tcW w:w="976" w:type="dxa"/>
            <w:vAlign w:val="top"/>
            <w:textDirection w:val="lrTb"/>
            <w:noWrap w:val="false"/>
          </w:tcPr>
          <w:p>
            <w:pPr>
              <w:pStyle w:val="1151"/>
              <w:rPr>
                <w:rFonts w:ascii="宋体" w:hAnsi="宋体"/>
                <w:lang w:val="zh-CN"/>
              </w:rPr>
            </w:pPr>
            <w:r>
              <mc:AlternateContent>
                <mc:Choice Requires="wpg">
                  <w:drawing>
                    <wp:inline xmlns:wp="http://schemas.openxmlformats.org/drawingml/2006/wordprocessingDrawing" distT="0" distB="0" distL="0" distR="0">
                      <wp:extent cx="482590" cy="1851622"/>
                      <wp:effectExtent l="0" t="0" r="0" b="0"/>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482590" cy="18516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38.0pt;height:145.8pt;mso-wrap-distance-left:0.0pt;mso-wrap-distance-top:0.0pt;mso-wrap-distance-right:0.0pt;mso-wrap-distance-bottom:0.0pt;" stroked="f">
                      <v:path textboxrect="0,0,0,0"/>
                      <v:imagedata r:id="rId127" o:title=""/>
                    </v:shape>
                  </w:pict>
                </mc:Fallback>
              </mc:AlternateContent>
            </w:r>
            <w:r>
              <w:rPr>
                <w:rFonts w:ascii="宋体" w:hAnsi="宋体"/>
                <w:lang w:val="zh-CN"/>
              </w:rPr>
            </w:r>
            <w:r/>
          </w:p>
        </w:tc>
        <w:tc>
          <w:tcPr>
            <w:tcW w:w="949" w:type="dxa"/>
            <w:vAlign w:val="top"/>
            <w:textDirection w:val="lrTb"/>
            <w:noWrap w:val="false"/>
          </w:tcPr>
          <w:p>
            <w:pPr>
              <w:pStyle w:val="1151"/>
              <w:rPr>
                <w:rFonts w:ascii="宋体" w:hAnsi="宋体"/>
                <w:lang w:val="zh-CN"/>
              </w:rPr>
            </w:pPr>
            <w:r>
              <mc:AlternateContent>
                <mc:Choice Requires="wpg">
                  <w:drawing>
                    <wp:inline xmlns:wp="http://schemas.openxmlformats.org/drawingml/2006/wordprocessingDrawing" distT="0" distB="0" distL="0" distR="0">
                      <wp:extent cx="465314" cy="1858708"/>
                      <wp:effectExtent l="0" t="0" r="0" b="0"/>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465314" cy="18587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36.6pt;height:146.4pt;mso-wrap-distance-left:0.0pt;mso-wrap-distance-top:0.0pt;mso-wrap-distance-right:0.0pt;mso-wrap-distance-bottom:0.0pt;" stroked="f">
                      <v:path textboxrect="0,0,0,0"/>
                      <v:imagedata r:id="rId128" o:title=""/>
                    </v:shape>
                  </w:pict>
                </mc:Fallback>
              </mc:AlternateContent>
            </w:r>
            <w:r>
              <w:rPr>
                <w:rFonts w:ascii="宋体" w:hAnsi="宋体"/>
                <w:lang w:val="zh-CN"/>
              </w:rPr>
            </w:r>
            <w:r/>
          </w:p>
        </w:tc>
        <w:tc>
          <w:tcPr>
            <w:tcW w:w="966" w:type="dxa"/>
            <w:vAlign w:val="top"/>
            <w:textDirection w:val="lrTb"/>
            <w:noWrap w:val="false"/>
          </w:tcPr>
          <w:p>
            <w:pPr>
              <w:pStyle w:val="1151"/>
              <w:rPr>
                <w:rFonts w:ascii="宋体" w:hAnsi="宋体"/>
                <w:lang w:val="zh-CN"/>
              </w:rPr>
            </w:pPr>
            <w:r>
              <mc:AlternateContent>
                <mc:Choice Requires="wpg">
                  <w:drawing>
                    <wp:inline xmlns:wp="http://schemas.openxmlformats.org/drawingml/2006/wordprocessingDrawing" distT="0" distB="0" distL="0" distR="0">
                      <wp:extent cx="467944" cy="1845208"/>
                      <wp:effectExtent l="0" t="0" r="0" b="0"/>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467944" cy="18452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36.8pt;height:145.3pt;mso-wrap-distance-left:0.0pt;mso-wrap-distance-top:0.0pt;mso-wrap-distance-right:0.0pt;mso-wrap-distance-bottom:0.0pt;" stroked="f">
                      <v:path textboxrect="0,0,0,0"/>
                      <v:imagedata r:id="rId129" o:title=""/>
                    </v:shape>
                  </w:pict>
                </mc:Fallback>
              </mc:AlternateContent>
            </w:r>
            <w:r>
              <w:rPr>
                <w:rFonts w:ascii="宋体" w:hAnsi="宋体"/>
                <w:lang w:val="zh-CN"/>
              </w:rPr>
            </w:r>
            <w:r/>
          </w:p>
        </w:tc>
        <w:tc>
          <w:tcPr>
            <w:tcW w:w="1033" w:type="dxa"/>
            <w:vAlign w:val="top"/>
            <w:textDirection w:val="lrTb"/>
            <w:noWrap w:val="false"/>
          </w:tcPr>
          <w:p>
            <w:pPr>
              <w:pStyle w:val="1151"/>
              <w:rPr>
                <w:rFonts w:ascii="宋体" w:hAnsi="宋体"/>
                <w:lang w:val="zh-CN"/>
              </w:rPr>
            </w:pPr>
            <w:r>
              <mc:AlternateContent>
                <mc:Choice Requires="wpg">
                  <w:drawing>
                    <wp:inline xmlns:wp="http://schemas.openxmlformats.org/drawingml/2006/wordprocessingDrawing" distT="0" distB="0" distL="0" distR="0">
                      <wp:extent cx="478749" cy="1886014"/>
                      <wp:effectExtent l="0" t="0" r="0" b="0"/>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478749" cy="18860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37.7pt;height:148.5pt;mso-wrap-distance-left:0.0pt;mso-wrap-distance-top:0.0pt;mso-wrap-distance-right:0.0pt;mso-wrap-distance-bottom:0.0pt;" stroked="f">
                      <v:path textboxrect="0,0,0,0"/>
                      <v:imagedata r:id="rId130" o:title=""/>
                    </v:shape>
                  </w:pict>
                </mc:Fallback>
              </mc:AlternateContent>
            </w:r>
            <w:r>
              <w:rPr>
                <w:rFonts w:ascii="宋体" w:hAnsi="宋体"/>
                <w:lang w:val="zh-CN"/>
              </w:rPr>
            </w:r>
            <w:r/>
          </w:p>
        </w:tc>
      </w:tr>
    </w:tbl>
    <w:p>
      <w:pPr>
        <w:pStyle w:val="1151"/>
        <w:jc w:val="left"/>
        <w:spacing w:before="156" w:after="156" w:line="312" w:lineRule="exact"/>
        <w:rPr>
          <w:rFonts w:ascii="黑体" w:hAnsi="黑体" w:eastAsia="黑体"/>
          <w:szCs w:val="21"/>
        </w:rPr>
        <w:outlineLvl w:val="2"/>
      </w:pPr>
      <w:r>
        <w:rPr>
          <w:rFonts w:ascii="黑体" w:hAnsi="黑体" w:eastAsia="黑体"/>
          <w:szCs w:val="21"/>
        </w:rPr>
        <w:t xml:space="preserve">D.2.2 10</w:t>
      </w:r>
      <w:r>
        <w:rPr>
          <w:rFonts w:hint="eastAsia" w:ascii="黑体" w:hAnsi="黑体" w:eastAsia="黑体"/>
          <w:szCs w:val="21"/>
        </w:rPr>
        <w:t xml:space="preserve">芯矩形连接器</w:t>
      </w:r>
      <w:r>
        <w:rPr>
          <w:rFonts w:ascii="黑体" w:hAnsi="黑体" w:eastAsia="黑体"/>
          <w:szCs w:val="21"/>
        </w:rPr>
      </w:r>
      <w:r/>
    </w:p>
    <w:p>
      <w:pPr>
        <w:pStyle w:val="1151"/>
        <w:rPr>
          <w:szCs w:val="21"/>
        </w:rPr>
      </w:pPr>
      <w:r>
        <w:rPr>
          <w:szCs w:val="21"/>
        </w:rPr>
        <w:t xml:space="preserve">装置内部10芯矩形连接器</w:t>
      </w:r>
      <w:r>
        <w:rPr>
          <w:rFonts w:hint="eastAsia"/>
          <w:szCs w:val="21"/>
        </w:rPr>
        <w:t xml:space="preserve">外形尺寸如图D</w:t>
      </w:r>
      <w:r>
        <w:rPr>
          <w:szCs w:val="21"/>
        </w:rPr>
        <w:t xml:space="preserve">.</w:t>
      </w:r>
      <w:r>
        <w:rPr>
          <w:rFonts w:hint="eastAsia"/>
          <w:szCs w:val="21"/>
        </w:rPr>
        <w:t xml:space="preserve">2-</w:t>
      </w:r>
      <w:r>
        <w:rPr>
          <w:szCs w:val="21"/>
        </w:rPr>
        <w:t xml:space="preserve">6</w:t>
      </w:r>
      <w:r>
        <w:rPr>
          <w:rFonts w:hint="eastAsia"/>
          <w:szCs w:val="21"/>
        </w:rPr>
        <w:t xml:space="preserve">所示</w:t>
      </w:r>
      <w:r>
        <w:rPr>
          <w:szCs w:val="21"/>
        </w:rPr>
        <w:t xml:space="preserve">:</w:t>
      </w:r>
      <w:r>
        <w:rPr>
          <w:szCs w:val="21"/>
        </w:rPr>
      </w:r>
      <w:r/>
    </w:p>
    <w:p>
      <w:pPr>
        <w:pStyle w:val="1151"/>
        <w:ind w:left="420" w:firstLine="420"/>
        <w:rPr>
          <w:szCs w:val="21"/>
        </w:rPr>
      </w:pPr>
      <w:r>
        <w:rPr>
          <w:rFonts w:hint="eastAsia"/>
          <w:szCs w:val="21"/>
        </w:rPr>
        <w:t xml:space="preserve">10芯插头尺寸</w:t>
      </w:r>
      <w:r>
        <w:rPr>
          <w:szCs w:val="21"/>
        </w:rPr>
      </w:r>
      <w:r/>
    </w:p>
    <w:p>
      <w:pPr>
        <w:pStyle w:val="1151"/>
        <w:jc w:val="center"/>
      </w:pPr>
      <w:r>
        <mc:AlternateContent>
          <mc:Choice Requires="wpg">
            <w:drawing>
              <wp:inline xmlns:wp="http://schemas.openxmlformats.org/drawingml/2006/wordprocessingDrawing" distT="0" distB="0" distL="0" distR="0">
                <wp:extent cx="3771354" cy="3176842"/>
                <wp:effectExtent l="0" t="0" r="0" b="0"/>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3771354" cy="31768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297.0pt;height:250.1pt;mso-wrap-distance-left:0.0pt;mso-wrap-distance-top:0.0pt;mso-wrap-distance-right:0.0pt;mso-wrap-distance-bottom:0.0pt;" stroked="f">
                <v:path textboxrect="0,0,0,0"/>
                <v:imagedata r:id="rId131" o:title=""/>
              </v:shape>
            </w:pict>
          </mc:Fallback>
        </mc:AlternateContent>
      </w:r>
      <w:r/>
    </w:p>
    <w:p>
      <w:pPr>
        <w:pStyle w:val="1151"/>
        <w:ind w:firstLine="420"/>
        <w:rPr>
          <w:szCs w:val="21"/>
        </w:rPr>
      </w:pPr>
      <w:r>
        <w:rPr>
          <w:rFonts w:hint="eastAsia"/>
          <w:szCs w:val="21"/>
        </w:rPr>
        <w:t xml:space="preserve">10芯插座尺寸</w:t>
      </w:r>
      <w:r>
        <w:rPr>
          <w:szCs w:val="21"/>
        </w:rPr>
      </w:r>
      <w:r/>
    </w:p>
    <w:p>
      <w:pPr>
        <w:pStyle w:val="1151"/>
        <w:jc w:val="center"/>
      </w:pPr>
      <w:r>
        <mc:AlternateContent>
          <mc:Choice Requires="wpg">
            <w:drawing>
              <wp:inline xmlns:wp="http://schemas.openxmlformats.org/drawingml/2006/wordprocessingDrawing" distT="0" distB="0" distL="0" distR="0">
                <wp:extent cx="4422140" cy="2720162"/>
                <wp:effectExtent l="0" t="0" r="0" b="0"/>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4422140" cy="2720162"/>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348.2pt;height:214.2pt;mso-wrap-distance-left:0.0pt;mso-wrap-distance-top:0.0pt;mso-wrap-distance-right:0.0pt;mso-wrap-distance-bottom:0.0pt;" stroked="f">
                <v:path textboxrect="0,0,0,0"/>
                <v:imagedata r:id="rId132" o:title=""/>
              </v:shape>
            </w:pict>
          </mc:Fallback>
        </mc:AlternateContent>
      </w:r>
      <w:r/>
    </w:p>
    <w:p>
      <w:pPr>
        <w:pStyle w:val="1201"/>
        <w:ind w:firstLine="0"/>
        <w:jc w:val="center"/>
        <w:tabs>
          <w:tab w:val="center" w:pos="4201" w:leader="none"/>
          <w:tab w:val="right" w:pos="9298" w:leader="dot"/>
        </w:tabs>
      </w:pPr>
      <w:r>
        <mc:AlternateContent>
          <mc:Choice Requires="wpg">
            <w:drawing>
              <wp:inline xmlns:wp="http://schemas.openxmlformats.org/drawingml/2006/wordprocessingDrawing" distT="0" distB="0" distL="0" distR="0">
                <wp:extent cx="4110990" cy="1578610"/>
                <wp:effectExtent l="0" t="0" r="0" b="0"/>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4110990" cy="1578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323.7pt;height:124.3pt;mso-wrap-distance-left:0.0pt;mso-wrap-distance-top:0.0pt;mso-wrap-distance-right:0.0pt;mso-wrap-distance-bottom:0.0pt;" stroked="f">
                <v:path textboxrect="0,0,0,0"/>
                <v:imagedata r:id="rId133" o:title=""/>
              </v:shape>
            </w:pict>
          </mc:Fallback>
        </mc:AlternateContent>
      </w:r>
      <w:r/>
    </w:p>
    <w:p>
      <w:pPr>
        <w:pStyle w:val="1201"/>
        <w:ind w:firstLine="0"/>
        <w:jc w:val="center"/>
        <w:tabs>
          <w:tab w:val="center" w:pos="4201" w:leader="none"/>
          <w:tab w:val="right" w:pos="9298" w:leader="dot"/>
        </w:tabs>
      </w:pPr>
      <w:r>
        <w:rPr>
          <w:rFonts w:hint="eastAsia"/>
        </w:rPr>
        <w:t xml:space="preserve">安装开孔图</w:t>
      </w:r>
      <w:r/>
    </w:p>
    <w:p>
      <w:pPr>
        <w:pStyle w:val="1151"/>
        <w:jc w:val="center"/>
        <w:widowControl/>
        <w:rPr>
          <w:szCs w:val="21"/>
        </w:rPr>
      </w:pPr>
      <w:r>
        <w:rPr>
          <w:szCs w:val="21"/>
        </w:rPr>
        <w:t xml:space="preserve">图D</w:t>
      </w:r>
      <w:r>
        <w:rPr>
          <w:rFonts w:hint="eastAsia"/>
          <w:szCs w:val="21"/>
        </w:rPr>
        <w:t xml:space="preserve">.</w:t>
      </w:r>
      <w:r>
        <w:rPr>
          <w:szCs w:val="21"/>
        </w:rPr>
        <w:t xml:space="preserve">2-7</w:t>
      </w:r>
      <w:r>
        <w:rPr>
          <w:rFonts w:hint="eastAsia"/>
          <w:szCs w:val="21"/>
        </w:rPr>
        <w:t xml:space="preserve">装置内部10芯</w:t>
      </w:r>
      <w:r>
        <w:rPr>
          <w:szCs w:val="21"/>
        </w:rPr>
        <w:t xml:space="preserve">矩形连接器外形尺寸</w:t>
      </w:r>
      <w:r>
        <w:rPr>
          <w:szCs w:val="21"/>
        </w:rPr>
      </w:r>
      <w:r/>
    </w:p>
    <w:p>
      <w:pPr>
        <w:pStyle w:val="1151"/>
        <w:jc w:val="left"/>
        <w:spacing w:before="156" w:after="156" w:line="312" w:lineRule="exact"/>
        <w:rPr>
          <w:rFonts w:ascii="黑体" w:hAnsi="黑体"/>
          <w:szCs w:val="21"/>
        </w:rPr>
        <w:outlineLvl w:val="2"/>
      </w:pPr>
      <w:r>
        <w:rPr>
          <w:rFonts w:ascii="黑体" w:hAnsi="黑体" w:eastAsia="黑体"/>
          <w:szCs w:val="21"/>
        </w:rPr>
        <w:t xml:space="preserve">D.2.3 26</w:t>
      </w:r>
      <w:r>
        <w:rPr>
          <w:rFonts w:hint="eastAsia" w:ascii="黑体" w:hAnsi="黑体" w:eastAsia="黑体"/>
          <w:szCs w:val="21"/>
        </w:rPr>
        <w:t xml:space="preserve">芯矩形连接器</w:t>
      </w:r>
      <w:r>
        <w:rPr>
          <w:rFonts w:ascii="黑体" w:hAnsi="黑体"/>
          <w:szCs w:val="21"/>
        </w:rPr>
      </w:r>
      <w:r/>
    </w:p>
    <w:p>
      <w:pPr>
        <w:pStyle w:val="1151"/>
        <w:ind w:left="420" w:firstLine="420"/>
        <w:widowControl/>
        <w:rPr>
          <w:szCs w:val="21"/>
        </w:rPr>
      </w:pPr>
      <w:r>
        <w:rPr>
          <w:rFonts w:hint="eastAsia"/>
          <w:szCs w:val="21"/>
        </w:rPr>
        <w:t xml:space="preserve">26芯矩形连接器</w:t>
      </w:r>
      <w:r>
        <w:rPr>
          <w:szCs w:val="21"/>
        </w:rPr>
        <w:t xml:space="preserve">外形尺寸如图</w:t>
      </w:r>
      <w:r>
        <w:rPr>
          <w:rFonts w:hint="eastAsia"/>
          <w:szCs w:val="21"/>
        </w:rPr>
        <w:t xml:space="preserve">D</w:t>
      </w:r>
      <w:r>
        <w:rPr>
          <w:szCs w:val="21"/>
        </w:rPr>
        <w:t xml:space="preserve">.2-8所示</w:t>
      </w:r>
      <w:r>
        <w:rPr>
          <w:rFonts w:hint="eastAsia"/>
          <w:szCs w:val="21"/>
        </w:rPr>
        <w:t xml:space="preserve">:</w:t>
      </w:r>
      <w:r>
        <w:rPr>
          <w:szCs w:val="21"/>
        </w:rPr>
      </w:r>
      <w:r/>
    </w:p>
    <w:p>
      <w:pPr>
        <w:pStyle w:val="1151"/>
        <w:ind w:left="420" w:firstLine="420"/>
        <w:rPr>
          <w:szCs w:val="21"/>
        </w:rPr>
      </w:pPr>
      <w:r>
        <w:rPr>
          <w:rFonts w:hint="eastAsia"/>
          <w:szCs w:val="21"/>
        </w:rPr>
        <w:t xml:space="preserve">插头尺寸</w:t>
      </w:r>
      <w:r>
        <w:rPr>
          <w:szCs w:val="21"/>
        </w:rPr>
      </w:r>
      <w:r/>
    </w:p>
    <w:p>
      <w:pPr>
        <w:pStyle w:val="1151"/>
        <w:jc w:val="center"/>
      </w:pPr>
      <w:r>
        <mc:AlternateContent>
          <mc:Choice Requires="wpg">
            <w:drawing>
              <wp:inline xmlns:wp="http://schemas.openxmlformats.org/drawingml/2006/wordprocessingDrawing" distT="0" distB="0" distL="0" distR="0">
                <wp:extent cx="3985336" cy="3365513"/>
                <wp:effectExtent l="0" t="0" r="0" b="0"/>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3985336" cy="33655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313.8pt;height:265.0pt;mso-wrap-distance-left:0.0pt;mso-wrap-distance-top:0.0pt;mso-wrap-distance-right:0.0pt;mso-wrap-distance-bottom:0.0pt;" stroked="f">
                <v:path textboxrect="0,0,0,0"/>
                <v:imagedata r:id="rId134" o:title=""/>
              </v:shape>
            </w:pict>
          </mc:Fallback>
        </mc:AlternateContent>
      </w:r>
      <w:r/>
    </w:p>
    <w:p>
      <w:pPr>
        <w:pStyle w:val="1151"/>
        <w:ind w:left="60" w:firstLine="420"/>
        <w:rPr>
          <w:szCs w:val="21"/>
        </w:rPr>
      </w:pPr>
      <w:r>
        <w:rPr>
          <w:rFonts w:hint="eastAsia"/>
          <w:szCs w:val="21"/>
        </w:rPr>
        <w:t xml:space="preserve">插座外框尺寸</w:t>
      </w:r>
      <w:r>
        <w:rPr>
          <w:szCs w:val="21"/>
        </w:rPr>
      </w:r>
      <w:r/>
    </w:p>
    <w:p>
      <w:pPr>
        <w:pStyle w:val="1151"/>
        <w:jc w:val="center"/>
      </w:pPr>
      <w:r>
        <mc:AlternateContent>
          <mc:Choice Requires="wpg">
            <w:drawing>
              <wp:inline xmlns:wp="http://schemas.openxmlformats.org/drawingml/2006/wordprocessingDrawing" distT="0" distB="0" distL="0" distR="0">
                <wp:extent cx="5303558" cy="2194014"/>
                <wp:effectExtent l="0" t="0" r="0" b="0"/>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5303558" cy="21940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417.6pt;height:172.8pt;mso-wrap-distance-left:0.0pt;mso-wrap-distance-top:0.0pt;mso-wrap-distance-right:0.0pt;mso-wrap-distance-bottom:0.0pt;" stroked="f">
                <v:path textboxrect="0,0,0,0"/>
                <v:imagedata r:id="rId135" o:title=""/>
              </v:shape>
            </w:pict>
          </mc:Fallback>
        </mc:AlternateContent>
      </w:r>
      <w:r/>
    </w:p>
    <w:p>
      <w:pPr>
        <w:pStyle w:val="1151"/>
        <w:jc w:val="center"/>
      </w:pPr>
      <w:r>
        <mc:AlternateContent>
          <mc:Choice Requires="wpg">
            <w:drawing>
              <wp:inline xmlns:wp="http://schemas.openxmlformats.org/drawingml/2006/wordprocessingDrawing" distT="0" distB="0" distL="0" distR="0">
                <wp:extent cx="5274259" cy="2024939"/>
                <wp:effectExtent l="0" t="0" r="0" b="0"/>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5274259" cy="20249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415.3pt;height:159.4pt;mso-wrap-distance-left:0.0pt;mso-wrap-distance-top:0.0pt;mso-wrap-distance-right:0.0pt;mso-wrap-distance-bottom:0.0pt;" stroked="f">
                <v:path textboxrect="0,0,0,0"/>
                <v:imagedata r:id="rId136" o:title=""/>
              </v:shape>
            </w:pict>
          </mc:Fallback>
        </mc:AlternateContent>
      </w:r>
      <w:r/>
    </w:p>
    <w:p>
      <w:pPr>
        <w:pStyle w:val="1151"/>
        <w:jc w:val="center"/>
        <w:rPr>
          <w:sz w:val="18"/>
          <w:szCs w:val="18"/>
        </w:rPr>
      </w:pPr>
      <w:r>
        <w:rPr>
          <w:rFonts w:hint="eastAsia"/>
          <w:sz w:val="18"/>
          <w:szCs w:val="18"/>
        </w:rPr>
        <w:t xml:space="preserve">安装开孔图</w:t>
      </w:r>
      <w:r>
        <w:rPr>
          <w:sz w:val="18"/>
          <w:szCs w:val="18"/>
        </w:rPr>
      </w:r>
      <w:r/>
    </w:p>
    <w:p>
      <w:pPr>
        <w:pStyle w:val="1151"/>
        <w:jc w:val="left"/>
      </w:pPr>
      <w:r>
        <w:rPr>
          <w:rFonts w:hint="eastAsia"/>
        </w:rPr>
        <w:t xml:space="preserve">插座插芯尺寸</w:t>
      </w:r>
      <w:r/>
    </w:p>
    <w:p>
      <w:pPr>
        <w:pStyle w:val="1151"/>
        <w:jc w:val="center"/>
      </w:pPr>
      <w:r>
        <mc:AlternateContent>
          <mc:Choice Requires="wpg">
            <w:drawing>
              <wp:inline xmlns:wp="http://schemas.openxmlformats.org/drawingml/2006/wordprocessingDrawing" distT="0" distB="0" distL="0" distR="0">
                <wp:extent cx="4715980" cy="2667089"/>
                <wp:effectExtent l="0" t="0" r="0" b="0"/>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4715980" cy="26670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371.3pt;height:210.0pt;mso-wrap-distance-left:0.0pt;mso-wrap-distance-top:0.0pt;mso-wrap-distance-right:0.0pt;mso-wrap-distance-bottom:0.0pt;" stroked="f">
                <v:path textboxrect="0,0,0,0"/>
                <v:imagedata r:id="rId137" o:title=""/>
              </v:shape>
            </w:pict>
          </mc:Fallback>
        </mc:AlternateContent>
      </w:r>
      <w:r/>
    </w:p>
    <w:p>
      <w:pPr>
        <w:pStyle w:val="1151"/>
        <w:jc w:val="center"/>
      </w:pPr>
      <w:r>
        <mc:AlternateContent>
          <mc:Choice Requires="wpg">
            <w:drawing>
              <wp:inline xmlns:wp="http://schemas.openxmlformats.org/drawingml/2006/wordprocessingDrawing" distT="0" distB="0" distL="0" distR="0">
                <wp:extent cx="5040770" cy="2423846"/>
                <wp:effectExtent l="0" t="0" r="0" b="0"/>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5040770" cy="24238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396.9pt;height:190.9pt;mso-wrap-distance-left:0.0pt;mso-wrap-distance-top:0.0pt;mso-wrap-distance-right:0.0pt;mso-wrap-distance-bottom:0.0pt;" stroked="f">
                <v:path textboxrect="0,0,0,0"/>
                <v:imagedata r:id="rId138" o:title=""/>
              </v:shape>
            </w:pict>
          </mc:Fallback>
        </mc:AlternateContent>
      </w:r>
      <w:r/>
    </w:p>
    <w:p>
      <w:pPr>
        <w:pStyle w:val="1151"/>
        <w:jc w:val="center"/>
        <w:widowControl/>
        <w:rPr>
          <w:szCs w:val="21"/>
        </w:rPr>
      </w:pPr>
      <w:r>
        <w:rPr>
          <w:szCs w:val="21"/>
        </w:rPr>
        <w:t xml:space="preserve">图D</w:t>
      </w:r>
      <w:r>
        <w:rPr>
          <w:rFonts w:hint="eastAsia"/>
          <w:szCs w:val="21"/>
        </w:rPr>
        <w:t xml:space="preserve">.</w:t>
      </w:r>
      <w:r>
        <w:rPr>
          <w:szCs w:val="21"/>
        </w:rPr>
        <w:t xml:space="preserve">2-9</w:t>
      </w:r>
      <w:r>
        <w:rPr>
          <w:rFonts w:hint="eastAsia"/>
          <w:szCs w:val="21"/>
        </w:rPr>
        <w:t xml:space="preserve">装置内部26芯</w:t>
      </w:r>
      <w:r>
        <w:rPr>
          <w:szCs w:val="21"/>
        </w:rPr>
        <w:t xml:space="preserve">矩形连接器外形尺寸</w:t>
      </w:r>
      <w:r>
        <w:rPr>
          <w:szCs w:val="21"/>
        </w:rPr>
      </w:r>
      <w:r/>
    </w:p>
    <w:p>
      <w:pPr>
        <w:pStyle w:val="1151"/>
        <w:jc w:val="left"/>
        <w:spacing w:line="312" w:lineRule="exact"/>
        <w:rPr>
          <w:rFonts w:ascii="黑体" w:hAnsi="黑体" w:eastAsia="黑体"/>
          <w:bCs/>
          <w:szCs w:val="21"/>
        </w:rPr>
        <w:outlineLvl w:val="2"/>
      </w:pPr>
      <w:r>
        <w:rPr>
          <w:rFonts w:ascii="黑体" w:hAnsi="黑体" w:eastAsia="黑体"/>
          <w:bCs/>
          <w:szCs w:val="21"/>
        </w:rPr>
        <w:t xml:space="preserve">D</w:t>
      </w:r>
      <w:r>
        <w:rPr>
          <w:rFonts w:hint="eastAsia" w:ascii="黑体" w:hAnsi="黑体" w:eastAsia="黑体"/>
          <w:bCs/>
          <w:szCs w:val="21"/>
        </w:rPr>
        <w:t xml:space="preserve">.</w:t>
      </w:r>
      <w:r>
        <w:rPr>
          <w:rFonts w:ascii="黑体" w:hAnsi="黑体" w:eastAsia="黑体"/>
          <w:bCs/>
          <w:szCs w:val="21"/>
        </w:rPr>
        <w:t xml:space="preserve">2.4</w:t>
      </w:r>
      <w:r>
        <w:rPr>
          <w:rFonts w:hint="eastAsia" w:ascii="黑体" w:hAnsi="黑体" w:eastAsia="黑体"/>
          <w:bCs/>
          <w:szCs w:val="21"/>
        </w:rPr>
        <w:t xml:space="preserve">间隔二次模块对下与开关连接(32+1)芯矩形连接器结构尺寸</w:t>
      </w:r>
      <w:r>
        <w:rPr>
          <w:rFonts w:ascii="黑体" w:hAnsi="黑体" w:eastAsia="黑体"/>
          <w:bCs/>
          <w:szCs w:val="21"/>
        </w:rPr>
      </w:r>
      <w:r/>
    </w:p>
    <w:p>
      <w:pPr>
        <w:pStyle w:val="1151"/>
        <w:ind w:firstLine="480"/>
      </w:pPr>
      <w:r/>
      <w:r/>
    </w:p>
    <w:p>
      <w:pPr>
        <w:pStyle w:val="1151"/>
        <w:jc w:val="center"/>
      </w:pPr>
      <w:r>
        <mc:AlternateContent>
          <mc:Choice Requires="wpg">
            <w:drawing>
              <wp:inline xmlns:wp="http://schemas.openxmlformats.org/drawingml/2006/wordprocessingDrawing" distT="0" distB="0" distL="0" distR="0">
                <wp:extent cx="5060379" cy="3207512"/>
                <wp:effectExtent l="0" t="0" r="0" b="0"/>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5060379" cy="32075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398.5pt;height:252.6pt;mso-wrap-distance-left:0.0pt;mso-wrap-distance-top:0.0pt;mso-wrap-distance-right:0.0pt;mso-wrap-distance-bottom:0.0pt;" stroked="f">
                <v:path textboxrect="0,0,0,0"/>
                <v:imagedata r:id="rId139" o:title=""/>
              </v:shape>
            </w:pict>
          </mc:Fallback>
        </mc:AlternateContent>
      </w:r>
      <w:r/>
    </w:p>
    <w:p>
      <w:pPr>
        <w:pStyle w:val="1249"/>
        <w:numPr>
          <w:ilvl w:val="0"/>
          <w:numId w:val="69"/>
        </w:numPr>
        <w:jc w:val="center"/>
      </w:pPr>
      <w:r>
        <w:rPr>
          <w:rFonts w:hint="eastAsia"/>
        </w:rPr>
        <w:t xml:space="preserve">3</w:t>
      </w:r>
      <w:r>
        <w:t xml:space="preserve">2</w:t>
      </w:r>
      <w:r>
        <w:rPr>
          <w:rFonts w:hint="eastAsia"/>
        </w:rPr>
        <w:t xml:space="preserve">芯(头自短路</w:t>
      </w:r>
      <w:r>
        <w:t xml:space="preserve">)</w:t>
      </w:r>
      <w:r>
        <w:rPr>
          <w:rFonts w:hint="eastAsia"/>
        </w:rPr>
        <w:t xml:space="preserve">插头尺寸</w:t>
      </w:r>
      <w:r/>
    </w:p>
    <w:p>
      <w:pPr>
        <w:pStyle w:val="1151"/>
        <w:jc w:val="center"/>
      </w:pPr>
      <w:r>
        <mc:AlternateContent>
          <mc:Choice Requires="wpg">
            <w:drawing>
              <wp:inline xmlns:wp="http://schemas.openxmlformats.org/drawingml/2006/wordprocessingDrawing" distT="0" distB="0" distL="0" distR="0">
                <wp:extent cx="5070132" cy="2543848"/>
                <wp:effectExtent l="0" t="0" r="0" b="0"/>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5070132" cy="25438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399.2pt;height:200.3pt;mso-wrap-distance-left:0.0pt;mso-wrap-distance-top:0.0pt;mso-wrap-distance-right:0.0pt;mso-wrap-distance-bottom:0.0pt;" stroked="f">
                <v:path textboxrect="0,0,0,0"/>
                <v:imagedata r:id="rId140" o:title=""/>
              </v:shape>
            </w:pict>
          </mc:Fallback>
        </mc:AlternateContent>
      </w:r>
      <w:r/>
    </w:p>
    <w:p>
      <w:pPr>
        <w:pStyle w:val="1151"/>
        <w:jc w:val="center"/>
      </w:pPr>
      <w:r>
        <mc:AlternateContent>
          <mc:Choice Requires="wpg">
            <w:drawing>
              <wp:inline xmlns:wp="http://schemas.openxmlformats.org/drawingml/2006/wordprocessingDrawing" distT="0" distB="0" distL="0" distR="0">
                <wp:extent cx="4898415" cy="2458364"/>
                <wp:effectExtent l="0" t="0" r="0" b="0"/>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4898415" cy="24583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385.7pt;height:193.6pt;mso-wrap-distance-left:0.0pt;mso-wrap-distance-top:0.0pt;mso-wrap-distance-right:0.0pt;mso-wrap-distance-bottom:0.0pt;" stroked="f">
                <v:path textboxrect="0,0,0,0"/>
                <v:imagedata r:id="rId141" o:title=""/>
              </v:shape>
            </w:pict>
          </mc:Fallback>
        </mc:AlternateContent>
      </w:r>
      <w:r/>
    </w:p>
    <w:p>
      <w:pPr>
        <w:pStyle w:val="1151"/>
        <w:jc w:val="center"/>
      </w:pPr>
      <w:r>
        <w:rPr>
          <w:rFonts w:hint="eastAsia"/>
        </w:rPr>
        <w:t xml:space="preserve">安装开孔图</w:t>
      </w:r>
      <w:r/>
    </w:p>
    <w:p>
      <w:pPr>
        <w:pStyle w:val="1249"/>
        <w:numPr>
          <w:ilvl w:val="0"/>
          <w:numId w:val="69"/>
        </w:numPr>
        <w:jc w:val="center"/>
      </w:pPr>
      <w:r>
        <w:rPr>
          <w:rFonts w:hint="eastAsia"/>
        </w:rPr>
        <w:t xml:space="preserve">3</w:t>
      </w:r>
      <w:r>
        <w:t xml:space="preserve">2</w:t>
      </w:r>
      <w:r>
        <w:rPr>
          <w:rFonts w:hint="eastAsia"/>
        </w:rPr>
        <w:t xml:space="preserve">芯(头自短路</w:t>
      </w:r>
      <w:r>
        <w:t xml:space="preserve">)</w:t>
      </w:r>
      <w:r>
        <w:rPr>
          <w:rFonts w:hint="eastAsia"/>
        </w:rPr>
        <w:t xml:space="preserve">插座尺寸</w:t>
      </w:r>
      <w:r/>
    </w:p>
    <w:p>
      <w:pPr>
        <w:pStyle w:val="1151"/>
        <w:ind w:firstLine="420"/>
        <w:jc w:val="center"/>
        <w:rPr>
          <w:szCs w:val="21"/>
        </w:rPr>
      </w:pPr>
      <w:r>
        <w:rPr>
          <w:rFonts w:hint="eastAsia"/>
          <w:szCs w:val="21"/>
        </w:rPr>
        <w:t xml:space="preserve">图</w:t>
      </w:r>
      <w:r>
        <w:rPr>
          <w:szCs w:val="21"/>
        </w:rPr>
        <w:t xml:space="preserve">D</w:t>
      </w:r>
      <w:r>
        <w:rPr>
          <w:rFonts w:hint="eastAsia"/>
          <w:szCs w:val="21"/>
        </w:rPr>
        <w:t xml:space="preserve">.</w:t>
      </w:r>
      <w:r>
        <w:rPr>
          <w:szCs w:val="21"/>
        </w:rPr>
        <w:t xml:space="preserve">2-1032</w:t>
      </w:r>
      <w:r>
        <w:rPr>
          <w:rFonts w:hint="eastAsia"/>
          <w:szCs w:val="21"/>
        </w:rPr>
        <w:t xml:space="preserve">芯矩形连接器（插头自短路）外形尺寸</w:t>
      </w:r>
      <w:r>
        <w:rPr>
          <w:szCs w:val="21"/>
        </w:rPr>
      </w:r>
      <w:r/>
    </w:p>
    <w:p>
      <w:pPr>
        <w:pStyle w:val="1151"/>
        <w:jc w:val="left"/>
        <w:spacing w:line="312" w:lineRule="exact"/>
        <w:rPr>
          <w:rFonts w:ascii="黑体" w:hAnsi="黑体" w:eastAsia="黑体"/>
          <w:bCs/>
          <w:szCs w:val="21"/>
        </w:rPr>
        <w:outlineLvl w:val="2"/>
      </w:pPr>
      <w:r>
        <w:rPr>
          <w:rFonts w:ascii="黑体" w:hAnsi="黑体" w:eastAsia="黑体"/>
          <w:bCs/>
          <w:szCs w:val="21"/>
        </w:rPr>
        <w:t xml:space="preserve">D</w:t>
      </w:r>
      <w:r>
        <w:rPr>
          <w:rFonts w:hint="eastAsia" w:ascii="黑体" w:hAnsi="黑体" w:eastAsia="黑体"/>
          <w:bCs/>
          <w:szCs w:val="21"/>
        </w:rPr>
        <w:t xml:space="preserve">.</w:t>
      </w:r>
      <w:r>
        <w:rPr>
          <w:rFonts w:ascii="黑体" w:hAnsi="黑体" w:eastAsia="黑体"/>
          <w:bCs/>
          <w:szCs w:val="21"/>
        </w:rPr>
        <w:t xml:space="preserve">2.5</w:t>
      </w:r>
      <w:r>
        <w:rPr>
          <w:rFonts w:hint="eastAsia" w:ascii="黑体" w:hAnsi="黑体" w:eastAsia="黑体"/>
          <w:bCs/>
          <w:szCs w:val="21"/>
        </w:rPr>
        <w:t xml:space="preserve">间隔二次模块对上与间隔单元连接(32+1)芯矩形连接器结构尺寸</w:t>
      </w:r>
      <w:r>
        <w:rPr>
          <w:rFonts w:ascii="黑体" w:hAnsi="黑体" w:eastAsia="黑体"/>
          <w:bCs/>
          <w:szCs w:val="21"/>
        </w:rPr>
      </w:r>
      <w:r/>
    </w:p>
    <w:p>
      <w:pPr>
        <w:pStyle w:val="1151"/>
        <w:ind w:firstLine="420"/>
        <w:jc w:val="center"/>
        <w:rPr>
          <w:szCs w:val="21"/>
        </w:rPr>
      </w:pPr>
      <w:r>
        <w:rPr>
          <w:szCs w:val="21"/>
        </w:rPr>
      </w:r>
      <w:r/>
    </w:p>
    <w:p>
      <w:pPr>
        <w:pStyle w:val="1151"/>
        <w:jc w:val="center"/>
      </w:pPr>
      <w:r>
        <mc:AlternateContent>
          <mc:Choice Requires="wpg">
            <w:drawing>
              <wp:inline xmlns:wp="http://schemas.openxmlformats.org/drawingml/2006/wordprocessingDrawing" distT="0" distB="0" distL="0" distR="0">
                <wp:extent cx="5253253" cy="3300578"/>
                <wp:effectExtent l="0" t="0" r="0" b="0"/>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5253253" cy="33005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413.6pt;height:259.9pt;mso-wrap-distance-left:0.0pt;mso-wrap-distance-top:0.0pt;mso-wrap-distance-right:0.0pt;mso-wrap-distance-bottom:0.0pt;" stroked="f">
                <v:path textboxrect="0,0,0,0"/>
                <v:imagedata r:id="rId142" o:title=""/>
              </v:shape>
            </w:pict>
          </mc:Fallback>
        </mc:AlternateContent>
      </w:r>
      <w:r/>
    </w:p>
    <w:p>
      <w:pPr>
        <w:pStyle w:val="1249"/>
        <w:numPr>
          <w:ilvl w:val="0"/>
          <w:numId w:val="70"/>
        </w:numPr>
        <w:jc w:val="center"/>
        <w:rPr>
          <w:rFonts w:ascii="宋体" w:hAnsi="宋体" w:cs="宋体"/>
          <w:szCs w:val="21"/>
        </w:rPr>
      </w:pPr>
      <w:r>
        <w:rPr>
          <w:rFonts w:hint="eastAsia" w:ascii="宋体" w:hAnsi="宋体" w:cs="宋体"/>
          <w:szCs w:val="21"/>
        </w:rPr>
        <w:t xml:space="preserve">32芯(座自短路)插头尺寸</w:t>
      </w:r>
      <w:r>
        <w:rPr>
          <w:rFonts w:ascii="宋体" w:hAnsi="宋体" w:cs="宋体"/>
          <w:szCs w:val="21"/>
        </w:rPr>
      </w:r>
      <w:r/>
    </w:p>
    <w:p>
      <w:pPr>
        <w:pStyle w:val="1151"/>
        <w:jc w:val="center"/>
      </w:pPr>
      <w:r>
        <mc:AlternateContent>
          <mc:Choice Requires="wpg">
            <w:drawing>
              <wp:inline xmlns:wp="http://schemas.openxmlformats.org/drawingml/2006/wordprocessingDrawing" distT="0" distB="0" distL="0" distR="0">
                <wp:extent cx="5786285" cy="2745562"/>
                <wp:effectExtent l="0" t="0" r="0" b="0"/>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5786285" cy="27455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455.6pt;height:216.2pt;mso-wrap-distance-left:0.0pt;mso-wrap-distance-top:0.0pt;mso-wrap-distance-right:0.0pt;mso-wrap-distance-bottom:0.0pt;" stroked="f">
                <v:path textboxrect="0,0,0,0"/>
                <v:imagedata r:id="rId143" o:title=""/>
              </v:shape>
            </w:pict>
          </mc:Fallback>
        </mc:AlternateContent>
      </w:r>
      <w:r/>
    </w:p>
    <w:p>
      <w:pPr>
        <w:pStyle w:val="1151"/>
        <w:jc w:val="center"/>
      </w:pPr>
      <w:r>
        <mc:AlternateContent>
          <mc:Choice Requires="wpg">
            <w:drawing>
              <wp:inline xmlns:wp="http://schemas.openxmlformats.org/drawingml/2006/wordprocessingDrawing" distT="0" distB="0" distL="0" distR="0">
                <wp:extent cx="5505971" cy="2405901"/>
                <wp:effectExtent l="0" t="0" r="0" b="0"/>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5505971" cy="24059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433.5pt;height:189.4pt;mso-wrap-distance-left:0.0pt;mso-wrap-distance-top:0.0pt;mso-wrap-distance-right:0.0pt;mso-wrap-distance-bottom:0.0pt;" stroked="f">
                <v:path textboxrect="0,0,0,0"/>
                <v:imagedata r:id="rId144" o:title=""/>
              </v:shape>
            </w:pict>
          </mc:Fallback>
        </mc:AlternateContent>
      </w:r>
      <w:r/>
    </w:p>
    <w:p>
      <w:pPr>
        <w:pStyle w:val="1151"/>
        <w:jc w:val="center"/>
      </w:pPr>
      <w:r>
        <w:rPr>
          <w:rFonts w:hint="eastAsia"/>
        </w:rPr>
        <w:t xml:space="preserve">安装开孔图</w:t>
      </w:r>
      <w:r/>
    </w:p>
    <w:p>
      <w:pPr>
        <w:pStyle w:val="1249"/>
        <w:numPr>
          <w:ilvl w:val="0"/>
          <w:numId w:val="70"/>
        </w:numPr>
        <w:jc w:val="center"/>
        <w:rPr>
          <w:rFonts w:ascii="宋体" w:hAnsi="宋体" w:cs="宋体"/>
          <w:szCs w:val="21"/>
        </w:rPr>
      </w:pPr>
      <w:r>
        <w:rPr>
          <w:rFonts w:hint="eastAsia" w:ascii="宋体" w:hAnsi="宋体" w:cs="宋体"/>
          <w:szCs w:val="21"/>
        </w:rPr>
        <w:t xml:space="preserve">32芯(座自短路)插座尺寸</w:t>
      </w:r>
      <w:r>
        <w:rPr>
          <w:rFonts w:ascii="宋体" w:hAnsi="宋体" w:cs="宋体"/>
          <w:szCs w:val="21"/>
        </w:rPr>
      </w:r>
      <w:r/>
    </w:p>
    <w:p>
      <w:pPr>
        <w:pStyle w:val="1151"/>
        <w:jc w:val="center"/>
      </w:pPr>
      <w:r>
        <w:rPr>
          <w:rStyle w:val="1246"/>
          <w:rFonts w:hint="eastAsia" w:ascii="宋体" w:hAnsi="宋体" w:eastAsia="宋体"/>
        </w:rPr>
        <w:t xml:space="preserve">图</w:t>
      </w:r>
      <w:r>
        <w:rPr>
          <w:rStyle w:val="1246"/>
          <w:rFonts w:ascii="宋体" w:hAnsi="宋体" w:eastAsia="宋体"/>
        </w:rPr>
        <w:t xml:space="preserve">D.2-1132</w:t>
      </w:r>
      <w:r>
        <w:rPr>
          <w:rStyle w:val="1246"/>
          <w:rFonts w:hint="eastAsia" w:ascii="宋体" w:hAnsi="宋体" w:eastAsia="宋体"/>
        </w:rPr>
        <w:t xml:space="preserve">芯矩形连接器（插座自短路）外形尺寸</w:t>
      </w:r>
      <w:r/>
    </w:p>
    <w:p>
      <w:pPr>
        <w:pStyle w:val="1151"/>
        <w:jc w:val="left"/>
        <w:spacing w:line="312" w:lineRule="exact"/>
        <w:rPr>
          <w:rFonts w:ascii="黑体" w:hAnsi="黑体" w:eastAsia="黑体"/>
          <w:bCs/>
          <w:szCs w:val="21"/>
        </w:rPr>
        <w:outlineLvl w:val="2"/>
      </w:pPr>
      <w:r>
        <w:rPr>
          <w:rFonts w:ascii="黑体" w:hAnsi="黑体" w:eastAsia="黑体"/>
          <w:bCs/>
          <w:szCs w:val="21"/>
        </w:rPr>
        <w:t xml:space="preserve">D</w:t>
      </w:r>
      <w:r>
        <w:rPr>
          <w:rFonts w:hint="eastAsia" w:ascii="黑体" w:hAnsi="黑体" w:eastAsia="黑体"/>
          <w:bCs/>
          <w:szCs w:val="21"/>
        </w:rPr>
        <w:t xml:space="preserve">.</w:t>
      </w:r>
      <w:r>
        <w:rPr>
          <w:rFonts w:ascii="黑体" w:hAnsi="黑体" w:eastAsia="黑体"/>
          <w:bCs/>
          <w:szCs w:val="21"/>
        </w:rPr>
        <w:t xml:space="preserve">2.6</w:t>
      </w:r>
      <w:r>
        <w:rPr>
          <w:rFonts w:hint="eastAsia" w:ascii="黑体" w:hAnsi="黑体" w:eastAsia="黑体"/>
          <w:bCs/>
          <w:szCs w:val="21"/>
        </w:rPr>
        <w:t xml:space="preserve"> 16芯矩形连接器结构尺寸</w:t>
      </w:r>
      <w:r>
        <w:rPr>
          <w:rFonts w:ascii="黑体" w:hAnsi="黑体" w:eastAsia="黑体"/>
          <w:bCs/>
          <w:szCs w:val="21"/>
        </w:rPr>
      </w:r>
      <w:r/>
    </w:p>
    <w:p>
      <w:pPr>
        <w:pStyle w:val="1151"/>
        <w:ind w:firstLine="480"/>
      </w:pPr>
      <w:r/>
      <w:r/>
    </w:p>
    <w:p>
      <w:pPr>
        <w:pStyle w:val="1151"/>
        <w:ind w:firstLine="480"/>
      </w:pPr>
      <w:r>
        <mc:AlternateContent>
          <mc:Choice Requires="wpg">
            <w:drawing>
              <wp:inline xmlns:wp="http://schemas.openxmlformats.org/drawingml/2006/wordprocessingDrawing" distT="0" distB="0" distL="0" distR="0">
                <wp:extent cx="4436872" cy="3851948"/>
                <wp:effectExtent l="0" t="0" r="0" b="0"/>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4436872" cy="38519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349.4pt;height:303.3pt;mso-wrap-distance-left:0.0pt;mso-wrap-distance-top:0.0pt;mso-wrap-distance-right:0.0pt;mso-wrap-distance-bottom:0.0pt;" stroked="f">
                <v:path textboxrect="0,0,0,0"/>
                <v:imagedata r:id="rId145" o:title=""/>
              </v:shape>
            </w:pict>
          </mc:Fallback>
        </mc:AlternateContent>
      </w:r>
      <w:r/>
    </w:p>
    <w:p>
      <w:pPr>
        <w:pStyle w:val="1249"/>
        <w:numPr>
          <w:ilvl w:val="0"/>
          <w:numId w:val="71"/>
        </w:numPr>
        <w:jc w:val="center"/>
        <w:rPr>
          <w:rFonts w:ascii="宋体" w:hAnsi="宋体" w:cs="宋体"/>
          <w:szCs w:val="21"/>
        </w:rPr>
      </w:pPr>
      <w:r>
        <w:rPr>
          <w:rFonts w:hint="eastAsia" w:ascii="宋体" w:hAnsi="宋体" w:cs="宋体"/>
          <w:szCs w:val="21"/>
        </w:rPr>
        <w:t xml:space="preserve">16芯插头尺寸</w:t>
      </w:r>
      <w:r>
        <w:rPr>
          <w:rFonts w:ascii="宋体" w:hAnsi="宋体" w:cs="宋体"/>
          <w:szCs w:val="21"/>
        </w:rPr>
      </w:r>
      <w:r/>
    </w:p>
    <w:p>
      <w:pPr>
        <w:pStyle w:val="1151"/>
        <w:ind w:firstLine="480"/>
        <w:jc w:val="center"/>
      </w:pPr>
      <w:r>
        <mc:AlternateContent>
          <mc:Choice Requires="wpg">
            <w:drawing>
              <wp:inline xmlns:wp="http://schemas.openxmlformats.org/drawingml/2006/wordprocessingDrawing" distT="0" distB="0" distL="0" distR="0">
                <wp:extent cx="4749825" cy="2715336"/>
                <wp:effectExtent l="0" t="0" r="0" b="0"/>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4749825" cy="27153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374.0pt;height:213.8pt;mso-wrap-distance-left:0.0pt;mso-wrap-distance-top:0.0pt;mso-wrap-distance-right:0.0pt;mso-wrap-distance-bottom:0.0pt;" stroked="f">
                <v:path textboxrect="0,0,0,0"/>
                <v:imagedata r:id="rId146" o:title=""/>
              </v:shape>
            </w:pict>
          </mc:Fallback>
        </mc:AlternateContent>
      </w:r>
      <w:r/>
    </w:p>
    <w:p>
      <w:pPr>
        <w:pStyle w:val="1249"/>
        <w:numPr>
          <w:ilvl w:val="0"/>
          <w:numId w:val="71"/>
        </w:numPr>
        <w:jc w:val="center"/>
        <w:rPr>
          <w:rFonts w:ascii="宋体" w:hAnsi="宋体" w:cs="宋体"/>
          <w:szCs w:val="21"/>
        </w:rPr>
      </w:pPr>
      <w:r>
        <w:rPr>
          <w:rFonts w:hint="eastAsia" w:ascii="宋体" w:hAnsi="宋体" w:cs="宋体"/>
          <w:szCs w:val="21"/>
        </w:rPr>
        <w:t xml:space="preserve">16芯插座尺寸</w:t>
      </w:r>
      <w:r>
        <w:rPr>
          <w:rFonts w:ascii="宋体" w:hAnsi="宋体" w:cs="宋体"/>
          <w:szCs w:val="21"/>
        </w:rPr>
      </w:r>
      <w:r/>
    </w:p>
    <w:p>
      <w:pPr>
        <w:pStyle w:val="1151"/>
        <w:widowControl/>
        <w:rPr>
          <w:szCs w:val="21"/>
        </w:rPr>
      </w:pPr>
      <w:r>
        <w:rPr>
          <w:szCs w:val="21"/>
        </w:rPr>
      </w:r>
      <w:r/>
    </w:p>
    <w:p>
      <w:pPr>
        <w:pStyle w:val="1151"/>
        <w:spacing w:line="312" w:lineRule="exact"/>
        <w:rPr>
          <w:rFonts w:ascii="黑体" w:hAnsi="黑体"/>
          <w:szCs w:val="21"/>
        </w:rPr>
        <w:outlineLvl w:val="1"/>
      </w:pPr>
      <w:r/>
      <w:bookmarkStart w:id="412" w:name="_Toc35713687"/>
      <w:r>
        <w:rPr>
          <w:rFonts w:ascii="黑体" w:hAnsi="黑体" w:eastAsia="黑体"/>
          <w:szCs w:val="21"/>
        </w:rPr>
        <w:t xml:space="preserve">D.3 </w:t>
      </w:r>
      <w:r>
        <w:rPr>
          <w:rFonts w:hint="eastAsia" w:ascii="黑体" w:hAnsi="黑体" w:eastAsia="黑体"/>
          <w:szCs w:val="21"/>
        </w:rPr>
        <w:t xml:space="preserve">定制连接电缆</w:t>
      </w:r>
      <w:bookmarkEnd w:id="412"/>
      <w:r>
        <w:rPr>
          <w:rFonts w:ascii="黑体" w:hAnsi="黑体"/>
          <w:szCs w:val="21"/>
        </w:rPr>
      </w:r>
      <w:r/>
    </w:p>
    <w:p>
      <w:pPr>
        <w:pStyle w:val="1151"/>
        <w:numPr>
          <w:ilvl w:val="0"/>
          <w:numId w:val="72"/>
        </w:numPr>
        <w:jc w:val="left"/>
        <w:spacing w:line="360" w:lineRule="auto"/>
        <w:widowControl/>
        <w:tabs>
          <w:tab w:val="left" w:pos="312" w:leader="none"/>
        </w:tabs>
        <w:rPr>
          <w:rFonts w:ascii="宋体" w:hAnsi="宋体" w:cs="宋体"/>
          <w:szCs w:val="21"/>
        </w:rPr>
      </w:pPr>
      <w:r>
        <w:rPr>
          <w:rFonts w:hint="eastAsia" w:ascii="宋体" w:hAnsi="宋体" w:cs="宋体"/>
          <w:szCs w:val="21"/>
        </w:rPr>
        <w:t xml:space="preserve">DTU柜体内电压线束</w:t>
      </w:r>
      <w:r>
        <w:rPr>
          <w:rFonts w:ascii="宋体" w:hAnsi="宋体" w:cs="宋体"/>
          <w:szCs w:val="21"/>
        </w:rPr>
      </w:r>
      <w:r/>
    </w:p>
    <w:p>
      <w:pPr>
        <w:pStyle w:val="1151"/>
        <w:ind w:firstLine="420"/>
        <w:jc w:val="left"/>
        <w:widowControl/>
        <w:rPr>
          <w:szCs w:val="21"/>
        </w:rPr>
      </w:pPr>
      <w:r>
        <w:rPr>
          <w:rFonts w:hint="eastAsia"/>
          <w:szCs w:val="21"/>
        </w:rPr>
        <w:t xml:space="preserve">DTU柜体内电压线束</w:t>
      </w:r>
      <w:r>
        <w:rPr>
          <w:szCs w:val="21"/>
        </w:rPr>
        <w:t xml:space="preserve">如图D</w:t>
      </w:r>
      <w:r>
        <w:rPr>
          <w:rFonts w:hint="eastAsia"/>
          <w:szCs w:val="21"/>
        </w:rPr>
        <w:t xml:space="preserve">.</w:t>
      </w:r>
      <w:r>
        <w:rPr>
          <w:szCs w:val="21"/>
        </w:rPr>
        <w:t xml:space="preserve">3-1所示</w:t>
      </w:r>
      <w:r>
        <w:rPr>
          <w:rFonts w:hint="eastAsia"/>
          <w:szCs w:val="21"/>
        </w:rPr>
        <w:t xml:space="preserve">:</w:t>
      </w:r>
      <w:r>
        <w:rPr>
          <w:szCs w:val="21"/>
        </w:rPr>
      </w:r>
      <w:r/>
    </w:p>
    <w:p>
      <w:pPr>
        <w:pStyle w:val="1151"/>
        <w:jc w:val="center"/>
        <w:widowControl/>
        <w:rPr>
          <w:rFonts w:ascii="宋体" w:hAnsi="宋体" w:cs="宋体"/>
        </w:rPr>
      </w:pPr>
      <w:r>
        <mc:AlternateContent>
          <mc:Choice Requires="wpg">
            <w:drawing>
              <wp:inline xmlns:wp="http://schemas.openxmlformats.org/drawingml/2006/wordprocessingDrawing" distT="0" distB="0" distL="0" distR="0">
                <wp:extent cx="5274221" cy="3332328"/>
                <wp:effectExtent l="0" t="0" r="0" b="0"/>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5274221" cy="33323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415.3pt;height:262.4pt;mso-wrap-distance-left:0.0pt;mso-wrap-distance-top:0.0pt;mso-wrap-distance-right:0.0pt;mso-wrap-distance-bottom:0.0pt;" stroked="f">
                <v:path textboxrect="0,0,0,0"/>
                <v:imagedata r:id="rId147" o:title=""/>
              </v:shape>
            </w:pict>
          </mc:Fallback>
        </mc:AlternateContent>
      </w:r>
      <w:r>
        <w:rPr>
          <w:rFonts w:ascii="宋体" w:hAnsi="宋体" w:cs="宋体"/>
        </w:rPr>
      </w:r>
      <w:r/>
    </w:p>
    <w:p>
      <w:pPr>
        <w:pStyle w:val="1151"/>
        <w:jc w:val="center"/>
        <w:widowControl/>
        <w:rPr>
          <w:rFonts w:ascii="宋体" w:hAnsi="宋体" w:cs="宋体"/>
          <w:szCs w:val="21"/>
        </w:rPr>
      </w:pPr>
      <w:r>
        <w:rPr>
          <w:szCs w:val="21"/>
        </w:rPr>
        <w:t xml:space="preserve">D</w:t>
      </w:r>
      <w:r>
        <w:rPr>
          <w:rFonts w:hint="eastAsia"/>
          <w:szCs w:val="21"/>
        </w:rPr>
        <w:t xml:space="preserve">.</w:t>
      </w:r>
      <w:r>
        <w:rPr>
          <w:szCs w:val="21"/>
        </w:rPr>
        <w:t xml:space="preserve">3-1 </w:t>
      </w:r>
      <w:r>
        <w:rPr>
          <w:rFonts w:hint="eastAsia"/>
          <w:szCs w:val="21"/>
        </w:rPr>
        <w:t xml:space="preserve">DTU柜体内电压线束</w:t>
      </w:r>
      <w:r>
        <w:rPr>
          <w:rFonts w:ascii="宋体" w:hAnsi="宋体" w:cs="宋体"/>
          <w:szCs w:val="21"/>
        </w:rPr>
      </w:r>
      <w:r/>
    </w:p>
    <w:p>
      <w:pPr>
        <w:pStyle w:val="1151"/>
        <w:numPr>
          <w:ilvl w:val="0"/>
          <w:numId w:val="72"/>
        </w:numPr>
        <w:jc w:val="left"/>
        <w:spacing w:line="360" w:lineRule="auto"/>
        <w:widowControl/>
        <w:tabs>
          <w:tab w:val="left" w:pos="312" w:leader="none"/>
        </w:tabs>
        <w:rPr>
          <w:rFonts w:ascii="宋体" w:hAnsi="宋体" w:cs="宋体"/>
          <w:szCs w:val="21"/>
        </w:rPr>
      </w:pPr>
      <w:r>
        <w:rPr>
          <w:rFonts w:hint="eastAsia" w:ascii="宋体" w:hAnsi="宋体" w:cs="宋体"/>
          <w:szCs w:val="21"/>
        </w:rPr>
        <w:t xml:space="preserve">一二次间隔连接电缆设计</w:t>
      </w:r>
      <w:r>
        <w:rPr>
          <w:rFonts w:ascii="宋体" w:hAnsi="宋体" w:cs="宋体"/>
          <w:szCs w:val="21"/>
        </w:rPr>
      </w:r>
      <w:r/>
    </w:p>
    <w:p>
      <w:pPr>
        <w:pStyle w:val="1151"/>
        <w:ind w:firstLine="420"/>
        <w:jc w:val="left"/>
        <w:widowControl/>
        <w:rPr>
          <w:szCs w:val="21"/>
        </w:rPr>
      </w:pPr>
      <w:r>
        <w:rPr>
          <w:rFonts w:hint="eastAsia"/>
          <w:szCs w:val="21"/>
        </w:rPr>
        <w:t xml:space="preserve">一二次间隔连接电缆</w:t>
      </w:r>
      <w:r>
        <w:rPr>
          <w:szCs w:val="21"/>
        </w:rPr>
        <w:t xml:space="preserve">如图D</w:t>
      </w:r>
      <w:r>
        <w:rPr>
          <w:rFonts w:hint="eastAsia"/>
          <w:szCs w:val="21"/>
        </w:rPr>
        <w:t xml:space="preserve">.</w:t>
      </w:r>
      <w:r>
        <w:rPr>
          <w:szCs w:val="21"/>
        </w:rPr>
        <w:t xml:space="preserve">3-2所示</w:t>
      </w:r>
      <w:r>
        <w:rPr>
          <w:rFonts w:hint="eastAsia"/>
          <w:szCs w:val="21"/>
        </w:rPr>
        <w:t xml:space="preserve">:</w:t>
      </w:r>
      <w:r>
        <w:rPr>
          <w:szCs w:val="21"/>
        </w:rPr>
      </w:r>
      <w:r/>
    </w:p>
    <w:p>
      <w:pPr>
        <w:pStyle w:val="1151"/>
        <w:jc w:val="center"/>
        <w:widowControl/>
        <w:rPr>
          <w:rFonts w:ascii="宋体" w:hAnsi="宋体" w:cs="宋体"/>
        </w:rPr>
      </w:pPr>
      <w:r>
        <mc:AlternateContent>
          <mc:Choice Requires="wpg">
            <w:drawing>
              <wp:inline xmlns:wp="http://schemas.openxmlformats.org/drawingml/2006/wordprocessingDrawing" distT="0" distB="0" distL="0" distR="0">
                <wp:extent cx="5274234" cy="2707030"/>
                <wp:effectExtent l="0" t="0" r="0" b="0"/>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5274234" cy="2707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415.3pt;height:213.2pt;mso-wrap-distance-left:0.0pt;mso-wrap-distance-top:0.0pt;mso-wrap-distance-right:0.0pt;mso-wrap-distance-bottom:0.0pt;" stroked="f">
                <v:path textboxrect="0,0,0,0"/>
                <v:imagedata r:id="rId148" o:title=""/>
              </v:shape>
            </w:pict>
          </mc:Fallback>
        </mc:AlternateContent>
      </w:r>
      <w:r>
        <w:rPr>
          <w:rFonts w:ascii="宋体" w:hAnsi="宋体" w:cs="宋体"/>
        </w:rPr>
      </w:r>
      <w:r/>
    </w:p>
    <w:p>
      <w:pPr>
        <w:pStyle w:val="1151"/>
        <w:jc w:val="center"/>
        <w:widowControl/>
        <w:rPr>
          <w:rFonts w:ascii="宋体" w:hAnsi="宋体" w:cs="宋体"/>
        </w:rPr>
      </w:pPr>
      <w:r>
        <w:rPr>
          <w:szCs w:val="21"/>
        </w:rPr>
        <w:t xml:space="preserve">D</w:t>
      </w:r>
      <w:r>
        <w:rPr>
          <w:rFonts w:hint="eastAsia"/>
          <w:szCs w:val="21"/>
        </w:rPr>
        <w:t xml:space="preserve">.</w:t>
      </w:r>
      <w:r>
        <w:rPr>
          <w:szCs w:val="21"/>
        </w:rPr>
        <w:t xml:space="preserve">3-2 </w:t>
      </w:r>
      <w:r>
        <w:rPr>
          <w:rFonts w:hint="eastAsia" w:ascii="宋体" w:hAnsi="宋体" w:cs="宋体"/>
        </w:rPr>
        <w:t xml:space="preserve">一二次间隔连接电缆</w:t>
      </w:r>
      <w:r>
        <w:rPr>
          <w:rFonts w:ascii="宋体" w:hAnsi="宋体" w:cs="宋体"/>
        </w:rPr>
      </w:r>
      <w:r/>
    </w:p>
    <w:p>
      <w:pPr>
        <w:pStyle w:val="1151"/>
        <w:numPr>
          <w:ilvl w:val="0"/>
          <w:numId w:val="72"/>
        </w:numPr>
        <w:jc w:val="left"/>
        <w:spacing w:line="360" w:lineRule="auto"/>
        <w:widowControl/>
        <w:tabs>
          <w:tab w:val="left" w:pos="312" w:leader="none"/>
        </w:tabs>
        <w:rPr>
          <w:rFonts w:ascii="宋体" w:hAnsi="宋体" w:cs="宋体"/>
          <w:szCs w:val="21"/>
        </w:rPr>
      </w:pPr>
      <w:r>
        <w:rPr>
          <w:rFonts w:hint="eastAsia" w:ascii="宋体" w:hAnsi="宋体" w:cs="宋体"/>
          <w:szCs w:val="21"/>
        </w:rPr>
        <w:t xml:space="preserve">一二次PT连接电缆设计</w:t>
      </w:r>
      <w:r>
        <w:rPr>
          <w:rFonts w:ascii="宋体" w:hAnsi="宋体" w:cs="宋体"/>
          <w:szCs w:val="21"/>
        </w:rPr>
      </w:r>
      <w:r/>
    </w:p>
    <w:p>
      <w:pPr>
        <w:pStyle w:val="1151"/>
        <w:ind w:firstLine="420"/>
        <w:jc w:val="left"/>
        <w:widowControl/>
        <w:rPr>
          <w:szCs w:val="21"/>
        </w:rPr>
      </w:pPr>
      <w:r>
        <w:rPr>
          <w:rFonts w:hint="eastAsia"/>
          <w:szCs w:val="21"/>
        </w:rPr>
        <w:t xml:space="preserve">一二次PT连接电缆</w:t>
      </w:r>
      <w:r>
        <w:rPr>
          <w:szCs w:val="21"/>
        </w:rPr>
        <w:t xml:space="preserve">如图D</w:t>
      </w:r>
      <w:r>
        <w:rPr>
          <w:rFonts w:hint="eastAsia"/>
          <w:szCs w:val="21"/>
        </w:rPr>
        <w:t xml:space="preserve">.</w:t>
      </w:r>
      <w:r>
        <w:rPr>
          <w:szCs w:val="21"/>
        </w:rPr>
        <w:t xml:space="preserve">3-3所示</w:t>
      </w:r>
      <w:r>
        <w:rPr>
          <w:rFonts w:hint="eastAsia"/>
          <w:szCs w:val="21"/>
        </w:rPr>
        <w:t xml:space="preserve">:</w:t>
      </w:r>
      <w:r>
        <w:rPr>
          <w:szCs w:val="21"/>
        </w:rPr>
      </w:r>
      <w:r/>
    </w:p>
    <w:p>
      <w:pPr>
        <w:pStyle w:val="1151"/>
        <w:jc w:val="center"/>
        <w:widowControl/>
        <w:rPr>
          <w:rFonts w:ascii="宋体" w:hAnsi="宋体" w:cs="宋体"/>
        </w:rPr>
      </w:pPr>
      <w:r>
        <mc:AlternateContent>
          <mc:Choice Requires="wpg">
            <w:drawing>
              <wp:inline xmlns:wp="http://schemas.openxmlformats.org/drawingml/2006/wordprocessingDrawing" distT="0" distB="0" distL="0" distR="0">
                <wp:extent cx="5184839" cy="2289848"/>
                <wp:effectExtent l="0" t="0" r="0" b="0"/>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5184839" cy="22898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408.3pt;height:180.3pt;mso-wrap-distance-left:0.0pt;mso-wrap-distance-top:0.0pt;mso-wrap-distance-right:0.0pt;mso-wrap-distance-bottom:0.0pt;" stroked="f">
                <v:path textboxrect="0,0,0,0"/>
                <v:imagedata r:id="rId149" o:title=""/>
              </v:shape>
            </w:pict>
          </mc:Fallback>
        </mc:AlternateContent>
      </w:r>
      <w:r>
        <w:rPr>
          <w:rFonts w:ascii="宋体" w:hAnsi="宋体" w:cs="宋体"/>
        </w:rPr>
      </w:r>
      <w:r/>
    </w:p>
    <w:p>
      <w:pPr>
        <w:pStyle w:val="1151"/>
        <w:jc w:val="center"/>
        <w:widowControl/>
        <w:rPr>
          <w:rFonts w:ascii="宋体" w:hAnsi="宋体" w:cs="宋体"/>
        </w:rPr>
      </w:pPr>
      <w:r>
        <w:rPr>
          <w:szCs w:val="21"/>
        </w:rPr>
        <w:t xml:space="preserve">D</w:t>
      </w:r>
      <w:r>
        <w:rPr>
          <w:rFonts w:hint="eastAsia"/>
          <w:szCs w:val="21"/>
        </w:rPr>
        <w:t xml:space="preserve">.</w:t>
      </w:r>
      <w:r>
        <w:rPr>
          <w:szCs w:val="21"/>
        </w:rPr>
        <w:t xml:space="preserve">3-3 </w:t>
      </w:r>
      <w:r>
        <w:rPr>
          <w:rFonts w:hint="eastAsia" w:ascii="宋体" w:hAnsi="宋体" w:cs="宋体"/>
        </w:rPr>
        <w:t xml:space="preserve">一二次PT连接电缆</w:t>
      </w:r>
      <w:r>
        <w:rPr>
          <w:rFonts w:ascii="宋体" w:hAnsi="宋体" w:cs="宋体"/>
        </w:rPr>
      </w:r>
      <w:r/>
    </w:p>
    <w:p>
      <w:pPr>
        <w:pStyle w:val="1151"/>
        <w:jc w:val="left"/>
        <w:widowControl/>
        <w:rPr>
          <w:rFonts w:ascii="黑体" w:hAnsi="黑体" w:eastAsia="黑体"/>
          <w:color w:val="000000"/>
        </w:rPr>
      </w:pPr>
      <w:r/>
      <w:bookmarkStart w:id="413" w:name="_Toc47551484"/>
      <w:r>
        <w:rPr>
          <w:rFonts w:ascii="黑体" w:hAnsi="黑体" w:eastAsia="黑体"/>
          <w:color w:val="000000"/>
        </w:rPr>
        <w:br w:type="page" w:clear="all"/>
      </w:r>
      <w:r>
        <w:rPr>
          <w:rFonts w:ascii="黑体" w:hAnsi="黑体" w:eastAsia="黑体"/>
          <w:color w:val="000000"/>
        </w:rPr>
      </w:r>
      <w:r/>
    </w:p>
    <w:p>
      <w:pPr>
        <w:pStyle w:val="1245"/>
        <w:rPr>
          <w:rFonts w:ascii="黑体" w:hAnsi="黑体" w:eastAsia="黑体"/>
          <w:color w:val="000000"/>
        </w:rPr>
        <w:outlineLvl w:val="0"/>
      </w:pPr>
      <w:r/>
      <w:bookmarkStart w:id="414" w:name="_Toc55057891"/>
      <w:r/>
      <w:bookmarkStart w:id="415" w:name="_Toc28158"/>
      <w:r/>
      <w:bookmarkStart w:id="416" w:name="_Toc10750"/>
      <w:r/>
      <w:bookmarkStart w:id="417" w:name="_Toc11386"/>
      <w:r>
        <w:rPr>
          <w:rFonts w:hint="eastAsia" w:ascii="黑体" w:hAnsi="黑体" w:eastAsia="黑体"/>
          <w:color w:val="000000"/>
        </w:rPr>
        <w:t xml:space="preserve">附录</w:t>
      </w:r>
      <w:r>
        <w:rPr>
          <w:rFonts w:ascii="黑体" w:hAnsi="黑体" w:eastAsia="黑体"/>
          <w:color w:val="000000"/>
        </w:rPr>
        <w:t xml:space="preserve">E </w:t>
      </w:r>
      <w:r>
        <w:rPr>
          <w:rFonts w:hint="eastAsia" w:ascii="黑体" w:hAnsi="黑体" w:eastAsia="黑体"/>
          <w:color w:val="000000"/>
        </w:rPr>
        <w:t xml:space="preserve">终端铭牌及二维码定义</w:t>
      </w:r>
      <w:r>
        <w:rPr>
          <w:rFonts w:ascii="黑体" w:hAnsi="黑体" w:eastAsia="黑体"/>
          <w:color w:val="000000"/>
        </w:rPr>
        <w:t xml:space="preserve">(规范性附录)</w:t>
      </w:r>
      <w:bookmarkEnd w:id="413"/>
      <w:r/>
      <w:bookmarkEnd w:id="414"/>
      <w:r/>
      <w:bookmarkEnd w:id="415"/>
      <w:r/>
      <w:bookmarkEnd w:id="416"/>
      <w:r/>
      <w:bookmarkEnd w:id="417"/>
      <w:r>
        <w:rPr>
          <w:rFonts w:ascii="黑体" w:hAnsi="黑体" w:eastAsia="黑体"/>
          <w:color w:val="000000"/>
        </w:rPr>
      </w:r>
      <w:r/>
    </w:p>
    <w:p>
      <w:pPr>
        <w:pStyle w:val="1151"/>
        <w:ind w:firstLine="420"/>
        <w:jc w:val="left"/>
        <w:widowControl/>
      </w:pPr>
      <w:r>
        <w:t xml:space="preserve">铭牌中应包含ID号标识代码和二维码等信息</w:t>
      </w:r>
      <w:r>
        <w:rPr>
          <w:rFonts w:hint="eastAsia"/>
        </w:rPr>
        <w:t xml:space="preserve">，站所终端</w:t>
      </w:r>
      <w:r>
        <w:t xml:space="preserve">ID号标识代码和二维码定义应符合要求</w:t>
      </w:r>
      <w:r>
        <w:rPr>
          <w:rFonts w:hint="eastAsia"/>
        </w:rPr>
        <w:t xml:space="preserve">，铭牌应为S304不锈钢、铜材或丙烯酸树脂等不受气候影响和防腐蚀的材料制成，铭牌能耐风雨、耐腐蚀、保证使用过程中清晰可见。</w:t>
      </w:r>
      <w:r/>
    </w:p>
    <w:p>
      <w:pPr>
        <w:pStyle w:val="1151"/>
        <w:ind w:firstLine="420"/>
        <w:jc w:val="left"/>
        <w:widowControl/>
      </w:pPr>
      <w:r>
        <w:rPr>
          <w:rFonts w:hint="eastAsia"/>
        </w:rPr>
        <w:t xml:space="preserve">集中式站所终端铭牌设计如图</w:t>
      </w:r>
      <w:r>
        <w:t xml:space="preserve">E</w:t>
      </w:r>
      <w:r>
        <w:rPr>
          <w:rFonts w:hint="eastAsia"/>
        </w:rPr>
        <w:t xml:space="preserve">-1所示：</w:t>
      </w:r>
      <w:r/>
    </w:p>
    <w:p>
      <w:pPr>
        <w:pStyle w:val="1151"/>
        <w:jc w:val="center"/>
        <w:widowControl/>
      </w:pPr>
      <w:r>
        <w:rPr>
          <w:rFonts w:hint="eastAsia"/>
        </w:rPr>
        <mc:AlternateContent>
          <mc:Choice Requires="wpg">
            <w:drawing>
              <wp:inline xmlns:wp="http://schemas.openxmlformats.org/drawingml/2006/wordprocessingDrawing" distT="0" distB="0" distL="0" distR="0">
                <wp:extent cx="5273434" cy="3658603"/>
                <wp:effectExtent l="0" t="0" r="0" b="0"/>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5273434" cy="36586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415.2pt;height:288.1pt;mso-wrap-distance-left:0.0pt;mso-wrap-distance-top:0.0pt;mso-wrap-distance-right:0.0pt;mso-wrap-distance-bottom:0.0pt;" stroked="f">
                <v:path textboxrect="0,0,0,0"/>
                <v:imagedata r:id="rId150" o:title=""/>
              </v:shape>
            </w:pict>
          </mc:Fallback>
        </mc:AlternateContent>
      </w:r>
      <w:r/>
    </w:p>
    <w:p>
      <w:pPr>
        <w:pStyle w:val="1151"/>
        <w:jc w:val="center"/>
        <w:widowControl/>
      </w:pPr>
      <w:r>
        <w:rPr>
          <w:rFonts w:hint="eastAsia"/>
        </w:rPr>
        <w:t xml:space="preserve">具体指标根据实际情况标注</w:t>
      </w:r>
      <w:r/>
    </w:p>
    <w:p>
      <w:pPr>
        <w:pStyle w:val="1151"/>
        <w:jc w:val="center"/>
        <w:widowControl/>
      </w:pPr>
      <w:r>
        <w:rPr>
          <w:rFonts w:hint="eastAsia"/>
        </w:rPr>
        <w:t xml:space="preserve">图</w:t>
      </w:r>
      <w:r>
        <w:t xml:space="preserve">E</w:t>
      </w:r>
      <w:r>
        <w:rPr>
          <w:rFonts w:hint="eastAsia"/>
        </w:rPr>
        <w:t xml:space="preserve">-1 集中式站所终端铭牌设计规格示意图</w:t>
      </w:r>
      <w:r/>
    </w:p>
    <w:p>
      <w:pPr>
        <w:pStyle w:val="1151"/>
        <w:ind w:firstLine="420"/>
        <w:jc w:val="left"/>
        <w:widowControl/>
      </w:pPr>
      <w:r>
        <w:t xml:space="preserve">配电终端的二维码信息结构由6部分组成，见表E-</w:t>
      </w:r>
      <w:r>
        <w:rPr>
          <w:rFonts w:hint="eastAsia"/>
        </w:rPr>
        <w:t xml:space="preserve">1</w:t>
      </w:r>
      <w:r>
        <w:t xml:space="preserve">。</w:t>
      </w:r>
      <w:r/>
    </w:p>
    <w:p>
      <w:pPr>
        <w:pStyle w:val="1151"/>
        <w:jc w:val="center"/>
        <w:widowControl/>
        <w:rPr>
          <w:bCs/>
        </w:rPr>
      </w:pPr>
      <w:r>
        <w:rPr>
          <w:bCs/>
        </w:rPr>
        <w:t xml:space="preserve">表E-</w:t>
      </w:r>
      <w:r>
        <w:rPr>
          <w:rFonts w:hint="eastAsia"/>
          <w:bCs/>
        </w:rPr>
        <w:t xml:space="preserve">1</w:t>
      </w:r>
      <w:r>
        <w:rPr>
          <w:bCs/>
        </w:rPr>
        <w:t xml:space="preserve">二维码信息结构</w:t>
      </w:r>
      <w:r>
        <w:rPr>
          <w:bCs/>
        </w:rPr>
      </w:r>
      <w:r/>
    </w:p>
    <w:tbl>
      <w:tblPr>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1361"/>
        <w:gridCol w:w="1361"/>
        <w:gridCol w:w="1361"/>
        <w:gridCol w:w="1361"/>
        <w:gridCol w:w="1241"/>
        <w:gridCol w:w="1134"/>
      </w:tblGrid>
      <w:tr>
        <w:trPr>
          <w:cantSplit/>
        </w:trPr>
        <w:tc>
          <w:tcPr>
            <w:tcW w:w="1361" w:type="dxa"/>
            <w:vAlign w:val="center"/>
            <w:textDirection w:val="lrTb"/>
            <w:noWrap w:val="false"/>
          </w:tcPr>
          <w:p>
            <w:pPr>
              <w:pStyle w:val="1151"/>
              <w:jc w:val="center"/>
              <w:widowControl/>
            </w:pPr>
            <w:r>
              <w:t xml:space="preserve">序号</w:t>
            </w:r>
            <w:r/>
          </w:p>
        </w:tc>
        <w:tc>
          <w:tcPr>
            <w:tcW w:w="1361" w:type="dxa"/>
            <w:vAlign w:val="center"/>
            <w:textDirection w:val="lrTb"/>
            <w:noWrap w:val="false"/>
          </w:tcPr>
          <w:p>
            <w:pPr>
              <w:pStyle w:val="1151"/>
              <w:jc w:val="center"/>
              <w:widowControl/>
            </w:pPr>
            <w:r>
              <w:t xml:space="preserve">1</w:t>
            </w:r>
            <w:r/>
          </w:p>
        </w:tc>
        <w:tc>
          <w:tcPr>
            <w:tcW w:w="1361" w:type="dxa"/>
            <w:vAlign w:val="center"/>
            <w:textDirection w:val="lrTb"/>
            <w:noWrap w:val="false"/>
          </w:tcPr>
          <w:p>
            <w:pPr>
              <w:pStyle w:val="1151"/>
              <w:jc w:val="center"/>
              <w:widowControl/>
            </w:pPr>
            <w:r>
              <w:t xml:space="preserve">2</w:t>
            </w:r>
            <w:r/>
          </w:p>
        </w:tc>
        <w:tc>
          <w:tcPr>
            <w:tcW w:w="1361" w:type="dxa"/>
            <w:vAlign w:val="center"/>
            <w:textDirection w:val="lrTb"/>
            <w:noWrap w:val="false"/>
          </w:tcPr>
          <w:p>
            <w:pPr>
              <w:pStyle w:val="1151"/>
              <w:jc w:val="center"/>
              <w:widowControl/>
            </w:pPr>
            <w:r>
              <w:t xml:space="preserve">3</w:t>
            </w:r>
            <w:r/>
          </w:p>
        </w:tc>
        <w:tc>
          <w:tcPr>
            <w:tcW w:w="1361" w:type="dxa"/>
            <w:vAlign w:val="center"/>
            <w:textDirection w:val="lrTb"/>
            <w:noWrap w:val="false"/>
          </w:tcPr>
          <w:p>
            <w:pPr>
              <w:pStyle w:val="1151"/>
              <w:jc w:val="center"/>
              <w:widowControl/>
            </w:pPr>
            <w:r>
              <w:t xml:space="preserve">4</w:t>
            </w:r>
            <w:r/>
          </w:p>
        </w:tc>
        <w:tc>
          <w:tcPr>
            <w:tcW w:w="1241" w:type="dxa"/>
            <w:vAlign w:val="center"/>
            <w:textDirection w:val="lrTb"/>
            <w:noWrap w:val="false"/>
          </w:tcPr>
          <w:p>
            <w:pPr>
              <w:pStyle w:val="1151"/>
              <w:jc w:val="center"/>
              <w:widowControl/>
            </w:pPr>
            <w:r>
              <w:t xml:space="preserve">5</w:t>
            </w:r>
            <w:r/>
          </w:p>
        </w:tc>
        <w:tc>
          <w:tcPr>
            <w:tcW w:w="1134" w:type="dxa"/>
            <w:vAlign w:val="top"/>
            <w:textDirection w:val="lrTb"/>
            <w:noWrap w:val="false"/>
          </w:tcPr>
          <w:p>
            <w:pPr>
              <w:pStyle w:val="1151"/>
              <w:jc w:val="center"/>
              <w:widowControl/>
            </w:pPr>
            <w:r>
              <w:t xml:space="preserve">6</w:t>
            </w:r>
            <w:r/>
          </w:p>
        </w:tc>
      </w:tr>
      <w:tr>
        <w:trPr>
          <w:cantSplit/>
        </w:trPr>
        <w:tc>
          <w:tcPr>
            <w:tcW w:w="1361" w:type="dxa"/>
            <w:vAlign w:val="center"/>
            <w:textDirection w:val="lrTb"/>
            <w:noWrap w:val="false"/>
          </w:tcPr>
          <w:p>
            <w:pPr>
              <w:pStyle w:val="1151"/>
              <w:jc w:val="left"/>
              <w:widowControl/>
            </w:pPr>
            <w:r>
              <w:t xml:space="preserve">代码名称</w:t>
            </w:r>
            <w:r/>
          </w:p>
        </w:tc>
        <w:tc>
          <w:tcPr>
            <w:tcW w:w="1361" w:type="dxa"/>
            <w:vAlign w:val="center"/>
            <w:textDirection w:val="lrTb"/>
            <w:noWrap w:val="false"/>
          </w:tcPr>
          <w:p>
            <w:pPr>
              <w:pStyle w:val="1151"/>
              <w:jc w:val="left"/>
              <w:widowControl/>
            </w:pPr>
            <w:r>
              <w:t xml:space="preserve">终端类型</w:t>
            </w:r>
            <w:r/>
          </w:p>
        </w:tc>
        <w:tc>
          <w:tcPr>
            <w:tcW w:w="1361" w:type="dxa"/>
            <w:vAlign w:val="center"/>
            <w:textDirection w:val="lrTb"/>
            <w:noWrap w:val="false"/>
          </w:tcPr>
          <w:p>
            <w:pPr>
              <w:pStyle w:val="1151"/>
              <w:jc w:val="left"/>
              <w:widowControl/>
            </w:pPr>
            <w:r>
              <w:t xml:space="preserve">厂商代码</w:t>
            </w:r>
            <w:r/>
          </w:p>
        </w:tc>
        <w:tc>
          <w:tcPr>
            <w:tcW w:w="1361" w:type="dxa"/>
            <w:vAlign w:val="center"/>
            <w:textDirection w:val="lrTb"/>
            <w:noWrap w:val="false"/>
          </w:tcPr>
          <w:p>
            <w:pPr>
              <w:pStyle w:val="1151"/>
              <w:jc w:val="left"/>
              <w:widowControl/>
            </w:pPr>
            <w:r>
              <w:t xml:space="preserve">终端型号</w:t>
            </w:r>
            <w:r/>
          </w:p>
        </w:tc>
        <w:tc>
          <w:tcPr>
            <w:tcW w:w="1361" w:type="dxa"/>
            <w:vAlign w:val="center"/>
            <w:textDirection w:val="lrTb"/>
            <w:noWrap w:val="false"/>
          </w:tcPr>
          <w:p>
            <w:pPr>
              <w:pStyle w:val="1151"/>
              <w:jc w:val="left"/>
              <w:widowControl/>
            </w:pPr>
            <w:r>
              <w:t xml:space="preserve">ID号</w:t>
            </w:r>
            <w:r/>
          </w:p>
        </w:tc>
        <w:tc>
          <w:tcPr>
            <w:tcW w:w="1241" w:type="dxa"/>
            <w:vAlign w:val="center"/>
            <w:textDirection w:val="lrTb"/>
            <w:noWrap w:val="false"/>
          </w:tcPr>
          <w:p>
            <w:pPr>
              <w:pStyle w:val="1151"/>
              <w:jc w:val="left"/>
              <w:widowControl/>
            </w:pPr>
            <w:r>
              <w:t xml:space="preserve">硬件版本</w:t>
            </w:r>
            <w:r/>
          </w:p>
        </w:tc>
        <w:tc>
          <w:tcPr>
            <w:tcW w:w="1134" w:type="dxa"/>
            <w:vAlign w:val="top"/>
            <w:textDirection w:val="lrTb"/>
            <w:noWrap w:val="false"/>
          </w:tcPr>
          <w:p>
            <w:pPr>
              <w:pStyle w:val="1151"/>
              <w:jc w:val="left"/>
              <w:widowControl/>
            </w:pPr>
            <w:r>
              <w:t xml:space="preserve">生产日期</w:t>
            </w:r>
            <w:r/>
          </w:p>
        </w:tc>
      </w:tr>
    </w:tbl>
    <w:p>
      <w:pPr>
        <w:pStyle w:val="1151"/>
        <w:ind w:firstLine="420"/>
        <w:jc w:val="left"/>
        <w:widowControl/>
      </w:pPr>
      <w:r>
        <w:t xml:space="preserve">例如“类型：D30，厂商：XX集团，型号：DTU3001，ID：D30XXXXXX130201302080112，硬件版本：HV20.11，生产日期：2013年2月8日”二维码见图</w:t>
      </w:r>
      <w:r>
        <w:rPr>
          <w:rFonts w:hint="eastAsia"/>
        </w:rPr>
        <w:t xml:space="preserve">A-2</w:t>
      </w:r>
      <w:r>
        <w:t xml:space="preserve">。</w:t>
      </w:r>
      <w:r/>
    </w:p>
    <w:p>
      <w:pPr>
        <w:pStyle w:val="1151"/>
        <w:jc w:val="center"/>
        <w:widowControl/>
      </w:pPr>
      <w:r>
        <mc:AlternateContent>
          <mc:Choice Requires="wpg">
            <w:drawing>
              <wp:inline xmlns:wp="http://schemas.openxmlformats.org/drawingml/2006/wordprocessingDrawing" distT="0" distB="0" distL="0" distR="0">
                <wp:extent cx="1311415" cy="1302423"/>
                <wp:effectExtent l="0" t="0" r="0" b="0"/>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1311415" cy="13024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103.3pt;height:102.6pt;mso-wrap-distance-left:0.0pt;mso-wrap-distance-top:0.0pt;mso-wrap-distance-right:0.0pt;mso-wrap-distance-bottom:0.0pt;" stroked="f">
                <v:path textboxrect="0,0,0,0"/>
                <v:imagedata r:id="rId151" o:title=""/>
              </v:shape>
            </w:pict>
          </mc:Fallback>
        </mc:AlternateContent>
      </w:r>
      <w:r/>
    </w:p>
    <w:p>
      <w:pPr>
        <w:pStyle w:val="1151"/>
        <w:jc w:val="center"/>
        <w:widowControl/>
      </w:pPr>
      <w:r>
        <w:rPr>
          <w:bCs/>
        </w:rPr>
        <w:t xml:space="preserve">图E</w:t>
      </w:r>
      <w:r>
        <w:rPr>
          <w:rFonts w:hint="eastAsia"/>
          <w:bCs/>
        </w:rPr>
        <w:t xml:space="preserve">-2</w:t>
      </w:r>
      <w:r>
        <w:rPr>
          <w:bCs/>
        </w:rPr>
        <w:t xml:space="preserve">配电终端二维码信</w:t>
      </w:r>
      <w:r/>
    </w:p>
    <w:p>
      <w:pPr>
        <w:pStyle w:val="1151"/>
        <w:numPr>
          <w:ilvl w:val="0"/>
          <w:numId w:val="73"/>
        </w:numPr>
        <w:spacing w:line="312" w:lineRule="exact"/>
        <w:rPr>
          <w:rFonts w:ascii="宋体" w:hAnsi="宋体"/>
        </w:rPr>
      </w:pPr>
      <w:r>
        <w:rPr>
          <w:rFonts w:ascii="宋体" w:hAnsi="宋体"/>
        </w:rPr>
        <w:t xml:space="preserve">终端类型标识代码</w:t>
      </w:r>
      <w:r>
        <w:rPr>
          <w:rFonts w:ascii="宋体" w:hAnsi="宋体"/>
        </w:rPr>
      </w:r>
      <w:r/>
    </w:p>
    <w:p>
      <w:pPr>
        <w:pStyle w:val="1151"/>
        <w:ind w:left="704"/>
        <w:spacing w:line="312" w:lineRule="exact"/>
        <w:rPr>
          <w:rFonts w:ascii="宋体" w:hAnsi="宋体"/>
        </w:rPr>
      </w:pPr>
      <w:r>
        <w:rPr>
          <w:rFonts w:hint="eastAsia"/>
        </w:rPr>
        <w:t xml:space="preserve">集中式DTU标识代码为D30。</w:t>
      </w:r>
      <w:r>
        <w:rPr>
          <w:rFonts w:ascii="宋体" w:hAnsi="宋体"/>
        </w:rPr>
      </w:r>
      <w:r/>
    </w:p>
    <w:p>
      <w:pPr>
        <w:pStyle w:val="1151"/>
        <w:jc w:val="center"/>
        <w:widowControl/>
      </w:pPr>
      <w:r/>
      <w:r/>
    </w:p>
    <w:p>
      <w:pPr>
        <w:pStyle w:val="1151"/>
        <w:numPr>
          <w:ilvl w:val="0"/>
          <w:numId w:val="73"/>
        </w:numPr>
        <w:spacing w:line="312" w:lineRule="exact"/>
        <w:rPr>
          <w:rFonts w:ascii="宋体" w:hAnsi="宋体"/>
        </w:rPr>
      </w:pPr>
      <w:r>
        <w:rPr>
          <w:rFonts w:ascii="宋体" w:hAnsi="宋体"/>
        </w:rPr>
        <w:t xml:space="preserve">ID号标识代码</w:t>
      </w:r>
      <w:r>
        <w:rPr>
          <w:rFonts w:ascii="宋体" w:hAnsi="宋体"/>
        </w:rPr>
      </w:r>
      <w:r/>
    </w:p>
    <w:p>
      <w:pPr>
        <w:pStyle w:val="1151"/>
        <w:ind w:left="704"/>
        <w:spacing w:line="312" w:lineRule="exact"/>
        <w:rPr>
          <w:rFonts w:ascii="宋体" w:hAnsi="宋体"/>
        </w:rPr>
      </w:pPr>
      <w:r>
        <w:t xml:space="preserve">配电终端的ID号由24位英文字母和数字组成，ID号结构由5部分组成，其结构和代码见表E-5。</w:t>
      </w:r>
      <w:r>
        <w:rPr>
          <w:rFonts w:ascii="宋体" w:hAnsi="宋体"/>
        </w:rPr>
      </w:r>
      <w:r/>
    </w:p>
    <w:p>
      <w:pPr>
        <w:pStyle w:val="1151"/>
        <w:jc w:val="center"/>
        <w:widowControl/>
        <w:rPr>
          <w:bCs/>
        </w:rPr>
      </w:pPr>
      <w:r>
        <w:t xml:space="preserve">表E-</w:t>
      </w:r>
      <w:r>
        <w:rPr>
          <w:rFonts w:hint="eastAsia"/>
        </w:rPr>
        <w:t xml:space="preserve">2</w:t>
      </w:r>
      <w:r>
        <w:rPr>
          <w:bCs/>
        </w:rPr>
        <w:t xml:space="preserve">代码结构及位数</w:t>
      </w:r>
      <w:r>
        <w:rPr>
          <w:bCs/>
        </w:rPr>
      </w:r>
      <w:r/>
    </w:p>
    <w:tbl>
      <w:tblPr>
        <w:tblW w:w="85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1420"/>
        <w:gridCol w:w="1420"/>
        <w:gridCol w:w="1420"/>
        <w:gridCol w:w="1420"/>
        <w:gridCol w:w="1420"/>
      </w:tblGrid>
      <w:tr>
        <w:trPr>
          <w:cantSplit/>
        </w:trPr>
        <w:tc>
          <w:tcPr>
            <w:tcW w:w="1420" w:type="dxa"/>
            <w:vAlign w:val="center"/>
            <w:textDirection w:val="lrTb"/>
            <w:noWrap w:val="false"/>
          </w:tcPr>
          <w:p>
            <w:pPr>
              <w:pStyle w:val="1151"/>
              <w:jc w:val="center"/>
              <w:widowControl/>
            </w:pPr>
            <w:r>
              <w:t xml:space="preserve">序号</w:t>
            </w:r>
            <w:r/>
          </w:p>
        </w:tc>
        <w:tc>
          <w:tcPr>
            <w:tcW w:w="1420" w:type="dxa"/>
            <w:vAlign w:val="center"/>
            <w:textDirection w:val="lrTb"/>
            <w:noWrap w:val="false"/>
          </w:tcPr>
          <w:p>
            <w:pPr>
              <w:pStyle w:val="1151"/>
              <w:jc w:val="center"/>
              <w:widowControl/>
            </w:pPr>
            <w:r>
              <w:t xml:space="preserve">1</w:t>
            </w:r>
            <w:r/>
          </w:p>
        </w:tc>
        <w:tc>
          <w:tcPr>
            <w:tcW w:w="1420" w:type="dxa"/>
            <w:vAlign w:val="center"/>
            <w:textDirection w:val="lrTb"/>
            <w:noWrap w:val="false"/>
          </w:tcPr>
          <w:p>
            <w:pPr>
              <w:pStyle w:val="1151"/>
              <w:jc w:val="center"/>
              <w:widowControl/>
            </w:pPr>
            <w:r>
              <w:t xml:space="preserve">2</w:t>
            </w:r>
            <w:r/>
          </w:p>
        </w:tc>
        <w:tc>
          <w:tcPr>
            <w:tcW w:w="1420" w:type="dxa"/>
            <w:vAlign w:val="center"/>
            <w:textDirection w:val="lrTb"/>
            <w:noWrap w:val="false"/>
          </w:tcPr>
          <w:p>
            <w:pPr>
              <w:pStyle w:val="1151"/>
              <w:jc w:val="center"/>
              <w:widowControl/>
            </w:pPr>
            <w:r>
              <w:t xml:space="preserve">3</w:t>
            </w:r>
            <w:r/>
          </w:p>
        </w:tc>
        <w:tc>
          <w:tcPr>
            <w:tcW w:w="1420" w:type="dxa"/>
            <w:vAlign w:val="center"/>
            <w:textDirection w:val="lrTb"/>
            <w:noWrap w:val="false"/>
          </w:tcPr>
          <w:p>
            <w:pPr>
              <w:pStyle w:val="1151"/>
              <w:jc w:val="center"/>
              <w:widowControl/>
            </w:pPr>
            <w:r>
              <w:t xml:space="preserve">4</w:t>
            </w:r>
            <w:r/>
          </w:p>
        </w:tc>
        <w:tc>
          <w:tcPr>
            <w:tcW w:w="1420" w:type="dxa"/>
            <w:vAlign w:val="center"/>
            <w:textDirection w:val="lrTb"/>
            <w:noWrap w:val="false"/>
          </w:tcPr>
          <w:p>
            <w:pPr>
              <w:pStyle w:val="1151"/>
              <w:jc w:val="center"/>
              <w:widowControl/>
            </w:pPr>
            <w:r>
              <w:t xml:space="preserve">5</w:t>
            </w:r>
            <w:r/>
          </w:p>
        </w:tc>
      </w:tr>
      <w:tr>
        <w:trPr>
          <w:cantSplit/>
        </w:trPr>
        <w:tc>
          <w:tcPr>
            <w:tcW w:w="1420" w:type="dxa"/>
            <w:vAlign w:val="center"/>
            <w:textDirection w:val="lrTb"/>
            <w:noWrap w:val="false"/>
          </w:tcPr>
          <w:p>
            <w:pPr>
              <w:pStyle w:val="1151"/>
              <w:jc w:val="center"/>
              <w:widowControl/>
            </w:pPr>
            <w:r>
              <w:t xml:space="preserve">代码名称</w:t>
            </w:r>
            <w:r/>
          </w:p>
        </w:tc>
        <w:tc>
          <w:tcPr>
            <w:tcW w:w="1420" w:type="dxa"/>
            <w:vAlign w:val="center"/>
            <w:textDirection w:val="lrTb"/>
            <w:noWrap w:val="false"/>
          </w:tcPr>
          <w:p>
            <w:pPr>
              <w:pStyle w:val="1151"/>
              <w:jc w:val="center"/>
              <w:widowControl/>
            </w:pPr>
            <w:r>
              <w:t xml:space="preserve">终端类型</w:t>
            </w:r>
            <w:r/>
          </w:p>
        </w:tc>
        <w:tc>
          <w:tcPr>
            <w:tcW w:w="1420" w:type="dxa"/>
            <w:vAlign w:val="center"/>
            <w:textDirection w:val="lrTb"/>
            <w:noWrap w:val="false"/>
          </w:tcPr>
          <w:p>
            <w:pPr>
              <w:pStyle w:val="1151"/>
              <w:jc w:val="center"/>
              <w:widowControl/>
            </w:pPr>
            <w:r>
              <w:t xml:space="preserve">厂商代码</w:t>
            </w:r>
            <w:r/>
          </w:p>
        </w:tc>
        <w:tc>
          <w:tcPr>
            <w:tcW w:w="1420" w:type="dxa"/>
            <w:vAlign w:val="center"/>
            <w:textDirection w:val="lrTb"/>
            <w:noWrap w:val="false"/>
          </w:tcPr>
          <w:p>
            <w:pPr>
              <w:pStyle w:val="1151"/>
              <w:jc w:val="center"/>
              <w:widowControl/>
            </w:pPr>
            <w:r>
              <w:t xml:space="preserve">生产批号</w:t>
            </w:r>
            <w:r/>
          </w:p>
        </w:tc>
        <w:tc>
          <w:tcPr>
            <w:tcW w:w="1420" w:type="dxa"/>
            <w:vAlign w:val="center"/>
            <w:textDirection w:val="lrTb"/>
            <w:noWrap w:val="false"/>
          </w:tcPr>
          <w:p>
            <w:pPr>
              <w:pStyle w:val="1151"/>
              <w:jc w:val="center"/>
              <w:widowControl/>
            </w:pPr>
            <w:r>
              <w:t xml:space="preserve">生产日期</w:t>
            </w:r>
            <w:r/>
          </w:p>
        </w:tc>
        <w:tc>
          <w:tcPr>
            <w:tcW w:w="1420" w:type="dxa"/>
            <w:vAlign w:val="center"/>
            <w:textDirection w:val="lrTb"/>
            <w:noWrap w:val="false"/>
          </w:tcPr>
          <w:p>
            <w:pPr>
              <w:pStyle w:val="1151"/>
              <w:jc w:val="center"/>
              <w:widowControl/>
            </w:pPr>
            <w:r>
              <w:t xml:space="preserve">生产流水</w:t>
            </w:r>
            <w:r/>
          </w:p>
        </w:tc>
      </w:tr>
      <w:tr>
        <w:trPr>
          <w:cantSplit/>
        </w:trPr>
        <w:tc>
          <w:tcPr>
            <w:tcW w:w="1420" w:type="dxa"/>
            <w:vAlign w:val="center"/>
            <w:textDirection w:val="lrTb"/>
            <w:noWrap w:val="false"/>
          </w:tcPr>
          <w:p>
            <w:pPr>
              <w:pStyle w:val="1151"/>
              <w:jc w:val="center"/>
              <w:widowControl/>
            </w:pPr>
            <w:r>
              <w:t xml:space="preserve">位数（位）</w:t>
            </w:r>
            <w:r/>
          </w:p>
        </w:tc>
        <w:tc>
          <w:tcPr>
            <w:tcW w:w="1420" w:type="dxa"/>
            <w:vAlign w:val="center"/>
            <w:textDirection w:val="lrTb"/>
            <w:noWrap w:val="false"/>
          </w:tcPr>
          <w:p>
            <w:pPr>
              <w:pStyle w:val="1151"/>
              <w:jc w:val="center"/>
              <w:widowControl/>
            </w:pPr>
            <w:r>
              <w:t xml:space="preserve">3</w:t>
            </w:r>
            <w:r/>
          </w:p>
        </w:tc>
        <w:tc>
          <w:tcPr>
            <w:tcW w:w="1420" w:type="dxa"/>
            <w:vAlign w:val="center"/>
            <w:textDirection w:val="lrTb"/>
            <w:noWrap w:val="false"/>
          </w:tcPr>
          <w:p>
            <w:pPr>
              <w:pStyle w:val="1151"/>
              <w:jc w:val="center"/>
              <w:widowControl/>
            </w:pPr>
            <w:r>
              <w:t xml:space="preserve">6</w:t>
            </w:r>
            <w:r/>
          </w:p>
        </w:tc>
        <w:tc>
          <w:tcPr>
            <w:tcW w:w="1420" w:type="dxa"/>
            <w:vAlign w:val="center"/>
            <w:textDirection w:val="lrTb"/>
            <w:noWrap w:val="false"/>
          </w:tcPr>
          <w:p>
            <w:pPr>
              <w:pStyle w:val="1151"/>
              <w:jc w:val="center"/>
              <w:widowControl/>
            </w:pPr>
            <w:r>
              <w:t xml:space="preserve">3</w:t>
            </w:r>
            <w:r/>
          </w:p>
        </w:tc>
        <w:tc>
          <w:tcPr>
            <w:tcW w:w="1420" w:type="dxa"/>
            <w:vAlign w:val="center"/>
            <w:textDirection w:val="lrTb"/>
            <w:noWrap w:val="false"/>
          </w:tcPr>
          <w:p>
            <w:pPr>
              <w:pStyle w:val="1151"/>
              <w:jc w:val="center"/>
              <w:widowControl/>
            </w:pPr>
            <w:r>
              <w:t xml:space="preserve">8</w:t>
            </w:r>
            <w:r/>
          </w:p>
        </w:tc>
        <w:tc>
          <w:tcPr>
            <w:tcW w:w="1420" w:type="dxa"/>
            <w:vAlign w:val="center"/>
            <w:textDirection w:val="lrTb"/>
            <w:noWrap w:val="false"/>
          </w:tcPr>
          <w:p>
            <w:pPr>
              <w:pStyle w:val="1151"/>
              <w:jc w:val="center"/>
              <w:widowControl/>
            </w:pPr>
            <w:r>
              <w:t xml:space="preserve">4</w:t>
            </w:r>
            <w:r/>
          </w:p>
        </w:tc>
      </w:tr>
    </w:tbl>
    <w:p>
      <w:pPr>
        <w:pStyle w:val="1151"/>
        <w:ind w:firstLine="420"/>
        <w:jc w:val="left"/>
        <w:widowControl/>
      </w:pPr>
      <w:r>
        <w:t xml:space="preserve">配电终端ID号的第1～3位代表终端类型；第4～9位代表终端厂商代码，其中第4～7位统一由国家电网公司进行分配（未分配的以XXXX代替），第8～9位由厂商自定义；后15位由数字组成，第10～12位代表生产批号；第13～20位代表生产日期，第21～24代表生产流水。</w:t>
      </w:r>
      <w:r/>
    </w:p>
    <w:p>
      <w:pPr>
        <w:pStyle w:val="1151"/>
        <w:jc w:val="left"/>
        <w:widowControl/>
      </w:pPr>
      <w:r>
        <w:t xml:space="preserve">例如，终端ID号：D30XXXXXX120201307081009 表示生产日期为2013年7月8日的“</w:t>
      </w:r>
      <w:r>
        <w:rPr>
          <w:rFonts w:hint="eastAsia"/>
        </w:rPr>
        <w:t xml:space="preserve">三</w:t>
      </w:r>
      <w:r>
        <w:t xml:space="preserve">遥”型DTU终端。</w:t>
      </w:r>
      <w:r/>
    </w:p>
    <w:p>
      <w:pPr>
        <w:pStyle w:val="1151"/>
        <w:numPr>
          <w:ilvl w:val="0"/>
          <w:numId w:val="73"/>
        </w:numPr>
        <w:spacing w:line="312" w:lineRule="exact"/>
        <w:rPr>
          <w:rFonts w:ascii="宋体" w:hAnsi="宋体"/>
        </w:rPr>
      </w:pPr>
      <w:r>
        <w:rPr>
          <w:rFonts w:ascii="宋体" w:hAnsi="宋体"/>
        </w:rPr>
        <w:t xml:space="preserve">硬件版本号标识代码</w:t>
      </w:r>
      <w:r>
        <w:rPr>
          <w:rFonts w:ascii="宋体" w:hAnsi="宋体"/>
        </w:rPr>
      </w:r>
      <w:r/>
    </w:p>
    <w:p>
      <w:pPr>
        <w:pStyle w:val="1151"/>
        <w:ind w:left="704"/>
        <w:spacing w:line="312" w:lineRule="exact"/>
        <w:rPr>
          <w:rFonts w:ascii="宋体" w:hAnsi="宋体"/>
        </w:rPr>
      </w:pPr>
      <w:r>
        <w:t xml:space="preserve">配电终端的硬件版本号由6位英文字母和数字组成，其结构由2部分组成，见表E-</w:t>
      </w:r>
      <w:r>
        <w:rPr>
          <w:rFonts w:hint="eastAsia"/>
        </w:rPr>
        <w:t xml:space="preserve">3</w:t>
      </w:r>
      <w:r>
        <w:t xml:space="preserve">。</w:t>
      </w:r>
      <w:r>
        <w:rPr>
          <w:rFonts w:ascii="宋体" w:hAnsi="宋体"/>
        </w:rPr>
      </w:r>
      <w:r/>
    </w:p>
    <w:p>
      <w:pPr>
        <w:pStyle w:val="1151"/>
        <w:jc w:val="center"/>
        <w:widowControl/>
      </w:pPr>
      <w:r>
        <w:t xml:space="preserve">表E-</w:t>
      </w:r>
      <w:r>
        <w:rPr>
          <w:rFonts w:hint="eastAsia"/>
        </w:rPr>
        <w:t xml:space="preserve">3</w:t>
      </w:r>
      <w:r>
        <w:rPr>
          <w:bCs/>
        </w:rPr>
        <w:t xml:space="preserve">代码结构及位数</w:t>
      </w:r>
      <w:r/>
    </w:p>
    <w:tbl>
      <w:tblPr>
        <w:tblW w:w="47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1476"/>
        <w:gridCol w:w="1656"/>
      </w:tblGrid>
      <w:tr>
        <w:trPr>
          <w:cantSplit/>
        </w:trPr>
        <w:tc>
          <w:tcPr>
            <w:tcW w:w="1656" w:type="dxa"/>
            <w:vAlign w:val="center"/>
            <w:textDirection w:val="lrTb"/>
            <w:noWrap w:val="false"/>
          </w:tcPr>
          <w:p>
            <w:pPr>
              <w:pStyle w:val="1151"/>
              <w:jc w:val="center"/>
              <w:widowControl/>
              <w:rPr>
                <w:bCs/>
              </w:rPr>
            </w:pPr>
            <w:r>
              <w:rPr>
                <w:bCs/>
              </w:rPr>
              <w:t xml:space="preserve">序号</w:t>
            </w:r>
            <w:r>
              <w:rPr>
                <w:bCs/>
              </w:rPr>
            </w:r>
            <w:r/>
          </w:p>
        </w:tc>
        <w:tc>
          <w:tcPr>
            <w:tcW w:w="1476" w:type="dxa"/>
            <w:vAlign w:val="center"/>
            <w:textDirection w:val="lrTb"/>
            <w:noWrap w:val="false"/>
          </w:tcPr>
          <w:p>
            <w:pPr>
              <w:pStyle w:val="1151"/>
              <w:jc w:val="center"/>
              <w:widowControl/>
              <w:rPr>
                <w:bCs/>
              </w:rPr>
            </w:pPr>
            <w:r>
              <w:rPr>
                <w:bCs/>
              </w:rPr>
              <w:t xml:space="preserve">1</w:t>
            </w:r>
            <w:r>
              <w:rPr>
                <w:bCs/>
              </w:rPr>
            </w:r>
            <w:r/>
          </w:p>
        </w:tc>
        <w:tc>
          <w:tcPr>
            <w:tcW w:w="1656" w:type="dxa"/>
            <w:vAlign w:val="center"/>
            <w:textDirection w:val="lrTb"/>
            <w:noWrap w:val="false"/>
          </w:tcPr>
          <w:p>
            <w:pPr>
              <w:pStyle w:val="1151"/>
              <w:jc w:val="center"/>
              <w:widowControl/>
              <w:rPr>
                <w:bCs/>
              </w:rPr>
            </w:pPr>
            <w:r>
              <w:rPr>
                <w:bCs/>
              </w:rPr>
              <w:t xml:space="preserve">2</w:t>
            </w:r>
            <w:r>
              <w:rPr>
                <w:bCs/>
              </w:rPr>
            </w:r>
            <w:r/>
          </w:p>
        </w:tc>
      </w:tr>
      <w:tr>
        <w:trPr>
          <w:cantSplit/>
        </w:trPr>
        <w:tc>
          <w:tcPr>
            <w:tcW w:w="1656" w:type="dxa"/>
            <w:vAlign w:val="center"/>
            <w:textDirection w:val="lrTb"/>
            <w:noWrap w:val="false"/>
          </w:tcPr>
          <w:p>
            <w:pPr>
              <w:pStyle w:val="1151"/>
              <w:jc w:val="center"/>
              <w:widowControl/>
              <w:rPr>
                <w:bCs/>
              </w:rPr>
            </w:pPr>
            <w:r>
              <w:rPr>
                <w:bCs/>
              </w:rPr>
              <w:t xml:space="preserve">代码名称</w:t>
            </w:r>
            <w:r>
              <w:rPr>
                <w:bCs/>
              </w:rPr>
            </w:r>
            <w:r/>
          </w:p>
        </w:tc>
        <w:tc>
          <w:tcPr>
            <w:tcW w:w="1476" w:type="dxa"/>
            <w:vAlign w:val="center"/>
            <w:textDirection w:val="lrTb"/>
            <w:noWrap w:val="false"/>
          </w:tcPr>
          <w:p>
            <w:pPr>
              <w:pStyle w:val="1151"/>
              <w:jc w:val="center"/>
              <w:widowControl/>
              <w:rPr>
                <w:bCs/>
              </w:rPr>
            </w:pPr>
            <w:r>
              <w:rPr>
                <w:bCs/>
              </w:rPr>
              <w:t xml:space="preserve">版本类型</w:t>
            </w:r>
            <w:r>
              <w:rPr>
                <w:bCs/>
              </w:rPr>
            </w:r>
            <w:r/>
          </w:p>
        </w:tc>
        <w:tc>
          <w:tcPr>
            <w:tcW w:w="1656" w:type="dxa"/>
            <w:vAlign w:val="center"/>
            <w:textDirection w:val="lrTb"/>
            <w:noWrap w:val="false"/>
          </w:tcPr>
          <w:p>
            <w:pPr>
              <w:pStyle w:val="1151"/>
              <w:jc w:val="center"/>
              <w:widowControl/>
              <w:rPr>
                <w:bCs/>
              </w:rPr>
            </w:pPr>
            <w:r>
              <w:rPr>
                <w:bCs/>
              </w:rPr>
              <w:t xml:space="preserve">硬件版本号</w:t>
            </w:r>
            <w:r>
              <w:rPr>
                <w:bCs/>
              </w:rPr>
            </w:r>
            <w:r/>
          </w:p>
        </w:tc>
      </w:tr>
      <w:tr>
        <w:trPr>
          <w:cantSplit/>
        </w:trPr>
        <w:tc>
          <w:tcPr>
            <w:tcW w:w="1656" w:type="dxa"/>
            <w:vAlign w:val="center"/>
            <w:textDirection w:val="lrTb"/>
            <w:noWrap w:val="false"/>
          </w:tcPr>
          <w:p>
            <w:pPr>
              <w:pStyle w:val="1151"/>
              <w:jc w:val="center"/>
              <w:widowControl/>
              <w:rPr>
                <w:bCs/>
              </w:rPr>
            </w:pPr>
            <w:r>
              <w:rPr>
                <w:bCs/>
              </w:rPr>
              <w:t xml:space="preserve">位数（位）</w:t>
            </w:r>
            <w:r>
              <w:rPr>
                <w:bCs/>
              </w:rPr>
            </w:r>
            <w:r/>
          </w:p>
        </w:tc>
        <w:tc>
          <w:tcPr>
            <w:tcW w:w="1476" w:type="dxa"/>
            <w:vAlign w:val="center"/>
            <w:textDirection w:val="lrTb"/>
            <w:noWrap w:val="false"/>
          </w:tcPr>
          <w:p>
            <w:pPr>
              <w:pStyle w:val="1151"/>
              <w:jc w:val="center"/>
              <w:widowControl/>
              <w:rPr>
                <w:bCs/>
              </w:rPr>
            </w:pPr>
            <w:r>
              <w:rPr>
                <w:bCs/>
              </w:rPr>
              <w:t xml:space="preserve">2</w:t>
            </w:r>
            <w:r>
              <w:rPr>
                <w:bCs/>
              </w:rPr>
            </w:r>
            <w:r/>
          </w:p>
        </w:tc>
        <w:tc>
          <w:tcPr>
            <w:tcW w:w="1656" w:type="dxa"/>
            <w:vAlign w:val="center"/>
            <w:textDirection w:val="lrTb"/>
            <w:noWrap w:val="false"/>
          </w:tcPr>
          <w:p>
            <w:pPr>
              <w:pStyle w:val="1151"/>
              <w:jc w:val="center"/>
              <w:widowControl/>
              <w:rPr>
                <w:bCs/>
              </w:rPr>
            </w:pPr>
            <w:r>
              <w:rPr>
                <w:bCs/>
              </w:rPr>
              <w:t xml:space="preserve">4</w:t>
            </w:r>
            <w:r>
              <w:rPr>
                <w:bCs/>
              </w:rPr>
            </w:r>
            <w:r/>
          </w:p>
        </w:tc>
      </w:tr>
    </w:tbl>
    <w:p>
      <w:pPr>
        <w:pStyle w:val="1151"/>
        <w:ind w:firstLine="420"/>
        <w:jc w:val="left"/>
        <w:widowControl/>
      </w:pPr>
      <w:r>
        <w:t xml:space="preserve">终端硬件版本号的第1～2位为英文字母HV，代表硬件版本；第3～6位为硬件版本号，具体定义方式由厂商自定义，第4位和第5位中间加点间隔，其标识方式见图E</w:t>
      </w:r>
      <w:r>
        <w:rPr>
          <w:rFonts w:hint="eastAsia"/>
        </w:rPr>
        <w:t xml:space="preserve">-</w:t>
      </w:r>
      <w:r>
        <w:t xml:space="preserve">4。</w:t>
      </w:r>
      <w:r/>
    </w:p>
    <w:p>
      <w:pPr>
        <w:pStyle w:val="1151"/>
        <w:jc w:val="center"/>
        <w:widowControl/>
      </w:pPr>
      <w:r>
        <w:object w:dxaOrig="2668"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188.2pt;height:93.7pt;mso-wrap-distance-left:0.0pt;mso-wrap-distance-top:0.0pt;mso-wrap-distance-right:0.0pt;mso-wrap-distance-bottom:0.0pt;" filled="f" stroked="f">
            <v:path textboxrect="0,0,0,0"/>
            <v:imagedata r:id="rId152" o:title=""/>
          </v:shape>
          <o:OLEObject DrawAspect="Content" r:id="rId153" ObjectID="_152504144" ProgID="" ShapeID="_x0000_i144" Type="Embed"/>
        </w:object>
      </w:r>
      <w:r/>
    </w:p>
    <w:p>
      <w:pPr>
        <w:pStyle w:val="1151"/>
        <w:jc w:val="center"/>
        <w:widowControl/>
      </w:pPr>
      <w:r>
        <w:rPr>
          <w:bCs/>
        </w:rPr>
        <w:t xml:space="preserve">图E</w:t>
      </w:r>
      <w:r>
        <w:rPr>
          <w:rFonts w:hint="eastAsia"/>
          <w:bCs/>
        </w:rPr>
        <w:t xml:space="preserve">-4</w:t>
      </w:r>
      <w:r>
        <w:rPr>
          <w:bCs/>
        </w:rPr>
        <w:t xml:space="preserve">配电终端硬件版本号标识代码</w:t>
      </w:r>
      <w:r/>
    </w:p>
    <w:p>
      <w:pPr>
        <w:pStyle w:val="1151"/>
        <w:ind w:firstLine="420"/>
        <w:jc w:val="left"/>
        <w:widowControl/>
      </w:pPr>
      <w:r>
        <w:t xml:space="preserve">例如，配电终端硬件版本号： HV22.02 表示硬件版本号为22.02。</w:t>
      </w:r>
      <w:r/>
    </w:p>
    <w:p>
      <w:pPr>
        <w:pStyle w:val="1151"/>
        <w:ind w:firstLine="420"/>
        <w:jc w:val="left"/>
        <w:widowControl/>
      </w:pPr>
      <w:r/>
      <w:r/>
    </w:p>
    <w:p>
      <w:pPr>
        <w:pStyle w:val="1151"/>
        <w:jc w:val="left"/>
        <w:widowControl/>
        <w:rPr>
          <w:rFonts w:ascii="黑体" w:hAnsi="黑体" w:eastAsia="黑体"/>
          <w:color w:val="000000"/>
        </w:rPr>
      </w:pPr>
      <w:r/>
      <w:bookmarkStart w:id="418" w:name="_Toc47551485"/>
      <w:r>
        <w:rPr>
          <w:rFonts w:ascii="黑体" w:hAnsi="黑体" w:eastAsia="黑体"/>
          <w:color w:val="000000"/>
        </w:rPr>
        <w:br w:type="page" w:clear="all"/>
      </w:r>
      <w:r>
        <w:rPr>
          <w:rFonts w:ascii="黑体" w:hAnsi="黑体" w:eastAsia="黑体"/>
          <w:color w:val="000000"/>
        </w:rPr>
      </w:r>
      <w:r/>
    </w:p>
    <w:p>
      <w:pPr>
        <w:pStyle w:val="1245"/>
        <w:rPr>
          <w:rFonts w:ascii="黑体" w:hAnsi="黑体" w:eastAsia="黑体"/>
          <w:color w:val="000000"/>
        </w:rPr>
        <w:outlineLvl w:val="0"/>
      </w:pPr>
      <w:r/>
      <w:bookmarkStart w:id="419" w:name="_Toc3722"/>
      <w:r/>
      <w:bookmarkStart w:id="420" w:name="_Toc29425"/>
      <w:r/>
      <w:bookmarkStart w:id="421" w:name="_Toc55057892"/>
      <w:r/>
      <w:bookmarkStart w:id="422" w:name="_Toc23498"/>
      <w:r>
        <w:rPr>
          <w:rFonts w:hint="eastAsia" w:ascii="黑体" w:hAnsi="黑体" w:eastAsia="黑体"/>
          <w:color w:val="000000"/>
        </w:rPr>
        <w:t xml:space="preserve">附录</w:t>
      </w:r>
      <w:r>
        <w:rPr>
          <w:rFonts w:ascii="黑体" w:hAnsi="黑体" w:eastAsia="黑体"/>
          <w:color w:val="000000"/>
        </w:rPr>
        <w:t xml:space="preserve">F </w:t>
      </w:r>
      <w:r>
        <w:rPr>
          <w:rFonts w:hint="eastAsia" w:ascii="黑体" w:hAnsi="黑体" w:eastAsia="黑体"/>
          <w:color w:val="000000"/>
        </w:rPr>
        <w:t xml:space="preserve">电源模块要求</w:t>
      </w:r>
      <w:r>
        <w:rPr>
          <w:rFonts w:ascii="黑体" w:hAnsi="黑体" w:eastAsia="黑体"/>
          <w:color w:val="000000"/>
        </w:rPr>
        <w:t xml:space="preserve">(规范性附录)</w:t>
      </w:r>
      <w:bookmarkEnd w:id="418"/>
      <w:r/>
      <w:bookmarkEnd w:id="419"/>
      <w:r/>
      <w:bookmarkEnd w:id="420"/>
      <w:r/>
      <w:bookmarkEnd w:id="421"/>
      <w:r/>
      <w:bookmarkEnd w:id="422"/>
      <w:r>
        <w:rPr>
          <w:rFonts w:ascii="黑体" w:hAnsi="黑体" w:eastAsia="黑体"/>
          <w:color w:val="000000"/>
        </w:rPr>
      </w:r>
      <w:r/>
    </w:p>
    <w:p>
      <w:pPr>
        <w:pStyle w:val="1151"/>
        <w:spacing w:line="312" w:lineRule="exact"/>
        <w:rPr>
          <w:rFonts w:ascii="黑体" w:hAnsi="黑体"/>
          <w:szCs w:val="21"/>
        </w:rPr>
        <w:outlineLvl w:val="1"/>
      </w:pPr>
      <w:r/>
      <w:bookmarkStart w:id="423" w:name="_Toc35713689"/>
      <w:r>
        <w:rPr>
          <w:rFonts w:ascii="黑体" w:hAnsi="黑体" w:eastAsia="黑体"/>
          <w:szCs w:val="21"/>
        </w:rPr>
        <w:t xml:space="preserve">F.1</w:t>
      </w:r>
      <w:r>
        <w:rPr>
          <w:rFonts w:hint="eastAsia" w:ascii="黑体" w:hAnsi="黑体" w:eastAsia="黑体"/>
          <w:szCs w:val="21"/>
        </w:rPr>
        <w:t xml:space="preserve">电源模块功能要求</w:t>
      </w:r>
      <w:bookmarkEnd w:id="423"/>
      <w:r>
        <w:rPr>
          <w:rFonts w:ascii="黑体" w:hAnsi="黑体"/>
          <w:szCs w:val="21"/>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整体电源模组包括电源管理功能、交流空气开关控制、直流空气开关控制、三孔交流插座</w:t>
      </w:r>
      <w:r>
        <w:rPr>
          <w:rStyle w:val="1246"/>
          <w:rFonts w:ascii="宋体" w:hAnsi="宋体" w:eastAsia="宋体"/>
        </w:rPr>
        <w:t xml:space="preserve">AC220V</w:t>
      </w:r>
      <w:r>
        <w:rPr>
          <w:rStyle w:val="1246"/>
          <w:rFonts w:hint="eastAsia" w:ascii="宋体" w:hAnsi="宋体" w:eastAsia="宋体"/>
        </w:rPr>
        <w:t xml:space="preserve">输出、状态指示、电池投退与电池活化起停的功能。</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三相输入，任意掉一相电源均能够正常工作，无缝切换至后备电源，后备电源放电至低压告警阈值，上报低压告警信号，若继续放电至欠压切除阈值，电源自动切除对外输出。在后备电源切除前，电源模组应保证设备可一直正常工作。</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需采用低功耗设计；</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操作电压与工作电压输出需相互隔离；</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输出工作电压需同时带载</w:t>
      </w:r>
      <w:r>
        <w:rPr>
          <w:rStyle w:val="1246"/>
          <w:rFonts w:ascii="宋体" w:hAnsi="宋体" w:eastAsia="宋体"/>
        </w:rPr>
        <w:t xml:space="preserve">1</w:t>
      </w:r>
      <w:r>
        <w:rPr>
          <w:rStyle w:val="1246"/>
          <w:rFonts w:hint="eastAsia" w:ascii="宋体" w:hAnsi="宋体" w:eastAsia="宋体"/>
        </w:rPr>
        <w:t xml:space="preserve">个</w:t>
      </w:r>
      <w:r>
        <w:rPr>
          <w:rStyle w:val="1246"/>
          <w:rFonts w:ascii="宋体" w:hAnsi="宋体" w:eastAsia="宋体"/>
        </w:rPr>
        <w:t xml:space="preserve">DTU</w:t>
      </w:r>
      <w:r>
        <w:rPr>
          <w:rStyle w:val="1246"/>
          <w:rFonts w:hint="eastAsia" w:ascii="宋体" w:hAnsi="宋体" w:eastAsia="宋体"/>
        </w:rPr>
        <w:t xml:space="preserve">核心单元和通讯模块；</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需具备输出短路保护功能；</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需具备后备铅酸电池充电过压保护和反接保护功能；</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铅酸电池充电须具备均充功能；电源模组需具备接收</w:t>
      </w:r>
      <w:r>
        <w:rPr>
          <w:rStyle w:val="1246"/>
          <w:rFonts w:ascii="宋体" w:hAnsi="宋体" w:eastAsia="宋体"/>
        </w:rPr>
        <w:t xml:space="preserve">DTU</w:t>
      </w:r>
      <w:r>
        <w:rPr>
          <w:rStyle w:val="1246"/>
          <w:rFonts w:hint="eastAsia" w:ascii="宋体" w:hAnsi="宋体" w:eastAsia="宋体"/>
        </w:rPr>
        <w:t xml:space="preserve">指令修改铅酸电池均浮充充电间隔时间功能，确保电池至少每天都有均充阶段。</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可通过通讯接收指令或电源默认主动活化间隔时间主动对电池进行活化，在兼顾系统用电安全和活化效果的前提下，活化深度应不小于电池实际容量的</w:t>
      </w:r>
      <w:r>
        <w:rPr>
          <w:rStyle w:val="1246"/>
          <w:rFonts w:ascii="宋体" w:hAnsi="宋体" w:eastAsia="宋体"/>
        </w:rPr>
        <w:t xml:space="preserve">30%</w:t>
      </w:r>
      <w:r>
        <w:rPr>
          <w:rStyle w:val="1246"/>
          <w:rFonts w:hint="eastAsia" w:ascii="宋体" w:hAnsi="宋体" w:eastAsia="宋体"/>
        </w:rPr>
        <w:t xml:space="preserve">；</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电源模组内部需预留一路与操作电源和工作电源均隔离的</w:t>
      </w:r>
      <w:r>
        <w:rPr>
          <w:rStyle w:val="1246"/>
          <w:rFonts w:ascii="宋体" w:hAnsi="宋体" w:eastAsia="宋体"/>
        </w:rPr>
        <w:t xml:space="preserve">20W</w:t>
      </w:r>
      <w:r>
        <w:rPr>
          <w:rStyle w:val="1246"/>
          <w:rFonts w:hint="eastAsia" w:ascii="宋体" w:hAnsi="宋体" w:eastAsia="宋体"/>
        </w:rPr>
        <w:t xml:space="preserve">通讯电源，以便于适应通讯设备如</w:t>
      </w:r>
      <w:r>
        <w:rPr>
          <w:rStyle w:val="1246"/>
          <w:rFonts w:ascii="宋体" w:hAnsi="宋体" w:eastAsia="宋体"/>
        </w:rPr>
        <w:t xml:space="preserve">DC24V</w:t>
      </w:r>
      <w:r>
        <w:rPr>
          <w:rStyle w:val="1246"/>
          <w:rFonts w:hint="eastAsia" w:ascii="宋体" w:hAnsi="宋体" w:eastAsia="宋体"/>
        </w:rPr>
        <w:t xml:space="preserve">正接地的工作方式的特殊需求，一般情况下无需增配。</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操作电源输出与工作电源输出需具备在铅酸电池故障时能正常带载能力；</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cs="宋体"/>
        </w:rPr>
        <w:t xml:space="preserve">电源模块应具备</w:t>
      </w:r>
      <w:r>
        <w:rPr>
          <w:rStyle w:val="1246"/>
          <w:rFonts w:hint="eastAsia" w:ascii="宋体" w:hAnsi="宋体"/>
        </w:rPr>
        <w:t xml:space="preserve">在后备电源失效，三相断电后200ms内，操作电压能够支持两路开关</w:t>
      </w:r>
      <w:r>
        <w:rPr>
          <w:rStyle w:val="1246"/>
          <w:rFonts w:hint="eastAsia" w:ascii="宋体" w:hAnsi="宋体" w:cs="宋体"/>
        </w:rPr>
        <w:t xml:space="preserve">同时保护分闸动作一次。</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rPr>
        <w:t xml:space="preserve">具备直流电源绝缘监测功能；</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电源模组具备</w:t>
      </w:r>
      <w:r>
        <w:rPr>
          <w:rStyle w:val="1246"/>
          <w:rFonts w:ascii="宋体" w:hAnsi="宋体" w:eastAsia="宋体"/>
        </w:rPr>
        <w:t xml:space="preserve">485</w:t>
      </w:r>
      <w:r>
        <w:rPr>
          <w:rStyle w:val="1246"/>
          <w:rFonts w:hint="eastAsia" w:ascii="宋体" w:hAnsi="宋体" w:eastAsia="宋体"/>
        </w:rPr>
        <w:t xml:space="preserve">口与</w:t>
      </w:r>
      <w:r>
        <w:rPr>
          <w:rStyle w:val="1246"/>
          <w:rFonts w:ascii="宋体" w:hAnsi="宋体" w:eastAsia="宋体"/>
        </w:rPr>
        <w:t xml:space="preserve">DTU</w:t>
      </w:r>
      <w:r>
        <w:rPr>
          <w:rStyle w:val="1246"/>
          <w:rFonts w:hint="eastAsia" w:ascii="宋体" w:hAnsi="宋体" w:eastAsia="宋体"/>
        </w:rPr>
        <w:t xml:space="preserve">核心单元通讯，实现对后备铅酸电池相关信息及状态的遥测、遥信、遥控；模块上传以下信息：蓄电池电压、交流掉电信号、电池活化状态信号、电池欠压告警信号、电池电压切除告警信号、绝缘不良告警信号和主动活化最大放电时长、主动活化当前放电时长。模块接受指令完成远程控制活化启动、远程控制活化停止和远程电池放电停止三项操作。</w:t>
      </w:r>
      <w:r>
        <w:rPr>
          <w:rStyle w:val="1246"/>
          <w:rFonts w:ascii="宋体" w:hAnsi="宋体" w:eastAsia="宋体"/>
        </w:rPr>
      </w:r>
      <w:r/>
    </w:p>
    <w:p>
      <w:pPr>
        <w:pStyle w:val="1151"/>
        <w:spacing w:line="312" w:lineRule="exact"/>
        <w:rPr>
          <w:rFonts w:ascii="宋体" w:hAnsi="宋体" w:eastAsia="宋体"/>
          <w:szCs w:val="21"/>
        </w:rPr>
        <w:outlineLvl w:val="1"/>
      </w:pPr>
      <w:r/>
      <w:bookmarkStart w:id="424" w:name="_Toc35713690"/>
      <w:r>
        <w:rPr>
          <w:rFonts w:ascii="宋体" w:hAnsi="宋体" w:eastAsia="宋体"/>
          <w:szCs w:val="21"/>
        </w:rPr>
        <w:t xml:space="preserve">F.2</w:t>
      </w:r>
      <w:r>
        <w:rPr>
          <w:rFonts w:hint="eastAsia" w:ascii="宋体" w:hAnsi="宋体" w:eastAsia="宋体"/>
          <w:szCs w:val="21"/>
        </w:rPr>
        <w:t xml:space="preserve">电源模块性能要求</w:t>
      </w:r>
      <w:bookmarkEnd w:id="424"/>
      <w:r>
        <w:rPr>
          <w:rFonts w:ascii="宋体" w:hAnsi="宋体" w:eastAsia="宋体"/>
          <w:szCs w:val="21"/>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电源模块适用于三相输入，额定电压：</w:t>
      </w:r>
      <w:r>
        <w:rPr>
          <w:rStyle w:val="1246"/>
          <w:rFonts w:ascii="宋体" w:hAnsi="宋体" w:eastAsia="宋体"/>
        </w:rPr>
        <w:t xml:space="preserve">220 V/50Hz</w:t>
      </w:r>
      <w:r>
        <w:rPr>
          <w:rStyle w:val="1246"/>
          <w:rFonts w:hint="eastAsia" w:ascii="宋体" w:hAnsi="宋体" w:eastAsia="宋体"/>
        </w:rPr>
        <w:t xml:space="preserve">，电压允许偏差</w:t>
      </w:r>
      <w:r>
        <w:rPr>
          <w:rStyle w:val="1246"/>
          <w:rFonts w:ascii="宋体" w:hAnsi="宋体" w:eastAsia="宋体"/>
        </w:rPr>
        <w:t xml:space="preserve">-20%</w:t>
      </w:r>
      <w:r>
        <w:rPr>
          <w:rStyle w:val="1246"/>
          <w:rFonts w:hint="eastAsia" w:ascii="宋体" w:hAnsi="宋体" w:eastAsia="宋体"/>
        </w:rPr>
        <w:t xml:space="preserve">～</w:t>
      </w:r>
      <w:r>
        <w:rPr>
          <w:rStyle w:val="1246"/>
          <w:rFonts w:ascii="宋体" w:hAnsi="宋体" w:eastAsia="宋体"/>
        </w:rPr>
        <w:t xml:space="preserve">+20%</w:t>
      </w:r>
      <w:r>
        <w:rPr>
          <w:rStyle w:val="1246"/>
          <w:rFonts w:hint="eastAsia" w:ascii="宋体" w:hAnsi="宋体" w:eastAsia="宋体"/>
        </w:rPr>
        <w:t xml:space="preserve">，频率允许偏差为±</w:t>
      </w:r>
      <w:r>
        <w:rPr>
          <w:rStyle w:val="1246"/>
          <w:rFonts w:ascii="宋体" w:hAnsi="宋体" w:eastAsia="宋体"/>
        </w:rPr>
        <w:t xml:space="preserve">5%</w:t>
      </w:r>
      <w:r>
        <w:rPr>
          <w:rStyle w:val="1246"/>
          <w:rFonts w:hint="eastAsia" w:ascii="宋体" w:hAnsi="宋体" w:eastAsia="宋体"/>
        </w:rPr>
        <w:t xml:space="preserve">。</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工作环境温度范围：</w:t>
      </w:r>
      <w:r>
        <w:rPr>
          <w:rStyle w:val="1246"/>
          <w:rFonts w:ascii="宋体" w:hAnsi="宋体" w:eastAsia="宋体"/>
        </w:rPr>
        <w:t xml:space="preserve">-40</w:t>
      </w:r>
      <w:r>
        <w:rPr>
          <w:rStyle w:val="1246"/>
          <w:rFonts w:hint="eastAsia" w:ascii="宋体" w:hAnsi="宋体" w:eastAsia="宋体"/>
        </w:rPr>
        <w:t xml:space="preserve">℃</w:t>
      </w:r>
      <w:r>
        <w:rPr>
          <w:rStyle w:val="1246"/>
          <w:rFonts w:ascii="宋体" w:hAnsi="宋体" w:eastAsia="宋体"/>
        </w:rPr>
        <w:t xml:space="preserve">~+70</w:t>
      </w:r>
      <w:r>
        <w:rPr>
          <w:rStyle w:val="1246"/>
          <w:rFonts w:hint="eastAsia" w:ascii="宋体" w:hAnsi="宋体" w:eastAsia="宋体"/>
        </w:rPr>
        <w:t xml:space="preserve">℃；外壳采用全密封封装，内部需作三防处理。</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电源模块的操作电压与工作电压输出之间隔离耐压</w:t>
      </w:r>
      <w:r>
        <w:rPr>
          <w:rStyle w:val="1246"/>
          <w:rFonts w:ascii="宋体" w:hAnsi="宋体" w:eastAsia="宋体"/>
        </w:rPr>
        <w:t xml:space="preserve">2500VAC</w:t>
      </w:r>
      <w:r>
        <w:rPr>
          <w:rStyle w:val="1246"/>
          <w:rFonts w:hint="eastAsia" w:ascii="宋体" w:hAnsi="宋体" w:eastAsia="宋体"/>
        </w:rPr>
        <w:t xml:space="preserve">，漏电流≤</w:t>
      </w:r>
      <w:r>
        <w:rPr>
          <w:rStyle w:val="1246"/>
          <w:rFonts w:ascii="宋体" w:hAnsi="宋体" w:eastAsia="宋体"/>
        </w:rPr>
        <w:t xml:space="preserve">5mA</w:t>
      </w:r>
      <w:r>
        <w:rPr>
          <w:rStyle w:val="1246"/>
          <w:rFonts w:hint="eastAsia" w:ascii="宋体" w:hAnsi="宋体" w:eastAsia="宋体"/>
        </w:rPr>
        <w:t xml:space="preserve">；</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工作电压输出</w:t>
      </w:r>
      <w:r>
        <w:rPr>
          <w:rStyle w:val="1246"/>
          <w:rFonts w:ascii="宋体" w:hAnsi="宋体" w:eastAsia="宋体"/>
        </w:rPr>
        <w:t xml:space="preserve">25.0~25.5V</w:t>
      </w:r>
      <w:r>
        <w:rPr>
          <w:rStyle w:val="1246"/>
          <w:rFonts w:hint="eastAsia" w:ascii="宋体" w:hAnsi="宋体" w:eastAsia="宋体"/>
        </w:rPr>
        <w:t xml:space="preserve">，额定电流4</w:t>
      </w:r>
      <w:r>
        <w:rPr>
          <w:rStyle w:val="1246"/>
          <w:rFonts w:ascii="宋体" w:hAnsi="宋体" w:eastAsia="宋体"/>
        </w:rPr>
        <w:t xml:space="preserve">A</w:t>
      </w:r>
      <w:r>
        <w:rPr>
          <w:rStyle w:val="1246"/>
          <w:rFonts w:hint="eastAsia" w:ascii="宋体" w:hAnsi="宋体" w:eastAsia="宋体"/>
        </w:rPr>
        <w:t xml:space="preserve">；</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操作电压输出</w:t>
      </w:r>
      <w:r>
        <w:rPr>
          <w:rStyle w:val="1246"/>
          <w:rFonts w:ascii="宋体" w:hAnsi="宋体" w:eastAsia="宋体"/>
        </w:rPr>
        <w:t xml:space="preserve">54.0~55.5V</w:t>
      </w:r>
      <w:r>
        <w:rPr>
          <w:rStyle w:val="1246"/>
          <w:rFonts w:hint="eastAsia" w:ascii="宋体" w:hAnsi="宋体" w:eastAsia="宋体"/>
        </w:rPr>
        <w:t xml:space="preserve">；在电池均充状态下输出为</w:t>
      </w:r>
      <w:r>
        <w:rPr>
          <w:rStyle w:val="1246"/>
          <w:rFonts w:ascii="宋体" w:hAnsi="宋体" w:eastAsia="宋体"/>
        </w:rPr>
        <w:t xml:space="preserve">56~57.6V</w:t>
      </w:r>
      <w:r>
        <w:rPr>
          <w:rStyle w:val="1246"/>
          <w:rFonts w:hint="eastAsia" w:ascii="宋体" w:hAnsi="宋体" w:eastAsia="宋体"/>
        </w:rPr>
        <w:t xml:space="preserve">，带载能力满足：10</w:t>
      </w:r>
      <w:r>
        <w:rPr>
          <w:rStyle w:val="1246"/>
          <w:rFonts w:ascii="宋体" w:hAnsi="宋体" w:eastAsia="宋体"/>
        </w:rPr>
        <w:t xml:space="preserve">A</w:t>
      </w:r>
      <w:r>
        <w:rPr>
          <w:rStyle w:val="1246"/>
          <w:rFonts w:hint="eastAsia" w:ascii="宋体" w:hAnsi="宋体" w:eastAsia="宋体"/>
        </w:rPr>
        <w:t xml:space="preserve">≥</w:t>
      </w:r>
      <w:r>
        <w:rPr>
          <w:rStyle w:val="1246"/>
          <w:rFonts w:ascii="宋体" w:hAnsi="宋体" w:eastAsia="宋体"/>
        </w:rPr>
        <w:t xml:space="preserve">15s</w:t>
      </w:r>
      <w:r>
        <w:rPr>
          <w:rStyle w:val="1246"/>
          <w:rFonts w:hint="eastAsia" w:ascii="宋体" w:hAnsi="宋体" w:eastAsia="宋体"/>
        </w:rPr>
        <w:t xml:space="preserve">、16</w:t>
      </w:r>
      <w:r>
        <w:rPr>
          <w:rStyle w:val="1246"/>
          <w:rFonts w:ascii="宋体" w:hAnsi="宋体" w:eastAsia="宋体"/>
        </w:rPr>
        <w:t xml:space="preserve">A</w:t>
      </w:r>
      <w:r>
        <w:rPr>
          <w:rStyle w:val="1246"/>
          <w:rFonts w:hint="eastAsia" w:ascii="宋体" w:hAnsi="宋体" w:eastAsia="宋体"/>
        </w:rPr>
        <w:t xml:space="preserve">≥2</w:t>
      </w:r>
      <w:r>
        <w:rPr>
          <w:rStyle w:val="1246"/>
          <w:rFonts w:ascii="宋体" w:hAnsi="宋体" w:eastAsia="宋体"/>
        </w:rPr>
        <w:t xml:space="preserve">00ms</w:t>
      </w:r>
      <w:r>
        <w:rPr>
          <w:rStyle w:val="1246"/>
          <w:rFonts w:hint="eastAsia" w:ascii="宋体" w:hAnsi="宋体" w:eastAsia="宋体"/>
        </w:rPr>
        <w:t xml:space="preserve">，</w:t>
      </w:r>
      <w:r>
        <w:rPr>
          <w:rFonts w:hint="eastAsia"/>
          <w:szCs w:val="21"/>
        </w:rPr>
        <w:t xml:space="preserve">在开关储能和分合闸过程中，应满足开关的操作电压要求，后备电源为电池时，电压波动范围应满足</w:t>
      </w:r>
      <w:r>
        <w:rPr>
          <w:szCs w:val="21"/>
        </w:rPr>
        <w:t xml:space="preserve">-10%~+15%</w:t>
      </w:r>
      <w:r>
        <w:rPr>
          <w:rStyle w:val="1246"/>
          <w:rFonts w:hint="eastAsia" w:ascii="宋体" w:hAnsi="宋体" w:eastAsia="宋体"/>
        </w:rPr>
        <w:t xml:space="preserve">；</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铅酸电池恒流浮充电压</w:t>
      </w:r>
      <w:r>
        <w:rPr>
          <w:rStyle w:val="1246"/>
          <w:rFonts w:ascii="宋体" w:hAnsi="宋体" w:eastAsia="宋体"/>
        </w:rPr>
        <w:t xml:space="preserve">54.0-55.5V</w:t>
      </w:r>
      <w:r>
        <w:rPr>
          <w:rStyle w:val="1246"/>
          <w:rFonts w:hint="eastAsia" w:ascii="宋体" w:hAnsi="宋体" w:eastAsia="宋体"/>
        </w:rPr>
        <w:t xml:space="preserve">，均充电压</w:t>
      </w:r>
      <w:r>
        <w:rPr>
          <w:rStyle w:val="1246"/>
          <w:rFonts w:ascii="宋体" w:hAnsi="宋体" w:eastAsia="宋体"/>
        </w:rPr>
        <w:t xml:space="preserve">56-57.6V</w:t>
      </w:r>
      <w:r>
        <w:rPr>
          <w:rStyle w:val="1246"/>
          <w:rFonts w:hint="eastAsia" w:ascii="宋体" w:hAnsi="宋体" w:eastAsia="宋体"/>
        </w:rPr>
        <w:t xml:space="preserve">；恒流充电电流</w:t>
      </w:r>
      <w:r>
        <w:rPr>
          <w:rStyle w:val="1246"/>
          <w:rFonts w:ascii="宋体" w:hAnsi="宋体" w:eastAsia="宋体"/>
        </w:rPr>
        <w:t xml:space="preserve">0.5-0.9A</w:t>
      </w:r>
      <w:r>
        <w:rPr>
          <w:rStyle w:val="1246"/>
          <w:rFonts w:hint="eastAsia" w:ascii="宋体" w:hAnsi="宋体" w:eastAsia="宋体"/>
        </w:rPr>
        <w:t xml:space="preserve">；</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主动活化默认间隔时间为</w:t>
      </w:r>
      <w:r>
        <w:rPr>
          <w:rStyle w:val="1246"/>
          <w:rFonts w:ascii="宋体" w:hAnsi="宋体" w:eastAsia="宋体"/>
        </w:rPr>
        <w:t xml:space="preserve">90</w:t>
      </w:r>
      <w:r>
        <w:rPr>
          <w:rStyle w:val="1246"/>
          <w:rFonts w:hint="eastAsia" w:ascii="宋体" w:hAnsi="宋体" w:eastAsia="宋体"/>
        </w:rPr>
        <w:t xml:space="preserve">天。</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电池容量低于</w:t>
      </w:r>
      <w:r>
        <w:rPr>
          <w:rStyle w:val="1246"/>
          <w:rFonts w:ascii="宋体" w:hAnsi="宋体" w:eastAsia="宋体"/>
        </w:rPr>
        <w:t xml:space="preserve">50%</w:t>
      </w:r>
      <w:r>
        <w:rPr>
          <w:rStyle w:val="1246"/>
          <w:rFonts w:hint="eastAsia" w:ascii="宋体" w:hAnsi="宋体" w:eastAsia="宋体"/>
        </w:rPr>
        <w:t xml:space="preserve">后电源模组通过</w:t>
      </w:r>
      <w:r>
        <w:rPr>
          <w:rStyle w:val="1246"/>
          <w:rFonts w:ascii="宋体" w:hAnsi="宋体" w:eastAsia="宋体"/>
        </w:rPr>
        <w:t xml:space="preserve">485</w:t>
      </w:r>
      <w:r>
        <w:rPr>
          <w:rStyle w:val="1246"/>
          <w:rFonts w:hint="eastAsia" w:ascii="宋体" w:hAnsi="宋体" w:eastAsia="宋体"/>
        </w:rPr>
        <w:t xml:space="preserve">通讯上传电池容量告警信号。</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整体电源模块交流输入空气开关为</w:t>
      </w:r>
      <w:r>
        <w:rPr>
          <w:rStyle w:val="1246"/>
          <w:rFonts w:ascii="宋体" w:hAnsi="宋体" w:eastAsia="宋体"/>
        </w:rPr>
        <w:t xml:space="preserve">3</w:t>
      </w:r>
      <w:r>
        <w:rPr>
          <w:rStyle w:val="1246"/>
          <w:rFonts w:hint="eastAsia" w:ascii="宋体" w:hAnsi="宋体" w:eastAsia="宋体"/>
        </w:rPr>
        <w:t xml:space="preserve">个</w:t>
      </w:r>
      <w:r>
        <w:rPr>
          <w:rStyle w:val="1246"/>
          <w:rFonts w:ascii="宋体" w:hAnsi="宋体" w:eastAsia="宋体"/>
        </w:rPr>
        <w:t xml:space="preserve">1P</w:t>
      </w:r>
      <w:r>
        <w:rPr>
          <w:rStyle w:val="1246"/>
          <w:rFonts w:hint="eastAsia" w:ascii="宋体" w:hAnsi="宋体" w:eastAsia="宋体"/>
        </w:rPr>
        <w:t xml:space="preserve">，额定电流</w:t>
      </w:r>
      <w:r>
        <w:rPr>
          <w:rStyle w:val="1246"/>
          <w:rFonts w:ascii="宋体" w:hAnsi="宋体" w:eastAsia="宋体"/>
        </w:rPr>
        <w:t xml:space="preserve">C6A</w:t>
      </w:r>
      <w:r>
        <w:rPr>
          <w:rStyle w:val="1246"/>
          <w:rFonts w:hint="eastAsia" w:ascii="宋体" w:hAnsi="宋体" w:eastAsia="宋体"/>
        </w:rPr>
        <w:t xml:space="preserve">；操作电源直流空气开关为</w:t>
      </w:r>
      <w:r>
        <w:rPr>
          <w:rStyle w:val="1246"/>
          <w:rFonts w:ascii="宋体" w:hAnsi="宋体" w:eastAsia="宋体"/>
        </w:rPr>
        <w:t xml:space="preserve">2P</w:t>
      </w:r>
      <w:r>
        <w:rPr>
          <w:rStyle w:val="1246"/>
          <w:rFonts w:hint="eastAsia" w:ascii="宋体" w:hAnsi="宋体" w:eastAsia="宋体"/>
        </w:rPr>
        <w:t xml:space="preserve">，额定电流</w:t>
      </w:r>
      <w:r>
        <w:rPr>
          <w:rStyle w:val="1246"/>
          <w:rFonts w:ascii="宋体" w:hAnsi="宋体" w:eastAsia="宋体"/>
        </w:rPr>
        <w:t xml:space="preserve">C</w:t>
      </w:r>
      <w:r>
        <w:rPr>
          <w:rStyle w:val="1246"/>
          <w:rFonts w:hint="eastAsia" w:ascii="宋体" w:hAnsi="宋体" w:eastAsia="宋体"/>
        </w:rPr>
        <w:t xml:space="preserve">16</w:t>
      </w:r>
      <w:r>
        <w:rPr>
          <w:rStyle w:val="1246"/>
          <w:rFonts w:ascii="宋体" w:hAnsi="宋体" w:eastAsia="宋体"/>
        </w:rPr>
        <w:t xml:space="preserve">A</w:t>
      </w:r>
      <w:r>
        <w:rPr>
          <w:rStyle w:val="1246"/>
          <w:rFonts w:hint="eastAsia" w:ascii="宋体" w:hAnsi="宋体" w:eastAsia="宋体"/>
        </w:rPr>
        <w:t xml:space="preserve">；工作电源直流空气开关为</w:t>
      </w:r>
      <w:r>
        <w:rPr>
          <w:rStyle w:val="1246"/>
          <w:rFonts w:ascii="宋体" w:hAnsi="宋体" w:eastAsia="宋体"/>
        </w:rPr>
        <w:t xml:space="preserve">2P</w:t>
      </w:r>
      <w:r>
        <w:rPr>
          <w:rStyle w:val="1246"/>
          <w:rFonts w:hint="eastAsia" w:ascii="宋体" w:hAnsi="宋体" w:eastAsia="宋体"/>
        </w:rPr>
        <w:t xml:space="preserve">，额定电流</w:t>
      </w:r>
      <w:r>
        <w:rPr>
          <w:rStyle w:val="1246"/>
          <w:rFonts w:ascii="宋体" w:hAnsi="宋体" w:eastAsia="宋体"/>
          <w:color w:val="c00000"/>
        </w:rPr>
        <w:t xml:space="preserve">C4</w:t>
      </w:r>
      <w:r>
        <w:rPr>
          <w:rStyle w:val="1246"/>
          <w:rFonts w:ascii="宋体" w:hAnsi="宋体" w:eastAsia="宋体"/>
        </w:rPr>
        <w:t xml:space="preserve">A</w:t>
      </w:r>
      <w:r>
        <w:rPr>
          <w:rStyle w:val="1246"/>
          <w:rFonts w:hint="eastAsia" w:ascii="宋体" w:hAnsi="宋体" w:eastAsia="宋体"/>
        </w:rPr>
        <w:t xml:space="preserve">；通信电源直流空气开关为</w:t>
      </w:r>
      <w:r>
        <w:rPr>
          <w:rStyle w:val="1246"/>
          <w:rFonts w:ascii="宋体" w:hAnsi="宋体" w:eastAsia="宋体"/>
        </w:rPr>
        <w:t xml:space="preserve">2P</w:t>
      </w:r>
      <w:r>
        <w:rPr>
          <w:rStyle w:val="1246"/>
          <w:rFonts w:hint="eastAsia" w:ascii="宋体" w:hAnsi="宋体" w:eastAsia="宋体"/>
        </w:rPr>
        <w:t xml:space="preserve">，额定电流</w:t>
      </w:r>
      <w:r>
        <w:rPr>
          <w:rStyle w:val="1246"/>
          <w:rFonts w:ascii="宋体" w:hAnsi="宋体" w:eastAsia="宋体"/>
        </w:rPr>
        <w:t xml:space="preserve">C3A</w:t>
      </w:r>
      <w:r>
        <w:rPr>
          <w:rStyle w:val="1246"/>
          <w:rFonts w:hint="eastAsia" w:ascii="宋体" w:hAnsi="宋体" w:eastAsia="宋体"/>
        </w:rPr>
        <w:t xml:space="preserve">；机械寿命不少于</w:t>
      </w:r>
      <w:r>
        <w:rPr>
          <w:rStyle w:val="1246"/>
          <w:rFonts w:ascii="宋体" w:hAnsi="宋体" w:eastAsia="宋体"/>
        </w:rPr>
        <w:t xml:space="preserve">2000</w:t>
      </w:r>
      <w:r>
        <w:rPr>
          <w:rStyle w:val="1246"/>
          <w:rFonts w:hint="eastAsia" w:ascii="宋体" w:hAnsi="宋体" w:eastAsia="宋体"/>
        </w:rPr>
        <w:t xml:space="preserve">次。</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核心电源模块配备</w:t>
      </w:r>
      <w:r>
        <w:rPr>
          <w:rStyle w:val="1246"/>
          <w:rFonts w:ascii="宋体" w:hAnsi="宋体" w:eastAsia="宋体"/>
        </w:rPr>
        <w:t xml:space="preserve">5</w:t>
      </w:r>
      <w:r>
        <w:rPr>
          <w:rStyle w:val="1246"/>
          <w:rFonts w:hint="eastAsia" w:ascii="宋体" w:hAnsi="宋体" w:eastAsia="宋体"/>
        </w:rPr>
        <w:t xml:space="preserve">个指示灯（运行</w:t>
      </w:r>
      <w:r>
        <w:rPr>
          <w:rStyle w:val="1246"/>
          <w:rFonts w:ascii="宋体" w:hAnsi="宋体" w:eastAsia="宋体"/>
        </w:rPr>
        <w:t xml:space="preserve">/</w:t>
      </w:r>
      <w:r>
        <w:rPr>
          <w:rStyle w:val="1246"/>
          <w:rFonts w:hint="eastAsia" w:ascii="宋体" w:hAnsi="宋体" w:eastAsia="宋体"/>
        </w:rPr>
        <w:t xml:space="preserve">充电指示灯、放电指示灯、活化指示灯、欠压指示灯、电池故障指示灯）和</w:t>
      </w:r>
      <w:r>
        <w:rPr>
          <w:rStyle w:val="1246"/>
          <w:rFonts w:ascii="宋体" w:hAnsi="宋体" w:eastAsia="宋体"/>
        </w:rPr>
        <w:t xml:space="preserve">4</w:t>
      </w:r>
      <w:r>
        <w:rPr>
          <w:rStyle w:val="1246"/>
          <w:rFonts w:hint="eastAsia" w:ascii="宋体" w:hAnsi="宋体" w:eastAsia="宋体"/>
        </w:rPr>
        <w:t xml:space="preserve">个轻触按键（控制电池启动和停止、控制活化启动和停止）；</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保护性能：</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无论有无后备电源，发生操作电压或工作电压输出短路时电源模块均能正常保护；</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电池发生内部短路或电压低时，模块操作电压、工作电压和电池充电功能需不受影响；</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模块在电池反接后点亮电池故障指示灯，电源不损坏；</w:t>
      </w:r>
      <w:r>
        <w:rPr>
          <w:rStyle w:val="1246"/>
          <w:rFonts w:ascii="宋体" w:hAnsi="宋体" w:eastAsia="宋体"/>
        </w:rPr>
      </w:r>
      <w:r/>
    </w:p>
    <w:p>
      <w:pPr>
        <w:pStyle w:val="1245"/>
        <w:numPr>
          <w:ilvl w:val="0"/>
          <w:numId w:val="74"/>
        </w:numPr>
        <w:ind w:left="420" w:firstLine="0"/>
        <w:jc w:val="left"/>
        <w:spacing w:line="240" w:lineRule="auto"/>
        <w:rPr>
          <w:rStyle w:val="1246"/>
          <w:rFonts w:ascii="宋体" w:hAnsi="宋体" w:eastAsia="宋体"/>
        </w:rPr>
      </w:pPr>
      <w:r>
        <w:rPr>
          <w:rStyle w:val="1246"/>
          <w:rFonts w:hint="eastAsia" w:ascii="宋体" w:hAnsi="宋体" w:eastAsia="宋体"/>
        </w:rPr>
        <w:t xml:space="preserve">操作电压或工作电压均具有过载保护功能。</w:t>
      </w:r>
      <w:r>
        <w:rPr>
          <w:rStyle w:val="1246"/>
          <w:rFonts w:ascii="宋体" w:hAnsi="宋体" w:eastAsia="宋体"/>
        </w:rPr>
      </w:r>
      <w:r/>
    </w:p>
    <w:p>
      <w:pPr>
        <w:pStyle w:val="1151"/>
        <w:spacing w:line="312" w:lineRule="exact"/>
        <w:rPr>
          <w:rFonts w:ascii="黑体" w:hAnsi="黑体"/>
          <w:szCs w:val="21"/>
        </w:rPr>
        <w:outlineLvl w:val="1"/>
      </w:pPr>
      <w:r/>
      <w:bookmarkStart w:id="425" w:name="_Toc35713691"/>
      <w:r>
        <w:rPr>
          <w:rFonts w:ascii="黑体" w:hAnsi="黑体" w:eastAsia="黑体"/>
          <w:szCs w:val="21"/>
        </w:rPr>
        <w:t xml:space="preserve">F.3</w:t>
      </w:r>
      <w:r>
        <w:rPr>
          <w:rFonts w:hint="eastAsia" w:ascii="黑体" w:hAnsi="黑体" w:eastAsia="黑体"/>
          <w:szCs w:val="21"/>
        </w:rPr>
        <w:t xml:space="preserve">电源模块产品技术参数</w:t>
      </w:r>
      <w:bookmarkEnd w:id="425"/>
      <w:r>
        <w:rPr>
          <w:rFonts w:ascii="黑体" w:hAnsi="黑体"/>
          <w:szCs w:val="21"/>
        </w:rPr>
      </w:r>
      <w:r/>
    </w:p>
    <w:p>
      <w:pPr>
        <w:pStyle w:val="1201"/>
        <w:jc w:val="center"/>
        <w:tabs>
          <w:tab w:val="center" w:pos="4201" w:leader="none"/>
          <w:tab w:val="right" w:pos="9298" w:leader="dot"/>
        </w:tabs>
        <w:rPr>
          <w:rFonts w:ascii="黑体" w:hAnsi="黑体" w:eastAsia="黑体"/>
        </w:rPr>
      </w:pPr>
      <w:r>
        <w:rPr>
          <w:rFonts w:hint="eastAsia" w:ascii="黑体" w:hAnsi="黑体" w:eastAsia="黑体"/>
        </w:rPr>
        <w:t xml:space="preserve">表</w:t>
      </w:r>
      <w:r>
        <w:rPr>
          <w:rFonts w:ascii="黑体" w:hAnsi="黑体" w:eastAsia="黑体"/>
        </w:rPr>
        <w:t xml:space="preserve">F</w:t>
      </w:r>
      <w:r>
        <w:rPr>
          <w:rFonts w:hint="eastAsia" w:ascii="黑体" w:hAnsi="黑体" w:eastAsia="黑体"/>
        </w:rPr>
        <w:t xml:space="preserve">-1 电源模块技术参数</w:t>
      </w:r>
      <w:r>
        <w:rPr>
          <w:rFonts w:ascii="黑体" w:hAnsi="黑体" w:eastAsia="黑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5"/>
        <w:gridCol w:w="1673"/>
        <w:gridCol w:w="1673"/>
        <w:gridCol w:w="1037"/>
        <w:gridCol w:w="940"/>
        <w:gridCol w:w="940"/>
        <w:gridCol w:w="1066"/>
      </w:tblGrid>
      <w:tr>
        <w:trPr>
          <w:cantSplit/>
          <w:trHeight w:val="360"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技术参数</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测试条件</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最小</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典型</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最大</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单位</w:t>
            </w:r>
            <w:r>
              <w:rPr>
                <w:rFonts w:ascii="Times New Roman" w:eastAsia="新宋体"/>
                <w:szCs w:val="21"/>
              </w:rPr>
            </w:r>
            <w:r/>
          </w:p>
        </w:tc>
      </w:tr>
      <w:tr>
        <w:trPr>
          <w:cantSplit/>
          <w:trHeight w:val="360" w:hRule="exact"/>
          <w:tblHeader/>
        </w:trPr>
        <w:tc>
          <w:tcPr>
            <w:tcW w:w="2085" w:type="dxa"/>
            <w:vAlign w:val="center"/>
            <w:vMerge w:val="restart"/>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输入参数</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输入</w:t>
            </w:r>
            <w:r>
              <w:rPr>
                <w:rFonts w:hint="eastAsia" w:ascii="Times New Roman" w:eastAsia="新宋体"/>
                <w:szCs w:val="21"/>
              </w:rPr>
              <w:t xml:space="preserve">相</w:t>
            </w:r>
            <w:r>
              <w:rPr>
                <w:rFonts w:ascii="Times New Roman" w:eastAsia="新宋体"/>
                <w:szCs w:val="21"/>
              </w:rPr>
              <w:t xml:space="preserve">电压</w:t>
            </w:r>
            <w:r>
              <w:rPr>
                <w:rFonts w:hint="eastAsia" w:ascii="Times New Roman" w:eastAsia="新宋体"/>
                <w:szCs w:val="21"/>
              </w:rPr>
              <w:t xml:space="preserve">AN\BN\CN</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176</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220</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264</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Vac</w:t>
            </w:r>
            <w:r>
              <w:rPr>
                <w:rFonts w:ascii="Times New Roman" w:eastAsia="新宋体"/>
                <w:szCs w:val="21"/>
              </w:rPr>
            </w:r>
            <w:r/>
          </w:p>
        </w:tc>
      </w:tr>
      <w:tr>
        <w:trPr>
          <w:cantSplit/>
          <w:trHeight w:val="360" w:hRule="exact"/>
          <w:tblHeader/>
        </w:trPr>
        <w:tc>
          <w:tcPr>
            <w:tcW w:w="2085" w:type="dxa"/>
            <w:vAlign w:val="center"/>
            <w:vMerge w:val="continue"/>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输入频率</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45</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50</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65</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Hz</w:t>
            </w:r>
            <w:r>
              <w:rPr>
                <w:rFonts w:ascii="Times New Roman" w:eastAsia="新宋体"/>
                <w:szCs w:val="21"/>
              </w:rPr>
            </w:r>
            <w:r/>
          </w:p>
        </w:tc>
      </w:tr>
      <w:tr>
        <w:trPr>
          <w:cantSplit/>
          <w:trHeight w:val="360"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功率因数</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输出5～</w:t>
            </w:r>
            <w:r>
              <w:rPr>
                <w:rFonts w:hint="eastAsia" w:ascii="Times New Roman" w:eastAsia="新宋体"/>
                <w:szCs w:val="21"/>
              </w:rPr>
              <w:t xml:space="preserve">2</w:t>
            </w:r>
            <w:r>
              <w:rPr>
                <w:rFonts w:ascii="Times New Roman" w:eastAsia="新宋体"/>
                <w:szCs w:val="21"/>
              </w:rPr>
              <w:t xml:space="preserve">0瓦</w:t>
            </w:r>
            <w:r>
              <w:rPr>
                <w:rFonts w:ascii="Times New Roman" w:eastAsia="新宋体"/>
                <w:szCs w:val="21"/>
              </w:rPr>
            </w:r>
            <w:r/>
          </w:p>
        </w:tc>
        <w:tc>
          <w:tcPr>
            <w:gridSpan w:val="3"/>
            <w:tcW w:w="291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大于0.8</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r>
      <w:tr>
        <w:trPr>
          <w:cantSplit/>
          <w:trHeight w:val="124"/>
          <w:tblHeader/>
        </w:trPr>
        <w:tc>
          <w:tcPr>
            <w:tcW w:w="2085" w:type="dxa"/>
            <w:vAlign w:val="center"/>
            <w:vMerge w:val="restart"/>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CV</w:t>
            </w:r>
            <w:r>
              <w:rPr>
                <w:rFonts w:hint="eastAsia" w:ascii="Times New Roman" w:eastAsia="新宋体"/>
                <w:szCs w:val="21"/>
              </w:rPr>
              <w:t xml:space="preserve">（操作电压）</w:t>
            </w:r>
            <w:r>
              <w:rPr>
                <w:rFonts w:ascii="Times New Roman" w:eastAsia="新宋体"/>
                <w:szCs w:val="21"/>
              </w:rPr>
            </w:r>
            <w:r/>
          </w:p>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输出电压</w:t>
            </w:r>
            <w:r>
              <w:rPr>
                <w:rFonts w:ascii="Times New Roman" w:eastAsia="新宋体"/>
                <w:szCs w:val="21"/>
              </w:rPr>
            </w:r>
            <w:r/>
          </w:p>
        </w:tc>
        <w:tc>
          <w:tcPr>
            <w:tcW w:w="1673" w:type="dxa"/>
            <w:vAlign w:val="center"/>
            <w:vMerge w:val="restart"/>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Io=0～1A</w:t>
            </w:r>
            <w:r>
              <w:rPr>
                <w:rFonts w:ascii="Times New Roman" w:eastAsia="新宋体"/>
                <w:szCs w:val="21"/>
              </w:rPr>
            </w:r>
            <w:r/>
          </w:p>
        </w:tc>
        <w:tc>
          <w:tcPr>
            <w:tcW w:w="1673"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处于均充时</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5</w:t>
            </w:r>
            <w:r>
              <w:rPr>
                <w:rFonts w:hint="eastAsia" w:ascii="Times New Roman" w:eastAsia="新宋体"/>
                <w:szCs w:val="21"/>
              </w:rPr>
              <w:t xml:space="preserve">6</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5</w:t>
            </w:r>
            <w:r>
              <w:rPr>
                <w:rFonts w:hint="eastAsia" w:ascii="Times New Roman" w:eastAsia="新宋体"/>
                <w:szCs w:val="21"/>
              </w:rPr>
              <w:t xml:space="preserve">7.6</w:t>
            </w:r>
            <w:r>
              <w:rPr>
                <w:rFonts w:ascii="Times New Roman" w:eastAsia="新宋体"/>
                <w:szCs w:val="21"/>
              </w:rPr>
            </w:r>
            <w:r/>
          </w:p>
        </w:tc>
        <w:tc>
          <w:tcPr>
            <w:tcW w:w="1066" w:type="dxa"/>
            <w:vAlign w:val="center"/>
            <w:vMerge w:val="restart"/>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V</w:t>
            </w:r>
            <w:r>
              <w:rPr>
                <w:rFonts w:ascii="Times New Roman" w:eastAsia="新宋体"/>
                <w:szCs w:val="21"/>
              </w:rPr>
            </w:r>
            <w:r/>
          </w:p>
        </w:tc>
      </w:tr>
      <w:tr>
        <w:trPr>
          <w:cantSplit/>
          <w:trHeight w:val="327" w:hRule="exact"/>
          <w:tblHeader/>
        </w:trPr>
        <w:tc>
          <w:tcPr>
            <w:tcW w:w="2085" w:type="dxa"/>
            <w:vAlign w:val="center"/>
            <w:vMerge w:val="continue"/>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r>
            <w:r/>
          </w:p>
        </w:tc>
        <w:tc>
          <w:tcPr>
            <w:tcW w:w="1673" w:type="dxa"/>
            <w:vAlign w:val="center"/>
            <w:vMerge w:val="continue"/>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r>
            <w:r/>
          </w:p>
        </w:tc>
        <w:tc>
          <w:tcPr>
            <w:tcW w:w="1673"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其他时段</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54</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55.5</w:t>
            </w:r>
            <w:r>
              <w:rPr>
                <w:rFonts w:ascii="Times New Roman" w:eastAsia="新宋体"/>
                <w:szCs w:val="21"/>
              </w:rPr>
            </w:r>
            <w:r/>
          </w:p>
        </w:tc>
        <w:tc>
          <w:tcPr>
            <w:tcW w:w="1066" w:type="dxa"/>
            <w:vAlign w:val="center"/>
            <w:vMerge w:val="continue"/>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r>
            <w:r/>
          </w:p>
        </w:tc>
      </w:tr>
      <w:tr>
        <w:trPr>
          <w:cantSplit/>
          <w:trHeight w:val="360" w:hRule="exact"/>
          <w:tblHeader/>
        </w:trPr>
        <w:tc>
          <w:tcPr>
            <w:tcW w:w="2085" w:type="dxa"/>
            <w:vAlign w:val="center"/>
            <w:vMerge w:val="restart"/>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CV输出电流Io</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不含充电电流</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0</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1</w:t>
            </w:r>
            <w:r>
              <w:rPr>
                <w:rFonts w:ascii="Times New Roman" w:eastAsia="新宋体"/>
                <w:szCs w:val="21"/>
              </w:rPr>
              <w:t xml:space="preserve">.0</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A</w:t>
            </w:r>
            <w:r>
              <w:rPr>
                <w:rFonts w:ascii="Times New Roman" w:eastAsia="新宋体"/>
                <w:szCs w:val="21"/>
              </w:rPr>
            </w:r>
            <w:r/>
          </w:p>
        </w:tc>
      </w:tr>
      <w:tr>
        <w:trPr>
          <w:cantSplit/>
          <w:trHeight w:val="360" w:hRule="exact"/>
          <w:tblHeader/>
        </w:trPr>
        <w:tc>
          <w:tcPr>
            <w:tcW w:w="2085" w:type="dxa"/>
            <w:vAlign w:val="center"/>
            <w:vMerge w:val="continue"/>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冲击电流:</w:t>
            </w:r>
            <w:r>
              <w:rPr>
                <w:rFonts w:hint="eastAsia" w:ascii="Times New Roman" w:eastAsia="新宋体"/>
                <w:szCs w:val="21"/>
              </w:rPr>
              <w:t xml:space="preserve">10</w:t>
            </w:r>
            <w:r>
              <w:rPr>
                <w:rFonts w:ascii="Times New Roman" w:eastAsia="新宋体"/>
                <w:szCs w:val="21"/>
              </w:rPr>
              <w:t xml:space="preserve">A≤15S，</w:t>
            </w:r>
            <w:r>
              <w:rPr>
                <w:rFonts w:hint="eastAsia" w:ascii="Times New Roman" w:eastAsia="新宋体"/>
                <w:szCs w:val="21"/>
              </w:rPr>
              <w:t xml:space="preserve">16</w:t>
            </w:r>
            <w:r>
              <w:rPr>
                <w:rFonts w:ascii="Times New Roman" w:eastAsia="新宋体"/>
                <w:szCs w:val="21"/>
              </w:rPr>
              <w:t xml:space="preserve">A≤</w:t>
            </w:r>
            <w:r>
              <w:rPr>
                <w:rFonts w:hint="eastAsia" w:ascii="Times New Roman" w:eastAsia="新宋体"/>
                <w:szCs w:val="21"/>
              </w:rPr>
              <w:t xml:space="preserve">2</w:t>
            </w:r>
            <w:r>
              <w:rPr>
                <w:rFonts w:ascii="Times New Roman" w:eastAsia="新宋体"/>
                <w:szCs w:val="21"/>
              </w:rPr>
              <w:t xml:space="preserve">00</w:t>
            </w:r>
            <w:r>
              <w:rPr>
                <w:rFonts w:hint="eastAsia" w:ascii="Times New Roman" w:eastAsia="新宋体"/>
                <w:szCs w:val="21"/>
              </w:rPr>
              <w:t xml:space="preserve">ms</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10</w:t>
            </w:r>
            <w:r>
              <w:rPr>
                <w:rFonts w:ascii="Times New Roman" w:eastAsia="新宋体"/>
                <w:szCs w:val="21"/>
              </w:rPr>
              <w:t xml:space="preserve">.0</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16</w:t>
            </w:r>
            <w:r>
              <w:rPr>
                <w:rFonts w:ascii="Times New Roman" w:eastAsia="新宋体"/>
                <w:szCs w:val="21"/>
              </w:rPr>
              <w:t xml:space="preserve">.0</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A</w:t>
            </w:r>
            <w:r>
              <w:rPr>
                <w:rFonts w:ascii="Times New Roman" w:eastAsia="新宋体"/>
                <w:szCs w:val="21"/>
              </w:rPr>
            </w:r>
            <w:r/>
          </w:p>
        </w:tc>
      </w:tr>
      <w:tr>
        <w:trPr>
          <w:cantSplit/>
          <w:trHeight w:val="360"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CV纹波噪声</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DC～20MHz</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6</w:t>
            </w:r>
            <w:r>
              <w:rPr>
                <w:rFonts w:ascii="Times New Roman" w:eastAsia="新宋体"/>
                <w:szCs w:val="21"/>
              </w:rPr>
              <w:t xml:space="preserve">00</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mVp-p</w:t>
            </w:r>
            <w:r>
              <w:rPr>
                <w:rFonts w:ascii="Times New Roman" w:eastAsia="新宋体"/>
                <w:szCs w:val="21"/>
              </w:rPr>
            </w:r>
            <w:r/>
          </w:p>
        </w:tc>
      </w:tr>
      <w:tr>
        <w:trPr>
          <w:cantSplit/>
          <w:trHeight w:val="360"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CV电压调整率</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Io=</w:t>
            </w:r>
            <w:r>
              <w:rPr>
                <w:rFonts w:hint="eastAsia" w:ascii="Times New Roman" w:eastAsia="新宋体"/>
                <w:szCs w:val="21"/>
              </w:rPr>
              <w:t xml:space="preserve">1</w:t>
            </w:r>
            <w:r>
              <w:rPr>
                <w:rFonts w:ascii="Times New Roman" w:eastAsia="新宋体"/>
                <w:szCs w:val="21"/>
              </w:rPr>
              <w:t xml:space="preserve">A</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0.5</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r>
      <w:tr>
        <w:trPr>
          <w:cantSplit/>
          <w:trHeight w:val="360"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CV负载调整率</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Io=0～</w:t>
            </w:r>
            <w:r>
              <w:rPr>
                <w:rFonts w:hint="eastAsia" w:ascii="Times New Roman" w:eastAsia="新宋体"/>
                <w:szCs w:val="21"/>
              </w:rPr>
              <w:t xml:space="preserve">1</w:t>
            </w:r>
            <w:r>
              <w:rPr>
                <w:rFonts w:ascii="Times New Roman" w:eastAsia="新宋体"/>
                <w:szCs w:val="21"/>
              </w:rPr>
              <w:t xml:space="preserve">A</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1.0</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r>
      <w:tr>
        <w:trPr>
          <w:cantSplit/>
          <w:trHeight w:val="803"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GV</w:t>
            </w:r>
            <w:r>
              <w:rPr>
                <w:rFonts w:hint="eastAsia" w:ascii="Times New Roman" w:eastAsia="新宋体"/>
                <w:szCs w:val="21"/>
              </w:rPr>
              <w:t xml:space="preserve">（工作电压）</w:t>
            </w:r>
            <w:r>
              <w:rPr>
                <w:rFonts w:ascii="Times New Roman" w:eastAsia="新宋体"/>
                <w:szCs w:val="21"/>
              </w:rPr>
            </w:r>
            <w:r/>
          </w:p>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输出电压</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Io=0～</w:t>
            </w:r>
            <w:r>
              <w:rPr>
                <w:rFonts w:hint="eastAsia" w:ascii="Times New Roman" w:eastAsia="新宋体"/>
                <w:szCs w:val="21"/>
              </w:rPr>
              <w:t xml:space="preserve">4</w:t>
            </w:r>
            <w:r>
              <w:rPr>
                <w:rFonts w:ascii="Times New Roman" w:eastAsia="新宋体"/>
                <w:szCs w:val="21"/>
              </w:rPr>
              <w:t xml:space="preserve">A</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2</w:t>
            </w:r>
            <w:r>
              <w:rPr>
                <w:rFonts w:hint="eastAsia" w:ascii="Times New Roman" w:eastAsia="新宋体"/>
                <w:szCs w:val="21"/>
              </w:rPr>
              <w:t xml:space="preserve">5</w:t>
            </w:r>
            <w:r>
              <w:rPr>
                <w:rFonts w:ascii="Times New Roman" w:eastAsia="新宋体"/>
                <w:szCs w:val="21"/>
              </w:rPr>
              <w:t xml:space="preserve">.</w:t>
            </w:r>
            <w:r>
              <w:rPr>
                <w:rFonts w:hint="eastAsia" w:ascii="Times New Roman" w:eastAsia="新宋体"/>
                <w:szCs w:val="21"/>
              </w:rPr>
              <w:t xml:space="preserve">0</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25.5</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V</w:t>
            </w:r>
            <w:r>
              <w:rPr>
                <w:rFonts w:ascii="Times New Roman" w:eastAsia="新宋体"/>
                <w:szCs w:val="21"/>
              </w:rPr>
            </w:r>
            <w:r/>
          </w:p>
        </w:tc>
      </w:tr>
      <w:tr>
        <w:trPr>
          <w:cantSplit/>
          <w:trHeight w:val="360"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GV输出电流</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hint="eastAsia"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4</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A</w:t>
            </w:r>
            <w:r>
              <w:rPr>
                <w:rFonts w:ascii="Times New Roman" w:eastAsia="新宋体"/>
                <w:szCs w:val="21"/>
              </w:rPr>
            </w:r>
            <w:r/>
          </w:p>
        </w:tc>
      </w:tr>
      <w:tr>
        <w:trPr>
          <w:cantSplit/>
          <w:trHeight w:val="360"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GV纹波噪声</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DC～20MHz</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25</w:t>
            </w:r>
            <w:r>
              <w:rPr>
                <w:rFonts w:ascii="Times New Roman" w:eastAsia="新宋体"/>
                <w:szCs w:val="21"/>
              </w:rPr>
              <w:t xml:space="preserve">0</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mVp-p</w:t>
            </w:r>
            <w:r>
              <w:rPr>
                <w:rFonts w:ascii="Times New Roman" w:eastAsia="新宋体"/>
                <w:szCs w:val="21"/>
              </w:rPr>
            </w:r>
            <w:r/>
          </w:p>
        </w:tc>
      </w:tr>
      <w:tr>
        <w:trPr>
          <w:cantSplit/>
          <w:trHeight w:val="360"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GV电压调整率</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Io=</w:t>
            </w:r>
            <w:r>
              <w:rPr>
                <w:rFonts w:hint="eastAsia" w:ascii="Times New Roman" w:eastAsia="新宋体"/>
                <w:szCs w:val="21"/>
              </w:rPr>
              <w:t xml:space="preserve">4</w:t>
            </w:r>
            <w:r>
              <w:rPr>
                <w:rFonts w:ascii="Times New Roman" w:eastAsia="新宋体"/>
                <w:szCs w:val="21"/>
              </w:rPr>
              <w:t xml:space="preserve">A</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0.5</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r>
      <w:tr>
        <w:trPr>
          <w:cantSplit/>
          <w:trHeight w:val="383"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GV负载调整率</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Io=0～</w:t>
            </w:r>
            <w:r>
              <w:rPr>
                <w:rFonts w:hint="eastAsia" w:ascii="Times New Roman" w:eastAsia="新宋体"/>
                <w:szCs w:val="21"/>
              </w:rPr>
              <w:t xml:space="preserve">4</w:t>
            </w:r>
            <w:r>
              <w:rPr>
                <w:rFonts w:ascii="Times New Roman" w:eastAsia="新宋体"/>
                <w:szCs w:val="21"/>
              </w:rPr>
              <w:t xml:space="preserve">A</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1.0</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r>
      <w:tr>
        <w:trPr>
          <w:cantSplit/>
          <w:trHeight w:val="433"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效率</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Vi=220， Io=2A(</w:t>
            </w:r>
            <w:r>
              <w:rPr>
                <w:rFonts w:hint="eastAsia" w:ascii="Times New Roman" w:eastAsia="新宋体"/>
                <w:szCs w:val="21"/>
              </w:rPr>
              <w:t xml:space="preserve">C</w:t>
            </w:r>
            <w:r>
              <w:rPr>
                <w:rFonts w:ascii="Times New Roman" w:eastAsia="新宋体"/>
                <w:szCs w:val="21"/>
              </w:rPr>
              <w:t xml:space="preserve">V)</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70</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75</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80</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r>
      <w:tr>
        <w:trPr>
          <w:cantSplit/>
          <w:trHeight w:val="469"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电池浮充电压</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5</w:t>
            </w:r>
            <w:r>
              <w:rPr>
                <w:rFonts w:hint="eastAsia" w:ascii="Times New Roman" w:eastAsia="新宋体"/>
                <w:szCs w:val="21"/>
              </w:rPr>
              <w:t xml:space="preserve">4.0</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5</w:t>
            </w:r>
            <w:r>
              <w:rPr>
                <w:rFonts w:hint="eastAsia" w:ascii="Times New Roman" w:eastAsia="新宋体"/>
                <w:szCs w:val="21"/>
              </w:rPr>
              <w:t xml:space="preserve">5</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V</w:t>
            </w:r>
            <w:r>
              <w:rPr>
                <w:rFonts w:ascii="Times New Roman" w:eastAsia="新宋体"/>
                <w:szCs w:val="21"/>
              </w:rPr>
            </w:r>
            <w:r/>
          </w:p>
        </w:tc>
      </w:tr>
      <w:tr>
        <w:trPr>
          <w:cantSplit/>
          <w:trHeight w:val="469"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电池均充电压</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56.0</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57</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57.6</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V</w:t>
            </w:r>
            <w:r>
              <w:rPr>
                <w:rFonts w:ascii="Times New Roman" w:eastAsia="新宋体"/>
                <w:szCs w:val="21"/>
              </w:rPr>
            </w:r>
            <w:r/>
          </w:p>
        </w:tc>
      </w:tr>
      <w:tr>
        <w:trPr>
          <w:cantSplit/>
          <w:trHeight w:val="419"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电池充电电流</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CV帯载1A</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0.75</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A</w:t>
            </w:r>
            <w:r>
              <w:rPr>
                <w:rFonts w:ascii="Times New Roman" w:eastAsia="新宋体"/>
                <w:szCs w:val="21"/>
              </w:rPr>
            </w:r>
            <w:r/>
          </w:p>
        </w:tc>
      </w:tr>
      <w:tr>
        <w:trPr>
          <w:cantSplit/>
          <w:trHeight w:val="405"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充电电流精度</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CV帯载1A</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20</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r>
      <w:tr>
        <w:trPr>
          <w:cantSplit/>
          <w:trHeight w:val="405"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电池放电关断点</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Io=1A</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41</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42</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43</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V</w:t>
            </w:r>
            <w:r>
              <w:rPr>
                <w:rFonts w:ascii="Times New Roman" w:eastAsia="新宋体"/>
                <w:szCs w:val="21"/>
              </w:rPr>
            </w:r>
            <w:r/>
          </w:p>
        </w:tc>
      </w:tr>
      <w:tr>
        <w:trPr>
          <w:cantSplit/>
          <w:trHeight w:val="405"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电池放电关断延时</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Io=1A</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1.5</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2.0</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9.0</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S</w:t>
            </w:r>
            <w:r>
              <w:rPr>
                <w:rFonts w:ascii="Times New Roman" w:eastAsia="新宋体"/>
                <w:szCs w:val="21"/>
              </w:rPr>
            </w:r>
            <w:r/>
          </w:p>
        </w:tc>
      </w:tr>
      <w:tr>
        <w:trPr>
          <w:cantSplit/>
          <w:trHeight w:val="405"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电池活化完成点</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Io=1A</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4</w:t>
            </w:r>
            <w:r>
              <w:rPr>
                <w:rFonts w:hint="eastAsia" w:ascii="Times New Roman" w:eastAsia="新宋体"/>
                <w:szCs w:val="21"/>
              </w:rPr>
              <w:t xml:space="preserve">6.5</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47.5</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V</w:t>
            </w:r>
            <w:r>
              <w:rPr>
                <w:rFonts w:ascii="Times New Roman" w:eastAsia="新宋体"/>
                <w:szCs w:val="21"/>
              </w:rPr>
            </w:r>
            <w:r/>
          </w:p>
        </w:tc>
      </w:tr>
      <w:tr>
        <w:trPr>
          <w:cantSplit/>
          <w:trHeight w:val="405"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电池欠压告警点</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Io=1A</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45</w:t>
            </w:r>
            <w:r>
              <w:rPr>
                <w:rFonts w:hint="eastAsia" w:ascii="Times New Roman" w:eastAsia="新宋体"/>
                <w:szCs w:val="21"/>
              </w:rPr>
              <w:t xml:space="preserve">.5</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4</w:t>
            </w:r>
            <w:r>
              <w:rPr>
                <w:rFonts w:hint="eastAsia" w:ascii="Times New Roman" w:eastAsia="新宋体"/>
                <w:szCs w:val="21"/>
              </w:rPr>
              <w:t xml:space="preserve">6.5</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V</w:t>
            </w:r>
            <w:r>
              <w:rPr>
                <w:rFonts w:ascii="Times New Roman" w:eastAsia="新宋体"/>
                <w:szCs w:val="21"/>
              </w:rPr>
            </w:r>
            <w:r/>
          </w:p>
        </w:tc>
      </w:tr>
      <w:tr>
        <w:trPr>
          <w:cantSplit/>
          <w:trHeight w:val="440"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电池放电回路内阻</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0.02</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0.025</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Symbol" w:hAnsi="Symbol" w:eastAsia="Symbol" w:cs="Symbol"/>
                <w:szCs w:val="21"/>
              </w:rPr>
              <w:t xml:space="preserve">W</w:t>
            </w:r>
            <w:r>
              <w:rPr>
                <w:rFonts w:ascii="Times New Roman" w:eastAsia="新宋体"/>
                <w:szCs w:val="21"/>
              </w:rPr>
            </w:r>
            <w:r/>
          </w:p>
        </w:tc>
      </w:tr>
      <w:tr>
        <w:trPr>
          <w:cantSplit/>
          <w:trHeight w:val="405" w:hRule="exact"/>
          <w:tblHeader/>
        </w:trPr>
        <w:tc>
          <w:tcPr>
            <w:tcW w:w="2085" w:type="dxa"/>
            <w:vAlign w:val="center"/>
            <w:vMerge w:val="restart"/>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遥控触点接触时间</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遥控活化启动、退出</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0.5</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1.0</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S</w:t>
            </w:r>
            <w:r>
              <w:rPr>
                <w:rFonts w:ascii="Times New Roman" w:eastAsia="新宋体"/>
                <w:szCs w:val="21"/>
              </w:rPr>
            </w:r>
            <w:r/>
          </w:p>
        </w:tc>
      </w:tr>
      <w:tr>
        <w:trPr>
          <w:cantSplit/>
          <w:trHeight w:val="405" w:hRule="exact"/>
          <w:tblHeader/>
        </w:trPr>
        <w:tc>
          <w:tcPr>
            <w:tcW w:w="2085" w:type="dxa"/>
            <w:vAlign w:val="center"/>
            <w:vMerge w:val="continue"/>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遥控电池退出</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1</w:t>
            </w:r>
            <w:r>
              <w:rPr>
                <w:rFonts w:ascii="Times New Roman" w:eastAsia="新宋体"/>
                <w:szCs w:val="21"/>
              </w:rPr>
              <w:t xml:space="preserve">.0</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5</w:t>
            </w:r>
            <w:r>
              <w:rPr>
                <w:rFonts w:ascii="Times New Roman" w:eastAsia="新宋体"/>
                <w:szCs w:val="21"/>
              </w:rPr>
              <w:t xml:space="preserve">.0</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S</w:t>
            </w:r>
            <w:r>
              <w:rPr>
                <w:rFonts w:ascii="Times New Roman" w:eastAsia="新宋体"/>
                <w:szCs w:val="21"/>
              </w:rPr>
            </w:r>
            <w:r/>
          </w:p>
        </w:tc>
      </w:tr>
      <w:tr>
        <w:trPr>
          <w:cantSplit/>
          <w:trHeight w:val="405"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输出过压保护</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关断输出</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59</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60</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62</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V</w:t>
            </w:r>
            <w:r>
              <w:rPr>
                <w:rFonts w:ascii="Times New Roman" w:eastAsia="新宋体"/>
                <w:szCs w:val="21"/>
              </w:rPr>
            </w:r>
            <w:r/>
          </w:p>
        </w:tc>
      </w:tr>
      <w:tr>
        <w:trPr>
          <w:cantSplit/>
          <w:trHeight w:val="405"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输出短路保护</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关断电源输出，自动重启动</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r>
      <w:tr>
        <w:trPr>
          <w:cantSplit/>
          <w:trHeight w:val="405"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电池防反接保护</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在没有</w:t>
            </w:r>
            <w:r>
              <w:rPr>
                <w:rFonts w:hint="eastAsia" w:ascii="Times New Roman" w:eastAsia="新宋体"/>
                <w:szCs w:val="21"/>
              </w:rPr>
              <w:t xml:space="preserve">交流输入</w:t>
            </w:r>
            <w:r>
              <w:rPr>
                <w:rFonts w:ascii="Times New Roman" w:eastAsia="新宋体"/>
                <w:szCs w:val="21"/>
              </w:rPr>
              <w:t xml:space="preserve">情况下</w:t>
            </w:r>
            <w:r>
              <w:rPr>
                <w:rFonts w:ascii="Times New Roman" w:eastAsia="新宋体"/>
                <w:szCs w:val="21"/>
              </w:rPr>
            </w:r>
            <w:r/>
          </w:p>
        </w:tc>
        <w:tc>
          <w:tcPr>
            <w:gridSpan w:val="4"/>
            <w:tcW w:w="3983"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电池反接不损坏</w:t>
            </w:r>
            <w:r>
              <w:rPr>
                <w:rFonts w:hint="eastAsia" w:ascii="Times New Roman" w:eastAsia="新宋体"/>
                <w:szCs w:val="21"/>
              </w:rPr>
              <w:t xml:space="preserve">，点亮故障指示灯</w:t>
            </w:r>
            <w:r>
              <w:rPr>
                <w:rFonts w:ascii="Times New Roman" w:eastAsia="新宋体"/>
                <w:szCs w:val="21"/>
              </w:rPr>
            </w:r>
            <w:r/>
          </w:p>
        </w:tc>
      </w:tr>
      <w:tr>
        <w:trPr>
          <w:cantSplit/>
          <w:trHeight w:val="405"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绝缘电阻</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500V兆欧表</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200</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M</w:t>
            </w:r>
            <w:r>
              <w:rPr>
                <w:rFonts w:ascii="Symbol" w:hAnsi="Symbol" w:eastAsia="Symbol" w:cs="Symbol"/>
                <w:szCs w:val="21"/>
              </w:rPr>
              <w:t xml:space="preserve">W</w:t>
            </w:r>
            <w:r>
              <w:rPr>
                <w:rFonts w:ascii="Times New Roman" w:eastAsia="新宋体"/>
                <w:szCs w:val="21"/>
              </w:rPr>
            </w:r>
            <w:r/>
          </w:p>
        </w:tc>
      </w:tr>
      <w:tr>
        <w:trPr>
          <w:cantSplit/>
          <w:trHeight w:val="680"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介质强度</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漏电流≤5mA</w:t>
            </w:r>
            <w:r>
              <w:rPr>
                <w:rFonts w:hint="eastAsia" w:ascii="Times New Roman" w:eastAsia="新宋体"/>
                <w:szCs w:val="21"/>
              </w:rPr>
              <w:t xml:space="preserve">，</w:t>
            </w:r>
            <w:r>
              <w:rPr>
                <w:rFonts w:ascii="Times New Roman" w:eastAsia="新宋体"/>
                <w:szCs w:val="21"/>
              </w:rPr>
              <w:t xml:space="preserve">1Min无击穿及闪络</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2500</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Vac</w:t>
            </w:r>
            <w:r>
              <w:rPr>
                <w:rFonts w:ascii="Times New Roman" w:eastAsia="新宋体"/>
                <w:szCs w:val="21"/>
              </w:rPr>
            </w:r>
            <w:r/>
          </w:p>
        </w:tc>
      </w:tr>
      <w:tr>
        <w:trPr>
          <w:cantSplit/>
          <w:trHeight w:val="405"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工作温度</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超过55</w:t>
            </w:r>
            <w:r>
              <w:rPr>
                <w:rFonts w:ascii="Symbol" w:hAnsi="Symbol" w:eastAsia="Symbol" w:cs="Symbol"/>
                <w:szCs w:val="21"/>
              </w:rPr>
              <w:t xml:space="preserve">°</w:t>
            </w:r>
            <w:r>
              <w:rPr>
                <w:rFonts w:ascii="Times New Roman" w:eastAsia="新宋体"/>
                <w:szCs w:val="21"/>
              </w:rPr>
              <w:t xml:space="preserve">C时应降载至30%使用</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-40</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55</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70</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Symbol" w:hAnsi="Symbol" w:eastAsia="Symbol" w:cs="Symbol"/>
                <w:szCs w:val="21"/>
              </w:rPr>
              <w:t xml:space="preserve">°</w:t>
            </w:r>
            <w:r>
              <w:rPr>
                <w:rFonts w:ascii="Times New Roman" w:eastAsia="新宋体"/>
                <w:szCs w:val="21"/>
              </w:rPr>
              <w:t xml:space="preserve">C</w:t>
            </w:r>
            <w:r>
              <w:rPr>
                <w:rFonts w:ascii="Times New Roman" w:eastAsia="新宋体"/>
                <w:szCs w:val="21"/>
              </w:rPr>
            </w:r>
            <w:r/>
          </w:p>
        </w:tc>
      </w:tr>
      <w:tr>
        <w:trPr>
          <w:cantSplit/>
          <w:trHeight w:val="405"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储存温度</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-55</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105</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Symbol" w:hAnsi="Symbol" w:eastAsia="Symbol" w:cs="Symbol"/>
                <w:szCs w:val="21"/>
              </w:rPr>
              <w:t xml:space="preserve">°</w:t>
            </w:r>
            <w:r>
              <w:rPr>
                <w:rFonts w:ascii="Times New Roman" w:eastAsia="新宋体"/>
                <w:szCs w:val="21"/>
              </w:rPr>
              <w:t xml:space="preserve">C</w:t>
            </w:r>
            <w:r>
              <w:rPr>
                <w:rFonts w:ascii="Times New Roman" w:eastAsia="新宋体"/>
                <w:szCs w:val="21"/>
              </w:rPr>
            </w:r>
            <w:r/>
          </w:p>
        </w:tc>
      </w:tr>
      <w:tr>
        <w:trPr>
          <w:cantSplit/>
          <w:trHeight w:val="405"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相对湿度</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40</w:t>
            </w:r>
            <w:r>
              <w:rPr>
                <w:rFonts w:ascii="Symbol" w:hAnsi="Symbol" w:eastAsia="Symbol" w:cs="Symbol"/>
                <w:szCs w:val="21"/>
              </w:rPr>
              <w:t xml:space="preserve">±</w:t>
            </w:r>
            <w:r>
              <w:rPr>
                <w:rFonts w:ascii="Times New Roman" w:eastAsia="新宋体"/>
                <w:szCs w:val="21"/>
              </w:rPr>
              <w:t xml:space="preserve">2</w:t>
            </w:r>
            <w:r>
              <w:rPr>
                <w:rFonts w:ascii="Symbol" w:hAnsi="Symbol" w:eastAsia="Symbol" w:cs="Symbol"/>
                <w:szCs w:val="21"/>
              </w:rPr>
              <w:t xml:space="preserve">°</w:t>
            </w:r>
            <w:r>
              <w:rPr>
                <w:rFonts w:ascii="Times New Roman" w:eastAsia="新宋体"/>
                <w:szCs w:val="21"/>
              </w:rPr>
              <w:t xml:space="preserve">C</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0</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90</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r>
      <w:tr>
        <w:trPr>
          <w:cantSplit/>
          <w:trHeight w:val="405"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大气压力</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85</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110</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KPa</w:t>
            </w:r>
            <w:r>
              <w:rPr>
                <w:rFonts w:ascii="Times New Roman" w:eastAsia="新宋体"/>
                <w:szCs w:val="21"/>
              </w:rPr>
            </w:r>
            <w:r/>
          </w:p>
        </w:tc>
      </w:tr>
      <w:tr>
        <w:trPr>
          <w:cantSplit/>
          <w:trHeight w:val="405"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平均无故障时间</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室温条件下</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100000</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h</w:t>
            </w:r>
            <w:r>
              <w:rPr>
                <w:rFonts w:ascii="Times New Roman" w:eastAsia="新宋体"/>
                <w:szCs w:val="21"/>
              </w:rPr>
            </w:r>
            <w:r/>
          </w:p>
        </w:tc>
      </w:tr>
      <w:tr>
        <w:trPr>
          <w:cantSplit/>
          <w:trHeight w:val="405"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外形尺寸</w:t>
            </w:r>
            <w:r>
              <w:rPr>
                <w:rFonts w:ascii="Times New Roman" w:eastAsia="新宋体"/>
                <w:szCs w:val="21"/>
              </w:rPr>
            </w:r>
            <w:r/>
          </w:p>
        </w:tc>
        <w:tc>
          <w:tcPr>
            <w:gridSpan w:val="5"/>
            <w:tcW w:w="6263"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310（L）*215(W)*88.1(H)</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mm</w:t>
            </w:r>
            <w:r>
              <w:rPr>
                <w:rFonts w:ascii="Times New Roman" w:eastAsia="新宋体"/>
                <w:szCs w:val="21"/>
              </w:rPr>
            </w:r>
            <w:r/>
          </w:p>
        </w:tc>
      </w:tr>
      <w:tr>
        <w:trPr>
          <w:cantSplit/>
          <w:trHeight w:val="405" w:hRule="exact"/>
          <w:tblHeader/>
        </w:trPr>
        <w:tc>
          <w:tcPr>
            <w:tcW w:w="2085"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重量</w:t>
            </w:r>
            <w:r>
              <w:rPr>
                <w:rFonts w:ascii="Times New Roman" w:eastAsia="新宋体"/>
                <w:szCs w:val="21"/>
              </w:rPr>
            </w:r>
            <w:r/>
          </w:p>
        </w:tc>
        <w:tc>
          <w:tcPr>
            <w:gridSpan w:val="2"/>
            <w:tcW w:w="334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1037"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hint="eastAsia" w:ascii="Times New Roman" w:eastAsia="新宋体"/>
                <w:szCs w:val="21"/>
              </w:rPr>
              <w:t xml:space="preserve">2.5</w:t>
            </w:r>
            <w:r>
              <w:rPr>
                <w:rFonts w:ascii="Times New Roman" w:eastAsia="新宋体"/>
                <w:szCs w:val="21"/>
              </w:rPr>
            </w:r>
            <w:r/>
          </w:p>
        </w:tc>
        <w:tc>
          <w:tcPr>
            <w:tcW w:w="940"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w:t>
            </w:r>
            <w:r>
              <w:rPr>
                <w:rFonts w:ascii="Times New Roman" w:eastAsia="新宋体"/>
                <w:szCs w:val="21"/>
              </w:rPr>
            </w:r>
            <w:r/>
          </w:p>
        </w:tc>
        <w:tc>
          <w:tcPr>
            <w:tcW w:w="1066" w:type="dxa"/>
            <w:vAlign w:val="center"/>
            <w:textDirection w:val="lrTb"/>
            <w:noWrap w:val="false"/>
          </w:tcPr>
          <w:p>
            <w:pPr>
              <w:pStyle w:val="1201"/>
              <w:ind w:firstLine="0"/>
              <w:jc w:val="center"/>
              <w:tabs>
                <w:tab w:val="center" w:pos="4201" w:leader="none"/>
                <w:tab w:val="right" w:pos="9298" w:leader="dot"/>
              </w:tabs>
              <w:rPr>
                <w:rFonts w:ascii="Times New Roman" w:eastAsia="新宋体"/>
                <w:szCs w:val="21"/>
              </w:rPr>
            </w:pPr>
            <w:r>
              <w:rPr>
                <w:rFonts w:ascii="Times New Roman" w:eastAsia="新宋体"/>
                <w:szCs w:val="21"/>
              </w:rPr>
              <w:t xml:space="preserve">Kg</w:t>
            </w:r>
            <w:r>
              <w:rPr>
                <w:rFonts w:ascii="Times New Roman" w:eastAsia="新宋体"/>
                <w:szCs w:val="21"/>
              </w:rPr>
            </w:r>
            <w:r/>
          </w:p>
        </w:tc>
      </w:tr>
    </w:tbl>
    <w:p>
      <w:pPr>
        <w:pStyle w:val="1201"/>
        <w:jc w:val="center"/>
        <w:tabs>
          <w:tab w:val="center" w:pos="4201" w:leader="none"/>
          <w:tab w:val="right" w:pos="9298" w:leader="dot"/>
        </w:tabs>
        <w:rPr>
          <w:rFonts w:ascii="黑体" w:hAnsi="黑体" w:eastAsia="黑体"/>
        </w:rPr>
      </w:pPr>
      <w:r>
        <w:rPr>
          <w:rFonts w:ascii="黑体" w:hAnsi="黑体" w:eastAsia="黑体"/>
        </w:rPr>
      </w:r>
      <w:r/>
    </w:p>
    <w:p>
      <w:pPr>
        <w:pStyle w:val="1151"/>
        <w:spacing w:line="312" w:lineRule="exact"/>
        <w:rPr>
          <w:rFonts w:ascii="黑体" w:hAnsi="黑体"/>
          <w:szCs w:val="21"/>
        </w:rPr>
        <w:outlineLvl w:val="1"/>
      </w:pPr>
      <w:r/>
      <w:bookmarkStart w:id="426" w:name="_Toc35713692"/>
      <w:r>
        <w:rPr>
          <w:rFonts w:ascii="黑体" w:hAnsi="黑体" w:eastAsia="黑体"/>
          <w:szCs w:val="21"/>
        </w:rPr>
        <w:t xml:space="preserve">F.4</w:t>
      </w:r>
      <w:r>
        <w:rPr>
          <w:rFonts w:hint="eastAsia" w:ascii="黑体" w:hAnsi="黑体" w:eastAsia="黑体"/>
          <w:szCs w:val="21"/>
        </w:rPr>
        <w:t xml:space="preserve">结构设计</w:t>
      </w:r>
      <w:bookmarkEnd w:id="426"/>
      <w:r>
        <w:rPr>
          <w:rFonts w:ascii="黑体" w:hAnsi="黑体"/>
          <w:szCs w:val="21"/>
        </w:rPr>
      </w:r>
      <w:r/>
    </w:p>
    <w:p>
      <w:pPr>
        <w:pStyle w:val="1201"/>
        <w:tabs>
          <w:tab w:val="center" w:pos="4201" w:leader="none"/>
          <w:tab w:val="right" w:pos="9298" w:leader="dot"/>
        </w:tabs>
      </w:pPr>
      <w:r>
        <w:rPr>
          <w:rFonts w:hint="eastAsia"/>
        </w:rPr>
        <w:t xml:space="preserve">电源模组示意图</w:t>
      </w:r>
      <w:r>
        <w:t xml:space="preserve">如图F-</w:t>
      </w:r>
      <w:r>
        <w:rPr>
          <w:rFonts w:hint="eastAsia"/>
        </w:rPr>
        <w:t xml:space="preserve">1</w:t>
      </w:r>
      <w:r>
        <w:t xml:space="preserve">所示</w:t>
      </w:r>
      <w:r>
        <w:rPr>
          <w:rFonts w:hint="eastAsia"/>
        </w:rPr>
        <w:t xml:space="preserve">。</w:t>
      </w:r>
      <w:r/>
    </w:p>
    <w:p>
      <w:pPr>
        <w:pStyle w:val="1201"/>
        <w:ind w:firstLine="0"/>
        <w:jc w:val="center"/>
        <w:tabs>
          <w:tab w:val="center" w:pos="4201" w:leader="none"/>
          <w:tab w:val="right" w:pos="9298" w:leader="dot"/>
        </w:tabs>
      </w:pPr>
      <w:r>
        <w:rPr>
          <w:rFonts w:ascii="Times New Roman"/>
          <w:szCs w:val="21"/>
        </w:rPr>
        <mc:AlternateContent>
          <mc:Choice Requires="wpg">
            <w:drawing>
              <wp:inline xmlns:wp="http://schemas.openxmlformats.org/drawingml/2006/wordprocessingDrawing" distT="0" distB="0" distL="0" distR="0">
                <wp:extent cx="4810176" cy="3352737"/>
                <wp:effectExtent l="0" t="0" r="0" b="0"/>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4810176" cy="33527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378.8pt;height:264.0pt;mso-wrap-distance-left:0.0pt;mso-wrap-distance-top:0.0pt;mso-wrap-distance-right:0.0pt;mso-wrap-distance-bottom:0.0pt;" stroked="f">
                <v:path textboxrect="0,0,0,0"/>
                <v:imagedata r:id="rId154" o:title=""/>
              </v:shape>
            </w:pict>
          </mc:Fallback>
        </mc:AlternateContent>
      </w:r>
      <w: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317.0pt;height:144.4pt;mso-wrap-distance-left:0.0pt;mso-wrap-distance-top:0.0pt;mso-wrap-distance-right:0.0pt;mso-wrap-distance-bottom:0.0pt;" filled="f" stroked="f">
            <v:path textboxrect="0,0,0,0"/>
            <v:imagedata r:id="rId155" o:title=""/>
          </v:shape>
          <o:OLEObject DrawAspect="Content" r:id="rId156" ObjectID="_152504146" ProgID="Word.Document" ShapeID="_x0000_i146" Type="Embed"/>
        </w:object>
      </w:r>
      <w: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368.9pt;height:111.2pt;mso-wrap-distance-left:0.0pt;mso-wrap-distance-top:0.0pt;mso-wrap-distance-right:0.0pt;mso-wrap-distance-bottom:0.0pt;" filled="f" stroked="f">
            <v:path textboxrect="0,0,0,0"/>
            <v:imagedata r:id="rId157" o:title=""/>
          </v:shape>
          <o:OLEObject DrawAspect="Content" r:id="rId158" ObjectID="_152504147" ProgID="Word.Document" ShapeID="_x0000_i147" Type="Embed"/>
        </w:object>
      </w:r>
      <w:r>
        <w:rPr>
          <w:rFonts w:hint="eastAsia"/>
        </w:rPr>
        <mc:AlternateContent>
          <mc:Choice Requires="wpg">
            <w:drawing>
              <wp:inline xmlns:wp="http://schemas.openxmlformats.org/drawingml/2006/wordprocessingDrawing" distT="0" distB="0" distL="0" distR="0">
                <wp:extent cx="4853305" cy="3647440"/>
                <wp:effectExtent l="0" t="0" r="0" b="0"/>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4853305" cy="3647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382.1pt;height:287.2pt;mso-wrap-distance-left:0.0pt;mso-wrap-distance-top:0.0pt;mso-wrap-distance-right:0.0pt;mso-wrap-distance-bottom:0.0pt;" stroked="f">
                <v:path textboxrect="0,0,0,0"/>
                <v:imagedata r:id="rId159" o:title=""/>
              </v:shape>
            </w:pict>
          </mc:Fallback>
        </mc:AlternateContent>
      </w:r>
      <w:r/>
    </w:p>
    <w:p>
      <w:pPr>
        <w:pStyle w:val="1201"/>
        <w:jc w:val="center"/>
        <w:tabs>
          <w:tab w:val="center" w:pos="4201" w:leader="none"/>
          <w:tab w:val="right" w:pos="9298" w:leader="dot"/>
        </w:tabs>
        <w:rPr>
          <w:rFonts w:ascii="黑体" w:hAnsi="黑体" w:eastAsia="黑体"/>
        </w:rPr>
      </w:pPr>
      <w:r>
        <w:rPr>
          <w:rFonts w:ascii="黑体" w:hAnsi="黑体" w:eastAsia="黑体"/>
        </w:rPr>
        <w:t xml:space="preserve">图F</w:t>
      </w:r>
      <w:r>
        <w:rPr>
          <w:rFonts w:hint="eastAsia" w:ascii="黑体" w:hAnsi="黑体" w:eastAsia="黑体"/>
        </w:rPr>
        <w:t xml:space="preserve">-1电源模组示意图</w:t>
      </w:r>
      <w:r>
        <w:rPr>
          <w:rFonts w:ascii="黑体" w:hAnsi="黑体" w:eastAsia="黑体"/>
        </w:rPr>
      </w:r>
      <w:r/>
    </w:p>
    <w:p>
      <w:pPr>
        <w:pStyle w:val="1201"/>
        <w:jc w:val="center"/>
        <w:tabs>
          <w:tab w:val="center" w:pos="4201" w:leader="none"/>
          <w:tab w:val="right" w:pos="9298" w:leader="dot"/>
        </w:tabs>
      </w:pPr>
      <w:r/>
      <w:r/>
    </w:p>
    <w:p>
      <w:pPr>
        <w:pStyle w:val="1151"/>
        <w:ind w:left="420"/>
        <w:jc w:val="left"/>
        <w:widowControl/>
        <w:rPr>
          <w:rFonts w:ascii="宋体" w:hAnsi="宋体" w:cs="宋体"/>
          <w:b/>
          <w:bCs/>
          <w:color w:val="000000"/>
          <w:szCs w:val="21"/>
        </w:rPr>
      </w:pPr>
      <w:r>
        <w:rPr>
          <w:rFonts w:hint="eastAsia" w:ascii="宋体" w:hAnsi="宋体" w:cs="宋体"/>
          <w:b/>
          <w:bCs/>
          <w:color w:val="000000"/>
          <w:szCs w:val="21"/>
        </w:rPr>
        <w:t xml:space="preserve">面板指示灯定义</w:t>
      </w:r>
      <w:r>
        <w:rPr>
          <w:rFonts w:ascii="宋体" w:hAnsi="宋体" w:cs="宋体"/>
          <w:b/>
          <w:bCs/>
          <w:color w:val="000000"/>
          <w:szCs w:val="21"/>
        </w:rPr>
      </w:r>
      <w:r/>
    </w:p>
    <w:p>
      <w:pPr>
        <w:pStyle w:val="1151"/>
        <w:ind w:left="420"/>
        <w:jc w:val="left"/>
        <w:widowControl/>
        <w:rPr>
          <w:rFonts w:ascii="宋体" w:hAnsi="宋体" w:cs="宋体"/>
          <w:szCs w:val="21"/>
        </w:rPr>
      </w:pPr>
      <w:r>
        <w:rPr>
          <w:rFonts w:hint="eastAsia" w:ascii="宋体" w:hAnsi="宋体" w:cs="宋体"/>
          <w:b/>
          <w:bCs/>
          <w:szCs w:val="21"/>
        </w:rPr>
        <w:t xml:space="preserve">工作指示：</w:t>
      </w:r>
      <w:r>
        <w:rPr>
          <w:rFonts w:hint="eastAsia" w:ascii="宋体" w:hAnsi="宋体" w:cs="宋体"/>
          <w:szCs w:val="21"/>
        </w:rPr>
        <w:t xml:space="preserve">绿色，电源正产工作时指示灯点亮。</w:t>
      </w:r>
      <w:r>
        <w:rPr>
          <w:rFonts w:ascii="宋体" w:hAnsi="宋体" w:cs="宋体"/>
          <w:szCs w:val="21"/>
        </w:rPr>
      </w:r>
      <w:r/>
    </w:p>
    <w:p>
      <w:pPr>
        <w:pStyle w:val="1151"/>
        <w:ind w:left="420"/>
        <w:jc w:val="left"/>
        <w:widowControl/>
        <w:rPr>
          <w:rFonts w:ascii="宋体" w:hAnsi="宋体" w:cs="宋体"/>
          <w:szCs w:val="21"/>
        </w:rPr>
      </w:pPr>
      <w:r>
        <w:rPr>
          <w:rFonts w:hint="eastAsia" w:ascii="宋体" w:hAnsi="宋体" w:cs="宋体"/>
          <w:b/>
          <w:bCs/>
          <w:szCs w:val="21"/>
        </w:rPr>
        <w:t xml:space="preserve">充电：</w:t>
      </w:r>
      <w:r>
        <w:rPr>
          <w:rFonts w:hint="eastAsia" w:ascii="宋体" w:hAnsi="宋体" w:cs="宋体"/>
          <w:szCs w:val="21"/>
        </w:rPr>
        <w:t xml:space="preserve">红色，电池充电指示。当输入供电正常，电池充电时常亮；当输入供电正常，电池未充电时，指示灯闪烁点亮；</w:t>
      </w:r>
      <w:r>
        <w:rPr>
          <w:rFonts w:ascii="宋体" w:hAnsi="宋体" w:cs="宋体"/>
          <w:szCs w:val="21"/>
        </w:rPr>
      </w:r>
      <w:r/>
    </w:p>
    <w:p>
      <w:pPr>
        <w:pStyle w:val="1151"/>
        <w:ind w:left="420"/>
        <w:jc w:val="left"/>
        <w:widowControl/>
        <w:rPr>
          <w:rFonts w:ascii="宋体" w:hAnsi="宋体" w:cs="宋体"/>
          <w:szCs w:val="21"/>
        </w:rPr>
      </w:pPr>
      <w:r>
        <w:rPr>
          <w:rFonts w:hint="eastAsia" w:ascii="宋体" w:hAnsi="宋体" w:cs="宋体"/>
          <w:b/>
          <w:bCs/>
          <w:szCs w:val="21"/>
        </w:rPr>
        <w:t xml:space="preserve">放电：</w:t>
      </w:r>
      <w:r>
        <w:rPr>
          <w:rFonts w:hint="eastAsia" w:ascii="宋体" w:hAnsi="宋体" w:cs="宋体"/>
          <w:szCs w:val="21"/>
        </w:rPr>
        <w:t xml:space="preserve">红色，电池放电指示。当输入没有供电，电池放电时指示灯点亮；</w:t>
      </w:r>
      <w:r>
        <w:rPr>
          <w:rFonts w:ascii="宋体" w:hAnsi="宋体" w:cs="宋体"/>
          <w:szCs w:val="21"/>
        </w:rPr>
      </w:r>
      <w:r/>
    </w:p>
    <w:p>
      <w:pPr>
        <w:pStyle w:val="1151"/>
        <w:ind w:left="420"/>
        <w:jc w:val="left"/>
        <w:widowControl/>
        <w:rPr>
          <w:rFonts w:ascii="宋体" w:hAnsi="宋体" w:cs="宋体"/>
          <w:szCs w:val="21"/>
        </w:rPr>
      </w:pPr>
      <w:r>
        <w:rPr>
          <w:rFonts w:hint="eastAsia" w:ascii="宋体" w:hAnsi="宋体" w:cs="宋体"/>
          <w:b/>
          <w:bCs/>
          <w:szCs w:val="21"/>
        </w:rPr>
        <w:t xml:space="preserve">活化：</w:t>
      </w:r>
      <w:r>
        <w:rPr>
          <w:rFonts w:hint="eastAsia" w:ascii="宋体" w:hAnsi="宋体" w:cs="宋体"/>
          <w:szCs w:val="21"/>
        </w:rPr>
        <w:t xml:space="preserve">黄色，电池活化指示。当输入供电正常，电池活化时指示灯点亮，否则熄灭；</w:t>
      </w:r>
      <w:r>
        <w:rPr>
          <w:rFonts w:ascii="宋体" w:hAnsi="宋体" w:cs="宋体"/>
          <w:szCs w:val="21"/>
        </w:rPr>
      </w:r>
      <w:r/>
    </w:p>
    <w:p>
      <w:pPr>
        <w:pStyle w:val="1151"/>
        <w:ind w:left="420"/>
        <w:jc w:val="left"/>
        <w:widowControl/>
        <w:rPr>
          <w:rFonts w:ascii="宋体" w:hAnsi="宋体" w:cs="宋体"/>
          <w:szCs w:val="21"/>
        </w:rPr>
      </w:pPr>
      <w:r>
        <w:rPr>
          <w:rFonts w:hint="eastAsia" w:ascii="宋体" w:hAnsi="宋体" w:cs="宋体"/>
          <w:b/>
          <w:bCs/>
          <w:szCs w:val="21"/>
        </w:rPr>
        <w:t xml:space="preserve">欠压：</w:t>
      </w:r>
      <w:r>
        <w:rPr>
          <w:rFonts w:hint="eastAsia" w:ascii="宋体" w:hAnsi="宋体" w:cs="宋体"/>
          <w:szCs w:val="21"/>
        </w:rPr>
        <w:t xml:space="preserve">红色，电池欠压指示。电池电压低于欠压点时指示灯点亮，电池电压高于过压点时指示灯闪烁点亮，电池电压正常时熄灭；</w:t>
      </w:r>
      <w:r>
        <w:rPr>
          <w:rFonts w:ascii="宋体" w:hAnsi="宋体" w:cs="宋体"/>
          <w:szCs w:val="21"/>
        </w:rPr>
      </w:r>
      <w:r/>
    </w:p>
    <w:p>
      <w:pPr>
        <w:pStyle w:val="1201"/>
        <w:ind w:left="420" w:firstLine="0"/>
        <w:tabs>
          <w:tab w:val="center" w:pos="4201" w:leader="none"/>
          <w:tab w:val="right" w:pos="9298" w:leader="dot"/>
        </w:tabs>
        <w:rPr>
          <w:szCs w:val="21"/>
        </w:rPr>
      </w:pPr>
      <w:r>
        <w:rPr>
          <w:rFonts w:hint="eastAsia" w:hAnsi="宋体" w:cs="宋体"/>
          <w:b/>
          <w:bCs/>
          <w:szCs w:val="21"/>
        </w:rPr>
        <w:t xml:space="preserve">故障：</w:t>
      </w:r>
      <w:r>
        <w:rPr>
          <w:rFonts w:hint="eastAsia" w:hAnsi="宋体" w:cs="宋体"/>
          <w:szCs w:val="21"/>
        </w:rPr>
        <w:t xml:space="preserve">红色，电池故障指示。电池反接和电池容量故障时指示灯点亮。</w:t>
      </w:r>
      <w:r>
        <w:rPr>
          <w:szCs w:val="21"/>
        </w:rPr>
      </w:r>
      <w:r/>
    </w:p>
    <w:p>
      <w:pPr>
        <w:pStyle w:val="1201"/>
        <w:ind w:left="420" w:firstLine="0"/>
        <w:tabs>
          <w:tab w:val="center" w:pos="4201" w:leader="none"/>
          <w:tab w:val="right" w:pos="9298" w:leader="dot"/>
        </w:tabs>
        <w:rPr>
          <w:szCs w:val="21"/>
        </w:rPr>
      </w:pPr>
      <w:r>
        <w:rPr>
          <w:szCs w:val="21"/>
        </w:rPr>
      </w:r>
      <w:r/>
    </w:p>
    <w:p>
      <w:pPr>
        <w:pStyle w:val="1151"/>
        <w:ind w:left="420"/>
        <w:jc w:val="left"/>
        <w:widowControl/>
        <w:rPr>
          <w:rFonts w:ascii="宋体" w:hAnsi="宋体" w:cs="宋体"/>
          <w:szCs w:val="21"/>
        </w:rPr>
      </w:pPr>
      <w:r>
        <w:rPr>
          <w:rFonts w:hint="eastAsia" w:ascii="宋体" w:hAnsi="宋体" w:cs="宋体"/>
          <w:b/>
          <w:bCs/>
          <w:szCs w:val="21"/>
        </w:rPr>
        <w:t xml:space="preserve">电源面板按键功能：</w:t>
      </w:r>
      <w:r>
        <w:rPr>
          <w:rFonts w:ascii="宋体" w:hAnsi="宋体" w:cs="宋体"/>
          <w:szCs w:val="21"/>
        </w:rPr>
      </w:r>
      <w:r/>
    </w:p>
    <w:p>
      <w:pPr>
        <w:pStyle w:val="1151"/>
        <w:ind w:left="420"/>
        <w:jc w:val="left"/>
        <w:widowControl/>
        <w:rPr>
          <w:rFonts w:ascii="宋体" w:hAnsi="宋体" w:cs="宋体"/>
          <w:szCs w:val="21"/>
        </w:rPr>
      </w:pPr>
      <w:r>
        <w:rPr>
          <w:rFonts w:hint="eastAsia" w:ascii="宋体" w:hAnsi="宋体" w:cs="宋体"/>
          <w:b/>
          <w:bCs/>
          <w:szCs w:val="21"/>
        </w:rPr>
        <w:t xml:space="preserve">电池</w:t>
      </w:r>
      <w:r>
        <w:rPr>
          <w:rFonts w:ascii="Arial-BoldMT" w:hAnsi="Arial-BoldMT" w:cs="宋体"/>
          <w:b/>
          <w:bCs/>
          <w:szCs w:val="21"/>
        </w:rPr>
        <w:t xml:space="preserve">“</w:t>
      </w:r>
      <w:r>
        <w:rPr>
          <w:rFonts w:hint="eastAsia" w:ascii="宋体" w:hAnsi="宋体" w:cs="宋体"/>
          <w:b/>
          <w:bCs/>
          <w:szCs w:val="21"/>
        </w:rPr>
        <w:t xml:space="preserve">启动</w:t>
      </w:r>
      <w:r>
        <w:rPr>
          <w:rFonts w:ascii="Arial-BoldMT" w:hAnsi="Arial-BoldMT" w:cs="宋体"/>
          <w:b/>
          <w:bCs/>
          <w:szCs w:val="21"/>
        </w:rPr>
        <w:t xml:space="preserve">”</w:t>
      </w:r>
      <w:r>
        <w:rPr>
          <w:rFonts w:hint="eastAsia" w:ascii="宋体" w:hAnsi="宋体" w:cs="宋体"/>
          <w:b/>
          <w:bCs/>
          <w:szCs w:val="21"/>
        </w:rPr>
        <w:t xml:space="preserve">：</w:t>
      </w:r>
      <w:r>
        <w:rPr>
          <w:rFonts w:hint="eastAsia" w:ascii="宋体" w:hAnsi="宋体" w:cs="宋体"/>
          <w:szCs w:val="21"/>
        </w:rPr>
        <w:t xml:space="preserve">轻触式按键，电池手动投入；</w:t>
      </w:r>
      <w:r>
        <w:rPr>
          <w:rFonts w:hint="eastAsia" w:ascii="宋体" w:hAnsi="宋体" w:cs="宋体"/>
          <w:b/>
          <w:bCs/>
          <w:szCs w:val="21"/>
        </w:rPr>
        <w:t xml:space="preserve">电池</w:t>
      </w:r>
      <w:r>
        <w:rPr>
          <w:rFonts w:ascii="Arial-BoldMT" w:hAnsi="Arial-BoldMT" w:cs="宋体"/>
          <w:b/>
          <w:bCs/>
          <w:szCs w:val="21"/>
        </w:rPr>
        <w:t xml:space="preserve">“</w:t>
      </w:r>
      <w:r>
        <w:rPr>
          <w:rFonts w:hint="eastAsia" w:ascii="宋体" w:hAnsi="宋体" w:cs="宋体"/>
          <w:b/>
          <w:bCs/>
          <w:szCs w:val="21"/>
        </w:rPr>
        <w:t xml:space="preserve">停止</w:t>
      </w:r>
      <w:r>
        <w:rPr>
          <w:rFonts w:ascii="Arial-BoldMT" w:hAnsi="Arial-BoldMT" w:cs="宋体"/>
          <w:b/>
          <w:bCs/>
          <w:szCs w:val="21"/>
        </w:rPr>
        <w:t xml:space="preserve">”</w:t>
      </w:r>
      <w:r>
        <w:rPr>
          <w:rFonts w:hint="eastAsia" w:ascii="宋体" w:hAnsi="宋体" w:cs="宋体"/>
          <w:b/>
          <w:bCs/>
          <w:szCs w:val="21"/>
        </w:rPr>
        <w:t xml:space="preserve">：</w:t>
      </w:r>
      <w:r>
        <w:rPr>
          <w:rFonts w:hint="eastAsia" w:ascii="宋体" w:hAnsi="宋体" w:cs="宋体"/>
          <w:szCs w:val="21"/>
        </w:rPr>
        <w:t xml:space="preserve">轻触式按键，电池手动退出；</w:t>
      </w:r>
      <w:r>
        <w:rPr>
          <w:rFonts w:ascii="宋体" w:hAnsi="宋体" w:cs="宋体"/>
          <w:szCs w:val="21"/>
        </w:rPr>
      </w:r>
      <w:r/>
    </w:p>
    <w:p>
      <w:pPr>
        <w:pStyle w:val="1201"/>
        <w:ind w:left="420" w:firstLine="0"/>
        <w:tabs>
          <w:tab w:val="center" w:pos="4201" w:leader="none"/>
          <w:tab w:val="right" w:pos="9298" w:leader="dot"/>
        </w:tabs>
        <w:rPr>
          <w:szCs w:val="21"/>
        </w:rPr>
      </w:pPr>
      <w:r>
        <w:rPr>
          <w:rFonts w:hint="eastAsia" w:hAnsi="宋体" w:cs="宋体"/>
          <w:b/>
          <w:bCs/>
          <w:szCs w:val="21"/>
        </w:rPr>
        <w:t xml:space="preserve">活化</w:t>
      </w:r>
      <w:r>
        <w:rPr>
          <w:rFonts w:ascii="Arial-BoldMT" w:hAnsi="Arial-BoldMT" w:cs="宋体"/>
          <w:b/>
          <w:bCs/>
          <w:szCs w:val="21"/>
        </w:rPr>
        <w:t xml:space="preserve">“</w:t>
      </w:r>
      <w:r>
        <w:rPr>
          <w:rFonts w:hint="eastAsia" w:hAnsi="宋体" w:cs="宋体"/>
          <w:b/>
          <w:bCs/>
          <w:szCs w:val="21"/>
        </w:rPr>
        <w:t xml:space="preserve">启动</w:t>
      </w:r>
      <w:r>
        <w:rPr>
          <w:rFonts w:ascii="Arial-BoldMT" w:hAnsi="Arial-BoldMT" w:cs="宋体"/>
          <w:b/>
          <w:bCs/>
          <w:szCs w:val="21"/>
        </w:rPr>
        <w:t xml:space="preserve">”</w:t>
      </w:r>
      <w:r>
        <w:rPr>
          <w:rFonts w:hint="eastAsia" w:hAnsi="宋体" w:cs="宋体"/>
          <w:b/>
          <w:bCs/>
          <w:szCs w:val="21"/>
        </w:rPr>
        <w:t xml:space="preserve">：</w:t>
      </w:r>
      <w:r>
        <w:rPr>
          <w:rFonts w:hint="eastAsia" w:hAnsi="宋体" w:cs="宋体"/>
          <w:szCs w:val="21"/>
        </w:rPr>
        <w:t xml:space="preserve">轻触式按键，电池活化手动投入；</w:t>
      </w:r>
      <w:r>
        <w:rPr>
          <w:rFonts w:hint="eastAsia" w:hAnsi="宋体" w:cs="宋体"/>
          <w:b/>
          <w:bCs/>
          <w:szCs w:val="21"/>
        </w:rPr>
        <w:t xml:space="preserve">活化</w:t>
      </w:r>
      <w:r>
        <w:rPr>
          <w:rFonts w:ascii="Arial-BoldMT" w:hAnsi="Arial-BoldMT" w:cs="宋体"/>
          <w:b/>
          <w:bCs/>
          <w:szCs w:val="21"/>
        </w:rPr>
        <w:t xml:space="preserve">“</w:t>
      </w:r>
      <w:r>
        <w:rPr>
          <w:rFonts w:hint="eastAsia" w:hAnsi="宋体" w:cs="宋体"/>
          <w:b/>
          <w:bCs/>
          <w:szCs w:val="21"/>
        </w:rPr>
        <w:t xml:space="preserve">停止</w:t>
      </w:r>
      <w:r>
        <w:rPr>
          <w:rFonts w:ascii="Arial-BoldMT" w:hAnsi="Arial-BoldMT" w:cs="宋体"/>
          <w:b/>
          <w:bCs/>
          <w:szCs w:val="21"/>
        </w:rPr>
        <w:t xml:space="preserve">”</w:t>
      </w:r>
      <w:r>
        <w:rPr>
          <w:rFonts w:hint="eastAsia" w:hAnsi="宋体" w:cs="宋体"/>
          <w:b/>
          <w:bCs/>
          <w:szCs w:val="21"/>
        </w:rPr>
        <w:t xml:space="preserve">：</w:t>
      </w:r>
      <w:r>
        <w:rPr>
          <w:rFonts w:hint="eastAsia" w:hAnsi="宋体" w:cs="宋体"/>
          <w:szCs w:val="21"/>
        </w:rPr>
        <w:t xml:space="preserve">轻触式按键，电池活化手动退出。</w:t>
      </w:r>
      <w:r>
        <w:rPr>
          <w:szCs w:val="21"/>
        </w:rPr>
      </w:r>
      <w:r/>
    </w:p>
    <w:p>
      <w:pPr>
        <w:pStyle w:val="1151"/>
        <w:spacing w:line="312" w:lineRule="exact"/>
        <w:rPr>
          <w:rFonts w:ascii="黑体" w:hAnsi="黑体"/>
          <w:szCs w:val="21"/>
        </w:rPr>
        <w:outlineLvl w:val="1"/>
      </w:pPr>
      <w:r>
        <w:rPr>
          <w:rFonts w:ascii="黑体" w:hAnsi="黑体" w:eastAsia="黑体"/>
          <w:szCs w:val="21"/>
        </w:rPr>
        <w:t xml:space="preserve">F.5</w:t>
      </w:r>
      <w:r>
        <w:rPr>
          <w:rFonts w:hint="eastAsia" w:ascii="黑体" w:hAnsi="黑体" w:eastAsia="黑体"/>
          <w:szCs w:val="21"/>
        </w:rPr>
        <w:t xml:space="preserve">接口定义</w:t>
      </w:r>
      <w:r>
        <w:rPr>
          <w:rFonts w:ascii="黑体" w:hAnsi="黑体"/>
          <w:szCs w:val="21"/>
        </w:rPr>
      </w:r>
      <w:r/>
    </w:p>
    <w:p>
      <w:pPr>
        <w:pStyle w:val="1201"/>
        <w:tabs>
          <w:tab w:val="center" w:pos="4201" w:leader="none"/>
          <w:tab w:val="right" w:pos="9298" w:leader="dot"/>
        </w:tabs>
      </w:pPr>
      <w:r>
        <w:rPr>
          <w:rFonts w:hint="eastAsia"/>
        </w:rPr>
        <w:t xml:space="preserve">电源模块上行10芯矩形连接器接口定义</w:t>
      </w:r>
      <w:r>
        <w:t xml:space="preserve">如</w:t>
      </w:r>
      <w:r>
        <w:rPr>
          <w:rFonts w:hint="eastAsia"/>
        </w:rPr>
        <w:t xml:space="preserve">表</w:t>
      </w:r>
      <w:r>
        <w:rPr>
          <w:szCs w:val="21"/>
        </w:rPr>
        <w:t xml:space="preserve">F</w:t>
      </w:r>
      <w:r>
        <w:rPr>
          <w:rFonts w:hint="eastAsia"/>
          <w:szCs w:val="21"/>
        </w:rPr>
        <w:t xml:space="preserve">-</w:t>
      </w:r>
      <w:r>
        <w:rPr>
          <w:szCs w:val="21"/>
        </w:rPr>
        <w:t xml:space="preserve">2</w:t>
      </w:r>
      <w:r>
        <w:t xml:space="preserve">所示</w:t>
      </w:r>
      <w:r>
        <w:rPr>
          <w:rFonts w:hint="eastAsia"/>
        </w:rPr>
        <w:t xml:space="preserve">：</w:t>
      </w:r>
      <w:r/>
    </w:p>
    <w:p>
      <w:pPr>
        <w:pStyle w:val="1151"/>
        <w:ind w:firstLine="420"/>
        <w:jc w:val="center"/>
        <w:widowControl/>
        <w:rPr>
          <w:szCs w:val="21"/>
        </w:rPr>
      </w:pPr>
      <w:r>
        <w:rPr>
          <w:rFonts w:hint="eastAsia"/>
          <w:szCs w:val="21"/>
        </w:rPr>
        <w:t xml:space="preserve">表</w:t>
      </w:r>
      <w:r>
        <w:rPr>
          <w:szCs w:val="21"/>
        </w:rPr>
        <w:t xml:space="preserve">F</w:t>
      </w:r>
      <w:r>
        <w:rPr>
          <w:rFonts w:hint="eastAsia"/>
          <w:szCs w:val="21"/>
        </w:rPr>
        <w:t xml:space="preserve">-</w:t>
      </w:r>
      <w:r>
        <w:rPr>
          <w:szCs w:val="21"/>
        </w:rPr>
        <w:t xml:space="preserve">2</w:t>
      </w:r>
      <w:r>
        <w:rPr>
          <w:rFonts w:hint="eastAsia"/>
          <w:szCs w:val="21"/>
        </w:rPr>
        <w:t xml:space="preserve">电源模块上行10芯矩形连接器引脚定义</w:t>
      </w:r>
      <w:r>
        <w:rPr>
          <w:szCs w:val="21"/>
        </w:rPr>
      </w:r>
      <w:r/>
    </w:p>
    <w:tbl>
      <w:tblPr>
        <w:tblW w:w="51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1417"/>
        <w:gridCol w:w="2552"/>
      </w:tblGrid>
      <w:tr>
        <w:trPr/>
        <w:tc>
          <w:tcPr>
            <w:tcW w:w="1226" w:type="dxa"/>
            <w:vAlign w:val="center"/>
            <w:textDirection w:val="lrTb"/>
            <w:noWrap w:val="false"/>
          </w:tcPr>
          <w:p>
            <w:pPr>
              <w:pStyle w:val="1151"/>
              <w:jc w:val="center"/>
              <w:widowControl/>
              <w:rPr>
                <w:szCs w:val="21"/>
              </w:rPr>
            </w:pPr>
            <w:r>
              <w:rPr>
                <w:rFonts w:hint="eastAsia"/>
                <w:szCs w:val="21"/>
              </w:rPr>
              <w:t xml:space="preserve">引脚号</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标记</w:t>
            </w:r>
            <w:r>
              <w:rPr>
                <w:szCs w:val="21"/>
              </w:rPr>
            </w:r>
            <w:r/>
          </w:p>
        </w:tc>
        <w:tc>
          <w:tcPr>
            <w:tcW w:w="2552" w:type="dxa"/>
            <w:vAlign w:val="center"/>
            <w:textDirection w:val="lrTb"/>
            <w:noWrap w:val="false"/>
          </w:tcPr>
          <w:p>
            <w:pPr>
              <w:pStyle w:val="1151"/>
              <w:jc w:val="center"/>
              <w:widowControl/>
              <w:rPr>
                <w:szCs w:val="21"/>
              </w:rPr>
            </w:pPr>
            <w:r>
              <w:rPr>
                <w:rFonts w:hint="eastAsia"/>
                <w:szCs w:val="21"/>
              </w:rPr>
              <w:t xml:space="preserve">标记说明</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1</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操作电源+</w:t>
            </w:r>
            <w:r>
              <w:rPr>
                <w:szCs w:val="21"/>
              </w:rPr>
            </w:r>
            <w:r/>
          </w:p>
        </w:tc>
        <w:tc>
          <w:tcPr>
            <w:tcW w:w="2552" w:type="dxa"/>
            <w:vAlign w:val="center"/>
            <w:vMerge w:val="restart"/>
            <w:textDirection w:val="lrTb"/>
            <w:noWrap w:val="false"/>
          </w:tcPr>
          <w:p>
            <w:pPr>
              <w:pStyle w:val="1151"/>
              <w:jc w:val="center"/>
              <w:widowControl/>
              <w:rPr>
                <w:szCs w:val="21"/>
              </w:rPr>
            </w:pPr>
            <w:r>
              <w:rPr>
                <w:rFonts w:hint="eastAsia"/>
                <w:szCs w:val="21"/>
              </w:rPr>
              <w:t xml:space="preserve">操作电源</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2</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操作电源</w:t>
            </w:r>
            <w:r>
              <w:rPr>
                <w:szCs w:val="21"/>
              </w:rPr>
              <w:t xml:space="preserve">-</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3</w:t>
            </w:r>
            <w:r>
              <w:rPr>
                <w:szCs w:val="21"/>
              </w:rPr>
            </w:r>
            <w:r/>
          </w:p>
        </w:tc>
        <w:tc>
          <w:tcPr>
            <w:tcW w:w="1417" w:type="dxa"/>
            <w:vAlign w:val="center"/>
            <w:textDirection w:val="lrTb"/>
            <w:noWrap w:val="false"/>
          </w:tcPr>
          <w:p>
            <w:pPr>
              <w:pStyle w:val="1151"/>
              <w:jc w:val="center"/>
              <w:widowControl/>
              <w:rPr>
                <w:szCs w:val="21"/>
              </w:rPr>
            </w:pPr>
            <w:r>
              <w:rPr>
                <w:szCs w:val="21"/>
              </w:rPr>
            </w:r>
            <w:r/>
          </w:p>
        </w:tc>
        <w:tc>
          <w:tcPr>
            <w:tcW w:w="2552" w:type="dxa"/>
            <w:vAlign w:val="center"/>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4</w:t>
            </w:r>
            <w:r>
              <w:rPr>
                <w:szCs w:val="21"/>
              </w:rPr>
            </w:r>
            <w:r/>
          </w:p>
        </w:tc>
        <w:tc>
          <w:tcPr>
            <w:tcW w:w="1417" w:type="dxa"/>
            <w:vAlign w:val="center"/>
            <w:textDirection w:val="lrTb"/>
            <w:noWrap w:val="false"/>
          </w:tcPr>
          <w:p>
            <w:pPr>
              <w:pStyle w:val="1151"/>
              <w:jc w:val="center"/>
              <w:widowControl/>
              <w:rPr>
                <w:szCs w:val="21"/>
              </w:rPr>
            </w:pPr>
            <w:r>
              <w:rPr>
                <w:szCs w:val="21"/>
              </w:rPr>
            </w:r>
            <w:r/>
          </w:p>
        </w:tc>
        <w:tc>
          <w:tcPr>
            <w:tcW w:w="2552" w:type="dxa"/>
            <w:vAlign w:val="center"/>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5</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工作电源+</w:t>
            </w:r>
            <w:r>
              <w:rPr>
                <w:szCs w:val="21"/>
              </w:rPr>
            </w:r>
            <w:r/>
          </w:p>
        </w:tc>
        <w:tc>
          <w:tcPr>
            <w:tcW w:w="2552" w:type="dxa"/>
            <w:vAlign w:val="center"/>
            <w:vMerge w:val="restart"/>
            <w:textDirection w:val="lrTb"/>
            <w:noWrap w:val="false"/>
          </w:tcPr>
          <w:p>
            <w:pPr>
              <w:pStyle w:val="1151"/>
              <w:jc w:val="center"/>
              <w:widowControl/>
              <w:rPr>
                <w:szCs w:val="21"/>
              </w:rPr>
            </w:pPr>
            <w:r>
              <w:rPr>
                <w:rFonts w:hint="eastAsia"/>
                <w:szCs w:val="21"/>
              </w:rPr>
              <w:t xml:space="preserve">工作电源</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6</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工作电源-</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7</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工作电源+</w:t>
            </w:r>
            <w:r>
              <w:rPr>
                <w:szCs w:val="21"/>
              </w:rPr>
            </w:r>
            <w:r/>
          </w:p>
        </w:tc>
        <w:tc>
          <w:tcPr>
            <w:tcW w:w="2552" w:type="dxa"/>
            <w:vAlign w:val="center"/>
            <w:vMerge w:val="restart"/>
            <w:textDirection w:val="lrTb"/>
            <w:noWrap w:val="false"/>
          </w:tcPr>
          <w:p>
            <w:pPr>
              <w:pStyle w:val="1151"/>
              <w:jc w:val="center"/>
              <w:widowControl/>
              <w:rPr>
                <w:szCs w:val="21"/>
              </w:rPr>
            </w:pPr>
            <w:r>
              <w:rPr>
                <w:rFonts w:hint="eastAsia"/>
                <w:szCs w:val="21"/>
              </w:rPr>
              <w:t xml:space="preserve">通信电源</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8</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工作电源-</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9</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电源485+</w:t>
            </w:r>
            <w:r>
              <w:rPr>
                <w:szCs w:val="21"/>
              </w:rPr>
            </w:r>
            <w:r/>
          </w:p>
        </w:tc>
        <w:tc>
          <w:tcPr>
            <w:tcW w:w="2552" w:type="dxa"/>
            <w:vAlign w:val="center"/>
            <w:vMerge w:val="restart"/>
            <w:textDirection w:val="lrTb"/>
            <w:noWrap w:val="false"/>
          </w:tcPr>
          <w:p>
            <w:pPr>
              <w:pStyle w:val="1151"/>
              <w:jc w:val="center"/>
              <w:widowControl/>
              <w:rPr>
                <w:szCs w:val="21"/>
              </w:rPr>
            </w:pPr>
            <w:r>
              <w:rPr>
                <w:rFonts w:hint="eastAsia"/>
                <w:szCs w:val="21"/>
              </w:rPr>
              <w:t xml:space="preserve">串行通信</w:t>
            </w:r>
            <w:r>
              <w:rPr>
                <w:szCs w:val="21"/>
              </w:rPr>
            </w:r>
            <w:r/>
          </w:p>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10</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电源485-</w:t>
            </w:r>
            <w:r>
              <w:rPr>
                <w:szCs w:val="21"/>
              </w:rPr>
            </w:r>
            <w:r/>
          </w:p>
        </w:tc>
        <w:tc>
          <w:tcPr>
            <w:tcW w:w="2552" w:type="dxa"/>
            <w:vAlign w:val="center"/>
            <w:vMerge w:val="continue"/>
            <w:textDirection w:val="lrTb"/>
            <w:noWrap w:val="false"/>
          </w:tcPr>
          <w:p>
            <w:pPr>
              <w:pStyle w:val="1151"/>
              <w:jc w:val="left"/>
              <w:widowControl/>
              <w:rPr>
                <w:szCs w:val="21"/>
              </w:rPr>
            </w:pPr>
            <w:r>
              <w:rPr>
                <w:szCs w:val="21"/>
              </w:rPr>
            </w:r>
            <w:r/>
          </w:p>
        </w:tc>
      </w:tr>
    </w:tbl>
    <w:p>
      <w:pPr>
        <w:pStyle w:val="1201"/>
        <w:tabs>
          <w:tab w:val="center" w:pos="4201" w:leader="none"/>
          <w:tab w:val="right" w:pos="9298" w:leader="dot"/>
        </w:tabs>
      </w:pPr>
      <w:r>
        <w:rPr>
          <w:rFonts w:hint="eastAsia"/>
        </w:rPr>
        <w:t xml:space="preserve">电源模块下行10芯矩形连接器接口定义如表</w:t>
      </w:r>
      <w:r>
        <w:rPr>
          <w:szCs w:val="21"/>
        </w:rPr>
        <w:t xml:space="preserve">F</w:t>
      </w:r>
      <w:r>
        <w:rPr>
          <w:rFonts w:hint="eastAsia"/>
          <w:szCs w:val="21"/>
        </w:rPr>
        <w:t xml:space="preserve">-</w:t>
      </w:r>
      <w:r>
        <w:rPr>
          <w:szCs w:val="21"/>
        </w:rPr>
        <w:t xml:space="preserve">3</w:t>
      </w:r>
      <w:r>
        <w:rPr>
          <w:rFonts w:hint="eastAsia"/>
        </w:rPr>
        <w:t xml:space="preserve">所示：</w:t>
      </w:r>
      <w:r/>
    </w:p>
    <w:p>
      <w:pPr>
        <w:pStyle w:val="1151"/>
        <w:widowControl/>
      </w:pPr>
      <w:r/>
      <w:r/>
    </w:p>
    <w:p>
      <w:pPr>
        <w:pStyle w:val="1151"/>
        <w:ind w:firstLine="2520"/>
        <w:widowControl/>
        <w:rPr>
          <w:szCs w:val="21"/>
        </w:rPr>
      </w:pPr>
      <w:r>
        <w:rPr>
          <w:rFonts w:hint="eastAsia"/>
          <w:szCs w:val="21"/>
        </w:rPr>
        <w:t xml:space="preserve">表</w:t>
      </w:r>
      <w:r>
        <w:rPr>
          <w:szCs w:val="21"/>
        </w:rPr>
        <w:t xml:space="preserve">F</w:t>
      </w:r>
      <w:r>
        <w:rPr>
          <w:rFonts w:hint="eastAsia"/>
          <w:szCs w:val="21"/>
        </w:rPr>
        <w:t xml:space="preserve">-</w:t>
      </w:r>
      <w:r>
        <w:rPr>
          <w:szCs w:val="21"/>
        </w:rPr>
        <w:t xml:space="preserve">3</w:t>
      </w:r>
      <w:r>
        <w:rPr>
          <w:rFonts w:hint="eastAsia"/>
          <w:szCs w:val="21"/>
        </w:rPr>
        <w:t xml:space="preserve">电源模块下行4芯矩形连接器引脚定义</w:t>
      </w:r>
      <w:r>
        <w:rPr>
          <w:szCs w:val="21"/>
        </w:rPr>
      </w:r>
      <w:r/>
    </w:p>
    <w:tbl>
      <w:tblPr>
        <w:tblW w:w="51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1417"/>
        <w:gridCol w:w="2552"/>
      </w:tblGrid>
      <w:tr>
        <w:trPr/>
        <w:tc>
          <w:tcPr>
            <w:tcW w:w="1226" w:type="dxa"/>
            <w:vAlign w:val="center"/>
            <w:textDirection w:val="lrTb"/>
            <w:noWrap w:val="false"/>
          </w:tcPr>
          <w:p>
            <w:pPr>
              <w:pStyle w:val="1151"/>
              <w:jc w:val="center"/>
              <w:widowControl/>
              <w:rPr>
                <w:szCs w:val="21"/>
              </w:rPr>
            </w:pPr>
            <w:r>
              <w:rPr>
                <w:rFonts w:hint="eastAsia"/>
                <w:szCs w:val="21"/>
              </w:rPr>
              <w:t xml:space="preserve">引脚号</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标记</w:t>
            </w:r>
            <w:r>
              <w:rPr>
                <w:szCs w:val="21"/>
              </w:rPr>
            </w:r>
            <w:r/>
          </w:p>
        </w:tc>
        <w:tc>
          <w:tcPr>
            <w:tcW w:w="2552" w:type="dxa"/>
            <w:vAlign w:val="center"/>
            <w:textDirection w:val="lrTb"/>
            <w:noWrap w:val="false"/>
          </w:tcPr>
          <w:p>
            <w:pPr>
              <w:pStyle w:val="1151"/>
              <w:jc w:val="center"/>
              <w:widowControl/>
              <w:rPr>
                <w:szCs w:val="21"/>
              </w:rPr>
            </w:pPr>
            <w:r>
              <w:rPr>
                <w:rFonts w:hint="eastAsia"/>
                <w:szCs w:val="21"/>
              </w:rPr>
              <w:t xml:space="preserve">标记说明</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1</w:t>
            </w:r>
            <w:r>
              <w:rPr>
                <w:szCs w:val="21"/>
              </w:rPr>
            </w:r>
            <w:r/>
          </w:p>
        </w:tc>
        <w:tc>
          <w:tcPr>
            <w:tcW w:w="1417" w:type="dxa"/>
            <w:vAlign w:val="center"/>
            <w:textDirection w:val="lrTb"/>
            <w:noWrap w:val="false"/>
          </w:tcPr>
          <w:p>
            <w:pPr>
              <w:pStyle w:val="1151"/>
              <w:jc w:val="center"/>
              <w:widowControl/>
              <w:rPr>
                <w:szCs w:val="21"/>
              </w:rPr>
            </w:pPr>
            <w:r>
              <w:rPr>
                <w:szCs w:val="21"/>
              </w:rPr>
              <w:t xml:space="preserve">Ul</w:t>
            </w:r>
            <w:r>
              <w:rPr>
                <w:rFonts w:hint="eastAsia"/>
                <w:szCs w:val="21"/>
              </w:rPr>
              <w:t xml:space="preserve">a</w:t>
            </w:r>
            <w:r>
              <w:rPr>
                <w:szCs w:val="21"/>
              </w:rPr>
            </w:r>
            <w:r/>
          </w:p>
        </w:tc>
        <w:tc>
          <w:tcPr>
            <w:tcW w:w="2552" w:type="dxa"/>
            <w:vAlign w:val="center"/>
            <w:vMerge w:val="restart"/>
            <w:textDirection w:val="lrTb"/>
            <w:noWrap w:val="false"/>
          </w:tcPr>
          <w:p>
            <w:pPr>
              <w:pStyle w:val="1151"/>
              <w:jc w:val="center"/>
              <w:widowControl/>
              <w:rPr>
                <w:szCs w:val="21"/>
              </w:rPr>
            </w:pPr>
            <w:r>
              <w:rPr>
                <w:rFonts w:hint="eastAsia"/>
                <w:szCs w:val="21"/>
              </w:rPr>
              <w:t xml:space="preserve">交流输入电源</w:t>
            </w:r>
            <w:r>
              <w:rPr>
                <w:szCs w:val="21"/>
              </w:rPr>
            </w:r>
            <w:r/>
          </w:p>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2</w:t>
            </w:r>
            <w:r>
              <w:rPr>
                <w:szCs w:val="21"/>
              </w:rPr>
            </w:r>
            <w:r/>
          </w:p>
        </w:tc>
        <w:tc>
          <w:tcPr>
            <w:tcW w:w="1417" w:type="dxa"/>
            <w:vAlign w:val="center"/>
            <w:textDirection w:val="lrTb"/>
            <w:noWrap w:val="false"/>
          </w:tcPr>
          <w:p>
            <w:pPr>
              <w:pStyle w:val="1151"/>
              <w:jc w:val="center"/>
              <w:widowControl/>
              <w:rPr>
                <w:szCs w:val="21"/>
              </w:rPr>
            </w:pPr>
            <w:r>
              <w:rPr>
                <w:szCs w:val="21"/>
              </w:rPr>
              <w:t xml:space="preserve">Ul</w:t>
            </w:r>
            <w:r>
              <w:rPr>
                <w:rFonts w:hint="eastAsia"/>
                <w:szCs w:val="21"/>
              </w:rPr>
              <w:t xml:space="preserve">b</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3</w:t>
            </w:r>
            <w:r>
              <w:rPr>
                <w:szCs w:val="21"/>
              </w:rPr>
            </w:r>
            <w:r/>
          </w:p>
        </w:tc>
        <w:tc>
          <w:tcPr>
            <w:tcW w:w="1417" w:type="dxa"/>
            <w:vAlign w:val="center"/>
            <w:textDirection w:val="lrTb"/>
            <w:noWrap w:val="false"/>
          </w:tcPr>
          <w:p>
            <w:pPr>
              <w:pStyle w:val="1151"/>
              <w:jc w:val="center"/>
              <w:widowControl/>
              <w:rPr>
                <w:szCs w:val="21"/>
              </w:rPr>
            </w:pPr>
            <w:r>
              <w:rPr>
                <w:szCs w:val="21"/>
              </w:rPr>
              <w:t xml:space="preserve">Ul</w:t>
            </w:r>
            <w:r>
              <w:rPr>
                <w:rFonts w:hint="eastAsia"/>
                <w:szCs w:val="21"/>
              </w:rPr>
              <w:t xml:space="preserve">c</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4</w:t>
            </w:r>
            <w:r>
              <w:rPr>
                <w:szCs w:val="21"/>
              </w:rPr>
            </w:r>
            <w:r/>
          </w:p>
        </w:tc>
        <w:tc>
          <w:tcPr>
            <w:tcW w:w="1417" w:type="dxa"/>
            <w:vAlign w:val="center"/>
            <w:textDirection w:val="lrTb"/>
            <w:noWrap w:val="false"/>
          </w:tcPr>
          <w:p>
            <w:pPr>
              <w:pStyle w:val="1151"/>
              <w:jc w:val="center"/>
              <w:widowControl/>
              <w:rPr>
                <w:szCs w:val="21"/>
              </w:rPr>
            </w:pPr>
            <w:r>
              <w:rPr>
                <w:szCs w:val="21"/>
              </w:rPr>
            </w:r>
            <w:r/>
          </w:p>
        </w:tc>
        <w:tc>
          <w:tcPr>
            <w:tcW w:w="2552" w:type="dxa"/>
            <w:vAlign w:val="center"/>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5</w:t>
            </w:r>
            <w:r>
              <w:rPr>
                <w:szCs w:val="21"/>
              </w:rPr>
            </w:r>
            <w:r/>
          </w:p>
        </w:tc>
        <w:tc>
          <w:tcPr>
            <w:tcW w:w="1417" w:type="dxa"/>
            <w:vAlign w:val="center"/>
            <w:textDirection w:val="lrTb"/>
            <w:noWrap w:val="false"/>
          </w:tcPr>
          <w:p>
            <w:pPr>
              <w:pStyle w:val="1151"/>
              <w:jc w:val="center"/>
              <w:widowControl/>
              <w:rPr>
                <w:szCs w:val="21"/>
              </w:rPr>
            </w:pPr>
            <w:r>
              <w:rPr>
                <w:szCs w:val="21"/>
              </w:rPr>
            </w:r>
            <w:r/>
          </w:p>
        </w:tc>
        <w:tc>
          <w:tcPr>
            <w:tcW w:w="2552" w:type="dxa"/>
            <w:vAlign w:val="center"/>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6</w:t>
            </w:r>
            <w:r>
              <w:rPr>
                <w:szCs w:val="21"/>
              </w:rPr>
            </w:r>
            <w:r/>
          </w:p>
        </w:tc>
        <w:tc>
          <w:tcPr>
            <w:tcW w:w="1417" w:type="dxa"/>
            <w:vAlign w:val="center"/>
            <w:textDirection w:val="lrTb"/>
            <w:noWrap w:val="false"/>
          </w:tcPr>
          <w:p>
            <w:pPr>
              <w:pStyle w:val="1151"/>
              <w:jc w:val="center"/>
              <w:widowControl/>
              <w:rPr>
                <w:szCs w:val="21"/>
              </w:rPr>
            </w:pPr>
            <w:r>
              <w:rPr>
                <w:szCs w:val="21"/>
              </w:rPr>
            </w:r>
            <w:r/>
          </w:p>
        </w:tc>
        <w:tc>
          <w:tcPr>
            <w:tcW w:w="2552" w:type="dxa"/>
            <w:vAlign w:val="center"/>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7</w:t>
            </w:r>
            <w:r>
              <w:rPr>
                <w:szCs w:val="21"/>
              </w:rPr>
            </w:r>
            <w:r/>
          </w:p>
        </w:tc>
        <w:tc>
          <w:tcPr>
            <w:tcW w:w="1417" w:type="dxa"/>
            <w:vAlign w:val="center"/>
            <w:textDirection w:val="lrTb"/>
            <w:noWrap w:val="false"/>
          </w:tcPr>
          <w:p>
            <w:pPr>
              <w:pStyle w:val="1151"/>
              <w:jc w:val="center"/>
              <w:widowControl/>
              <w:rPr>
                <w:szCs w:val="21"/>
              </w:rPr>
            </w:pPr>
            <w:r>
              <w:rPr>
                <w:szCs w:val="21"/>
              </w:rPr>
            </w:r>
            <w:r/>
          </w:p>
        </w:tc>
        <w:tc>
          <w:tcPr>
            <w:tcW w:w="2552" w:type="dxa"/>
            <w:vAlign w:val="center"/>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8</w:t>
            </w:r>
            <w:r>
              <w:rPr>
                <w:szCs w:val="21"/>
              </w:rPr>
            </w:r>
            <w:r/>
          </w:p>
        </w:tc>
        <w:tc>
          <w:tcPr>
            <w:tcW w:w="1417" w:type="dxa"/>
            <w:vAlign w:val="center"/>
            <w:textDirection w:val="lrTb"/>
            <w:noWrap w:val="false"/>
          </w:tcPr>
          <w:p>
            <w:pPr>
              <w:pStyle w:val="1151"/>
              <w:jc w:val="center"/>
              <w:widowControl/>
              <w:rPr>
                <w:szCs w:val="21"/>
              </w:rPr>
            </w:pPr>
            <w:r>
              <w:rPr>
                <w:szCs w:val="21"/>
              </w:rPr>
            </w:r>
            <w:r/>
          </w:p>
        </w:tc>
        <w:tc>
          <w:tcPr>
            <w:tcW w:w="2552" w:type="dxa"/>
            <w:vAlign w:val="center"/>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9</w:t>
            </w:r>
            <w:r>
              <w:rPr>
                <w:szCs w:val="21"/>
              </w:rPr>
            </w:r>
            <w:r/>
          </w:p>
        </w:tc>
        <w:tc>
          <w:tcPr>
            <w:tcW w:w="1417" w:type="dxa"/>
            <w:vAlign w:val="center"/>
            <w:textDirection w:val="lrTb"/>
            <w:noWrap w:val="false"/>
          </w:tcPr>
          <w:p>
            <w:pPr>
              <w:pStyle w:val="1151"/>
              <w:jc w:val="center"/>
              <w:widowControl/>
              <w:rPr>
                <w:szCs w:val="21"/>
              </w:rPr>
            </w:pPr>
            <w:r>
              <w:rPr>
                <w:szCs w:val="21"/>
              </w:rPr>
            </w:r>
            <w:r/>
          </w:p>
        </w:tc>
        <w:tc>
          <w:tcPr>
            <w:tcW w:w="2552" w:type="dxa"/>
            <w:vAlign w:val="center"/>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10</w:t>
            </w:r>
            <w:r>
              <w:rPr>
                <w:szCs w:val="21"/>
              </w:rPr>
            </w:r>
            <w:r/>
          </w:p>
        </w:tc>
        <w:tc>
          <w:tcPr>
            <w:tcW w:w="1417" w:type="dxa"/>
            <w:vAlign w:val="center"/>
            <w:textDirection w:val="lrTb"/>
            <w:noWrap w:val="false"/>
          </w:tcPr>
          <w:p>
            <w:pPr>
              <w:pStyle w:val="1151"/>
              <w:ind w:firstLine="420"/>
              <w:jc w:val="center"/>
              <w:widowControl/>
              <w:rPr>
                <w:szCs w:val="21"/>
              </w:rPr>
            </w:pPr>
            <w:r>
              <w:rPr>
                <w:szCs w:val="21"/>
              </w:rPr>
            </w:r>
            <w:r/>
          </w:p>
        </w:tc>
        <w:tc>
          <w:tcPr>
            <w:tcW w:w="2552" w:type="dxa"/>
            <w:vAlign w:val="center"/>
            <w:textDirection w:val="lrTb"/>
            <w:noWrap w:val="false"/>
          </w:tcPr>
          <w:p>
            <w:pPr>
              <w:pStyle w:val="1151"/>
              <w:jc w:val="left"/>
              <w:widowControl/>
              <w:rPr>
                <w:szCs w:val="21"/>
              </w:rPr>
            </w:pPr>
            <w:r>
              <w:rPr>
                <w:szCs w:val="21"/>
              </w:rPr>
            </w:r>
            <w:r/>
          </w:p>
        </w:tc>
      </w:tr>
    </w:tbl>
    <w:p>
      <w:pPr>
        <w:pStyle w:val="1201"/>
        <w:tabs>
          <w:tab w:val="center" w:pos="4201" w:leader="none"/>
          <w:tab w:val="right" w:pos="9298" w:leader="dot"/>
        </w:tabs>
      </w:pPr>
      <w:r/>
      <w:r/>
    </w:p>
    <w:p>
      <w:pPr>
        <w:pStyle w:val="1201"/>
        <w:jc w:val="center"/>
        <w:tabs>
          <w:tab w:val="center" w:pos="4201" w:leader="none"/>
          <w:tab w:val="right" w:pos="9298" w:leader="dot"/>
        </w:tabs>
      </w:pPr>
      <w:r/>
      <w:r/>
    </w:p>
    <w:p>
      <w:pPr>
        <w:pStyle w:val="1151"/>
        <w:spacing w:line="312" w:lineRule="exact"/>
        <w:rPr>
          <w:rFonts w:ascii="黑体" w:hAnsi="黑体"/>
          <w:szCs w:val="21"/>
        </w:rPr>
        <w:outlineLvl w:val="1"/>
      </w:pPr>
      <w:r/>
      <w:bookmarkStart w:id="427" w:name="_Toc35713693"/>
      <w:r>
        <w:rPr>
          <w:rFonts w:ascii="黑体" w:hAnsi="黑体" w:eastAsia="黑体"/>
          <w:szCs w:val="21"/>
        </w:rPr>
        <w:t xml:space="preserve">F.</w:t>
      </w:r>
      <w:r>
        <w:rPr>
          <w:rFonts w:hint="eastAsia" w:ascii="黑体" w:hAnsi="黑体" w:eastAsia="黑体"/>
          <w:szCs w:val="21"/>
        </w:rPr>
        <w:t xml:space="preserve">6电源模块与DTU核心单元通信规约</w:t>
      </w:r>
      <w:bookmarkEnd w:id="427"/>
      <w:r>
        <w:rPr>
          <w:rFonts w:ascii="黑体" w:hAnsi="黑体"/>
          <w:szCs w:val="21"/>
        </w:rPr>
      </w:r>
      <w:r/>
    </w:p>
    <w:p>
      <w:pPr>
        <w:pStyle w:val="1201"/>
        <w:tabs>
          <w:tab w:val="center" w:pos="4201" w:leader="none"/>
          <w:tab w:val="right" w:pos="9298" w:leader="dot"/>
        </w:tabs>
      </w:pPr>
      <w:r>
        <w:t xml:space="preserve">电源模块与DTU</w:t>
      </w:r>
      <w:r>
        <w:rPr>
          <w:rFonts w:hint="eastAsia"/>
        </w:rPr>
        <w:t xml:space="preserve">核心</w:t>
      </w:r>
      <w:r>
        <w:t xml:space="preserve">单元之间通过485进行通信，DTU</w:t>
      </w:r>
      <w:r>
        <w:rPr>
          <w:rFonts w:hint="eastAsia"/>
        </w:rPr>
        <w:t xml:space="preserve">核心</w:t>
      </w:r>
      <w:r>
        <w:t xml:space="preserve">单元为主方，电源模块为从方，以“问答”方式进行规约通信，考虑可能存在两块电源模块的情况，其地址从1开始依次排序，默认为1。</w:t>
      </w:r>
      <w:r/>
    </w:p>
    <w:p>
      <w:pPr>
        <w:pStyle w:val="1245"/>
        <w:numPr>
          <w:ilvl w:val="0"/>
          <w:numId w:val="75"/>
        </w:numPr>
        <w:ind w:left="420" w:firstLine="0"/>
        <w:rPr>
          <w:rStyle w:val="1246"/>
          <w:rFonts w:ascii="宋体" w:hAnsi="宋体"/>
          <w:szCs w:val="20"/>
        </w:rPr>
      </w:pPr>
      <w:r>
        <w:rPr>
          <w:rStyle w:val="1246"/>
          <w:rFonts w:ascii="宋体" w:hAnsi="宋体"/>
        </w:rPr>
        <w:t xml:space="preserve">规约格式</w:t>
      </w:r>
      <w:r>
        <w:rPr>
          <w:rStyle w:val="1246"/>
          <w:rFonts w:ascii="宋体" w:hAnsi="宋体"/>
          <w:szCs w:val="20"/>
        </w:rPr>
      </w:r>
      <w:r/>
    </w:p>
    <w:p>
      <w:pPr>
        <w:pStyle w:val="1201"/>
        <w:jc w:val="center"/>
        <w:tabs>
          <w:tab w:val="center" w:pos="4201" w:leader="none"/>
          <w:tab w:val="right" w:pos="9298" w:leader="dot"/>
        </w:tabs>
        <w:rPr>
          <w:rFonts w:ascii="黑体" w:hAnsi="黑体" w:eastAsia="黑体"/>
        </w:rPr>
      </w:pPr>
      <w:r>
        <w:rPr>
          <w:rFonts w:ascii="黑体" w:hAnsi="黑体" w:eastAsia="黑体"/>
        </w:rPr>
        <w:t xml:space="preserve">表F</w:t>
      </w:r>
      <w:r>
        <w:rPr>
          <w:rFonts w:hint="eastAsia" w:ascii="黑体" w:hAnsi="黑体" w:eastAsia="黑体"/>
        </w:rPr>
        <w:t xml:space="preserve">-</w:t>
      </w:r>
      <w:r>
        <w:rPr>
          <w:rFonts w:ascii="黑体" w:hAnsi="黑体" w:eastAsia="黑体"/>
        </w:rPr>
        <w:t xml:space="preserve">4</w:t>
      </w:r>
      <w:r>
        <w:rPr>
          <w:rFonts w:hint="eastAsia" w:ascii="黑体" w:hAnsi="黑体" w:eastAsia="黑体"/>
        </w:rPr>
        <w:t xml:space="preserve">通信规约格式</w:t>
      </w:r>
      <w:r>
        <w:rPr>
          <w:rFonts w:ascii="黑体" w:hAnsi="黑体" w:eastAsia="黑体"/>
        </w:rPr>
      </w:r>
      <w:r/>
    </w:p>
    <w:tbl>
      <w:tblPr>
        <w:tblW w:w="8138" w:type="dxa"/>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760"/>
        <w:gridCol w:w="6378"/>
      </w:tblGrid>
      <w:tr>
        <w:trPr/>
        <w:tc>
          <w:tcPr>
            <w:tcW w:w="1760" w:type="dxa"/>
            <w:vAlign w:val="center"/>
            <w:textDirection w:val="lrTb"/>
            <w:noWrap w:val="false"/>
          </w:tcPr>
          <w:p>
            <w:pPr>
              <w:pStyle w:val="1201"/>
              <w:ind w:firstLine="0"/>
              <w:jc w:val="center"/>
              <w:tabs>
                <w:tab w:val="center" w:pos="4201" w:leader="none"/>
                <w:tab w:val="right" w:pos="9298" w:leader="dot"/>
              </w:tabs>
            </w:pPr>
            <w:r>
              <w:t xml:space="preserve">字节数</w:t>
            </w:r>
            <w:r/>
          </w:p>
        </w:tc>
        <w:tc>
          <w:tcPr>
            <w:tcW w:w="6378" w:type="dxa"/>
            <w:vAlign w:val="center"/>
            <w:textDirection w:val="lrTb"/>
            <w:noWrap w:val="false"/>
          </w:tcPr>
          <w:p>
            <w:pPr>
              <w:pStyle w:val="1201"/>
              <w:ind w:firstLine="0"/>
              <w:jc w:val="center"/>
              <w:tabs>
                <w:tab w:val="center" w:pos="4201" w:leader="none"/>
                <w:tab w:val="right" w:pos="9298" w:leader="dot"/>
              </w:tabs>
            </w:pPr>
            <w:r>
              <w:t xml:space="preserve">内容</w:t>
            </w:r>
            <w:r/>
          </w:p>
        </w:tc>
      </w:tr>
      <w:tr>
        <w:trPr/>
        <w:tc>
          <w:tcPr>
            <w:tcW w:w="1760" w:type="dxa"/>
            <w:vAlign w:val="center"/>
            <w:textDirection w:val="lrTb"/>
            <w:noWrap w:val="false"/>
          </w:tcPr>
          <w:p>
            <w:pPr>
              <w:pStyle w:val="1201"/>
              <w:ind w:firstLine="0"/>
              <w:jc w:val="center"/>
              <w:tabs>
                <w:tab w:val="center" w:pos="4201" w:leader="none"/>
                <w:tab w:val="right" w:pos="9298" w:leader="dot"/>
              </w:tabs>
            </w:pPr>
            <w:r>
              <w:t xml:space="preserve">1</w:t>
            </w:r>
            <w:r/>
          </w:p>
        </w:tc>
        <w:tc>
          <w:tcPr>
            <w:tcW w:w="6378" w:type="dxa"/>
            <w:vAlign w:val="center"/>
            <w:textDirection w:val="lrTb"/>
            <w:noWrap w:val="false"/>
          </w:tcPr>
          <w:p>
            <w:pPr>
              <w:pStyle w:val="1201"/>
              <w:ind w:firstLine="0"/>
              <w:jc w:val="center"/>
              <w:tabs>
                <w:tab w:val="center" w:pos="4201" w:leader="none"/>
                <w:tab w:val="right" w:pos="9298" w:leader="dot"/>
              </w:tabs>
            </w:pPr>
            <w:r>
              <w:t xml:space="preserve">起始字符1(0xEB)</w:t>
            </w:r>
            <w:r/>
          </w:p>
        </w:tc>
      </w:tr>
      <w:tr>
        <w:trPr/>
        <w:tc>
          <w:tcPr>
            <w:tcW w:w="1760" w:type="dxa"/>
            <w:vAlign w:val="center"/>
            <w:textDirection w:val="lrTb"/>
            <w:noWrap w:val="false"/>
          </w:tcPr>
          <w:p>
            <w:pPr>
              <w:pStyle w:val="1201"/>
              <w:ind w:firstLine="0"/>
              <w:jc w:val="center"/>
              <w:tabs>
                <w:tab w:val="center" w:pos="4201" w:leader="none"/>
                <w:tab w:val="right" w:pos="9298" w:leader="dot"/>
              </w:tabs>
            </w:pPr>
            <w:r>
              <w:t xml:space="preserve">1</w:t>
            </w:r>
            <w:r/>
          </w:p>
        </w:tc>
        <w:tc>
          <w:tcPr>
            <w:tcW w:w="6378" w:type="dxa"/>
            <w:vAlign w:val="center"/>
            <w:textDirection w:val="lrTb"/>
            <w:noWrap w:val="false"/>
          </w:tcPr>
          <w:p>
            <w:pPr>
              <w:pStyle w:val="1201"/>
              <w:ind w:firstLine="0"/>
              <w:jc w:val="center"/>
              <w:tabs>
                <w:tab w:val="center" w:pos="4201" w:leader="none"/>
                <w:tab w:val="right" w:pos="9298" w:leader="dot"/>
              </w:tabs>
            </w:pPr>
            <w:r>
              <w:t xml:space="preserve">起始字符2(0x90)</w:t>
            </w:r>
            <w:r/>
          </w:p>
        </w:tc>
      </w:tr>
      <w:tr>
        <w:trPr>
          <w:trHeight w:val="857"/>
        </w:trPr>
        <w:tc>
          <w:tcPr>
            <w:tcW w:w="1760" w:type="dxa"/>
            <w:vAlign w:val="center"/>
            <w:textDirection w:val="lrTb"/>
            <w:noWrap w:val="false"/>
          </w:tcPr>
          <w:p>
            <w:pPr>
              <w:pStyle w:val="1201"/>
              <w:ind w:firstLine="0"/>
              <w:jc w:val="center"/>
              <w:tabs>
                <w:tab w:val="center" w:pos="4201" w:leader="none"/>
                <w:tab w:val="right" w:pos="9298" w:leader="dot"/>
              </w:tabs>
            </w:pPr>
            <w:r>
              <w:t xml:space="preserve">1</w:t>
            </w:r>
            <w:r/>
          </w:p>
        </w:tc>
        <w:tc>
          <w:tcPr>
            <w:tcW w:w="6378" w:type="dxa"/>
            <w:vAlign w:val="center"/>
            <w:textDirection w:val="lrTb"/>
            <w:noWrap w:val="false"/>
          </w:tcPr>
          <w:p>
            <w:pPr>
              <w:pStyle w:val="1201"/>
              <w:ind w:firstLine="0"/>
              <w:jc w:val="center"/>
              <w:tabs>
                <w:tab w:val="center" w:pos="4201" w:leader="none"/>
                <w:tab w:val="right" w:pos="9298" w:leader="dot"/>
              </w:tabs>
            </w:pPr>
            <w:r>
              <w:t xml:space="preserve">本帧报文长度（不超过255，包含电源模块地址、功能码类型、电源模块地址、数据区）</w:t>
            </w:r>
            <w:r/>
          </w:p>
        </w:tc>
      </w:tr>
      <w:tr>
        <w:trPr>
          <w:trHeight w:val="74"/>
        </w:trPr>
        <w:tc>
          <w:tcPr>
            <w:tcW w:w="1760" w:type="dxa"/>
            <w:vAlign w:val="center"/>
            <w:textDirection w:val="lrTb"/>
            <w:noWrap w:val="false"/>
          </w:tcPr>
          <w:p>
            <w:pPr>
              <w:pStyle w:val="1201"/>
              <w:ind w:firstLine="0"/>
              <w:jc w:val="center"/>
              <w:tabs>
                <w:tab w:val="center" w:pos="4201" w:leader="none"/>
                <w:tab w:val="right" w:pos="9298" w:leader="dot"/>
              </w:tabs>
            </w:pPr>
            <w:r>
              <w:t xml:space="preserve">1</w:t>
            </w:r>
            <w:r/>
          </w:p>
        </w:tc>
        <w:tc>
          <w:tcPr>
            <w:tcW w:w="6378" w:type="dxa"/>
            <w:vAlign w:val="center"/>
            <w:textDirection w:val="lrTb"/>
            <w:noWrap w:val="false"/>
          </w:tcPr>
          <w:p>
            <w:pPr>
              <w:pStyle w:val="1201"/>
              <w:ind w:firstLine="0"/>
              <w:jc w:val="center"/>
              <w:tabs>
                <w:tab w:val="center" w:pos="4201" w:leader="none"/>
                <w:tab w:val="right" w:pos="9298" w:leader="dot"/>
              </w:tabs>
            </w:pPr>
            <w:r>
              <w:t xml:space="preserve">电源模块地址（默认为1）</w:t>
            </w:r>
            <w:r/>
          </w:p>
        </w:tc>
      </w:tr>
      <w:tr>
        <w:trPr>
          <w:trHeight w:val="74"/>
        </w:trPr>
        <w:tc>
          <w:tcPr>
            <w:tcW w:w="1760" w:type="dxa"/>
            <w:vAlign w:val="center"/>
            <w:textDirection w:val="lrTb"/>
            <w:noWrap w:val="false"/>
          </w:tcPr>
          <w:p>
            <w:pPr>
              <w:pStyle w:val="1201"/>
              <w:ind w:firstLine="0"/>
              <w:jc w:val="center"/>
              <w:tabs>
                <w:tab w:val="center" w:pos="4201" w:leader="none"/>
                <w:tab w:val="right" w:pos="9298" w:leader="dot"/>
              </w:tabs>
            </w:pPr>
            <w:r>
              <w:t xml:space="preserve">1</w:t>
            </w:r>
            <w:r/>
          </w:p>
        </w:tc>
        <w:tc>
          <w:tcPr>
            <w:tcW w:w="6378" w:type="dxa"/>
            <w:vAlign w:val="center"/>
            <w:textDirection w:val="lrTb"/>
            <w:noWrap w:val="false"/>
          </w:tcPr>
          <w:p>
            <w:pPr>
              <w:pStyle w:val="1201"/>
              <w:ind w:firstLine="0"/>
              <w:jc w:val="center"/>
              <w:tabs>
                <w:tab w:val="center" w:pos="4201" w:leader="none"/>
                <w:tab w:val="right" w:pos="9298" w:leader="dot"/>
              </w:tabs>
            </w:pPr>
            <w:r>
              <w:t xml:space="preserve">功能码类型</w:t>
            </w:r>
            <w:r/>
          </w:p>
        </w:tc>
      </w:tr>
      <w:tr>
        <w:trPr>
          <w:trHeight w:val="73"/>
        </w:trPr>
        <w:tc>
          <w:tcPr>
            <w:tcW w:w="1760" w:type="dxa"/>
            <w:vAlign w:val="center"/>
            <w:textDirection w:val="lrTb"/>
            <w:noWrap w:val="false"/>
          </w:tcPr>
          <w:p>
            <w:pPr>
              <w:pStyle w:val="1201"/>
              <w:ind w:firstLine="0"/>
              <w:jc w:val="center"/>
              <w:tabs>
                <w:tab w:val="center" w:pos="4201" w:leader="none"/>
                <w:tab w:val="right" w:pos="9298" w:leader="dot"/>
              </w:tabs>
            </w:pPr>
            <w:r>
              <w:t xml:space="preserve">1</w:t>
            </w:r>
            <w:r/>
          </w:p>
        </w:tc>
        <w:tc>
          <w:tcPr>
            <w:tcW w:w="6378" w:type="dxa"/>
            <w:vAlign w:val="center"/>
            <w:textDirection w:val="lrTb"/>
            <w:noWrap w:val="false"/>
          </w:tcPr>
          <w:p>
            <w:pPr>
              <w:pStyle w:val="1201"/>
              <w:ind w:firstLine="0"/>
              <w:jc w:val="center"/>
              <w:tabs>
                <w:tab w:val="center" w:pos="4201" w:leader="none"/>
                <w:tab w:val="right" w:pos="9298" w:leader="dot"/>
              </w:tabs>
            </w:pPr>
            <w:r>
              <w:t xml:space="preserve">功能码子类型</w:t>
            </w:r>
            <w:r/>
          </w:p>
        </w:tc>
      </w:tr>
      <w:tr>
        <w:trPr/>
        <w:tc>
          <w:tcPr>
            <w:tcW w:w="1760" w:type="dxa"/>
            <w:vAlign w:val="center"/>
            <w:textDirection w:val="lrTb"/>
            <w:noWrap w:val="false"/>
          </w:tcPr>
          <w:p>
            <w:pPr>
              <w:pStyle w:val="1201"/>
              <w:ind w:firstLine="0"/>
              <w:jc w:val="center"/>
              <w:tabs>
                <w:tab w:val="center" w:pos="4201" w:leader="none"/>
                <w:tab w:val="right" w:pos="9298" w:leader="dot"/>
              </w:tabs>
            </w:pPr>
            <w:r>
              <w:t xml:space="preserve">FRDN</w:t>
            </w:r>
            <w:r/>
          </w:p>
        </w:tc>
        <w:tc>
          <w:tcPr>
            <w:tcW w:w="6378" w:type="dxa"/>
            <w:vAlign w:val="center"/>
            <w:textDirection w:val="lrTb"/>
            <w:noWrap w:val="false"/>
          </w:tcPr>
          <w:p>
            <w:pPr>
              <w:pStyle w:val="1201"/>
              <w:ind w:firstLine="0"/>
              <w:jc w:val="center"/>
              <w:tabs>
                <w:tab w:val="center" w:pos="4201" w:leader="none"/>
                <w:tab w:val="right" w:pos="9298" w:leader="dot"/>
              </w:tabs>
            </w:pPr>
            <w:r>
              <w:t xml:space="preserve">本帧数据区</w:t>
            </w:r>
            <w:r/>
          </w:p>
        </w:tc>
      </w:tr>
      <w:tr>
        <w:trPr/>
        <w:tc>
          <w:tcPr>
            <w:tcW w:w="1760" w:type="dxa"/>
            <w:vAlign w:val="center"/>
            <w:textDirection w:val="lrTb"/>
            <w:noWrap w:val="false"/>
          </w:tcPr>
          <w:p>
            <w:pPr>
              <w:pStyle w:val="1201"/>
              <w:ind w:firstLine="0"/>
              <w:jc w:val="center"/>
              <w:tabs>
                <w:tab w:val="center" w:pos="4201" w:leader="none"/>
                <w:tab w:val="right" w:pos="9298" w:leader="dot"/>
              </w:tabs>
            </w:pPr>
            <w:r>
              <w:t xml:space="preserve">1</w:t>
            </w:r>
            <w:r/>
          </w:p>
        </w:tc>
        <w:tc>
          <w:tcPr>
            <w:tcW w:w="6378" w:type="dxa"/>
            <w:vAlign w:val="center"/>
            <w:textDirection w:val="lrTb"/>
            <w:noWrap w:val="false"/>
          </w:tcPr>
          <w:p>
            <w:pPr>
              <w:pStyle w:val="1201"/>
              <w:ind w:firstLine="0"/>
              <w:jc w:val="center"/>
              <w:tabs>
                <w:tab w:val="center" w:pos="4201" w:leader="none"/>
                <w:tab w:val="right" w:pos="9298" w:leader="dot"/>
              </w:tabs>
            </w:pPr>
            <w:r>
              <w:t xml:space="preserve">本帧校验和(从起始字符1至数据区</w:t>
            </w:r>
            <w:r>
              <w:rPr>
                <w:rFonts w:hint="eastAsia"/>
              </w:rPr>
              <w:t xml:space="preserve">最后字节进行校验计算，以累加和方式计算校验</w:t>
            </w:r>
            <w:r>
              <w:t xml:space="preserve">)</w:t>
            </w:r>
            <w:r/>
          </w:p>
        </w:tc>
      </w:tr>
    </w:tbl>
    <w:p>
      <w:pPr>
        <w:pStyle w:val="1201"/>
        <w:tabs>
          <w:tab w:val="center" w:pos="4201" w:leader="none"/>
          <w:tab w:val="right" w:pos="9298" w:leader="dot"/>
        </w:tabs>
      </w:pPr>
      <w:r>
        <w:t xml:space="preserve">功能码类型码定义，其中Bit7为方向，Bit7为0时为DTU核心单元向电源模块发送报文，Bit7为1时为电源模块向DTU核心单元回复报文</w:t>
      </w:r>
      <w:r>
        <w:rPr>
          <w:rFonts w:hint="eastAsia"/>
        </w:rPr>
        <w:t xml:space="preserve">；</w:t>
      </w:r>
      <w:r>
        <w:t xml:space="preserve">Bit6~Bit0为功能类型</w:t>
      </w:r>
      <w:r>
        <w:rPr>
          <w:rFonts w:hint="eastAsia"/>
        </w:rPr>
        <w:t xml:space="preserve">，功能类型说明如表E-</w:t>
      </w:r>
      <w:r>
        <w:t xml:space="preserve">5</w:t>
      </w:r>
      <w:r>
        <w:rPr>
          <w:rFonts w:hint="eastAsia"/>
        </w:rPr>
        <w:t xml:space="preserve">所示。</w:t>
      </w:r>
      <w:r/>
    </w:p>
    <w:p>
      <w:pPr>
        <w:pStyle w:val="1201"/>
        <w:jc w:val="center"/>
        <w:tabs>
          <w:tab w:val="center" w:pos="4201" w:leader="none"/>
          <w:tab w:val="right" w:pos="9298" w:leader="dot"/>
        </w:tabs>
        <w:rPr>
          <w:rFonts w:ascii="黑体" w:hAnsi="黑体" w:eastAsia="黑体"/>
        </w:rPr>
      </w:pPr>
      <w:r>
        <w:rPr>
          <w:rFonts w:ascii="黑体" w:hAnsi="黑体" w:eastAsia="黑体"/>
        </w:rPr>
        <w:t xml:space="preserve">表F</w:t>
      </w:r>
      <w:r>
        <w:rPr>
          <w:rFonts w:hint="eastAsia" w:ascii="黑体" w:hAnsi="黑体" w:eastAsia="黑体"/>
        </w:rPr>
        <w:t xml:space="preserve">-</w:t>
      </w:r>
      <w:r>
        <w:rPr>
          <w:rFonts w:ascii="黑体" w:hAnsi="黑体" w:eastAsia="黑体"/>
        </w:rPr>
        <w:t xml:space="preserve">5</w:t>
      </w:r>
      <w:r>
        <w:rPr>
          <w:rFonts w:hint="eastAsia" w:ascii="黑体" w:hAnsi="黑体" w:eastAsia="黑体"/>
        </w:rPr>
        <w:t xml:space="preserve">功能类型说明</w:t>
      </w:r>
      <w:r>
        <w:rPr>
          <w:rFonts w:ascii="黑体" w:hAnsi="黑体" w:eastAsia="黑体"/>
        </w:rPr>
      </w:r>
      <w:r/>
    </w:p>
    <w:tbl>
      <w:tblPr>
        <w:tblW w:w="80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3"/>
        <w:gridCol w:w="5916"/>
      </w:tblGrid>
      <w:tr>
        <w:trPr/>
        <w:tc>
          <w:tcPr>
            <w:tcW w:w="2173" w:type="dxa"/>
            <w:vAlign w:val="top"/>
            <w:textDirection w:val="lrTb"/>
            <w:noWrap w:val="false"/>
          </w:tcPr>
          <w:p>
            <w:pPr>
              <w:pStyle w:val="1201"/>
              <w:ind w:firstLine="0"/>
              <w:jc w:val="center"/>
              <w:tabs>
                <w:tab w:val="center" w:pos="4201" w:leader="none"/>
                <w:tab w:val="right" w:pos="9298" w:leader="dot"/>
              </w:tabs>
            </w:pPr>
            <w:r>
              <w:t xml:space="preserve">功能类型(16进制)</w:t>
            </w:r>
            <w:r/>
          </w:p>
        </w:tc>
        <w:tc>
          <w:tcPr>
            <w:tcW w:w="5916" w:type="dxa"/>
            <w:vAlign w:val="top"/>
            <w:textDirection w:val="lrTb"/>
            <w:noWrap w:val="false"/>
          </w:tcPr>
          <w:p>
            <w:pPr>
              <w:pStyle w:val="1201"/>
              <w:ind w:firstLine="0"/>
              <w:jc w:val="center"/>
              <w:tabs>
                <w:tab w:val="center" w:pos="4201" w:leader="none"/>
                <w:tab w:val="right" w:pos="9298" w:leader="dot"/>
              </w:tabs>
            </w:pPr>
            <w:r>
              <w:t xml:space="preserve">说明</w:t>
            </w:r>
            <w:r/>
          </w:p>
        </w:tc>
      </w:tr>
      <w:tr>
        <w:trPr>
          <w:trHeight w:val="248"/>
        </w:trPr>
        <w:tc>
          <w:tcPr>
            <w:tcW w:w="2173" w:type="dxa"/>
            <w:vAlign w:val="top"/>
            <w:textDirection w:val="lrTb"/>
            <w:noWrap w:val="false"/>
          </w:tcPr>
          <w:p>
            <w:pPr>
              <w:pStyle w:val="1201"/>
              <w:ind w:firstLine="0"/>
              <w:jc w:val="center"/>
              <w:tabs>
                <w:tab w:val="center" w:pos="4201" w:leader="none"/>
                <w:tab w:val="right" w:pos="9298" w:leader="dot"/>
              </w:tabs>
            </w:pPr>
            <w:r>
              <w:t xml:space="preserve">01</w:t>
            </w:r>
            <w:r/>
          </w:p>
        </w:tc>
        <w:tc>
          <w:tcPr>
            <w:tcW w:w="5916" w:type="dxa"/>
            <w:vAlign w:val="top"/>
            <w:textDirection w:val="lrTb"/>
            <w:noWrap w:val="false"/>
          </w:tcPr>
          <w:p>
            <w:pPr>
              <w:pStyle w:val="1201"/>
              <w:ind w:firstLine="0"/>
              <w:jc w:val="center"/>
              <w:tabs>
                <w:tab w:val="center" w:pos="4201" w:leader="none"/>
                <w:tab w:val="right" w:pos="9298" w:leader="dot"/>
              </w:tabs>
            </w:pPr>
            <w:r>
              <w:t xml:space="preserve">查询</w:t>
            </w:r>
            <w:r/>
          </w:p>
        </w:tc>
      </w:tr>
      <w:tr>
        <w:trPr/>
        <w:tc>
          <w:tcPr>
            <w:tcW w:w="2173" w:type="dxa"/>
            <w:vAlign w:val="top"/>
            <w:textDirection w:val="lrTb"/>
            <w:noWrap w:val="false"/>
          </w:tcPr>
          <w:p>
            <w:pPr>
              <w:pStyle w:val="1201"/>
              <w:ind w:firstLine="0"/>
              <w:jc w:val="center"/>
              <w:tabs>
                <w:tab w:val="center" w:pos="4201" w:leader="none"/>
                <w:tab w:val="right" w:pos="9298" w:leader="dot"/>
              </w:tabs>
            </w:pPr>
            <w:r>
              <w:t xml:space="preserve">02</w:t>
            </w:r>
            <w:r/>
          </w:p>
        </w:tc>
        <w:tc>
          <w:tcPr>
            <w:tcW w:w="5916" w:type="dxa"/>
            <w:vAlign w:val="top"/>
            <w:textDirection w:val="lrTb"/>
            <w:noWrap w:val="false"/>
          </w:tcPr>
          <w:p>
            <w:pPr>
              <w:pStyle w:val="1201"/>
              <w:ind w:firstLine="0"/>
              <w:jc w:val="center"/>
              <w:tabs>
                <w:tab w:val="center" w:pos="4201" w:leader="none"/>
                <w:tab w:val="right" w:pos="9298" w:leader="dot"/>
              </w:tabs>
            </w:pPr>
            <w:r>
              <w:t xml:space="preserve">控制</w:t>
            </w:r>
            <w:r/>
          </w:p>
        </w:tc>
      </w:tr>
    </w:tbl>
    <w:p>
      <w:pPr>
        <w:pStyle w:val="1245"/>
        <w:numPr>
          <w:ilvl w:val="0"/>
          <w:numId w:val="75"/>
        </w:numPr>
        <w:ind w:left="420" w:firstLine="0"/>
        <w:rPr>
          <w:rStyle w:val="1246"/>
          <w:rFonts w:ascii="宋体" w:hAnsi="宋体"/>
        </w:rPr>
      </w:pPr>
      <w:r>
        <w:rPr>
          <w:rStyle w:val="1246"/>
          <w:rFonts w:ascii="宋体" w:hAnsi="宋体"/>
        </w:rPr>
        <w:t xml:space="preserve">报文详细结构</w:t>
      </w:r>
      <w:r>
        <w:rPr>
          <w:rStyle w:val="1246"/>
          <w:rFonts w:ascii="宋体" w:hAnsi="宋体"/>
        </w:rPr>
      </w:r>
      <w:r/>
    </w:p>
    <w:p>
      <w:pPr>
        <w:pStyle w:val="1245"/>
        <w:numPr>
          <w:ilvl w:val="1"/>
          <w:numId w:val="75"/>
        </w:numPr>
        <w:ind w:left="839" w:firstLine="0"/>
        <w:rPr>
          <w:rFonts w:ascii="宋体" w:hAnsi="宋体"/>
        </w:rPr>
      </w:pPr>
      <w:r>
        <w:t xml:space="preserve">查询</w:t>
      </w:r>
      <w:r>
        <w:rPr>
          <w:rFonts w:ascii="宋体" w:hAnsi="宋体"/>
        </w:rPr>
      </w:r>
      <w:r/>
    </w:p>
    <w:p>
      <w:pPr>
        <w:pStyle w:val="1201"/>
        <w:jc w:val="center"/>
        <w:tabs>
          <w:tab w:val="center" w:pos="4201" w:leader="none"/>
          <w:tab w:val="right" w:pos="9298" w:leader="dot"/>
        </w:tabs>
        <w:rPr>
          <w:rFonts w:ascii="黑体" w:hAnsi="黑体" w:eastAsia="黑体"/>
        </w:rPr>
      </w:pPr>
      <w:r>
        <w:rPr>
          <w:rFonts w:ascii="黑体" w:hAnsi="黑体" w:eastAsia="黑体"/>
        </w:rPr>
        <w:t xml:space="preserve">表F</w:t>
      </w:r>
      <w:r>
        <w:rPr>
          <w:rFonts w:hint="eastAsia" w:ascii="黑体" w:hAnsi="黑体" w:eastAsia="黑体"/>
        </w:rPr>
        <w:t xml:space="preserve">-</w:t>
      </w:r>
      <w:r>
        <w:rPr>
          <w:rFonts w:ascii="黑体" w:hAnsi="黑体" w:eastAsia="黑体"/>
        </w:rPr>
        <w:t xml:space="preserve">6</w:t>
      </w:r>
      <w:r>
        <w:rPr>
          <w:rFonts w:hint="eastAsia" w:ascii="黑体" w:hAnsi="黑体" w:eastAsia="黑体"/>
        </w:rPr>
        <w:t xml:space="preserve">查询报文说明</w:t>
      </w:r>
      <w:r>
        <w:rPr>
          <w:rFonts w:ascii="黑体" w:hAnsi="黑体" w:eastAsia="黑体"/>
        </w:rPr>
      </w:r>
      <w:r/>
    </w:p>
    <w:tbl>
      <w:tblPr>
        <w:tblW w:w="77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53"/>
        <w:gridCol w:w="4589"/>
      </w:tblGrid>
      <w:tr>
        <w:trPr>
          <w:trHeight w:val="474"/>
        </w:trPr>
        <w:tc>
          <w:tcPr>
            <w:tcW w:w="3153" w:type="dxa"/>
            <w:vAlign w:val="top"/>
            <w:textDirection w:val="lrTb"/>
            <w:noWrap w:val="false"/>
          </w:tcPr>
          <w:p>
            <w:pPr>
              <w:pStyle w:val="1201"/>
              <w:ind w:firstLine="0"/>
              <w:jc w:val="center"/>
              <w:tabs>
                <w:tab w:val="center" w:pos="4201" w:leader="none"/>
                <w:tab w:val="right" w:pos="9298" w:leader="dot"/>
              </w:tabs>
            </w:pPr>
            <w:r>
              <w:t xml:space="preserve">功能子类型 (16进制)</w:t>
            </w:r>
            <w:r/>
          </w:p>
        </w:tc>
        <w:tc>
          <w:tcPr>
            <w:tcW w:w="4589" w:type="dxa"/>
            <w:vAlign w:val="top"/>
            <w:textDirection w:val="lrTb"/>
            <w:noWrap w:val="false"/>
          </w:tcPr>
          <w:p>
            <w:pPr>
              <w:pStyle w:val="1201"/>
              <w:ind w:firstLine="0"/>
              <w:jc w:val="center"/>
              <w:tabs>
                <w:tab w:val="center" w:pos="4201" w:leader="none"/>
                <w:tab w:val="right" w:pos="9298" w:leader="dot"/>
              </w:tabs>
            </w:pPr>
            <w:r>
              <w:t xml:space="preserve">说明</w:t>
            </w:r>
            <w:r/>
          </w:p>
        </w:tc>
      </w:tr>
      <w:tr>
        <w:trPr>
          <w:trHeight w:val="158"/>
        </w:trPr>
        <w:tc>
          <w:tcPr>
            <w:tcW w:w="3153" w:type="dxa"/>
            <w:vAlign w:val="top"/>
            <w:textDirection w:val="lrTb"/>
            <w:noWrap w:val="false"/>
          </w:tcPr>
          <w:p>
            <w:pPr>
              <w:pStyle w:val="1201"/>
              <w:ind w:firstLine="0"/>
              <w:jc w:val="center"/>
              <w:tabs>
                <w:tab w:val="center" w:pos="4201" w:leader="none"/>
                <w:tab w:val="right" w:pos="9298" w:leader="dot"/>
              </w:tabs>
            </w:pPr>
            <w:r>
              <w:t xml:space="preserve">01</w:t>
            </w:r>
            <w:r/>
          </w:p>
        </w:tc>
        <w:tc>
          <w:tcPr>
            <w:tcW w:w="4589" w:type="dxa"/>
            <w:vAlign w:val="top"/>
            <w:textDirection w:val="lrTb"/>
            <w:noWrap w:val="false"/>
          </w:tcPr>
          <w:p>
            <w:pPr>
              <w:pStyle w:val="1201"/>
              <w:ind w:firstLine="0"/>
              <w:jc w:val="center"/>
              <w:tabs>
                <w:tab w:val="center" w:pos="4201" w:leader="none"/>
                <w:tab w:val="right" w:pos="9298" w:leader="dot"/>
              </w:tabs>
            </w:pPr>
            <w:r>
              <w:t xml:space="preserve">查询后备电源电压信息</w:t>
            </w:r>
            <w:r/>
          </w:p>
        </w:tc>
      </w:tr>
      <w:tr>
        <w:trPr/>
        <w:tc>
          <w:tcPr>
            <w:tcW w:w="3153" w:type="dxa"/>
            <w:vAlign w:val="top"/>
            <w:textDirection w:val="lrTb"/>
            <w:noWrap w:val="false"/>
          </w:tcPr>
          <w:p>
            <w:pPr>
              <w:pStyle w:val="1201"/>
              <w:ind w:firstLine="0"/>
              <w:jc w:val="center"/>
              <w:tabs>
                <w:tab w:val="center" w:pos="4201" w:leader="none"/>
                <w:tab w:val="right" w:pos="9298" w:leader="dot"/>
              </w:tabs>
            </w:pPr>
            <w:r>
              <w:t xml:space="preserve">02</w:t>
            </w:r>
            <w:r/>
          </w:p>
        </w:tc>
        <w:tc>
          <w:tcPr>
            <w:tcW w:w="4589" w:type="dxa"/>
            <w:vAlign w:val="top"/>
            <w:textDirection w:val="lrTb"/>
            <w:noWrap w:val="false"/>
          </w:tcPr>
          <w:p>
            <w:pPr>
              <w:pStyle w:val="1201"/>
              <w:ind w:firstLine="0"/>
              <w:jc w:val="center"/>
              <w:tabs>
                <w:tab w:val="center" w:pos="4201" w:leader="none"/>
                <w:tab w:val="right" w:pos="9298" w:leader="dot"/>
              </w:tabs>
            </w:pPr>
            <w:r>
              <w:t xml:space="preserve">查询电源系统状态信息</w:t>
            </w:r>
            <w:r/>
          </w:p>
        </w:tc>
      </w:tr>
      <w:tr>
        <w:trPr>
          <w:trHeight w:val="157"/>
        </w:trPr>
        <w:tc>
          <w:tcPr>
            <w:tcW w:w="3153" w:type="dxa"/>
            <w:vAlign w:val="top"/>
            <w:textDirection w:val="lrTb"/>
            <w:noWrap w:val="false"/>
          </w:tcPr>
          <w:p>
            <w:pPr>
              <w:pStyle w:val="1201"/>
              <w:ind w:firstLine="0"/>
              <w:jc w:val="center"/>
              <w:tabs>
                <w:tab w:val="center" w:pos="4201" w:leader="none"/>
                <w:tab w:val="right" w:pos="9298" w:leader="dot"/>
              </w:tabs>
            </w:pPr>
            <w:r>
              <w:t xml:space="preserve">03</w:t>
            </w:r>
            <w:r/>
          </w:p>
        </w:tc>
        <w:tc>
          <w:tcPr>
            <w:tcW w:w="4589" w:type="dxa"/>
            <w:vAlign w:val="top"/>
            <w:textDirection w:val="lrTb"/>
            <w:noWrap w:val="false"/>
          </w:tcPr>
          <w:p>
            <w:pPr>
              <w:pStyle w:val="1201"/>
              <w:ind w:firstLine="0"/>
              <w:jc w:val="center"/>
              <w:tabs>
                <w:tab w:val="center" w:pos="4201" w:leader="none"/>
                <w:tab w:val="right" w:pos="9298" w:leader="dot"/>
              </w:tabs>
            </w:pPr>
            <w:r>
              <w:t xml:space="preserve">查询电源系统运行信息</w:t>
            </w:r>
            <w:r/>
          </w:p>
        </w:tc>
      </w:tr>
    </w:tbl>
    <w:p>
      <w:pPr>
        <w:pStyle w:val="1245"/>
        <w:numPr>
          <w:ilvl w:val="1"/>
          <w:numId w:val="75"/>
        </w:numPr>
        <w:ind w:left="839" w:firstLine="0"/>
      </w:pPr>
      <w:r>
        <w:t xml:space="preserve">后备电源电压信息</w:t>
      </w:r>
      <w:r/>
    </w:p>
    <w:p>
      <w:pPr>
        <w:pStyle w:val="1245"/>
        <w:numPr>
          <w:ilvl w:val="2"/>
          <w:numId w:val="75"/>
        </w:numPr>
        <w:ind w:left="1259" w:firstLine="0"/>
        <w:rPr>
          <w:rFonts w:ascii="宋体" w:hAnsi="宋体"/>
        </w:rPr>
      </w:pPr>
      <w:r>
        <w:t xml:space="preserve">DTU核心单元向电源模块查询后备电源电压信息</w:t>
      </w:r>
      <w:r>
        <w:rPr>
          <w:rFonts w:ascii="宋体" w:hAnsi="宋体"/>
        </w:rPr>
      </w:r>
      <w:r/>
    </w:p>
    <w:p>
      <w:pPr>
        <w:pStyle w:val="1201"/>
        <w:jc w:val="center"/>
        <w:tabs>
          <w:tab w:val="center" w:pos="4201" w:leader="none"/>
          <w:tab w:val="right" w:pos="9298" w:leader="dot"/>
        </w:tabs>
        <w:rPr>
          <w:rFonts w:ascii="黑体" w:hAnsi="黑体" w:eastAsia="黑体"/>
        </w:rPr>
      </w:pPr>
      <w:r>
        <w:rPr>
          <w:rFonts w:ascii="黑体" w:hAnsi="黑体" w:eastAsia="黑体"/>
        </w:rPr>
        <w:t xml:space="preserve">表F</w:t>
      </w:r>
      <w:r>
        <w:rPr>
          <w:rFonts w:hint="eastAsia" w:ascii="黑体" w:hAnsi="黑体" w:eastAsia="黑体"/>
        </w:rPr>
        <w:t xml:space="preserve">-</w:t>
      </w:r>
      <w:r>
        <w:rPr>
          <w:rFonts w:ascii="黑体" w:hAnsi="黑体" w:eastAsia="黑体"/>
        </w:rPr>
        <w:t xml:space="preserve">7</w:t>
      </w:r>
      <w:r>
        <w:rPr>
          <w:rFonts w:hint="eastAsia" w:ascii="黑体" w:hAnsi="黑体" w:eastAsia="黑体"/>
        </w:rPr>
        <w:t xml:space="preserve">后备电源电压信息查询报文说明</w:t>
      </w:r>
      <w:r>
        <w:rPr>
          <w:rFonts w:ascii="黑体" w:hAnsi="黑体" w:eastAsia="黑体"/>
        </w:rPr>
      </w:r>
      <w:r/>
    </w:p>
    <w:tbl>
      <w:tblPr>
        <w:tblW w:w="74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4658"/>
      </w:tblGrid>
      <w:tr>
        <w:trPr/>
        <w:tc>
          <w:tcPr>
            <w:tcW w:w="2840" w:type="dxa"/>
            <w:vAlign w:val="top"/>
            <w:textDirection w:val="lrTb"/>
            <w:noWrap w:val="false"/>
          </w:tcPr>
          <w:p>
            <w:pPr>
              <w:pStyle w:val="1201"/>
              <w:ind w:firstLine="0"/>
              <w:jc w:val="center"/>
              <w:tabs>
                <w:tab w:val="center" w:pos="4201" w:leader="none"/>
                <w:tab w:val="right" w:pos="9298" w:leader="dot"/>
              </w:tabs>
            </w:pPr>
            <w:r>
              <w:t xml:space="preserve">起始字符1</w:t>
            </w:r>
            <w:r/>
          </w:p>
        </w:tc>
        <w:tc>
          <w:tcPr>
            <w:tcW w:w="4658" w:type="dxa"/>
            <w:vAlign w:val="top"/>
            <w:textDirection w:val="lrTb"/>
            <w:noWrap w:val="false"/>
          </w:tcPr>
          <w:p>
            <w:pPr>
              <w:pStyle w:val="1201"/>
              <w:ind w:firstLine="0"/>
              <w:jc w:val="center"/>
              <w:tabs>
                <w:tab w:val="center" w:pos="4201" w:leader="none"/>
                <w:tab w:val="right" w:pos="9298" w:leader="dot"/>
              </w:tabs>
            </w:pPr>
            <w:r>
              <w:t xml:space="preserve">0xEB</w:t>
            </w:r>
            <w:r/>
          </w:p>
        </w:tc>
      </w:tr>
      <w:tr>
        <w:trPr/>
        <w:tc>
          <w:tcPr>
            <w:tcW w:w="2840" w:type="dxa"/>
            <w:vAlign w:val="top"/>
            <w:textDirection w:val="lrTb"/>
            <w:noWrap w:val="false"/>
          </w:tcPr>
          <w:p>
            <w:pPr>
              <w:pStyle w:val="1201"/>
              <w:ind w:firstLine="0"/>
              <w:jc w:val="center"/>
              <w:tabs>
                <w:tab w:val="center" w:pos="4201" w:leader="none"/>
                <w:tab w:val="right" w:pos="9298" w:leader="dot"/>
              </w:tabs>
            </w:pPr>
            <w:r>
              <w:t xml:space="preserve">起始字符2</w:t>
            </w:r>
            <w:r/>
          </w:p>
        </w:tc>
        <w:tc>
          <w:tcPr>
            <w:tcW w:w="4658" w:type="dxa"/>
            <w:vAlign w:val="top"/>
            <w:textDirection w:val="lrTb"/>
            <w:noWrap w:val="false"/>
          </w:tcPr>
          <w:p>
            <w:pPr>
              <w:pStyle w:val="1201"/>
              <w:ind w:firstLine="0"/>
              <w:jc w:val="center"/>
              <w:tabs>
                <w:tab w:val="center" w:pos="4201" w:leader="none"/>
                <w:tab w:val="right" w:pos="9298" w:leader="dot"/>
              </w:tabs>
            </w:pPr>
            <w:r>
              <w:t xml:space="preserve">0x90</w:t>
            </w:r>
            <w:r/>
          </w:p>
        </w:tc>
      </w:tr>
      <w:tr>
        <w:trPr/>
        <w:tc>
          <w:tcPr>
            <w:tcW w:w="2840" w:type="dxa"/>
            <w:vAlign w:val="top"/>
            <w:textDirection w:val="lrTb"/>
            <w:noWrap w:val="false"/>
          </w:tcPr>
          <w:p>
            <w:pPr>
              <w:pStyle w:val="1201"/>
              <w:ind w:firstLine="0"/>
              <w:jc w:val="center"/>
              <w:tabs>
                <w:tab w:val="center" w:pos="4201" w:leader="none"/>
                <w:tab w:val="right" w:pos="9298" w:leader="dot"/>
              </w:tabs>
            </w:pPr>
            <w:r>
              <w:t xml:space="preserve">长度</w:t>
            </w:r>
            <w:r/>
          </w:p>
        </w:tc>
        <w:tc>
          <w:tcPr>
            <w:tcW w:w="4658" w:type="dxa"/>
            <w:vAlign w:val="top"/>
            <w:textDirection w:val="lrTb"/>
            <w:noWrap w:val="false"/>
          </w:tcPr>
          <w:p>
            <w:pPr>
              <w:pStyle w:val="1201"/>
              <w:ind w:firstLine="0"/>
              <w:jc w:val="center"/>
              <w:tabs>
                <w:tab w:val="center" w:pos="4201" w:leader="none"/>
                <w:tab w:val="right" w:pos="9298" w:leader="dot"/>
              </w:tabs>
            </w:pPr>
            <w:r>
              <w:t xml:space="preserve">3</w:t>
            </w:r>
            <w:r/>
          </w:p>
        </w:tc>
      </w:tr>
      <w:tr>
        <w:trPr>
          <w:trHeight w:val="74"/>
        </w:trPr>
        <w:tc>
          <w:tcPr>
            <w:tcW w:w="2840" w:type="dxa"/>
            <w:vAlign w:val="top"/>
            <w:textDirection w:val="lrTb"/>
            <w:noWrap w:val="false"/>
          </w:tcPr>
          <w:p>
            <w:pPr>
              <w:pStyle w:val="1201"/>
              <w:ind w:firstLine="0"/>
              <w:jc w:val="center"/>
              <w:tabs>
                <w:tab w:val="center" w:pos="4201" w:leader="none"/>
                <w:tab w:val="right" w:pos="9298" w:leader="dot"/>
              </w:tabs>
            </w:pPr>
            <w:r>
              <w:t xml:space="preserve">电源模块地址</w:t>
            </w:r>
            <w:r/>
          </w:p>
        </w:tc>
        <w:tc>
          <w:tcPr>
            <w:tcW w:w="4658" w:type="dxa"/>
            <w:vAlign w:val="top"/>
            <w:textDirection w:val="lrTb"/>
            <w:noWrap w:val="false"/>
          </w:tcPr>
          <w:p>
            <w:pPr>
              <w:pStyle w:val="1201"/>
              <w:ind w:firstLine="0"/>
              <w:jc w:val="center"/>
              <w:tabs>
                <w:tab w:val="center" w:pos="4201" w:leader="none"/>
                <w:tab w:val="right" w:pos="9298" w:leader="dot"/>
              </w:tabs>
            </w:pPr>
            <w:r>
              <w:t xml:space="preserve">0x01</w:t>
            </w:r>
            <w:r/>
          </w:p>
        </w:tc>
      </w:tr>
      <w:tr>
        <w:trPr>
          <w:trHeight w:val="74"/>
        </w:trPr>
        <w:tc>
          <w:tcPr>
            <w:tcW w:w="2840" w:type="dxa"/>
            <w:vAlign w:val="top"/>
            <w:textDirection w:val="lrTb"/>
            <w:noWrap w:val="false"/>
          </w:tcPr>
          <w:p>
            <w:pPr>
              <w:pStyle w:val="1201"/>
              <w:ind w:firstLine="0"/>
              <w:jc w:val="center"/>
              <w:tabs>
                <w:tab w:val="center" w:pos="4201" w:leader="none"/>
                <w:tab w:val="right" w:pos="9298" w:leader="dot"/>
              </w:tabs>
            </w:pPr>
            <w:r>
              <w:t xml:space="preserve">功能码</w:t>
            </w:r>
            <w:r/>
          </w:p>
        </w:tc>
        <w:tc>
          <w:tcPr>
            <w:tcW w:w="4658" w:type="dxa"/>
            <w:vAlign w:val="top"/>
            <w:textDirection w:val="lrTb"/>
            <w:noWrap w:val="false"/>
          </w:tcPr>
          <w:p>
            <w:pPr>
              <w:pStyle w:val="1201"/>
              <w:ind w:firstLine="0"/>
              <w:jc w:val="center"/>
              <w:tabs>
                <w:tab w:val="center" w:pos="4201" w:leader="none"/>
                <w:tab w:val="right" w:pos="9298" w:leader="dot"/>
              </w:tabs>
            </w:pPr>
            <w:r>
              <w:t xml:space="preserve">0x01</w:t>
            </w:r>
            <w:r/>
          </w:p>
        </w:tc>
      </w:tr>
      <w:tr>
        <w:trPr>
          <w:trHeight w:val="73"/>
        </w:trPr>
        <w:tc>
          <w:tcPr>
            <w:tcW w:w="2840" w:type="dxa"/>
            <w:vAlign w:val="top"/>
            <w:textDirection w:val="lrTb"/>
            <w:noWrap w:val="false"/>
          </w:tcPr>
          <w:p>
            <w:pPr>
              <w:pStyle w:val="1201"/>
              <w:ind w:firstLine="0"/>
              <w:jc w:val="center"/>
              <w:tabs>
                <w:tab w:val="center" w:pos="4201" w:leader="none"/>
                <w:tab w:val="right" w:pos="9298" w:leader="dot"/>
              </w:tabs>
            </w:pPr>
            <w:r>
              <w:t xml:space="preserve">子类型</w:t>
            </w:r>
            <w:r/>
          </w:p>
        </w:tc>
        <w:tc>
          <w:tcPr>
            <w:tcW w:w="4658" w:type="dxa"/>
            <w:vAlign w:val="top"/>
            <w:textDirection w:val="lrTb"/>
            <w:noWrap w:val="false"/>
          </w:tcPr>
          <w:p>
            <w:pPr>
              <w:pStyle w:val="1201"/>
              <w:ind w:firstLine="0"/>
              <w:jc w:val="center"/>
              <w:tabs>
                <w:tab w:val="center" w:pos="4201" w:leader="none"/>
                <w:tab w:val="right" w:pos="9298" w:leader="dot"/>
              </w:tabs>
            </w:pPr>
            <w:r>
              <w:t xml:space="preserve">0x01</w:t>
            </w:r>
            <w:r/>
          </w:p>
        </w:tc>
      </w:tr>
      <w:tr>
        <w:trPr/>
        <w:tc>
          <w:tcPr>
            <w:tcW w:w="2840" w:type="dxa"/>
            <w:vAlign w:val="top"/>
            <w:textDirection w:val="lrTb"/>
            <w:noWrap w:val="false"/>
          </w:tcPr>
          <w:p>
            <w:pPr>
              <w:pStyle w:val="1201"/>
              <w:ind w:firstLine="0"/>
              <w:jc w:val="center"/>
              <w:tabs>
                <w:tab w:val="center" w:pos="4201" w:leader="none"/>
                <w:tab w:val="right" w:pos="9298" w:leader="dot"/>
              </w:tabs>
            </w:pPr>
            <w:r>
              <w:t xml:space="preserve">校验和</w:t>
            </w:r>
            <w:r/>
          </w:p>
        </w:tc>
        <w:tc>
          <w:tcPr>
            <w:tcW w:w="4658" w:type="dxa"/>
            <w:vAlign w:val="top"/>
            <w:textDirection w:val="lrTb"/>
            <w:noWrap w:val="false"/>
          </w:tcPr>
          <w:p>
            <w:pPr>
              <w:pStyle w:val="1201"/>
              <w:ind w:firstLine="0"/>
              <w:jc w:val="center"/>
              <w:tabs>
                <w:tab w:val="center" w:pos="4201" w:leader="none"/>
                <w:tab w:val="right" w:pos="9298" w:leader="dot"/>
              </w:tabs>
            </w:pPr>
            <w:r>
              <w:t xml:space="preserve">全部内容</w:t>
            </w:r>
            <w:r/>
          </w:p>
        </w:tc>
      </w:tr>
    </w:tbl>
    <w:p>
      <w:pPr>
        <w:pStyle w:val="1245"/>
        <w:numPr>
          <w:ilvl w:val="2"/>
          <w:numId w:val="75"/>
        </w:numPr>
        <w:ind w:left="1259" w:firstLine="0"/>
      </w:pPr>
      <w:r>
        <w:t xml:space="preserve">电源模块返回后备电源电压信息</w:t>
      </w:r>
      <w:r/>
    </w:p>
    <w:p>
      <w:pPr>
        <w:pStyle w:val="1201"/>
        <w:jc w:val="center"/>
        <w:tabs>
          <w:tab w:val="center" w:pos="4201" w:leader="none"/>
          <w:tab w:val="right" w:pos="9298" w:leader="dot"/>
        </w:tabs>
        <w:rPr>
          <w:rFonts w:ascii="黑体" w:hAnsi="黑体" w:eastAsia="黑体"/>
        </w:rPr>
      </w:pPr>
      <w:r>
        <w:rPr>
          <w:rFonts w:ascii="黑体" w:hAnsi="黑体" w:eastAsia="黑体"/>
        </w:rPr>
        <w:t xml:space="preserve">表F</w:t>
      </w:r>
      <w:r>
        <w:rPr>
          <w:rFonts w:hint="eastAsia" w:ascii="黑体" w:hAnsi="黑体" w:eastAsia="黑体"/>
        </w:rPr>
        <w:t xml:space="preserve">-</w:t>
      </w:r>
      <w:r>
        <w:rPr>
          <w:rFonts w:ascii="黑体" w:hAnsi="黑体" w:eastAsia="黑体"/>
        </w:rPr>
        <w:t xml:space="preserve">8</w:t>
      </w:r>
      <w:r>
        <w:rPr>
          <w:rFonts w:hint="eastAsia" w:ascii="黑体" w:hAnsi="黑体" w:eastAsia="黑体"/>
        </w:rPr>
        <w:t xml:space="preserve">后备电源电压信息返回报文说明</w:t>
      </w:r>
      <w:r>
        <w:rPr>
          <w:rFonts w:ascii="黑体" w:hAnsi="黑体" w:eastAsia="黑体"/>
        </w:rPr>
      </w:r>
      <w:r/>
    </w:p>
    <w:tbl>
      <w:tblPr>
        <w:tblW w:w="74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1777"/>
        <w:gridCol w:w="750"/>
        <w:gridCol w:w="2667"/>
      </w:tblGrid>
      <w:tr>
        <w:trPr/>
        <w:tc>
          <w:tcPr>
            <w:tcW w:w="2268" w:type="dxa"/>
            <w:vAlign w:val="center"/>
            <w:textDirection w:val="lrTb"/>
            <w:noWrap w:val="false"/>
          </w:tcPr>
          <w:p>
            <w:pPr>
              <w:pStyle w:val="1201"/>
              <w:ind w:firstLine="0"/>
              <w:jc w:val="center"/>
              <w:tabs>
                <w:tab w:val="center" w:pos="4201" w:leader="none"/>
                <w:tab w:val="right" w:pos="9298" w:leader="dot"/>
              </w:tabs>
            </w:pPr>
            <w:r>
              <w:t xml:space="preserve">起始字符1</w:t>
            </w:r>
            <w:r/>
          </w:p>
        </w:tc>
        <w:tc>
          <w:tcPr>
            <w:gridSpan w:val="3"/>
            <w:tcW w:w="5194" w:type="dxa"/>
            <w:vAlign w:val="center"/>
            <w:textDirection w:val="lrTb"/>
            <w:noWrap w:val="false"/>
          </w:tcPr>
          <w:p>
            <w:pPr>
              <w:pStyle w:val="1201"/>
              <w:ind w:firstLine="0"/>
              <w:jc w:val="center"/>
              <w:tabs>
                <w:tab w:val="center" w:pos="4201" w:leader="none"/>
                <w:tab w:val="right" w:pos="9298" w:leader="dot"/>
              </w:tabs>
            </w:pPr>
            <w:r>
              <w:t xml:space="preserve">0xEB</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起始字符2</w:t>
            </w:r>
            <w:r/>
          </w:p>
        </w:tc>
        <w:tc>
          <w:tcPr>
            <w:gridSpan w:val="3"/>
            <w:tcW w:w="5194" w:type="dxa"/>
            <w:vAlign w:val="center"/>
            <w:textDirection w:val="lrTb"/>
            <w:noWrap w:val="false"/>
          </w:tcPr>
          <w:p>
            <w:pPr>
              <w:pStyle w:val="1201"/>
              <w:ind w:firstLine="0"/>
              <w:jc w:val="center"/>
              <w:tabs>
                <w:tab w:val="center" w:pos="4201" w:leader="none"/>
                <w:tab w:val="right" w:pos="9298" w:leader="dot"/>
              </w:tabs>
            </w:pPr>
            <w:r>
              <w:t xml:space="preserve">0x90</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长度</w:t>
            </w:r>
            <w:r/>
          </w:p>
        </w:tc>
        <w:tc>
          <w:tcPr>
            <w:gridSpan w:val="3"/>
            <w:tcW w:w="5194" w:type="dxa"/>
            <w:vAlign w:val="center"/>
            <w:textDirection w:val="lrTb"/>
            <w:noWrap w:val="false"/>
          </w:tcPr>
          <w:p>
            <w:pPr>
              <w:pStyle w:val="1201"/>
              <w:ind w:firstLine="0"/>
              <w:jc w:val="center"/>
              <w:tabs>
                <w:tab w:val="center" w:pos="4201" w:leader="none"/>
                <w:tab w:val="right" w:pos="9298" w:leader="dot"/>
              </w:tabs>
            </w:pPr>
            <w:r>
              <w:t xml:space="preserve">7</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电源模块地址</w:t>
            </w:r>
            <w:r/>
          </w:p>
        </w:tc>
        <w:tc>
          <w:tcPr>
            <w:gridSpan w:val="3"/>
            <w:tcW w:w="5194" w:type="dxa"/>
            <w:vAlign w:val="center"/>
            <w:textDirection w:val="lrTb"/>
            <w:noWrap w:val="false"/>
          </w:tcPr>
          <w:p>
            <w:pPr>
              <w:pStyle w:val="1201"/>
              <w:ind w:firstLine="0"/>
              <w:jc w:val="center"/>
              <w:tabs>
                <w:tab w:val="center" w:pos="4201" w:leader="none"/>
                <w:tab w:val="right" w:pos="9298" w:leader="dot"/>
              </w:tabs>
            </w:pPr>
            <w:r>
              <w:t xml:space="preserve">0x01</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功能码</w:t>
            </w:r>
            <w:r/>
          </w:p>
        </w:tc>
        <w:tc>
          <w:tcPr>
            <w:gridSpan w:val="3"/>
            <w:tcW w:w="5194" w:type="dxa"/>
            <w:vAlign w:val="center"/>
            <w:textDirection w:val="lrTb"/>
            <w:noWrap w:val="false"/>
          </w:tcPr>
          <w:p>
            <w:pPr>
              <w:pStyle w:val="1201"/>
              <w:ind w:firstLine="0"/>
              <w:jc w:val="center"/>
              <w:tabs>
                <w:tab w:val="center" w:pos="4201" w:leader="none"/>
                <w:tab w:val="right" w:pos="9298" w:leader="dot"/>
              </w:tabs>
            </w:pPr>
            <w:r>
              <w:t xml:space="preserve">0x81</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子类型</w:t>
            </w:r>
            <w:r/>
          </w:p>
        </w:tc>
        <w:tc>
          <w:tcPr>
            <w:gridSpan w:val="3"/>
            <w:tcW w:w="5194" w:type="dxa"/>
            <w:vAlign w:val="center"/>
            <w:textDirection w:val="lrTb"/>
            <w:noWrap w:val="false"/>
          </w:tcPr>
          <w:p>
            <w:pPr>
              <w:pStyle w:val="1201"/>
              <w:ind w:firstLine="0"/>
              <w:jc w:val="center"/>
              <w:tabs>
                <w:tab w:val="center" w:pos="4201" w:leader="none"/>
                <w:tab w:val="right" w:pos="9298" w:leader="dot"/>
              </w:tabs>
            </w:pPr>
            <w:r>
              <w:t xml:space="preserve">0x01</w:t>
            </w:r>
            <w:r/>
          </w:p>
        </w:tc>
      </w:tr>
      <w:tr>
        <w:trPr>
          <w:trHeight w:val="35"/>
        </w:trPr>
        <w:tc>
          <w:tcPr>
            <w:tcW w:w="2268" w:type="dxa"/>
            <w:vAlign w:val="center"/>
            <w:vMerge w:val="restart"/>
            <w:textDirection w:val="lrTb"/>
            <w:noWrap w:val="false"/>
          </w:tcPr>
          <w:p>
            <w:pPr>
              <w:pStyle w:val="1201"/>
              <w:ind w:firstLine="0"/>
              <w:jc w:val="center"/>
              <w:tabs>
                <w:tab w:val="center" w:pos="4201" w:leader="none"/>
                <w:tab w:val="right" w:pos="9298" w:leader="dot"/>
              </w:tabs>
            </w:pPr>
            <w:r>
              <w:t xml:space="preserve">数据</w:t>
            </w:r>
            <w:r/>
          </w:p>
        </w:tc>
        <w:tc>
          <w:tcPr>
            <w:tcW w:w="1777" w:type="dxa"/>
            <w:vAlign w:val="center"/>
            <w:textDirection w:val="lrTb"/>
            <w:noWrap w:val="false"/>
          </w:tcPr>
          <w:p>
            <w:pPr>
              <w:pStyle w:val="1201"/>
              <w:ind w:firstLine="0"/>
              <w:jc w:val="center"/>
              <w:tabs>
                <w:tab w:val="center" w:pos="4201" w:leader="none"/>
                <w:tab w:val="right" w:pos="9298" w:leader="dot"/>
              </w:tabs>
            </w:pPr>
            <w:r>
              <w:t xml:space="preserve">电池电压</w:t>
            </w:r>
            <w:r/>
          </w:p>
        </w:tc>
        <w:tc>
          <w:tcPr>
            <w:tcW w:w="750" w:type="dxa"/>
            <w:vAlign w:val="center"/>
            <w:textDirection w:val="lrTb"/>
            <w:noWrap w:val="false"/>
          </w:tcPr>
          <w:p>
            <w:pPr>
              <w:pStyle w:val="1201"/>
              <w:ind w:firstLine="0"/>
              <w:jc w:val="center"/>
              <w:tabs>
                <w:tab w:val="center" w:pos="4201" w:leader="none"/>
                <w:tab w:val="right" w:pos="9298" w:leader="dot"/>
              </w:tabs>
            </w:pPr>
            <w:r>
              <w:t xml:space="preserve">2</w:t>
            </w:r>
            <w:r/>
          </w:p>
        </w:tc>
        <w:tc>
          <w:tcPr>
            <w:tcW w:w="2667" w:type="dxa"/>
            <w:vAlign w:val="center"/>
            <w:textDirection w:val="lrTb"/>
            <w:noWrap w:val="false"/>
          </w:tcPr>
          <w:p>
            <w:pPr>
              <w:pStyle w:val="1201"/>
              <w:ind w:firstLine="0"/>
              <w:jc w:val="center"/>
              <w:tabs>
                <w:tab w:val="center" w:pos="4201" w:leader="none"/>
                <w:tab w:val="right" w:pos="9298" w:leader="dot"/>
              </w:tabs>
            </w:pPr>
            <w:r>
              <w:t xml:space="preserve">short，单位</w:t>
            </w:r>
            <w:r>
              <w:rPr>
                <w:rFonts w:hint="eastAsia"/>
              </w:rPr>
              <w:t xml:space="preserve">V</w:t>
            </w:r>
            <w:r/>
          </w:p>
        </w:tc>
      </w:tr>
      <w:tr>
        <w:trPr>
          <w:trHeight w:val="35"/>
        </w:trPr>
        <w:tc>
          <w:tcPr>
            <w:tcW w:w="2268" w:type="dxa"/>
            <w:vAlign w:val="center"/>
            <w:vMerge w:val="continue"/>
            <w:textDirection w:val="lrTb"/>
            <w:noWrap w:val="false"/>
          </w:tcPr>
          <w:p>
            <w:pPr>
              <w:pStyle w:val="1201"/>
              <w:ind w:firstLine="0"/>
              <w:jc w:val="center"/>
              <w:tabs>
                <w:tab w:val="center" w:pos="4201" w:leader="none"/>
                <w:tab w:val="right" w:pos="9298" w:leader="dot"/>
              </w:tabs>
            </w:pPr>
            <w:r/>
            <w:r/>
          </w:p>
        </w:tc>
        <w:tc>
          <w:tcPr>
            <w:tcW w:w="1777" w:type="dxa"/>
            <w:vAlign w:val="center"/>
            <w:textDirection w:val="lrTb"/>
            <w:noWrap w:val="false"/>
          </w:tcPr>
          <w:p>
            <w:pPr>
              <w:pStyle w:val="1201"/>
              <w:ind w:firstLine="0"/>
              <w:jc w:val="center"/>
              <w:tabs>
                <w:tab w:val="center" w:pos="4201" w:leader="none"/>
                <w:tab w:val="right" w:pos="9298" w:leader="dot"/>
              </w:tabs>
            </w:pPr>
            <w:r>
              <w:t xml:space="preserve">电容电压</w:t>
            </w:r>
            <w:r/>
          </w:p>
        </w:tc>
        <w:tc>
          <w:tcPr>
            <w:tcW w:w="750" w:type="dxa"/>
            <w:vAlign w:val="center"/>
            <w:textDirection w:val="lrTb"/>
            <w:noWrap w:val="false"/>
          </w:tcPr>
          <w:p>
            <w:pPr>
              <w:pStyle w:val="1201"/>
              <w:ind w:firstLine="0"/>
              <w:jc w:val="center"/>
              <w:tabs>
                <w:tab w:val="center" w:pos="4201" w:leader="none"/>
                <w:tab w:val="right" w:pos="9298" w:leader="dot"/>
              </w:tabs>
            </w:pPr>
            <w:r>
              <w:t xml:space="preserve">2</w:t>
            </w:r>
            <w:r/>
          </w:p>
        </w:tc>
        <w:tc>
          <w:tcPr>
            <w:tcW w:w="2667" w:type="dxa"/>
            <w:vAlign w:val="center"/>
            <w:textDirection w:val="lrTb"/>
            <w:noWrap w:val="false"/>
          </w:tcPr>
          <w:p>
            <w:pPr>
              <w:pStyle w:val="1201"/>
              <w:tabs>
                <w:tab w:val="center" w:pos="4201" w:leader="none"/>
                <w:tab w:val="right" w:pos="9298" w:leader="dot"/>
              </w:tabs>
            </w:pPr>
            <w:r>
              <w:t xml:space="preserve">short，单位V</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校验和</w:t>
            </w:r>
            <w:r/>
          </w:p>
        </w:tc>
        <w:tc>
          <w:tcPr>
            <w:gridSpan w:val="3"/>
            <w:tcW w:w="5194" w:type="dxa"/>
            <w:vAlign w:val="center"/>
            <w:textDirection w:val="lrTb"/>
            <w:noWrap w:val="false"/>
          </w:tcPr>
          <w:p>
            <w:pPr>
              <w:pStyle w:val="1201"/>
              <w:ind w:firstLine="0"/>
              <w:jc w:val="center"/>
              <w:tabs>
                <w:tab w:val="center" w:pos="4201" w:leader="none"/>
                <w:tab w:val="right" w:pos="9298" w:leader="dot"/>
              </w:tabs>
            </w:pPr>
            <w:r>
              <w:t xml:space="preserve">全部内容</w:t>
            </w:r>
            <w:r/>
          </w:p>
        </w:tc>
      </w:tr>
    </w:tbl>
    <w:p>
      <w:pPr>
        <w:pStyle w:val="1245"/>
        <w:numPr>
          <w:ilvl w:val="1"/>
          <w:numId w:val="75"/>
        </w:numPr>
        <w:ind w:left="839" w:firstLine="0"/>
      </w:pPr>
      <w:r>
        <w:t xml:space="preserve">电源系统状态信息</w:t>
      </w:r>
      <w:r/>
    </w:p>
    <w:p>
      <w:pPr>
        <w:pStyle w:val="1245"/>
        <w:numPr>
          <w:ilvl w:val="2"/>
          <w:numId w:val="75"/>
        </w:numPr>
        <w:ind w:left="1259" w:firstLine="0"/>
      </w:pPr>
      <w:r>
        <w:t xml:space="preserve">DTU核心单元向电源模块查询电源系统状态信息</w:t>
      </w:r>
      <w:r/>
    </w:p>
    <w:p>
      <w:pPr>
        <w:pStyle w:val="1201"/>
        <w:jc w:val="center"/>
        <w:tabs>
          <w:tab w:val="center" w:pos="4201" w:leader="none"/>
          <w:tab w:val="right" w:pos="9298" w:leader="dot"/>
        </w:tabs>
        <w:rPr>
          <w:rFonts w:ascii="黑体" w:hAnsi="黑体" w:eastAsia="黑体"/>
        </w:rPr>
      </w:pPr>
      <w:r>
        <w:rPr>
          <w:rFonts w:ascii="黑体" w:hAnsi="黑体" w:eastAsia="黑体"/>
        </w:rPr>
        <w:t xml:space="preserve">表F</w:t>
      </w:r>
      <w:r>
        <w:rPr>
          <w:rFonts w:hint="eastAsia" w:ascii="黑体" w:hAnsi="黑体" w:eastAsia="黑体"/>
        </w:rPr>
        <w:t xml:space="preserve">-</w:t>
      </w:r>
      <w:r>
        <w:rPr>
          <w:rFonts w:ascii="黑体" w:hAnsi="黑体" w:eastAsia="黑体"/>
        </w:rPr>
        <w:t xml:space="preserve">9</w:t>
      </w:r>
      <w:r>
        <w:rPr>
          <w:rFonts w:hint="eastAsia" w:ascii="黑体" w:hAnsi="黑体" w:eastAsia="黑体"/>
        </w:rPr>
        <w:t xml:space="preserve">电源系统状态信息查询报文说明</w:t>
      </w:r>
      <w:r>
        <w:rPr>
          <w:rFonts w:ascii="黑体" w:hAnsi="黑体" w:eastAsia="黑体"/>
        </w:rPr>
      </w:r>
      <w:r/>
    </w:p>
    <w:tbl>
      <w:tblPr>
        <w:tblW w:w="72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1"/>
        <w:gridCol w:w="5183"/>
      </w:tblGrid>
      <w:tr>
        <w:trPr/>
        <w:tc>
          <w:tcPr>
            <w:tcW w:w="2081" w:type="dxa"/>
            <w:vAlign w:val="center"/>
            <w:textDirection w:val="lrTb"/>
            <w:noWrap w:val="false"/>
          </w:tcPr>
          <w:p>
            <w:pPr>
              <w:pStyle w:val="1201"/>
              <w:ind w:firstLine="0"/>
              <w:jc w:val="center"/>
              <w:tabs>
                <w:tab w:val="center" w:pos="4201" w:leader="none"/>
                <w:tab w:val="right" w:pos="9298" w:leader="dot"/>
              </w:tabs>
            </w:pPr>
            <w:r>
              <w:t xml:space="preserve">起始字符1</w:t>
            </w:r>
            <w:r/>
          </w:p>
        </w:tc>
        <w:tc>
          <w:tcPr>
            <w:tcW w:w="5183" w:type="dxa"/>
            <w:vAlign w:val="center"/>
            <w:textDirection w:val="lrTb"/>
            <w:noWrap w:val="false"/>
          </w:tcPr>
          <w:p>
            <w:pPr>
              <w:pStyle w:val="1201"/>
              <w:ind w:firstLine="0"/>
              <w:jc w:val="center"/>
              <w:tabs>
                <w:tab w:val="center" w:pos="4201" w:leader="none"/>
                <w:tab w:val="right" w:pos="9298" w:leader="dot"/>
              </w:tabs>
            </w:pPr>
            <w:r>
              <w:t xml:space="preserve">0xEB</w:t>
            </w:r>
            <w:r/>
          </w:p>
        </w:tc>
      </w:tr>
      <w:tr>
        <w:trPr/>
        <w:tc>
          <w:tcPr>
            <w:tcW w:w="2081" w:type="dxa"/>
            <w:vAlign w:val="center"/>
            <w:textDirection w:val="lrTb"/>
            <w:noWrap w:val="false"/>
          </w:tcPr>
          <w:p>
            <w:pPr>
              <w:pStyle w:val="1201"/>
              <w:ind w:firstLine="0"/>
              <w:jc w:val="center"/>
              <w:tabs>
                <w:tab w:val="center" w:pos="4201" w:leader="none"/>
                <w:tab w:val="right" w:pos="9298" w:leader="dot"/>
              </w:tabs>
            </w:pPr>
            <w:r>
              <w:t xml:space="preserve">起始字符2</w:t>
            </w:r>
            <w:r/>
          </w:p>
        </w:tc>
        <w:tc>
          <w:tcPr>
            <w:tcW w:w="5183" w:type="dxa"/>
            <w:vAlign w:val="center"/>
            <w:textDirection w:val="lrTb"/>
            <w:noWrap w:val="false"/>
          </w:tcPr>
          <w:p>
            <w:pPr>
              <w:pStyle w:val="1201"/>
              <w:ind w:firstLine="0"/>
              <w:jc w:val="center"/>
              <w:tabs>
                <w:tab w:val="center" w:pos="4201" w:leader="none"/>
                <w:tab w:val="right" w:pos="9298" w:leader="dot"/>
              </w:tabs>
            </w:pPr>
            <w:r>
              <w:t xml:space="preserve">0x90</w:t>
            </w:r>
            <w:r/>
          </w:p>
        </w:tc>
      </w:tr>
      <w:tr>
        <w:trPr/>
        <w:tc>
          <w:tcPr>
            <w:tcW w:w="2081" w:type="dxa"/>
            <w:vAlign w:val="center"/>
            <w:textDirection w:val="lrTb"/>
            <w:noWrap w:val="false"/>
          </w:tcPr>
          <w:p>
            <w:pPr>
              <w:pStyle w:val="1201"/>
              <w:ind w:firstLine="0"/>
              <w:jc w:val="center"/>
              <w:tabs>
                <w:tab w:val="center" w:pos="4201" w:leader="none"/>
                <w:tab w:val="right" w:pos="9298" w:leader="dot"/>
              </w:tabs>
            </w:pPr>
            <w:r>
              <w:t xml:space="preserve">长度</w:t>
            </w:r>
            <w:r/>
          </w:p>
        </w:tc>
        <w:tc>
          <w:tcPr>
            <w:tcW w:w="5183" w:type="dxa"/>
            <w:vAlign w:val="center"/>
            <w:textDirection w:val="lrTb"/>
            <w:noWrap w:val="false"/>
          </w:tcPr>
          <w:p>
            <w:pPr>
              <w:pStyle w:val="1201"/>
              <w:ind w:firstLine="0"/>
              <w:jc w:val="center"/>
              <w:tabs>
                <w:tab w:val="center" w:pos="4201" w:leader="none"/>
                <w:tab w:val="right" w:pos="9298" w:leader="dot"/>
              </w:tabs>
            </w:pPr>
            <w:r>
              <w:t xml:space="preserve">3</w:t>
            </w:r>
            <w:r/>
          </w:p>
        </w:tc>
      </w:tr>
      <w:tr>
        <w:trPr/>
        <w:tc>
          <w:tcPr>
            <w:tcW w:w="2081" w:type="dxa"/>
            <w:vAlign w:val="center"/>
            <w:textDirection w:val="lrTb"/>
            <w:noWrap w:val="false"/>
          </w:tcPr>
          <w:p>
            <w:pPr>
              <w:pStyle w:val="1201"/>
              <w:ind w:firstLine="0"/>
              <w:jc w:val="center"/>
              <w:tabs>
                <w:tab w:val="center" w:pos="4201" w:leader="none"/>
                <w:tab w:val="right" w:pos="9298" w:leader="dot"/>
              </w:tabs>
            </w:pPr>
            <w:r>
              <w:t xml:space="preserve">电源模块地址</w:t>
            </w:r>
            <w:r/>
          </w:p>
        </w:tc>
        <w:tc>
          <w:tcPr>
            <w:tcW w:w="5183" w:type="dxa"/>
            <w:vAlign w:val="center"/>
            <w:textDirection w:val="lrTb"/>
            <w:noWrap w:val="false"/>
          </w:tcPr>
          <w:p>
            <w:pPr>
              <w:pStyle w:val="1201"/>
              <w:ind w:firstLine="0"/>
              <w:jc w:val="center"/>
              <w:tabs>
                <w:tab w:val="center" w:pos="4201" w:leader="none"/>
                <w:tab w:val="right" w:pos="9298" w:leader="dot"/>
              </w:tabs>
            </w:pPr>
            <w:r>
              <w:t xml:space="preserve">0x01</w:t>
            </w:r>
            <w:r/>
          </w:p>
        </w:tc>
      </w:tr>
      <w:tr>
        <w:trPr/>
        <w:tc>
          <w:tcPr>
            <w:tcW w:w="2081" w:type="dxa"/>
            <w:vAlign w:val="center"/>
            <w:textDirection w:val="lrTb"/>
            <w:noWrap w:val="false"/>
          </w:tcPr>
          <w:p>
            <w:pPr>
              <w:pStyle w:val="1201"/>
              <w:ind w:firstLine="0"/>
              <w:jc w:val="center"/>
              <w:tabs>
                <w:tab w:val="center" w:pos="4201" w:leader="none"/>
                <w:tab w:val="right" w:pos="9298" w:leader="dot"/>
              </w:tabs>
            </w:pPr>
            <w:r>
              <w:t xml:space="preserve">功能码</w:t>
            </w:r>
            <w:r/>
          </w:p>
        </w:tc>
        <w:tc>
          <w:tcPr>
            <w:tcW w:w="5183" w:type="dxa"/>
            <w:vAlign w:val="center"/>
            <w:textDirection w:val="lrTb"/>
            <w:noWrap w:val="false"/>
          </w:tcPr>
          <w:p>
            <w:pPr>
              <w:pStyle w:val="1201"/>
              <w:ind w:firstLine="0"/>
              <w:jc w:val="center"/>
              <w:tabs>
                <w:tab w:val="center" w:pos="4201" w:leader="none"/>
                <w:tab w:val="right" w:pos="9298" w:leader="dot"/>
              </w:tabs>
            </w:pPr>
            <w:r>
              <w:t xml:space="preserve">0x01</w:t>
            </w:r>
            <w:r/>
          </w:p>
        </w:tc>
      </w:tr>
      <w:tr>
        <w:trPr/>
        <w:tc>
          <w:tcPr>
            <w:tcW w:w="2081" w:type="dxa"/>
            <w:vAlign w:val="center"/>
            <w:textDirection w:val="lrTb"/>
            <w:noWrap w:val="false"/>
          </w:tcPr>
          <w:p>
            <w:pPr>
              <w:pStyle w:val="1201"/>
              <w:ind w:firstLine="0"/>
              <w:jc w:val="center"/>
              <w:tabs>
                <w:tab w:val="center" w:pos="4201" w:leader="none"/>
                <w:tab w:val="right" w:pos="9298" w:leader="dot"/>
              </w:tabs>
            </w:pPr>
            <w:r>
              <w:t xml:space="preserve">子类型</w:t>
            </w:r>
            <w:r/>
          </w:p>
        </w:tc>
        <w:tc>
          <w:tcPr>
            <w:tcW w:w="5183" w:type="dxa"/>
            <w:vAlign w:val="center"/>
            <w:textDirection w:val="lrTb"/>
            <w:noWrap w:val="false"/>
          </w:tcPr>
          <w:p>
            <w:pPr>
              <w:pStyle w:val="1201"/>
              <w:ind w:firstLine="0"/>
              <w:jc w:val="center"/>
              <w:tabs>
                <w:tab w:val="center" w:pos="4201" w:leader="none"/>
                <w:tab w:val="right" w:pos="9298" w:leader="dot"/>
              </w:tabs>
            </w:pPr>
            <w:r>
              <w:t xml:space="preserve">0x02</w:t>
            </w:r>
            <w:r/>
          </w:p>
        </w:tc>
      </w:tr>
      <w:tr>
        <w:trPr/>
        <w:tc>
          <w:tcPr>
            <w:tcW w:w="2081" w:type="dxa"/>
            <w:vAlign w:val="center"/>
            <w:textDirection w:val="lrTb"/>
            <w:noWrap w:val="false"/>
          </w:tcPr>
          <w:p>
            <w:pPr>
              <w:pStyle w:val="1201"/>
              <w:ind w:firstLine="0"/>
              <w:jc w:val="center"/>
              <w:tabs>
                <w:tab w:val="center" w:pos="4201" w:leader="none"/>
                <w:tab w:val="right" w:pos="9298" w:leader="dot"/>
              </w:tabs>
            </w:pPr>
            <w:r>
              <w:t xml:space="preserve">校验和</w:t>
            </w:r>
            <w:r/>
          </w:p>
        </w:tc>
        <w:tc>
          <w:tcPr>
            <w:tcW w:w="5183" w:type="dxa"/>
            <w:vAlign w:val="center"/>
            <w:textDirection w:val="lrTb"/>
            <w:noWrap w:val="false"/>
          </w:tcPr>
          <w:p>
            <w:pPr>
              <w:pStyle w:val="1201"/>
              <w:ind w:firstLine="0"/>
              <w:jc w:val="center"/>
              <w:tabs>
                <w:tab w:val="center" w:pos="4201" w:leader="none"/>
                <w:tab w:val="right" w:pos="9298" w:leader="dot"/>
              </w:tabs>
            </w:pPr>
            <w:r>
              <w:t xml:space="preserve">全部内容</w:t>
            </w:r>
            <w:r/>
          </w:p>
        </w:tc>
      </w:tr>
    </w:tbl>
    <w:p>
      <w:pPr>
        <w:pStyle w:val="1245"/>
        <w:numPr>
          <w:ilvl w:val="2"/>
          <w:numId w:val="75"/>
        </w:numPr>
        <w:ind w:left="1259" w:firstLine="0"/>
      </w:pPr>
      <w:r>
        <w:t xml:space="preserve">电源模块返回电源系统状态信息</w:t>
      </w:r>
      <w:r/>
    </w:p>
    <w:p>
      <w:pPr>
        <w:pStyle w:val="1201"/>
        <w:jc w:val="center"/>
        <w:tabs>
          <w:tab w:val="center" w:pos="4201" w:leader="none"/>
          <w:tab w:val="right" w:pos="9298" w:leader="dot"/>
        </w:tabs>
        <w:rPr>
          <w:rFonts w:ascii="黑体" w:hAnsi="黑体" w:eastAsia="黑体"/>
        </w:rPr>
      </w:pPr>
      <w:r>
        <w:rPr>
          <w:rFonts w:ascii="黑体" w:hAnsi="黑体" w:eastAsia="黑体"/>
        </w:rPr>
        <w:t xml:space="preserve">表F</w:t>
      </w:r>
      <w:r>
        <w:rPr>
          <w:rFonts w:hint="eastAsia" w:ascii="黑体" w:hAnsi="黑体" w:eastAsia="黑体"/>
        </w:rPr>
        <w:t xml:space="preserve">-</w:t>
      </w:r>
      <w:r>
        <w:rPr>
          <w:rFonts w:ascii="黑体" w:hAnsi="黑体" w:eastAsia="黑体"/>
        </w:rPr>
        <w:t xml:space="preserve">10</w:t>
      </w:r>
      <w:r>
        <w:rPr>
          <w:rFonts w:hint="eastAsia" w:ascii="黑体" w:hAnsi="黑体" w:eastAsia="黑体"/>
        </w:rPr>
        <w:t xml:space="preserve">电源系统状态信息返回报文说明</w:t>
      </w:r>
      <w:r>
        <w:rPr>
          <w:rFonts w:ascii="黑体" w:hAnsi="黑体" w:eastAsia="黑体"/>
        </w:rPr>
      </w:r>
      <w:r/>
    </w:p>
    <w:tbl>
      <w:tblPr>
        <w:tblW w:w="79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7"/>
        <w:gridCol w:w="1524"/>
        <w:gridCol w:w="603"/>
        <w:gridCol w:w="1706"/>
        <w:gridCol w:w="2384"/>
      </w:tblGrid>
      <w:tr>
        <w:trPr/>
        <w:tc>
          <w:tcPr>
            <w:tcW w:w="1757" w:type="dxa"/>
            <w:vAlign w:val="center"/>
            <w:textDirection w:val="lrTb"/>
            <w:noWrap w:val="false"/>
          </w:tcPr>
          <w:p>
            <w:pPr>
              <w:pStyle w:val="1201"/>
              <w:ind w:firstLine="0"/>
              <w:jc w:val="center"/>
              <w:tabs>
                <w:tab w:val="center" w:pos="4201" w:leader="none"/>
                <w:tab w:val="right" w:pos="9298" w:leader="dot"/>
              </w:tabs>
            </w:pPr>
            <w:r>
              <w:t xml:space="preserve">起始字符1</w:t>
            </w:r>
            <w:r/>
          </w:p>
        </w:tc>
        <w:tc>
          <w:tcPr>
            <w:gridSpan w:val="4"/>
            <w:tcW w:w="6217" w:type="dxa"/>
            <w:vAlign w:val="center"/>
            <w:textDirection w:val="lrTb"/>
            <w:noWrap w:val="false"/>
          </w:tcPr>
          <w:p>
            <w:pPr>
              <w:pStyle w:val="1201"/>
              <w:ind w:firstLine="0"/>
              <w:jc w:val="center"/>
              <w:tabs>
                <w:tab w:val="center" w:pos="4201" w:leader="none"/>
                <w:tab w:val="right" w:pos="9298" w:leader="dot"/>
              </w:tabs>
            </w:pPr>
            <w:r>
              <w:t xml:space="preserve">0xEB</w:t>
            </w:r>
            <w:r/>
          </w:p>
        </w:tc>
      </w:tr>
      <w:tr>
        <w:trPr/>
        <w:tc>
          <w:tcPr>
            <w:tcW w:w="1757" w:type="dxa"/>
            <w:vAlign w:val="center"/>
            <w:textDirection w:val="lrTb"/>
            <w:noWrap w:val="false"/>
          </w:tcPr>
          <w:p>
            <w:pPr>
              <w:pStyle w:val="1201"/>
              <w:ind w:firstLine="0"/>
              <w:jc w:val="center"/>
              <w:tabs>
                <w:tab w:val="center" w:pos="4201" w:leader="none"/>
                <w:tab w:val="right" w:pos="9298" w:leader="dot"/>
              </w:tabs>
            </w:pPr>
            <w:r>
              <w:t xml:space="preserve">起始字符2</w:t>
            </w:r>
            <w:r/>
          </w:p>
        </w:tc>
        <w:tc>
          <w:tcPr>
            <w:gridSpan w:val="4"/>
            <w:tcW w:w="6217" w:type="dxa"/>
            <w:vAlign w:val="center"/>
            <w:textDirection w:val="lrTb"/>
            <w:noWrap w:val="false"/>
          </w:tcPr>
          <w:p>
            <w:pPr>
              <w:pStyle w:val="1201"/>
              <w:ind w:firstLine="0"/>
              <w:jc w:val="center"/>
              <w:tabs>
                <w:tab w:val="center" w:pos="4201" w:leader="none"/>
                <w:tab w:val="right" w:pos="9298" w:leader="dot"/>
              </w:tabs>
            </w:pPr>
            <w:r>
              <w:t xml:space="preserve">0x90</w:t>
            </w:r>
            <w:r/>
          </w:p>
        </w:tc>
      </w:tr>
      <w:tr>
        <w:trPr/>
        <w:tc>
          <w:tcPr>
            <w:tcW w:w="1757" w:type="dxa"/>
            <w:vAlign w:val="center"/>
            <w:textDirection w:val="lrTb"/>
            <w:noWrap w:val="false"/>
          </w:tcPr>
          <w:p>
            <w:pPr>
              <w:pStyle w:val="1201"/>
              <w:ind w:firstLine="0"/>
              <w:jc w:val="center"/>
              <w:tabs>
                <w:tab w:val="center" w:pos="4201" w:leader="none"/>
                <w:tab w:val="right" w:pos="9298" w:leader="dot"/>
              </w:tabs>
            </w:pPr>
            <w:r>
              <w:t xml:space="preserve">长度</w:t>
            </w:r>
            <w:r/>
          </w:p>
        </w:tc>
        <w:tc>
          <w:tcPr>
            <w:gridSpan w:val="4"/>
            <w:tcW w:w="6217" w:type="dxa"/>
            <w:vAlign w:val="center"/>
            <w:textDirection w:val="lrTb"/>
            <w:noWrap w:val="false"/>
          </w:tcPr>
          <w:p>
            <w:pPr>
              <w:pStyle w:val="1201"/>
              <w:ind w:firstLine="0"/>
              <w:jc w:val="center"/>
              <w:tabs>
                <w:tab w:val="center" w:pos="4201" w:leader="none"/>
                <w:tab w:val="right" w:pos="9298" w:leader="dot"/>
              </w:tabs>
            </w:pPr>
            <w:r>
              <w:t xml:space="preserve">4</w:t>
            </w:r>
            <w:r/>
          </w:p>
        </w:tc>
      </w:tr>
      <w:tr>
        <w:trPr/>
        <w:tc>
          <w:tcPr>
            <w:tcW w:w="1757" w:type="dxa"/>
            <w:vAlign w:val="center"/>
            <w:textDirection w:val="lrTb"/>
            <w:noWrap w:val="false"/>
          </w:tcPr>
          <w:p>
            <w:pPr>
              <w:pStyle w:val="1201"/>
              <w:ind w:firstLine="0"/>
              <w:jc w:val="center"/>
              <w:tabs>
                <w:tab w:val="center" w:pos="4201" w:leader="none"/>
                <w:tab w:val="right" w:pos="9298" w:leader="dot"/>
              </w:tabs>
            </w:pPr>
            <w:r>
              <w:t xml:space="preserve">电源模块地址</w:t>
            </w:r>
            <w:r/>
          </w:p>
        </w:tc>
        <w:tc>
          <w:tcPr>
            <w:gridSpan w:val="4"/>
            <w:tcW w:w="6217" w:type="dxa"/>
            <w:vAlign w:val="center"/>
            <w:textDirection w:val="lrTb"/>
            <w:noWrap w:val="false"/>
          </w:tcPr>
          <w:p>
            <w:pPr>
              <w:pStyle w:val="1201"/>
              <w:ind w:firstLine="0"/>
              <w:jc w:val="center"/>
              <w:tabs>
                <w:tab w:val="center" w:pos="4201" w:leader="none"/>
                <w:tab w:val="right" w:pos="9298" w:leader="dot"/>
              </w:tabs>
            </w:pPr>
            <w:r>
              <w:t xml:space="preserve">0x01</w:t>
            </w:r>
            <w:r/>
          </w:p>
        </w:tc>
      </w:tr>
      <w:tr>
        <w:trPr/>
        <w:tc>
          <w:tcPr>
            <w:tcW w:w="1757" w:type="dxa"/>
            <w:vAlign w:val="center"/>
            <w:textDirection w:val="lrTb"/>
            <w:noWrap w:val="false"/>
          </w:tcPr>
          <w:p>
            <w:pPr>
              <w:pStyle w:val="1201"/>
              <w:ind w:firstLine="0"/>
              <w:jc w:val="center"/>
              <w:tabs>
                <w:tab w:val="center" w:pos="4201" w:leader="none"/>
                <w:tab w:val="right" w:pos="9298" w:leader="dot"/>
              </w:tabs>
            </w:pPr>
            <w:r>
              <w:t xml:space="preserve">功能码</w:t>
            </w:r>
            <w:r/>
          </w:p>
        </w:tc>
        <w:tc>
          <w:tcPr>
            <w:gridSpan w:val="4"/>
            <w:tcW w:w="6217" w:type="dxa"/>
            <w:vAlign w:val="center"/>
            <w:textDirection w:val="lrTb"/>
            <w:noWrap w:val="false"/>
          </w:tcPr>
          <w:p>
            <w:pPr>
              <w:pStyle w:val="1201"/>
              <w:ind w:firstLine="0"/>
              <w:jc w:val="center"/>
              <w:tabs>
                <w:tab w:val="center" w:pos="4201" w:leader="none"/>
                <w:tab w:val="right" w:pos="9298" w:leader="dot"/>
              </w:tabs>
            </w:pPr>
            <w:r>
              <w:t xml:space="preserve">0x81</w:t>
            </w:r>
            <w:r/>
          </w:p>
        </w:tc>
      </w:tr>
      <w:tr>
        <w:trPr/>
        <w:tc>
          <w:tcPr>
            <w:tcW w:w="1757" w:type="dxa"/>
            <w:vAlign w:val="center"/>
            <w:textDirection w:val="lrTb"/>
            <w:noWrap w:val="false"/>
          </w:tcPr>
          <w:p>
            <w:pPr>
              <w:pStyle w:val="1201"/>
              <w:ind w:firstLine="0"/>
              <w:jc w:val="center"/>
              <w:tabs>
                <w:tab w:val="center" w:pos="4201" w:leader="none"/>
                <w:tab w:val="right" w:pos="9298" w:leader="dot"/>
              </w:tabs>
            </w:pPr>
            <w:r>
              <w:t xml:space="preserve">子类型</w:t>
            </w:r>
            <w:r/>
          </w:p>
        </w:tc>
        <w:tc>
          <w:tcPr>
            <w:gridSpan w:val="4"/>
            <w:tcW w:w="6217" w:type="dxa"/>
            <w:vAlign w:val="center"/>
            <w:textDirection w:val="lrTb"/>
            <w:noWrap w:val="false"/>
          </w:tcPr>
          <w:p>
            <w:pPr>
              <w:pStyle w:val="1201"/>
              <w:ind w:firstLine="0"/>
              <w:jc w:val="center"/>
              <w:tabs>
                <w:tab w:val="center" w:pos="4201" w:leader="none"/>
                <w:tab w:val="right" w:pos="9298" w:leader="dot"/>
              </w:tabs>
            </w:pPr>
            <w:r>
              <w:t xml:space="preserve">0x02</w:t>
            </w:r>
            <w:r/>
          </w:p>
        </w:tc>
      </w:tr>
      <w:tr>
        <w:trPr>
          <w:trHeight w:val="48"/>
        </w:trPr>
        <w:tc>
          <w:tcPr>
            <w:tcW w:w="1757" w:type="dxa"/>
            <w:vAlign w:val="center"/>
            <w:vMerge w:val="restart"/>
            <w:textDirection w:val="lrTb"/>
            <w:noWrap w:val="false"/>
          </w:tcPr>
          <w:p>
            <w:pPr>
              <w:pStyle w:val="1201"/>
              <w:ind w:firstLine="0"/>
              <w:jc w:val="center"/>
              <w:tabs>
                <w:tab w:val="center" w:pos="4201" w:leader="none"/>
                <w:tab w:val="right" w:pos="9298" w:leader="dot"/>
              </w:tabs>
            </w:pPr>
            <w:r>
              <w:t xml:space="preserve">数据</w:t>
            </w:r>
            <w:r/>
          </w:p>
        </w:tc>
        <w:tc>
          <w:tcPr>
            <w:tcW w:w="1524" w:type="dxa"/>
            <w:vAlign w:val="center"/>
            <w:vMerge w:val="restart"/>
            <w:textDirection w:val="lrTb"/>
            <w:noWrap w:val="false"/>
          </w:tcPr>
          <w:p>
            <w:pPr>
              <w:pStyle w:val="1201"/>
              <w:ind w:firstLine="0"/>
              <w:jc w:val="center"/>
              <w:tabs>
                <w:tab w:val="center" w:pos="4201" w:leader="none"/>
                <w:tab w:val="right" w:pos="9298" w:leader="dot"/>
              </w:tabs>
            </w:pPr>
            <w:r>
              <w:t xml:space="preserve">电池信号</w:t>
            </w:r>
            <w:r/>
          </w:p>
        </w:tc>
        <w:tc>
          <w:tcPr>
            <w:tcW w:w="603" w:type="dxa"/>
            <w:vAlign w:val="center"/>
            <w:vMerge w:val="restart"/>
            <w:textDirection w:val="lrTb"/>
            <w:noWrap w:val="false"/>
          </w:tcPr>
          <w:p>
            <w:pPr>
              <w:pStyle w:val="1201"/>
              <w:ind w:firstLine="0"/>
              <w:jc w:val="center"/>
              <w:tabs>
                <w:tab w:val="center" w:pos="4201" w:leader="none"/>
                <w:tab w:val="right" w:pos="9298" w:leader="dot"/>
              </w:tabs>
            </w:pPr>
            <w:r>
              <w:t xml:space="preserve">1</w:t>
            </w:r>
            <w:r/>
          </w:p>
        </w:tc>
        <w:tc>
          <w:tcPr>
            <w:tcW w:w="1706" w:type="dxa"/>
            <w:vAlign w:val="center"/>
            <w:textDirection w:val="lrTb"/>
            <w:noWrap w:val="false"/>
          </w:tcPr>
          <w:p>
            <w:pPr>
              <w:pStyle w:val="1201"/>
              <w:ind w:firstLine="0"/>
              <w:jc w:val="center"/>
              <w:tabs>
                <w:tab w:val="center" w:pos="4201" w:leader="none"/>
                <w:tab w:val="right" w:pos="9298" w:leader="dot"/>
              </w:tabs>
            </w:pPr>
            <w:r>
              <w:t xml:space="preserve">Bit0</w:t>
            </w:r>
            <w:r/>
          </w:p>
        </w:tc>
        <w:tc>
          <w:tcPr>
            <w:tcW w:w="2384" w:type="dxa"/>
            <w:vAlign w:val="center"/>
            <w:textDirection w:val="lrTb"/>
            <w:noWrap w:val="false"/>
          </w:tcPr>
          <w:p>
            <w:pPr>
              <w:pStyle w:val="1201"/>
              <w:ind w:firstLine="0"/>
              <w:jc w:val="center"/>
              <w:tabs>
                <w:tab w:val="center" w:pos="4201" w:leader="none"/>
                <w:tab w:val="right" w:pos="9298" w:leader="dot"/>
              </w:tabs>
            </w:pPr>
            <w:r>
              <w:t xml:space="preserve">交流掉电信号</w:t>
            </w:r>
            <w:r/>
          </w:p>
        </w:tc>
      </w:tr>
      <w:tr>
        <w:trPr>
          <w:trHeight w:val="46"/>
        </w:trPr>
        <w:tc>
          <w:tcPr>
            <w:tcW w:w="1757" w:type="dxa"/>
            <w:vAlign w:val="center"/>
            <w:vMerge w:val="continue"/>
            <w:textDirection w:val="lrTb"/>
            <w:noWrap w:val="false"/>
          </w:tcPr>
          <w:p>
            <w:pPr>
              <w:pStyle w:val="1201"/>
              <w:ind w:firstLine="0"/>
              <w:jc w:val="center"/>
              <w:tabs>
                <w:tab w:val="center" w:pos="4201" w:leader="none"/>
                <w:tab w:val="right" w:pos="9298" w:leader="dot"/>
              </w:tabs>
            </w:pPr>
            <w:r/>
            <w:r/>
          </w:p>
        </w:tc>
        <w:tc>
          <w:tcPr>
            <w:tcW w:w="1524" w:type="dxa"/>
            <w:vAlign w:val="center"/>
            <w:vMerge w:val="continue"/>
            <w:textDirection w:val="lrTb"/>
            <w:noWrap w:val="false"/>
          </w:tcPr>
          <w:p>
            <w:pPr>
              <w:pStyle w:val="1201"/>
              <w:ind w:firstLine="0"/>
              <w:jc w:val="center"/>
              <w:tabs>
                <w:tab w:val="center" w:pos="4201" w:leader="none"/>
                <w:tab w:val="right" w:pos="9298" w:leader="dot"/>
              </w:tabs>
            </w:pPr>
            <w:r/>
            <w:r/>
          </w:p>
        </w:tc>
        <w:tc>
          <w:tcPr>
            <w:tcW w:w="603" w:type="dxa"/>
            <w:vAlign w:val="center"/>
            <w:vMerge w:val="continue"/>
            <w:textDirection w:val="lrTb"/>
            <w:noWrap w:val="false"/>
          </w:tcPr>
          <w:p>
            <w:pPr>
              <w:pStyle w:val="1201"/>
              <w:ind w:firstLine="0"/>
              <w:jc w:val="center"/>
              <w:tabs>
                <w:tab w:val="center" w:pos="4201" w:leader="none"/>
                <w:tab w:val="right" w:pos="9298" w:leader="dot"/>
              </w:tabs>
            </w:pPr>
            <w:r/>
            <w:r/>
          </w:p>
        </w:tc>
        <w:tc>
          <w:tcPr>
            <w:tcW w:w="1706" w:type="dxa"/>
            <w:vAlign w:val="center"/>
            <w:textDirection w:val="lrTb"/>
            <w:noWrap w:val="false"/>
          </w:tcPr>
          <w:p>
            <w:pPr>
              <w:pStyle w:val="1201"/>
              <w:ind w:firstLine="0"/>
              <w:jc w:val="center"/>
              <w:tabs>
                <w:tab w:val="center" w:pos="4201" w:leader="none"/>
                <w:tab w:val="right" w:pos="9298" w:leader="dot"/>
              </w:tabs>
            </w:pPr>
            <w:r>
              <w:t xml:space="preserve">Bit1</w:t>
            </w:r>
            <w:r/>
          </w:p>
        </w:tc>
        <w:tc>
          <w:tcPr>
            <w:tcW w:w="2384" w:type="dxa"/>
            <w:vAlign w:val="center"/>
            <w:textDirection w:val="lrTb"/>
            <w:noWrap w:val="false"/>
          </w:tcPr>
          <w:p>
            <w:pPr>
              <w:pStyle w:val="1201"/>
              <w:ind w:firstLine="0"/>
              <w:jc w:val="center"/>
              <w:tabs>
                <w:tab w:val="center" w:pos="4201" w:leader="none"/>
                <w:tab w:val="right" w:pos="9298" w:leader="dot"/>
              </w:tabs>
            </w:pPr>
            <w:r>
              <w:t xml:space="preserve">电池活化状态</w:t>
            </w:r>
            <w:r/>
          </w:p>
        </w:tc>
      </w:tr>
      <w:tr>
        <w:trPr>
          <w:trHeight w:val="70"/>
        </w:trPr>
        <w:tc>
          <w:tcPr>
            <w:tcW w:w="1757" w:type="dxa"/>
            <w:vAlign w:val="center"/>
            <w:vMerge w:val="continue"/>
            <w:textDirection w:val="lrTb"/>
            <w:noWrap w:val="false"/>
          </w:tcPr>
          <w:p>
            <w:pPr>
              <w:pStyle w:val="1201"/>
              <w:ind w:firstLine="0"/>
              <w:jc w:val="center"/>
              <w:tabs>
                <w:tab w:val="center" w:pos="4201" w:leader="none"/>
                <w:tab w:val="right" w:pos="9298" w:leader="dot"/>
              </w:tabs>
            </w:pPr>
            <w:r/>
            <w:r/>
          </w:p>
        </w:tc>
        <w:tc>
          <w:tcPr>
            <w:tcW w:w="1524" w:type="dxa"/>
            <w:vAlign w:val="center"/>
            <w:vMerge w:val="continue"/>
            <w:textDirection w:val="lrTb"/>
            <w:noWrap w:val="false"/>
          </w:tcPr>
          <w:p>
            <w:pPr>
              <w:pStyle w:val="1201"/>
              <w:ind w:firstLine="0"/>
              <w:jc w:val="center"/>
              <w:tabs>
                <w:tab w:val="center" w:pos="4201" w:leader="none"/>
                <w:tab w:val="right" w:pos="9298" w:leader="dot"/>
              </w:tabs>
            </w:pPr>
            <w:r/>
            <w:r/>
          </w:p>
        </w:tc>
        <w:tc>
          <w:tcPr>
            <w:tcW w:w="603" w:type="dxa"/>
            <w:vAlign w:val="center"/>
            <w:vMerge w:val="continue"/>
            <w:textDirection w:val="lrTb"/>
            <w:noWrap w:val="false"/>
          </w:tcPr>
          <w:p>
            <w:pPr>
              <w:pStyle w:val="1201"/>
              <w:ind w:firstLine="0"/>
              <w:jc w:val="center"/>
              <w:tabs>
                <w:tab w:val="center" w:pos="4201" w:leader="none"/>
                <w:tab w:val="right" w:pos="9298" w:leader="dot"/>
              </w:tabs>
            </w:pPr>
            <w:r/>
            <w:r/>
          </w:p>
        </w:tc>
        <w:tc>
          <w:tcPr>
            <w:tcW w:w="1706" w:type="dxa"/>
            <w:vAlign w:val="center"/>
            <w:textDirection w:val="lrTb"/>
            <w:noWrap w:val="false"/>
          </w:tcPr>
          <w:p>
            <w:pPr>
              <w:pStyle w:val="1201"/>
              <w:ind w:firstLine="0"/>
              <w:jc w:val="center"/>
              <w:tabs>
                <w:tab w:val="center" w:pos="4201" w:leader="none"/>
                <w:tab w:val="right" w:pos="9298" w:leader="dot"/>
              </w:tabs>
            </w:pPr>
            <w:r>
              <w:t xml:space="preserve">Bit2</w:t>
            </w:r>
            <w:r/>
          </w:p>
        </w:tc>
        <w:tc>
          <w:tcPr>
            <w:tcW w:w="2384" w:type="dxa"/>
            <w:vAlign w:val="center"/>
            <w:textDirection w:val="lrTb"/>
            <w:noWrap w:val="false"/>
          </w:tcPr>
          <w:p>
            <w:pPr>
              <w:pStyle w:val="1201"/>
              <w:ind w:firstLine="0"/>
              <w:jc w:val="center"/>
              <w:tabs>
                <w:tab w:val="center" w:pos="4201" w:leader="none"/>
                <w:tab w:val="right" w:pos="9298" w:leader="dot"/>
              </w:tabs>
            </w:pPr>
            <w:r>
              <w:t xml:space="preserve">电池欠压告警</w:t>
            </w:r>
            <w:r/>
          </w:p>
        </w:tc>
      </w:tr>
      <w:tr>
        <w:trPr>
          <w:trHeight w:val="70"/>
        </w:trPr>
        <w:tc>
          <w:tcPr>
            <w:tcW w:w="1757" w:type="dxa"/>
            <w:vAlign w:val="center"/>
            <w:vMerge w:val="continue"/>
            <w:textDirection w:val="lrTb"/>
            <w:noWrap w:val="false"/>
          </w:tcPr>
          <w:p>
            <w:pPr>
              <w:pStyle w:val="1201"/>
              <w:ind w:firstLine="0"/>
              <w:jc w:val="center"/>
              <w:tabs>
                <w:tab w:val="center" w:pos="4201" w:leader="none"/>
                <w:tab w:val="right" w:pos="9298" w:leader="dot"/>
              </w:tabs>
            </w:pPr>
            <w:r/>
            <w:r/>
          </w:p>
        </w:tc>
        <w:tc>
          <w:tcPr>
            <w:tcW w:w="1524" w:type="dxa"/>
            <w:vAlign w:val="center"/>
            <w:vMerge w:val="continue"/>
            <w:textDirection w:val="lrTb"/>
            <w:noWrap w:val="false"/>
          </w:tcPr>
          <w:p>
            <w:pPr>
              <w:pStyle w:val="1201"/>
              <w:ind w:firstLine="0"/>
              <w:jc w:val="center"/>
              <w:tabs>
                <w:tab w:val="center" w:pos="4201" w:leader="none"/>
                <w:tab w:val="right" w:pos="9298" w:leader="dot"/>
              </w:tabs>
            </w:pPr>
            <w:r/>
            <w:r/>
          </w:p>
        </w:tc>
        <w:tc>
          <w:tcPr>
            <w:tcW w:w="603" w:type="dxa"/>
            <w:vAlign w:val="center"/>
            <w:vMerge w:val="continue"/>
            <w:textDirection w:val="lrTb"/>
            <w:noWrap w:val="false"/>
          </w:tcPr>
          <w:p>
            <w:pPr>
              <w:pStyle w:val="1201"/>
              <w:ind w:firstLine="0"/>
              <w:jc w:val="center"/>
              <w:tabs>
                <w:tab w:val="center" w:pos="4201" w:leader="none"/>
                <w:tab w:val="right" w:pos="9298" w:leader="dot"/>
              </w:tabs>
            </w:pPr>
            <w:r/>
            <w:r/>
          </w:p>
        </w:tc>
        <w:tc>
          <w:tcPr>
            <w:tcW w:w="1706" w:type="dxa"/>
            <w:vAlign w:val="center"/>
            <w:textDirection w:val="lrTb"/>
            <w:noWrap w:val="false"/>
          </w:tcPr>
          <w:p>
            <w:pPr>
              <w:pStyle w:val="1201"/>
              <w:ind w:firstLine="0"/>
              <w:jc w:val="center"/>
              <w:tabs>
                <w:tab w:val="center" w:pos="4201" w:leader="none"/>
                <w:tab w:val="right" w:pos="9298" w:leader="dot"/>
              </w:tabs>
            </w:pPr>
            <w:r>
              <w:t xml:space="preserve">Bit3~Bit7</w:t>
            </w:r>
            <w:r/>
          </w:p>
        </w:tc>
        <w:tc>
          <w:tcPr>
            <w:tcW w:w="2384" w:type="dxa"/>
            <w:vAlign w:val="center"/>
            <w:textDirection w:val="lrTb"/>
            <w:noWrap w:val="false"/>
          </w:tcPr>
          <w:p>
            <w:pPr>
              <w:pStyle w:val="1201"/>
              <w:ind w:firstLine="0"/>
              <w:jc w:val="center"/>
              <w:tabs>
                <w:tab w:val="center" w:pos="4201" w:leader="none"/>
                <w:tab w:val="right" w:pos="9298" w:leader="dot"/>
              </w:tabs>
            </w:pPr>
            <w:r>
              <w:t xml:space="preserve">保留</w:t>
            </w:r>
            <w:r/>
          </w:p>
        </w:tc>
      </w:tr>
      <w:tr>
        <w:trPr/>
        <w:tc>
          <w:tcPr>
            <w:tcW w:w="1757" w:type="dxa"/>
            <w:vAlign w:val="center"/>
            <w:textDirection w:val="lrTb"/>
            <w:noWrap w:val="false"/>
          </w:tcPr>
          <w:p>
            <w:pPr>
              <w:pStyle w:val="1201"/>
              <w:ind w:firstLine="0"/>
              <w:jc w:val="center"/>
              <w:tabs>
                <w:tab w:val="center" w:pos="4201" w:leader="none"/>
                <w:tab w:val="right" w:pos="9298" w:leader="dot"/>
              </w:tabs>
            </w:pPr>
            <w:r>
              <w:t xml:space="preserve">校验和</w:t>
            </w:r>
            <w:r/>
          </w:p>
        </w:tc>
        <w:tc>
          <w:tcPr>
            <w:gridSpan w:val="4"/>
            <w:tcW w:w="6217" w:type="dxa"/>
            <w:vAlign w:val="center"/>
            <w:textDirection w:val="lrTb"/>
            <w:noWrap w:val="false"/>
          </w:tcPr>
          <w:p>
            <w:pPr>
              <w:pStyle w:val="1201"/>
              <w:ind w:firstLine="0"/>
              <w:jc w:val="center"/>
              <w:tabs>
                <w:tab w:val="center" w:pos="4201" w:leader="none"/>
                <w:tab w:val="right" w:pos="9298" w:leader="dot"/>
              </w:tabs>
            </w:pPr>
            <w:r>
              <w:t xml:space="preserve">全部内容</w:t>
            </w:r>
            <w:r/>
          </w:p>
        </w:tc>
      </w:tr>
    </w:tbl>
    <w:p>
      <w:pPr>
        <w:pStyle w:val="1245"/>
        <w:numPr>
          <w:ilvl w:val="1"/>
          <w:numId w:val="75"/>
        </w:numPr>
        <w:ind w:left="839" w:firstLine="0"/>
      </w:pPr>
      <w:r>
        <w:t xml:space="preserve">电源系统运行信息</w:t>
      </w:r>
      <w:r/>
    </w:p>
    <w:p>
      <w:pPr>
        <w:pStyle w:val="1245"/>
        <w:numPr>
          <w:ilvl w:val="2"/>
          <w:numId w:val="75"/>
        </w:numPr>
        <w:ind w:left="1259" w:firstLine="0"/>
      </w:pPr>
      <w:r>
        <w:t xml:space="preserve">DTU核心单元向电源模块查询电源系统运行信息</w:t>
      </w:r>
      <w:r/>
    </w:p>
    <w:p>
      <w:pPr>
        <w:pStyle w:val="1201"/>
        <w:jc w:val="center"/>
        <w:tabs>
          <w:tab w:val="center" w:pos="4201" w:leader="none"/>
          <w:tab w:val="right" w:pos="9298" w:leader="dot"/>
        </w:tabs>
        <w:rPr>
          <w:rFonts w:ascii="黑体" w:hAnsi="黑体" w:eastAsia="黑体"/>
        </w:rPr>
      </w:pPr>
      <w:r>
        <w:rPr>
          <w:rFonts w:ascii="黑体" w:hAnsi="黑体" w:eastAsia="黑体"/>
        </w:rPr>
        <w:t xml:space="preserve">表F</w:t>
      </w:r>
      <w:r>
        <w:rPr>
          <w:rFonts w:hint="eastAsia" w:ascii="黑体" w:hAnsi="黑体" w:eastAsia="黑体"/>
        </w:rPr>
        <w:t xml:space="preserve">-1</w:t>
      </w:r>
      <w:r>
        <w:rPr>
          <w:rFonts w:ascii="黑体" w:hAnsi="黑体" w:eastAsia="黑体"/>
        </w:rPr>
        <w:t xml:space="preserve">1</w:t>
      </w:r>
      <w:r>
        <w:rPr>
          <w:rFonts w:hint="eastAsia" w:ascii="黑体" w:hAnsi="黑体" w:eastAsia="黑体"/>
        </w:rPr>
        <w:t xml:space="preserve">电源系统运行信息查询报文说明</w:t>
      </w:r>
      <w:r>
        <w:rPr>
          <w:rFonts w:ascii="黑体" w:hAnsi="黑体" w:eastAsia="黑体"/>
        </w:rPr>
      </w:r>
      <w:r/>
    </w:p>
    <w:tbl>
      <w:tblPr>
        <w:tblW w:w="73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7"/>
        <w:gridCol w:w="5318"/>
      </w:tblGrid>
      <w:tr>
        <w:trPr/>
        <w:tc>
          <w:tcPr>
            <w:tcW w:w="2067" w:type="dxa"/>
            <w:vAlign w:val="center"/>
            <w:textDirection w:val="lrTb"/>
            <w:noWrap w:val="false"/>
          </w:tcPr>
          <w:p>
            <w:pPr>
              <w:pStyle w:val="1201"/>
              <w:ind w:firstLine="0"/>
              <w:jc w:val="center"/>
              <w:tabs>
                <w:tab w:val="center" w:pos="4201" w:leader="none"/>
                <w:tab w:val="right" w:pos="9298" w:leader="dot"/>
              </w:tabs>
            </w:pPr>
            <w:r>
              <w:t xml:space="preserve">起始字符1</w:t>
            </w:r>
            <w:r/>
          </w:p>
        </w:tc>
        <w:tc>
          <w:tcPr>
            <w:tcW w:w="5318" w:type="dxa"/>
            <w:vAlign w:val="center"/>
            <w:textDirection w:val="lrTb"/>
            <w:noWrap w:val="false"/>
          </w:tcPr>
          <w:p>
            <w:pPr>
              <w:pStyle w:val="1201"/>
              <w:ind w:firstLine="0"/>
              <w:jc w:val="center"/>
              <w:tabs>
                <w:tab w:val="center" w:pos="4201" w:leader="none"/>
                <w:tab w:val="right" w:pos="9298" w:leader="dot"/>
              </w:tabs>
            </w:pPr>
            <w:r>
              <w:t xml:space="preserve">0xEB</w:t>
            </w:r>
            <w:r/>
          </w:p>
        </w:tc>
      </w:tr>
      <w:tr>
        <w:trPr/>
        <w:tc>
          <w:tcPr>
            <w:tcW w:w="2067" w:type="dxa"/>
            <w:vAlign w:val="center"/>
            <w:textDirection w:val="lrTb"/>
            <w:noWrap w:val="false"/>
          </w:tcPr>
          <w:p>
            <w:pPr>
              <w:pStyle w:val="1201"/>
              <w:ind w:firstLine="0"/>
              <w:jc w:val="center"/>
              <w:tabs>
                <w:tab w:val="center" w:pos="4201" w:leader="none"/>
                <w:tab w:val="right" w:pos="9298" w:leader="dot"/>
              </w:tabs>
            </w:pPr>
            <w:r>
              <w:t xml:space="preserve">起始字符2</w:t>
            </w:r>
            <w:r/>
          </w:p>
        </w:tc>
        <w:tc>
          <w:tcPr>
            <w:tcW w:w="5318" w:type="dxa"/>
            <w:vAlign w:val="center"/>
            <w:textDirection w:val="lrTb"/>
            <w:noWrap w:val="false"/>
          </w:tcPr>
          <w:p>
            <w:pPr>
              <w:pStyle w:val="1201"/>
              <w:ind w:firstLine="0"/>
              <w:jc w:val="center"/>
              <w:tabs>
                <w:tab w:val="center" w:pos="4201" w:leader="none"/>
                <w:tab w:val="right" w:pos="9298" w:leader="dot"/>
              </w:tabs>
            </w:pPr>
            <w:r>
              <w:t xml:space="preserve">0x90</w:t>
            </w:r>
            <w:r/>
          </w:p>
        </w:tc>
      </w:tr>
      <w:tr>
        <w:trPr/>
        <w:tc>
          <w:tcPr>
            <w:tcW w:w="2067" w:type="dxa"/>
            <w:vAlign w:val="center"/>
            <w:textDirection w:val="lrTb"/>
            <w:noWrap w:val="false"/>
          </w:tcPr>
          <w:p>
            <w:pPr>
              <w:pStyle w:val="1201"/>
              <w:ind w:firstLine="0"/>
              <w:jc w:val="center"/>
              <w:tabs>
                <w:tab w:val="center" w:pos="4201" w:leader="none"/>
                <w:tab w:val="right" w:pos="9298" w:leader="dot"/>
              </w:tabs>
            </w:pPr>
            <w:r>
              <w:t xml:space="preserve">长度</w:t>
            </w:r>
            <w:r/>
          </w:p>
        </w:tc>
        <w:tc>
          <w:tcPr>
            <w:tcW w:w="5318" w:type="dxa"/>
            <w:vAlign w:val="center"/>
            <w:textDirection w:val="lrTb"/>
            <w:noWrap w:val="false"/>
          </w:tcPr>
          <w:p>
            <w:pPr>
              <w:pStyle w:val="1201"/>
              <w:ind w:firstLine="0"/>
              <w:jc w:val="center"/>
              <w:tabs>
                <w:tab w:val="center" w:pos="4201" w:leader="none"/>
                <w:tab w:val="right" w:pos="9298" w:leader="dot"/>
              </w:tabs>
            </w:pPr>
            <w:r>
              <w:t xml:space="preserve">3</w:t>
            </w:r>
            <w:r/>
          </w:p>
        </w:tc>
      </w:tr>
      <w:tr>
        <w:trPr>
          <w:trHeight w:val="74"/>
        </w:trPr>
        <w:tc>
          <w:tcPr>
            <w:tcW w:w="2067" w:type="dxa"/>
            <w:vAlign w:val="center"/>
            <w:textDirection w:val="lrTb"/>
            <w:noWrap w:val="false"/>
          </w:tcPr>
          <w:p>
            <w:pPr>
              <w:pStyle w:val="1201"/>
              <w:ind w:firstLine="0"/>
              <w:jc w:val="center"/>
              <w:tabs>
                <w:tab w:val="center" w:pos="4201" w:leader="none"/>
                <w:tab w:val="right" w:pos="9298" w:leader="dot"/>
              </w:tabs>
            </w:pPr>
            <w:r>
              <w:t xml:space="preserve">电源模块地址</w:t>
            </w:r>
            <w:r/>
          </w:p>
        </w:tc>
        <w:tc>
          <w:tcPr>
            <w:tcW w:w="5318" w:type="dxa"/>
            <w:vAlign w:val="center"/>
            <w:textDirection w:val="lrTb"/>
            <w:noWrap w:val="false"/>
          </w:tcPr>
          <w:p>
            <w:pPr>
              <w:pStyle w:val="1201"/>
              <w:ind w:firstLine="0"/>
              <w:jc w:val="center"/>
              <w:tabs>
                <w:tab w:val="center" w:pos="4201" w:leader="none"/>
                <w:tab w:val="right" w:pos="9298" w:leader="dot"/>
              </w:tabs>
            </w:pPr>
            <w:r>
              <w:t xml:space="preserve">0x01</w:t>
            </w:r>
            <w:r/>
          </w:p>
        </w:tc>
      </w:tr>
      <w:tr>
        <w:trPr>
          <w:trHeight w:val="74"/>
        </w:trPr>
        <w:tc>
          <w:tcPr>
            <w:tcW w:w="2067" w:type="dxa"/>
            <w:vAlign w:val="center"/>
            <w:textDirection w:val="lrTb"/>
            <w:noWrap w:val="false"/>
          </w:tcPr>
          <w:p>
            <w:pPr>
              <w:pStyle w:val="1201"/>
              <w:ind w:firstLine="0"/>
              <w:jc w:val="center"/>
              <w:tabs>
                <w:tab w:val="center" w:pos="4201" w:leader="none"/>
                <w:tab w:val="right" w:pos="9298" w:leader="dot"/>
              </w:tabs>
            </w:pPr>
            <w:r>
              <w:t xml:space="preserve">功能码</w:t>
            </w:r>
            <w:r/>
          </w:p>
        </w:tc>
        <w:tc>
          <w:tcPr>
            <w:tcW w:w="5318" w:type="dxa"/>
            <w:vAlign w:val="center"/>
            <w:textDirection w:val="lrTb"/>
            <w:noWrap w:val="false"/>
          </w:tcPr>
          <w:p>
            <w:pPr>
              <w:pStyle w:val="1201"/>
              <w:ind w:firstLine="0"/>
              <w:jc w:val="center"/>
              <w:tabs>
                <w:tab w:val="center" w:pos="4201" w:leader="none"/>
                <w:tab w:val="right" w:pos="9298" w:leader="dot"/>
              </w:tabs>
            </w:pPr>
            <w:r>
              <w:t xml:space="preserve">0x01</w:t>
            </w:r>
            <w:r/>
          </w:p>
        </w:tc>
      </w:tr>
      <w:tr>
        <w:trPr>
          <w:trHeight w:val="73"/>
        </w:trPr>
        <w:tc>
          <w:tcPr>
            <w:tcW w:w="2067" w:type="dxa"/>
            <w:vAlign w:val="center"/>
            <w:textDirection w:val="lrTb"/>
            <w:noWrap w:val="false"/>
          </w:tcPr>
          <w:p>
            <w:pPr>
              <w:pStyle w:val="1201"/>
              <w:ind w:firstLine="0"/>
              <w:jc w:val="center"/>
              <w:tabs>
                <w:tab w:val="center" w:pos="4201" w:leader="none"/>
                <w:tab w:val="right" w:pos="9298" w:leader="dot"/>
              </w:tabs>
            </w:pPr>
            <w:r>
              <w:t xml:space="preserve">子类型</w:t>
            </w:r>
            <w:r/>
          </w:p>
        </w:tc>
        <w:tc>
          <w:tcPr>
            <w:tcW w:w="5318" w:type="dxa"/>
            <w:vAlign w:val="center"/>
            <w:textDirection w:val="lrTb"/>
            <w:noWrap w:val="false"/>
          </w:tcPr>
          <w:p>
            <w:pPr>
              <w:pStyle w:val="1201"/>
              <w:ind w:firstLine="0"/>
              <w:jc w:val="center"/>
              <w:tabs>
                <w:tab w:val="center" w:pos="4201" w:leader="none"/>
                <w:tab w:val="right" w:pos="9298" w:leader="dot"/>
              </w:tabs>
            </w:pPr>
            <w:r>
              <w:t xml:space="preserve">0x03</w:t>
            </w:r>
            <w:r/>
          </w:p>
        </w:tc>
      </w:tr>
      <w:tr>
        <w:trPr/>
        <w:tc>
          <w:tcPr>
            <w:tcW w:w="2067" w:type="dxa"/>
            <w:vAlign w:val="center"/>
            <w:textDirection w:val="lrTb"/>
            <w:noWrap w:val="false"/>
          </w:tcPr>
          <w:p>
            <w:pPr>
              <w:pStyle w:val="1201"/>
              <w:ind w:firstLine="0"/>
              <w:jc w:val="center"/>
              <w:tabs>
                <w:tab w:val="center" w:pos="4201" w:leader="none"/>
                <w:tab w:val="right" w:pos="9298" w:leader="dot"/>
              </w:tabs>
            </w:pPr>
            <w:r>
              <w:t xml:space="preserve">校验和</w:t>
            </w:r>
            <w:r/>
          </w:p>
        </w:tc>
        <w:tc>
          <w:tcPr>
            <w:tcW w:w="5318" w:type="dxa"/>
            <w:vAlign w:val="center"/>
            <w:textDirection w:val="lrTb"/>
            <w:noWrap w:val="false"/>
          </w:tcPr>
          <w:p>
            <w:pPr>
              <w:pStyle w:val="1201"/>
              <w:ind w:firstLine="0"/>
              <w:jc w:val="center"/>
              <w:tabs>
                <w:tab w:val="center" w:pos="4201" w:leader="none"/>
                <w:tab w:val="right" w:pos="9298" w:leader="dot"/>
              </w:tabs>
            </w:pPr>
            <w:r>
              <w:t xml:space="preserve">全部内容</w:t>
            </w:r>
            <w:r/>
          </w:p>
        </w:tc>
      </w:tr>
    </w:tbl>
    <w:p>
      <w:pPr>
        <w:pStyle w:val="1245"/>
        <w:numPr>
          <w:ilvl w:val="2"/>
          <w:numId w:val="75"/>
        </w:numPr>
        <w:ind w:left="1259" w:firstLine="0"/>
      </w:pPr>
      <w:r>
        <w:t xml:space="preserve">电源模块返回电源系统运行信息</w:t>
      </w:r>
      <w:r/>
    </w:p>
    <w:p>
      <w:pPr>
        <w:pStyle w:val="1201"/>
        <w:jc w:val="center"/>
        <w:tabs>
          <w:tab w:val="center" w:pos="4201" w:leader="none"/>
          <w:tab w:val="right" w:pos="9298" w:leader="dot"/>
        </w:tabs>
        <w:rPr>
          <w:rFonts w:ascii="黑体" w:hAnsi="黑体" w:eastAsia="黑体"/>
        </w:rPr>
      </w:pPr>
      <w:r>
        <w:rPr>
          <w:rFonts w:ascii="黑体" w:hAnsi="黑体" w:eastAsia="黑体"/>
        </w:rPr>
        <w:t xml:space="preserve">表F</w:t>
      </w:r>
      <w:r>
        <w:rPr>
          <w:rFonts w:hint="eastAsia" w:ascii="黑体" w:hAnsi="黑体" w:eastAsia="黑体"/>
        </w:rPr>
        <w:t xml:space="preserve">-1</w:t>
      </w:r>
      <w:r>
        <w:rPr>
          <w:rFonts w:ascii="黑体" w:hAnsi="黑体" w:eastAsia="黑体"/>
        </w:rPr>
        <w:t xml:space="preserve">2</w:t>
      </w:r>
      <w:r>
        <w:rPr>
          <w:rFonts w:hint="eastAsia" w:ascii="黑体" w:hAnsi="黑体" w:eastAsia="黑体"/>
        </w:rPr>
        <w:t xml:space="preserve">电源系统运行信息返回报文说明</w:t>
      </w:r>
      <w:r>
        <w:rPr>
          <w:rFonts w:ascii="黑体" w:hAnsi="黑体" w:eastAsia="黑体"/>
        </w:rPr>
      </w:r>
      <w:r/>
    </w:p>
    <w:tbl>
      <w:tblPr>
        <w:tblW w:w="72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67"/>
        <w:gridCol w:w="1762"/>
        <w:gridCol w:w="800"/>
        <w:gridCol w:w="1832"/>
      </w:tblGrid>
      <w:tr>
        <w:trPr/>
        <w:tc>
          <w:tcPr>
            <w:tcW w:w="2867" w:type="dxa"/>
            <w:vAlign w:val="center"/>
            <w:textDirection w:val="lrTb"/>
            <w:noWrap w:val="false"/>
          </w:tcPr>
          <w:p>
            <w:pPr>
              <w:pStyle w:val="1201"/>
              <w:ind w:firstLine="0"/>
              <w:jc w:val="center"/>
              <w:tabs>
                <w:tab w:val="center" w:pos="4201" w:leader="none"/>
                <w:tab w:val="right" w:pos="9298" w:leader="dot"/>
              </w:tabs>
            </w:pPr>
            <w:r>
              <w:t xml:space="preserve">起始字符1</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0xEB</w:t>
            </w:r>
            <w:r/>
          </w:p>
        </w:tc>
      </w:tr>
      <w:tr>
        <w:trPr/>
        <w:tc>
          <w:tcPr>
            <w:tcW w:w="2867" w:type="dxa"/>
            <w:vAlign w:val="center"/>
            <w:textDirection w:val="lrTb"/>
            <w:noWrap w:val="false"/>
          </w:tcPr>
          <w:p>
            <w:pPr>
              <w:pStyle w:val="1201"/>
              <w:ind w:firstLine="0"/>
              <w:jc w:val="center"/>
              <w:tabs>
                <w:tab w:val="center" w:pos="4201" w:leader="none"/>
                <w:tab w:val="right" w:pos="9298" w:leader="dot"/>
              </w:tabs>
            </w:pPr>
            <w:r>
              <w:t xml:space="preserve">起始字符2</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0x90</w:t>
            </w:r>
            <w:r/>
          </w:p>
        </w:tc>
      </w:tr>
      <w:tr>
        <w:trPr/>
        <w:tc>
          <w:tcPr>
            <w:tcW w:w="2867" w:type="dxa"/>
            <w:vAlign w:val="center"/>
            <w:textDirection w:val="lrTb"/>
            <w:noWrap w:val="false"/>
          </w:tcPr>
          <w:p>
            <w:pPr>
              <w:pStyle w:val="1201"/>
              <w:ind w:firstLine="0"/>
              <w:jc w:val="center"/>
              <w:tabs>
                <w:tab w:val="center" w:pos="4201" w:leader="none"/>
                <w:tab w:val="right" w:pos="9298" w:leader="dot"/>
              </w:tabs>
            </w:pPr>
            <w:r>
              <w:t xml:space="preserve">长度</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7</w:t>
            </w:r>
            <w:r/>
          </w:p>
        </w:tc>
      </w:tr>
      <w:tr>
        <w:trPr/>
        <w:tc>
          <w:tcPr>
            <w:tcW w:w="2867" w:type="dxa"/>
            <w:vAlign w:val="center"/>
            <w:textDirection w:val="lrTb"/>
            <w:noWrap w:val="false"/>
          </w:tcPr>
          <w:p>
            <w:pPr>
              <w:pStyle w:val="1201"/>
              <w:ind w:firstLine="0"/>
              <w:jc w:val="center"/>
              <w:tabs>
                <w:tab w:val="center" w:pos="4201" w:leader="none"/>
                <w:tab w:val="right" w:pos="9298" w:leader="dot"/>
              </w:tabs>
            </w:pPr>
            <w:r>
              <w:t xml:space="preserve">电源模块地址</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0x01</w:t>
            </w:r>
            <w:r/>
          </w:p>
        </w:tc>
      </w:tr>
      <w:tr>
        <w:trPr/>
        <w:tc>
          <w:tcPr>
            <w:tcW w:w="2867" w:type="dxa"/>
            <w:vAlign w:val="center"/>
            <w:textDirection w:val="lrTb"/>
            <w:noWrap w:val="false"/>
          </w:tcPr>
          <w:p>
            <w:pPr>
              <w:pStyle w:val="1201"/>
              <w:ind w:firstLine="0"/>
              <w:jc w:val="center"/>
              <w:tabs>
                <w:tab w:val="center" w:pos="4201" w:leader="none"/>
                <w:tab w:val="right" w:pos="9298" w:leader="dot"/>
              </w:tabs>
            </w:pPr>
            <w:r>
              <w:t xml:space="preserve">功能码</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0x81</w:t>
            </w:r>
            <w:r/>
          </w:p>
        </w:tc>
      </w:tr>
      <w:tr>
        <w:trPr/>
        <w:tc>
          <w:tcPr>
            <w:tcW w:w="2867" w:type="dxa"/>
            <w:vAlign w:val="center"/>
            <w:textDirection w:val="lrTb"/>
            <w:noWrap w:val="false"/>
          </w:tcPr>
          <w:p>
            <w:pPr>
              <w:pStyle w:val="1201"/>
              <w:ind w:firstLine="0"/>
              <w:jc w:val="center"/>
              <w:tabs>
                <w:tab w:val="center" w:pos="4201" w:leader="none"/>
                <w:tab w:val="right" w:pos="9298" w:leader="dot"/>
              </w:tabs>
            </w:pPr>
            <w:r>
              <w:t xml:space="preserve">子类型</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0x03</w:t>
            </w:r>
            <w:r/>
          </w:p>
        </w:tc>
      </w:tr>
      <w:tr>
        <w:trPr>
          <w:trHeight w:val="35"/>
        </w:trPr>
        <w:tc>
          <w:tcPr>
            <w:tcW w:w="2867" w:type="dxa"/>
            <w:vAlign w:val="center"/>
            <w:vMerge w:val="restart"/>
            <w:textDirection w:val="lrTb"/>
            <w:noWrap w:val="false"/>
          </w:tcPr>
          <w:p>
            <w:pPr>
              <w:pStyle w:val="1201"/>
              <w:ind w:firstLine="0"/>
              <w:jc w:val="center"/>
              <w:tabs>
                <w:tab w:val="center" w:pos="4201" w:leader="none"/>
                <w:tab w:val="right" w:pos="9298" w:leader="dot"/>
              </w:tabs>
            </w:pPr>
            <w:r>
              <w:t xml:space="preserve">数据</w:t>
            </w:r>
            <w:r/>
          </w:p>
        </w:tc>
        <w:tc>
          <w:tcPr>
            <w:tcW w:w="1762" w:type="dxa"/>
            <w:vAlign w:val="center"/>
            <w:textDirection w:val="lrTb"/>
            <w:noWrap w:val="false"/>
          </w:tcPr>
          <w:p>
            <w:pPr>
              <w:pStyle w:val="1201"/>
              <w:ind w:firstLine="0"/>
              <w:jc w:val="center"/>
              <w:tabs>
                <w:tab w:val="center" w:pos="4201" w:leader="none"/>
                <w:tab w:val="right" w:pos="9298" w:leader="dot"/>
              </w:tabs>
            </w:pPr>
            <w:r>
              <w:t xml:space="preserve">最大放电时间</w:t>
            </w:r>
            <w:r/>
          </w:p>
        </w:tc>
        <w:tc>
          <w:tcPr>
            <w:tcW w:w="800" w:type="dxa"/>
            <w:vAlign w:val="center"/>
            <w:textDirection w:val="lrTb"/>
            <w:noWrap w:val="false"/>
          </w:tcPr>
          <w:p>
            <w:pPr>
              <w:pStyle w:val="1201"/>
              <w:ind w:firstLine="0"/>
              <w:jc w:val="center"/>
              <w:tabs>
                <w:tab w:val="center" w:pos="4201" w:leader="none"/>
                <w:tab w:val="right" w:pos="9298" w:leader="dot"/>
              </w:tabs>
            </w:pPr>
            <w:r>
              <w:t xml:space="preserve">2</w:t>
            </w:r>
            <w:r/>
          </w:p>
        </w:tc>
        <w:tc>
          <w:tcPr>
            <w:tcW w:w="1832" w:type="dxa"/>
            <w:vAlign w:val="center"/>
            <w:textDirection w:val="lrTb"/>
            <w:noWrap w:val="false"/>
          </w:tcPr>
          <w:p>
            <w:pPr>
              <w:pStyle w:val="1201"/>
              <w:tabs>
                <w:tab w:val="center" w:pos="4201" w:leader="none"/>
                <w:tab w:val="right" w:pos="9298" w:leader="dot"/>
              </w:tabs>
            </w:pPr>
            <w:r>
              <w:t xml:space="preserve">short，单位s</w:t>
            </w:r>
            <w:r/>
          </w:p>
        </w:tc>
      </w:tr>
      <w:tr>
        <w:trPr>
          <w:trHeight w:val="35"/>
        </w:trPr>
        <w:tc>
          <w:tcPr>
            <w:tcW w:w="2867" w:type="dxa"/>
            <w:vAlign w:val="center"/>
            <w:vMerge w:val="continue"/>
            <w:textDirection w:val="lrTb"/>
            <w:noWrap w:val="false"/>
          </w:tcPr>
          <w:p>
            <w:pPr>
              <w:pStyle w:val="1201"/>
              <w:ind w:firstLine="0"/>
              <w:jc w:val="center"/>
              <w:tabs>
                <w:tab w:val="center" w:pos="4201" w:leader="none"/>
                <w:tab w:val="right" w:pos="9298" w:leader="dot"/>
              </w:tabs>
            </w:pPr>
            <w:r/>
            <w:r/>
          </w:p>
        </w:tc>
        <w:tc>
          <w:tcPr>
            <w:tcW w:w="1762" w:type="dxa"/>
            <w:vAlign w:val="center"/>
            <w:textDirection w:val="lrTb"/>
            <w:noWrap w:val="false"/>
          </w:tcPr>
          <w:p>
            <w:pPr>
              <w:pStyle w:val="1201"/>
              <w:ind w:firstLine="0"/>
              <w:jc w:val="center"/>
              <w:tabs>
                <w:tab w:val="center" w:pos="4201" w:leader="none"/>
                <w:tab w:val="right" w:pos="9298" w:leader="dot"/>
              </w:tabs>
            </w:pPr>
            <w:r>
              <w:t xml:space="preserve">当前放电时长</w:t>
            </w:r>
            <w:r/>
          </w:p>
        </w:tc>
        <w:tc>
          <w:tcPr>
            <w:tcW w:w="800" w:type="dxa"/>
            <w:vAlign w:val="center"/>
            <w:textDirection w:val="lrTb"/>
            <w:noWrap w:val="false"/>
          </w:tcPr>
          <w:p>
            <w:pPr>
              <w:pStyle w:val="1201"/>
              <w:ind w:firstLine="0"/>
              <w:jc w:val="center"/>
              <w:tabs>
                <w:tab w:val="center" w:pos="4201" w:leader="none"/>
                <w:tab w:val="right" w:pos="9298" w:leader="dot"/>
              </w:tabs>
            </w:pPr>
            <w:r>
              <w:t xml:space="preserve">2</w:t>
            </w:r>
            <w:r/>
          </w:p>
        </w:tc>
        <w:tc>
          <w:tcPr>
            <w:tcW w:w="1832" w:type="dxa"/>
            <w:vAlign w:val="center"/>
            <w:textDirection w:val="lrTb"/>
            <w:noWrap w:val="false"/>
          </w:tcPr>
          <w:p>
            <w:pPr>
              <w:pStyle w:val="1201"/>
              <w:tabs>
                <w:tab w:val="center" w:pos="4201" w:leader="none"/>
                <w:tab w:val="right" w:pos="9298" w:leader="dot"/>
              </w:tabs>
            </w:pPr>
            <w:r>
              <w:t xml:space="preserve">short，单位s</w:t>
            </w:r>
            <w:r/>
          </w:p>
        </w:tc>
      </w:tr>
      <w:tr>
        <w:trPr/>
        <w:tc>
          <w:tcPr>
            <w:tcW w:w="2867" w:type="dxa"/>
            <w:vAlign w:val="center"/>
            <w:textDirection w:val="lrTb"/>
            <w:noWrap w:val="false"/>
          </w:tcPr>
          <w:p>
            <w:pPr>
              <w:pStyle w:val="1201"/>
              <w:ind w:firstLine="0"/>
              <w:jc w:val="center"/>
              <w:tabs>
                <w:tab w:val="center" w:pos="4201" w:leader="none"/>
                <w:tab w:val="right" w:pos="9298" w:leader="dot"/>
              </w:tabs>
            </w:pPr>
            <w:r>
              <w:t xml:space="preserve">校验和</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全部内容</w:t>
            </w:r>
            <w:r/>
          </w:p>
        </w:tc>
      </w:tr>
    </w:tbl>
    <w:p>
      <w:pPr>
        <w:pStyle w:val="1245"/>
        <w:numPr>
          <w:ilvl w:val="1"/>
          <w:numId w:val="75"/>
        </w:numPr>
        <w:ind w:left="839" w:firstLine="0"/>
      </w:pPr>
      <w:r>
        <w:rPr>
          <w:rFonts w:hint="eastAsia"/>
        </w:rPr>
        <w:t xml:space="preserve">活化控制</w:t>
      </w:r>
      <w:r/>
    </w:p>
    <w:p>
      <w:pPr>
        <w:pStyle w:val="1201"/>
        <w:jc w:val="center"/>
        <w:tabs>
          <w:tab w:val="center" w:pos="4201" w:leader="none"/>
          <w:tab w:val="right" w:pos="9298" w:leader="dot"/>
        </w:tabs>
        <w:rPr>
          <w:rFonts w:ascii="黑体" w:hAnsi="黑体" w:eastAsia="黑体"/>
        </w:rPr>
      </w:pPr>
      <w:r>
        <w:rPr>
          <w:rFonts w:ascii="黑体" w:hAnsi="黑体" w:eastAsia="黑体"/>
        </w:rPr>
        <w:t xml:space="preserve">表F</w:t>
      </w:r>
      <w:r>
        <w:rPr>
          <w:rFonts w:hint="eastAsia" w:ascii="黑体" w:hAnsi="黑体" w:eastAsia="黑体"/>
        </w:rPr>
        <w:t xml:space="preserve">-1</w:t>
      </w:r>
      <w:r>
        <w:rPr>
          <w:rFonts w:ascii="黑体" w:hAnsi="黑体" w:eastAsia="黑体"/>
        </w:rPr>
        <w:t xml:space="preserve">3</w:t>
      </w:r>
      <w:r>
        <w:rPr>
          <w:rFonts w:hint="eastAsia" w:ascii="黑体" w:hAnsi="黑体" w:eastAsia="黑体"/>
        </w:rPr>
        <w:t xml:space="preserve">控制报文说明</w:t>
      </w:r>
      <w:r>
        <w:rPr>
          <w:rFonts w:ascii="黑体" w:hAnsi="黑体" w:eastAsia="黑体"/>
        </w:rPr>
      </w:r>
      <w:r/>
    </w:p>
    <w:tbl>
      <w:tblPr>
        <w:tblW w:w="70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3"/>
        <w:gridCol w:w="4337"/>
      </w:tblGrid>
      <w:tr>
        <w:trPr/>
        <w:tc>
          <w:tcPr>
            <w:tcW w:w="2753" w:type="dxa"/>
            <w:vAlign w:val="center"/>
            <w:textDirection w:val="lrTb"/>
            <w:noWrap w:val="false"/>
          </w:tcPr>
          <w:p>
            <w:pPr>
              <w:pStyle w:val="1201"/>
              <w:ind w:firstLine="0"/>
              <w:jc w:val="center"/>
              <w:tabs>
                <w:tab w:val="center" w:pos="4201" w:leader="none"/>
                <w:tab w:val="right" w:pos="9298" w:leader="dot"/>
              </w:tabs>
            </w:pPr>
            <w:r>
              <w:t xml:space="preserve">能子类型 (16进制)</w:t>
            </w:r>
            <w:r/>
          </w:p>
        </w:tc>
        <w:tc>
          <w:tcPr>
            <w:tcW w:w="4337" w:type="dxa"/>
            <w:vAlign w:val="center"/>
            <w:textDirection w:val="lrTb"/>
            <w:noWrap w:val="false"/>
          </w:tcPr>
          <w:p>
            <w:pPr>
              <w:pStyle w:val="1201"/>
              <w:ind w:firstLine="0"/>
              <w:jc w:val="center"/>
              <w:tabs>
                <w:tab w:val="center" w:pos="4201" w:leader="none"/>
                <w:tab w:val="right" w:pos="9298" w:leader="dot"/>
              </w:tabs>
            </w:pPr>
            <w:r>
              <w:t xml:space="preserve">说明</w:t>
            </w:r>
            <w:r/>
          </w:p>
        </w:tc>
      </w:tr>
      <w:tr>
        <w:trPr>
          <w:trHeight w:val="158"/>
        </w:trPr>
        <w:tc>
          <w:tcPr>
            <w:tcW w:w="2753" w:type="dxa"/>
            <w:vAlign w:val="center"/>
            <w:textDirection w:val="lrTb"/>
            <w:noWrap w:val="false"/>
          </w:tcPr>
          <w:p>
            <w:pPr>
              <w:pStyle w:val="1201"/>
              <w:ind w:firstLine="0"/>
              <w:jc w:val="center"/>
              <w:tabs>
                <w:tab w:val="center" w:pos="4201" w:leader="none"/>
                <w:tab w:val="right" w:pos="9298" w:leader="dot"/>
              </w:tabs>
            </w:pPr>
            <w:r>
              <w:t xml:space="preserve">01</w:t>
            </w:r>
            <w:r/>
          </w:p>
        </w:tc>
        <w:tc>
          <w:tcPr>
            <w:tcW w:w="4337" w:type="dxa"/>
            <w:vAlign w:val="center"/>
            <w:textDirection w:val="lrTb"/>
            <w:noWrap w:val="false"/>
          </w:tcPr>
          <w:p>
            <w:pPr>
              <w:pStyle w:val="1201"/>
              <w:ind w:firstLine="0"/>
              <w:jc w:val="center"/>
              <w:tabs>
                <w:tab w:val="center" w:pos="4201" w:leader="none"/>
                <w:tab w:val="right" w:pos="9298" w:leader="dot"/>
              </w:tabs>
            </w:pPr>
            <w:r>
              <w:t xml:space="preserve">活化启动</w:t>
            </w:r>
            <w:r/>
          </w:p>
        </w:tc>
      </w:tr>
      <w:tr>
        <w:trPr>
          <w:trHeight w:val="74"/>
        </w:trPr>
        <w:tc>
          <w:tcPr>
            <w:tcW w:w="2753" w:type="dxa"/>
            <w:vAlign w:val="center"/>
            <w:textDirection w:val="lrTb"/>
            <w:noWrap w:val="false"/>
          </w:tcPr>
          <w:p>
            <w:pPr>
              <w:pStyle w:val="1201"/>
              <w:ind w:firstLine="0"/>
              <w:jc w:val="center"/>
              <w:tabs>
                <w:tab w:val="center" w:pos="4201" w:leader="none"/>
                <w:tab w:val="right" w:pos="9298" w:leader="dot"/>
              </w:tabs>
            </w:pPr>
            <w:r>
              <w:t xml:space="preserve">02</w:t>
            </w:r>
            <w:r/>
          </w:p>
        </w:tc>
        <w:tc>
          <w:tcPr>
            <w:tcW w:w="4337" w:type="dxa"/>
            <w:vAlign w:val="center"/>
            <w:textDirection w:val="lrTb"/>
            <w:noWrap w:val="false"/>
          </w:tcPr>
          <w:p>
            <w:pPr>
              <w:pStyle w:val="1201"/>
              <w:ind w:firstLine="0"/>
              <w:jc w:val="center"/>
              <w:tabs>
                <w:tab w:val="center" w:pos="4201" w:leader="none"/>
                <w:tab w:val="right" w:pos="9298" w:leader="dot"/>
              </w:tabs>
            </w:pPr>
            <w:r>
              <w:t xml:space="preserve">活化停止</w:t>
            </w:r>
            <w:r/>
          </w:p>
        </w:tc>
      </w:tr>
      <w:tr>
        <w:trPr>
          <w:trHeight w:val="73"/>
        </w:trPr>
        <w:tc>
          <w:tcPr>
            <w:tcW w:w="2753" w:type="dxa"/>
            <w:vAlign w:val="center"/>
            <w:textDirection w:val="lrTb"/>
            <w:noWrap w:val="false"/>
          </w:tcPr>
          <w:p>
            <w:pPr>
              <w:pStyle w:val="1201"/>
              <w:ind w:firstLine="0"/>
              <w:jc w:val="center"/>
              <w:tabs>
                <w:tab w:val="center" w:pos="4201" w:leader="none"/>
                <w:tab w:val="right" w:pos="9298" w:leader="dot"/>
              </w:tabs>
            </w:pPr>
            <w:r>
              <w:t xml:space="preserve">03</w:t>
            </w:r>
            <w:r/>
          </w:p>
        </w:tc>
        <w:tc>
          <w:tcPr>
            <w:tcW w:w="4337" w:type="dxa"/>
            <w:vAlign w:val="center"/>
            <w:textDirection w:val="lrTb"/>
            <w:noWrap w:val="false"/>
          </w:tcPr>
          <w:p>
            <w:pPr>
              <w:pStyle w:val="1201"/>
              <w:ind w:firstLine="0"/>
              <w:jc w:val="center"/>
              <w:tabs>
                <w:tab w:val="center" w:pos="4201" w:leader="none"/>
                <w:tab w:val="right" w:pos="9298" w:leader="dot"/>
              </w:tabs>
            </w:pPr>
            <w:r>
              <w:t xml:space="preserve">放电停止</w:t>
            </w:r>
            <w:r/>
          </w:p>
        </w:tc>
      </w:tr>
    </w:tbl>
    <w:p>
      <w:pPr>
        <w:pStyle w:val="1245"/>
        <w:numPr>
          <w:ilvl w:val="1"/>
          <w:numId w:val="75"/>
        </w:numPr>
        <w:ind w:left="839" w:firstLine="0"/>
      </w:pPr>
      <w:r>
        <w:t xml:space="preserve">活化启动</w:t>
      </w:r>
      <w:r/>
    </w:p>
    <w:p>
      <w:pPr>
        <w:pStyle w:val="1245"/>
        <w:numPr>
          <w:ilvl w:val="2"/>
          <w:numId w:val="75"/>
        </w:numPr>
        <w:ind w:left="1259" w:firstLine="0"/>
      </w:pPr>
      <w:r>
        <w:t xml:space="preserve">DTU核心单元向电源模块启动电池活化</w:t>
      </w:r>
      <w:r/>
    </w:p>
    <w:p>
      <w:pPr>
        <w:pStyle w:val="1201"/>
        <w:jc w:val="center"/>
        <w:tabs>
          <w:tab w:val="center" w:pos="4201" w:leader="none"/>
          <w:tab w:val="right" w:pos="9298" w:leader="dot"/>
        </w:tabs>
        <w:rPr>
          <w:rFonts w:ascii="黑体" w:hAnsi="黑体" w:eastAsia="黑体"/>
        </w:rPr>
      </w:pPr>
      <w:r>
        <w:rPr>
          <w:rFonts w:ascii="黑体" w:hAnsi="黑体" w:eastAsia="黑体"/>
        </w:rPr>
        <w:t xml:space="preserve">表F</w:t>
      </w:r>
      <w:r>
        <w:rPr>
          <w:rFonts w:hint="eastAsia" w:ascii="黑体" w:hAnsi="黑体" w:eastAsia="黑体"/>
        </w:rPr>
        <w:t xml:space="preserve">-1</w:t>
      </w:r>
      <w:r>
        <w:rPr>
          <w:rFonts w:ascii="黑体" w:hAnsi="黑体" w:eastAsia="黑体"/>
        </w:rPr>
        <w:t xml:space="preserve">4</w:t>
      </w:r>
      <w:r>
        <w:rPr>
          <w:rFonts w:hint="eastAsia" w:ascii="黑体" w:hAnsi="黑体" w:eastAsia="黑体"/>
        </w:rPr>
        <w:t xml:space="preserve">活化启动报文说明</w:t>
      </w:r>
      <w:r>
        <w:rPr>
          <w:rFonts w:ascii="黑体" w:hAnsi="黑体" w:eastAsia="黑体"/>
        </w:rPr>
      </w:r>
      <w:r/>
    </w:p>
    <w:tbl>
      <w:tblPr>
        <w:tblW w:w="70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89"/>
        <w:gridCol w:w="4627"/>
      </w:tblGrid>
      <w:tr>
        <w:trPr/>
        <w:tc>
          <w:tcPr>
            <w:tcW w:w="2389" w:type="dxa"/>
            <w:vAlign w:val="center"/>
            <w:textDirection w:val="lrTb"/>
            <w:noWrap w:val="false"/>
          </w:tcPr>
          <w:p>
            <w:pPr>
              <w:pStyle w:val="1201"/>
              <w:ind w:firstLine="0"/>
              <w:jc w:val="center"/>
              <w:tabs>
                <w:tab w:val="center" w:pos="4201" w:leader="none"/>
                <w:tab w:val="right" w:pos="9298" w:leader="dot"/>
              </w:tabs>
            </w:pPr>
            <w:r>
              <w:t xml:space="preserve">起始字符1</w:t>
            </w:r>
            <w:r/>
          </w:p>
        </w:tc>
        <w:tc>
          <w:tcPr>
            <w:tcW w:w="4627" w:type="dxa"/>
            <w:vAlign w:val="center"/>
            <w:textDirection w:val="lrTb"/>
            <w:noWrap w:val="false"/>
          </w:tcPr>
          <w:p>
            <w:pPr>
              <w:pStyle w:val="1201"/>
              <w:ind w:firstLine="0"/>
              <w:jc w:val="center"/>
              <w:tabs>
                <w:tab w:val="center" w:pos="4201" w:leader="none"/>
                <w:tab w:val="right" w:pos="9298" w:leader="dot"/>
              </w:tabs>
            </w:pPr>
            <w:r>
              <w:t xml:space="preserve">0xEB</w:t>
            </w:r>
            <w:r/>
          </w:p>
        </w:tc>
      </w:tr>
      <w:tr>
        <w:trPr/>
        <w:tc>
          <w:tcPr>
            <w:tcW w:w="2389" w:type="dxa"/>
            <w:vAlign w:val="center"/>
            <w:textDirection w:val="lrTb"/>
            <w:noWrap w:val="false"/>
          </w:tcPr>
          <w:p>
            <w:pPr>
              <w:pStyle w:val="1201"/>
              <w:ind w:firstLine="0"/>
              <w:jc w:val="center"/>
              <w:tabs>
                <w:tab w:val="center" w:pos="4201" w:leader="none"/>
                <w:tab w:val="right" w:pos="9298" w:leader="dot"/>
              </w:tabs>
            </w:pPr>
            <w:r>
              <w:t xml:space="preserve">起始字符2</w:t>
            </w:r>
            <w:r/>
          </w:p>
        </w:tc>
        <w:tc>
          <w:tcPr>
            <w:tcW w:w="4627" w:type="dxa"/>
            <w:vAlign w:val="center"/>
            <w:textDirection w:val="lrTb"/>
            <w:noWrap w:val="false"/>
          </w:tcPr>
          <w:p>
            <w:pPr>
              <w:pStyle w:val="1201"/>
              <w:ind w:firstLine="0"/>
              <w:jc w:val="center"/>
              <w:tabs>
                <w:tab w:val="center" w:pos="4201" w:leader="none"/>
                <w:tab w:val="right" w:pos="9298" w:leader="dot"/>
              </w:tabs>
            </w:pPr>
            <w:r>
              <w:t xml:space="preserve">0x90</w:t>
            </w:r>
            <w:r/>
          </w:p>
        </w:tc>
      </w:tr>
      <w:tr>
        <w:trPr/>
        <w:tc>
          <w:tcPr>
            <w:tcW w:w="2389" w:type="dxa"/>
            <w:vAlign w:val="center"/>
            <w:textDirection w:val="lrTb"/>
            <w:noWrap w:val="false"/>
          </w:tcPr>
          <w:p>
            <w:pPr>
              <w:pStyle w:val="1201"/>
              <w:ind w:firstLine="0"/>
              <w:jc w:val="center"/>
              <w:tabs>
                <w:tab w:val="center" w:pos="4201" w:leader="none"/>
                <w:tab w:val="right" w:pos="9298" w:leader="dot"/>
              </w:tabs>
            </w:pPr>
            <w:r>
              <w:t xml:space="preserve">长度</w:t>
            </w:r>
            <w:r/>
          </w:p>
        </w:tc>
        <w:tc>
          <w:tcPr>
            <w:tcW w:w="4627" w:type="dxa"/>
            <w:vAlign w:val="center"/>
            <w:textDirection w:val="lrTb"/>
            <w:noWrap w:val="false"/>
          </w:tcPr>
          <w:p>
            <w:pPr>
              <w:pStyle w:val="1201"/>
              <w:ind w:firstLine="0"/>
              <w:jc w:val="center"/>
              <w:tabs>
                <w:tab w:val="center" w:pos="4201" w:leader="none"/>
                <w:tab w:val="right" w:pos="9298" w:leader="dot"/>
              </w:tabs>
            </w:pPr>
            <w:r>
              <w:t xml:space="preserve">3</w:t>
            </w:r>
            <w:r/>
          </w:p>
        </w:tc>
      </w:tr>
      <w:tr>
        <w:trPr/>
        <w:tc>
          <w:tcPr>
            <w:tcW w:w="2389" w:type="dxa"/>
            <w:vAlign w:val="center"/>
            <w:textDirection w:val="lrTb"/>
            <w:noWrap w:val="false"/>
          </w:tcPr>
          <w:p>
            <w:pPr>
              <w:pStyle w:val="1201"/>
              <w:ind w:firstLine="0"/>
              <w:jc w:val="center"/>
              <w:tabs>
                <w:tab w:val="center" w:pos="4201" w:leader="none"/>
                <w:tab w:val="right" w:pos="9298" w:leader="dot"/>
              </w:tabs>
            </w:pPr>
            <w:r>
              <w:t xml:space="preserve">电源模块地址</w:t>
            </w:r>
            <w:r/>
          </w:p>
        </w:tc>
        <w:tc>
          <w:tcPr>
            <w:tcW w:w="4627" w:type="dxa"/>
            <w:vAlign w:val="center"/>
            <w:textDirection w:val="lrTb"/>
            <w:noWrap w:val="false"/>
          </w:tcPr>
          <w:p>
            <w:pPr>
              <w:pStyle w:val="1201"/>
              <w:ind w:firstLine="0"/>
              <w:jc w:val="center"/>
              <w:tabs>
                <w:tab w:val="center" w:pos="4201" w:leader="none"/>
                <w:tab w:val="right" w:pos="9298" w:leader="dot"/>
              </w:tabs>
            </w:pPr>
            <w:r>
              <w:t xml:space="preserve">0x01</w:t>
            </w:r>
            <w:r/>
          </w:p>
        </w:tc>
      </w:tr>
      <w:tr>
        <w:trPr/>
        <w:tc>
          <w:tcPr>
            <w:tcW w:w="2389" w:type="dxa"/>
            <w:vAlign w:val="center"/>
            <w:textDirection w:val="lrTb"/>
            <w:noWrap w:val="false"/>
          </w:tcPr>
          <w:p>
            <w:pPr>
              <w:pStyle w:val="1201"/>
              <w:ind w:firstLine="0"/>
              <w:jc w:val="center"/>
              <w:tabs>
                <w:tab w:val="center" w:pos="4201" w:leader="none"/>
                <w:tab w:val="right" w:pos="9298" w:leader="dot"/>
              </w:tabs>
            </w:pPr>
            <w:r>
              <w:t xml:space="preserve">功能码</w:t>
            </w:r>
            <w:r/>
          </w:p>
        </w:tc>
        <w:tc>
          <w:tcPr>
            <w:tcW w:w="4627" w:type="dxa"/>
            <w:vAlign w:val="center"/>
            <w:textDirection w:val="lrTb"/>
            <w:noWrap w:val="false"/>
          </w:tcPr>
          <w:p>
            <w:pPr>
              <w:pStyle w:val="1201"/>
              <w:ind w:firstLine="0"/>
              <w:jc w:val="center"/>
              <w:tabs>
                <w:tab w:val="center" w:pos="4201" w:leader="none"/>
                <w:tab w:val="right" w:pos="9298" w:leader="dot"/>
              </w:tabs>
            </w:pPr>
            <w:r>
              <w:t xml:space="preserve">0x02</w:t>
            </w:r>
            <w:r/>
          </w:p>
        </w:tc>
      </w:tr>
      <w:tr>
        <w:trPr/>
        <w:tc>
          <w:tcPr>
            <w:tcW w:w="2389" w:type="dxa"/>
            <w:vAlign w:val="center"/>
            <w:textDirection w:val="lrTb"/>
            <w:noWrap w:val="false"/>
          </w:tcPr>
          <w:p>
            <w:pPr>
              <w:pStyle w:val="1201"/>
              <w:ind w:firstLine="0"/>
              <w:jc w:val="center"/>
              <w:tabs>
                <w:tab w:val="center" w:pos="4201" w:leader="none"/>
                <w:tab w:val="right" w:pos="9298" w:leader="dot"/>
              </w:tabs>
            </w:pPr>
            <w:r>
              <w:t xml:space="preserve">子类型</w:t>
            </w:r>
            <w:r/>
          </w:p>
        </w:tc>
        <w:tc>
          <w:tcPr>
            <w:tcW w:w="4627" w:type="dxa"/>
            <w:vAlign w:val="center"/>
            <w:textDirection w:val="lrTb"/>
            <w:noWrap w:val="false"/>
          </w:tcPr>
          <w:p>
            <w:pPr>
              <w:pStyle w:val="1201"/>
              <w:ind w:firstLine="0"/>
              <w:jc w:val="center"/>
              <w:tabs>
                <w:tab w:val="center" w:pos="4201" w:leader="none"/>
                <w:tab w:val="right" w:pos="9298" w:leader="dot"/>
              </w:tabs>
            </w:pPr>
            <w:r>
              <w:t xml:space="preserve">0x01</w:t>
            </w:r>
            <w:r/>
          </w:p>
        </w:tc>
      </w:tr>
      <w:tr>
        <w:trPr/>
        <w:tc>
          <w:tcPr>
            <w:tcW w:w="2389" w:type="dxa"/>
            <w:vAlign w:val="center"/>
            <w:textDirection w:val="lrTb"/>
            <w:noWrap w:val="false"/>
          </w:tcPr>
          <w:p>
            <w:pPr>
              <w:pStyle w:val="1201"/>
              <w:ind w:firstLine="0"/>
              <w:jc w:val="center"/>
              <w:tabs>
                <w:tab w:val="center" w:pos="4201" w:leader="none"/>
                <w:tab w:val="right" w:pos="9298" w:leader="dot"/>
              </w:tabs>
            </w:pPr>
            <w:r>
              <w:t xml:space="preserve">校验和</w:t>
            </w:r>
            <w:r/>
          </w:p>
        </w:tc>
        <w:tc>
          <w:tcPr>
            <w:tcW w:w="4627" w:type="dxa"/>
            <w:vAlign w:val="center"/>
            <w:textDirection w:val="lrTb"/>
            <w:noWrap w:val="false"/>
          </w:tcPr>
          <w:p>
            <w:pPr>
              <w:pStyle w:val="1201"/>
              <w:ind w:firstLine="0"/>
              <w:jc w:val="center"/>
              <w:tabs>
                <w:tab w:val="center" w:pos="4201" w:leader="none"/>
                <w:tab w:val="right" w:pos="9298" w:leader="dot"/>
              </w:tabs>
            </w:pPr>
            <w:r>
              <w:t xml:space="preserve">全部内容</w:t>
            </w:r>
            <w:r/>
          </w:p>
        </w:tc>
      </w:tr>
    </w:tbl>
    <w:p>
      <w:pPr>
        <w:pStyle w:val="1245"/>
        <w:numPr>
          <w:ilvl w:val="2"/>
          <w:numId w:val="75"/>
        </w:numPr>
        <w:ind w:left="1259" w:firstLine="0"/>
      </w:pPr>
      <w:r>
        <w:t xml:space="preserve">电源模块确认启动电池活化</w:t>
      </w:r>
      <w:r/>
    </w:p>
    <w:p>
      <w:pPr>
        <w:pStyle w:val="1201"/>
        <w:jc w:val="center"/>
        <w:tabs>
          <w:tab w:val="center" w:pos="4201" w:leader="none"/>
          <w:tab w:val="right" w:pos="9298" w:leader="dot"/>
        </w:tabs>
        <w:rPr>
          <w:rFonts w:ascii="黑体" w:hAnsi="黑体" w:eastAsia="黑体"/>
        </w:rPr>
      </w:pPr>
      <w:r>
        <w:rPr>
          <w:rFonts w:ascii="黑体" w:hAnsi="黑体" w:eastAsia="黑体"/>
        </w:rPr>
        <w:t xml:space="preserve">表F</w:t>
      </w:r>
      <w:r>
        <w:rPr>
          <w:rFonts w:hint="eastAsia" w:ascii="黑体" w:hAnsi="黑体" w:eastAsia="黑体"/>
        </w:rPr>
        <w:t xml:space="preserve">-1</w:t>
      </w:r>
      <w:r>
        <w:rPr>
          <w:rFonts w:ascii="黑体" w:hAnsi="黑体" w:eastAsia="黑体"/>
        </w:rPr>
        <w:t xml:space="preserve">5</w:t>
      </w:r>
      <w:r>
        <w:rPr>
          <w:rFonts w:hint="eastAsia" w:ascii="黑体" w:hAnsi="黑体" w:eastAsia="黑体"/>
        </w:rPr>
        <w:t xml:space="preserve">活化启动确认报文说明</w:t>
      </w:r>
      <w:r>
        <w:rPr>
          <w:rFonts w:ascii="黑体" w:hAnsi="黑体" w:eastAsia="黑体"/>
        </w:rPr>
      </w:r>
      <w:r/>
    </w:p>
    <w:tbl>
      <w:tblPr>
        <w:tblW w:w="68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1559"/>
        <w:gridCol w:w="850"/>
        <w:gridCol w:w="2185"/>
      </w:tblGrid>
      <w:tr>
        <w:trPr/>
        <w:tc>
          <w:tcPr>
            <w:tcW w:w="2268" w:type="dxa"/>
            <w:vAlign w:val="center"/>
            <w:textDirection w:val="lrTb"/>
            <w:noWrap w:val="false"/>
          </w:tcPr>
          <w:p>
            <w:pPr>
              <w:pStyle w:val="1201"/>
              <w:ind w:firstLine="0"/>
              <w:jc w:val="center"/>
              <w:tabs>
                <w:tab w:val="center" w:pos="4201" w:leader="none"/>
                <w:tab w:val="right" w:pos="9298" w:leader="dot"/>
              </w:tabs>
            </w:pPr>
            <w:r>
              <w:t xml:space="preserve">起始字符1</w:t>
            </w:r>
            <w:r/>
          </w:p>
        </w:tc>
        <w:tc>
          <w:tcPr>
            <w:gridSpan w:val="3"/>
            <w:tcW w:w="4594" w:type="dxa"/>
            <w:vAlign w:val="center"/>
            <w:textDirection w:val="lrTb"/>
            <w:noWrap w:val="false"/>
          </w:tcPr>
          <w:p>
            <w:pPr>
              <w:pStyle w:val="1201"/>
              <w:ind w:firstLine="0"/>
              <w:jc w:val="center"/>
              <w:tabs>
                <w:tab w:val="center" w:pos="4201" w:leader="none"/>
                <w:tab w:val="right" w:pos="9298" w:leader="dot"/>
              </w:tabs>
            </w:pPr>
            <w:r>
              <w:t xml:space="preserve">0xEB</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起始字符2</w:t>
            </w:r>
            <w:r/>
          </w:p>
        </w:tc>
        <w:tc>
          <w:tcPr>
            <w:gridSpan w:val="3"/>
            <w:tcW w:w="4594" w:type="dxa"/>
            <w:vAlign w:val="center"/>
            <w:textDirection w:val="lrTb"/>
            <w:noWrap w:val="false"/>
          </w:tcPr>
          <w:p>
            <w:pPr>
              <w:pStyle w:val="1201"/>
              <w:ind w:firstLine="0"/>
              <w:jc w:val="center"/>
              <w:tabs>
                <w:tab w:val="center" w:pos="4201" w:leader="none"/>
                <w:tab w:val="right" w:pos="9298" w:leader="dot"/>
              </w:tabs>
            </w:pPr>
            <w:r>
              <w:t xml:space="preserve">0x90</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长度</w:t>
            </w:r>
            <w:r/>
          </w:p>
        </w:tc>
        <w:tc>
          <w:tcPr>
            <w:gridSpan w:val="3"/>
            <w:tcW w:w="4594" w:type="dxa"/>
            <w:vAlign w:val="center"/>
            <w:textDirection w:val="lrTb"/>
            <w:noWrap w:val="false"/>
          </w:tcPr>
          <w:p>
            <w:pPr>
              <w:pStyle w:val="1201"/>
              <w:ind w:firstLine="0"/>
              <w:jc w:val="center"/>
              <w:tabs>
                <w:tab w:val="center" w:pos="4201" w:leader="none"/>
                <w:tab w:val="right" w:pos="9298" w:leader="dot"/>
              </w:tabs>
            </w:pPr>
            <w:r>
              <w:t xml:space="preserve">4</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电源模块地址</w:t>
            </w:r>
            <w:r/>
          </w:p>
        </w:tc>
        <w:tc>
          <w:tcPr>
            <w:gridSpan w:val="3"/>
            <w:tcW w:w="4594" w:type="dxa"/>
            <w:vAlign w:val="center"/>
            <w:textDirection w:val="lrTb"/>
            <w:noWrap w:val="false"/>
          </w:tcPr>
          <w:p>
            <w:pPr>
              <w:pStyle w:val="1201"/>
              <w:ind w:firstLine="0"/>
              <w:jc w:val="center"/>
              <w:tabs>
                <w:tab w:val="center" w:pos="4201" w:leader="none"/>
                <w:tab w:val="right" w:pos="9298" w:leader="dot"/>
              </w:tabs>
            </w:pPr>
            <w:r>
              <w:t xml:space="preserve">0x01</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功能码</w:t>
            </w:r>
            <w:r/>
          </w:p>
        </w:tc>
        <w:tc>
          <w:tcPr>
            <w:gridSpan w:val="3"/>
            <w:tcW w:w="4594" w:type="dxa"/>
            <w:vAlign w:val="center"/>
            <w:textDirection w:val="lrTb"/>
            <w:noWrap w:val="false"/>
          </w:tcPr>
          <w:p>
            <w:pPr>
              <w:pStyle w:val="1201"/>
              <w:ind w:firstLine="0"/>
              <w:jc w:val="center"/>
              <w:tabs>
                <w:tab w:val="center" w:pos="4201" w:leader="none"/>
                <w:tab w:val="right" w:pos="9298" w:leader="dot"/>
              </w:tabs>
            </w:pPr>
            <w:r>
              <w:t xml:space="preserve">0x82</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子类型</w:t>
            </w:r>
            <w:r/>
          </w:p>
        </w:tc>
        <w:tc>
          <w:tcPr>
            <w:gridSpan w:val="3"/>
            <w:tcW w:w="4594" w:type="dxa"/>
            <w:vAlign w:val="center"/>
            <w:textDirection w:val="lrTb"/>
            <w:noWrap w:val="false"/>
          </w:tcPr>
          <w:p>
            <w:pPr>
              <w:pStyle w:val="1201"/>
              <w:ind w:firstLine="0"/>
              <w:jc w:val="center"/>
              <w:tabs>
                <w:tab w:val="center" w:pos="4201" w:leader="none"/>
                <w:tab w:val="right" w:pos="9298" w:leader="dot"/>
              </w:tabs>
            </w:pPr>
            <w:r>
              <w:t xml:space="preserve">0x01</w:t>
            </w:r>
            <w:r/>
          </w:p>
        </w:tc>
      </w:tr>
      <w:tr>
        <w:trPr>
          <w:trHeight w:val="337"/>
        </w:trPr>
        <w:tc>
          <w:tcPr>
            <w:tcW w:w="2268" w:type="dxa"/>
            <w:vAlign w:val="center"/>
            <w:textDirection w:val="lrTb"/>
            <w:noWrap w:val="false"/>
          </w:tcPr>
          <w:p>
            <w:pPr>
              <w:pStyle w:val="1201"/>
              <w:ind w:firstLine="0"/>
              <w:jc w:val="center"/>
              <w:tabs>
                <w:tab w:val="center" w:pos="4201" w:leader="none"/>
                <w:tab w:val="right" w:pos="9298" w:leader="dot"/>
              </w:tabs>
            </w:pPr>
            <w:r>
              <w:t xml:space="preserve">数据</w:t>
            </w:r>
            <w:r/>
          </w:p>
        </w:tc>
        <w:tc>
          <w:tcPr>
            <w:tcW w:w="1559" w:type="dxa"/>
            <w:vAlign w:val="center"/>
            <w:textDirection w:val="lrTb"/>
            <w:noWrap w:val="false"/>
          </w:tcPr>
          <w:p>
            <w:pPr>
              <w:pStyle w:val="1201"/>
              <w:ind w:firstLine="0"/>
              <w:jc w:val="center"/>
              <w:tabs>
                <w:tab w:val="center" w:pos="4201" w:leader="none"/>
                <w:tab w:val="right" w:pos="9298" w:leader="dot"/>
              </w:tabs>
            </w:pPr>
            <w:r>
              <w:t xml:space="preserve">返回结果</w:t>
            </w:r>
            <w:r/>
          </w:p>
        </w:tc>
        <w:tc>
          <w:tcPr>
            <w:tcW w:w="850" w:type="dxa"/>
            <w:vAlign w:val="center"/>
            <w:textDirection w:val="lrTb"/>
            <w:noWrap w:val="false"/>
          </w:tcPr>
          <w:p>
            <w:pPr>
              <w:pStyle w:val="1201"/>
              <w:ind w:firstLine="0"/>
              <w:jc w:val="center"/>
              <w:tabs>
                <w:tab w:val="center" w:pos="4201" w:leader="none"/>
                <w:tab w:val="right" w:pos="9298" w:leader="dot"/>
              </w:tabs>
            </w:pPr>
            <w:r>
              <w:t xml:space="preserve">1</w:t>
            </w:r>
            <w:r/>
          </w:p>
        </w:tc>
        <w:tc>
          <w:tcPr>
            <w:tcW w:w="2185" w:type="dxa"/>
            <w:vAlign w:val="center"/>
            <w:textDirection w:val="lrTb"/>
            <w:noWrap w:val="false"/>
          </w:tcPr>
          <w:p>
            <w:pPr>
              <w:pStyle w:val="1201"/>
              <w:ind w:firstLine="0"/>
              <w:jc w:val="center"/>
              <w:tabs>
                <w:tab w:val="center" w:pos="4201" w:leader="none"/>
                <w:tab w:val="right" w:pos="9298" w:leader="dot"/>
              </w:tabs>
            </w:pPr>
            <w:r>
              <w:t xml:space="preserve">0x1：成功</w:t>
            </w:r>
            <w:r/>
          </w:p>
          <w:p>
            <w:pPr>
              <w:pStyle w:val="1201"/>
              <w:ind w:firstLine="0"/>
              <w:jc w:val="center"/>
              <w:tabs>
                <w:tab w:val="center" w:pos="4201" w:leader="none"/>
                <w:tab w:val="right" w:pos="9298" w:leader="dot"/>
              </w:tabs>
            </w:pPr>
            <w:r>
              <w:t xml:space="preserve">0x81：失败</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校验和</w:t>
            </w:r>
            <w:r/>
          </w:p>
        </w:tc>
        <w:tc>
          <w:tcPr>
            <w:gridSpan w:val="3"/>
            <w:tcW w:w="4594" w:type="dxa"/>
            <w:vAlign w:val="center"/>
            <w:textDirection w:val="lrTb"/>
            <w:noWrap w:val="false"/>
          </w:tcPr>
          <w:p>
            <w:pPr>
              <w:pStyle w:val="1201"/>
              <w:ind w:firstLine="0"/>
              <w:jc w:val="center"/>
              <w:tabs>
                <w:tab w:val="center" w:pos="4201" w:leader="none"/>
                <w:tab w:val="right" w:pos="9298" w:leader="dot"/>
              </w:tabs>
            </w:pPr>
            <w:r>
              <w:t xml:space="preserve">全部内容</w:t>
            </w:r>
            <w:r/>
          </w:p>
        </w:tc>
      </w:tr>
    </w:tbl>
    <w:p>
      <w:pPr>
        <w:pStyle w:val="1245"/>
        <w:numPr>
          <w:ilvl w:val="1"/>
          <w:numId w:val="75"/>
        </w:numPr>
        <w:ind w:left="839" w:firstLine="0"/>
      </w:pPr>
      <w:r>
        <w:t xml:space="preserve">活化停止</w:t>
      </w:r>
      <w:r/>
    </w:p>
    <w:p>
      <w:pPr>
        <w:pStyle w:val="1245"/>
        <w:numPr>
          <w:ilvl w:val="2"/>
          <w:numId w:val="75"/>
        </w:numPr>
        <w:ind w:left="1259" w:firstLine="0"/>
      </w:pPr>
      <w:r>
        <w:t xml:space="preserve">DTU核心单元向电源模块停止电池活化</w:t>
      </w:r>
      <w:r/>
    </w:p>
    <w:p>
      <w:pPr>
        <w:pStyle w:val="1201"/>
        <w:jc w:val="center"/>
        <w:tabs>
          <w:tab w:val="center" w:pos="4201" w:leader="none"/>
          <w:tab w:val="right" w:pos="9298" w:leader="dot"/>
        </w:tabs>
        <w:rPr>
          <w:rFonts w:ascii="黑体" w:hAnsi="黑体" w:eastAsia="黑体"/>
        </w:rPr>
      </w:pPr>
      <w:r>
        <w:rPr>
          <w:rFonts w:ascii="黑体" w:hAnsi="黑体" w:eastAsia="黑体"/>
        </w:rPr>
        <w:t xml:space="preserve">表F</w:t>
      </w:r>
      <w:r>
        <w:rPr>
          <w:rFonts w:hint="eastAsia" w:ascii="黑体" w:hAnsi="黑体" w:eastAsia="黑体"/>
        </w:rPr>
        <w:t xml:space="preserve">-1</w:t>
      </w:r>
      <w:r>
        <w:rPr>
          <w:rFonts w:ascii="黑体" w:hAnsi="黑体" w:eastAsia="黑体"/>
        </w:rPr>
        <w:t xml:space="preserve">6</w:t>
      </w:r>
      <w:r>
        <w:rPr>
          <w:rFonts w:hint="eastAsia" w:ascii="黑体" w:hAnsi="黑体" w:eastAsia="黑体"/>
        </w:rPr>
        <w:t xml:space="preserve">活化停止报文说明</w:t>
      </w:r>
      <w:r>
        <w:rPr>
          <w:rFonts w:ascii="黑体" w:hAnsi="黑体" w:eastAsia="黑体"/>
        </w:rPr>
      </w:r>
      <w:r/>
    </w:p>
    <w:tbl>
      <w:tblPr>
        <w:tblW w:w="66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4394"/>
      </w:tblGrid>
      <w:tr>
        <w:trPr/>
        <w:tc>
          <w:tcPr>
            <w:tcW w:w="2268" w:type="dxa"/>
            <w:vAlign w:val="center"/>
            <w:textDirection w:val="lrTb"/>
            <w:noWrap w:val="false"/>
          </w:tcPr>
          <w:p>
            <w:pPr>
              <w:pStyle w:val="1201"/>
              <w:ind w:firstLine="0"/>
              <w:jc w:val="center"/>
              <w:tabs>
                <w:tab w:val="center" w:pos="4201" w:leader="none"/>
                <w:tab w:val="right" w:pos="9298" w:leader="dot"/>
              </w:tabs>
            </w:pPr>
            <w:r>
              <w:t xml:space="preserve">起始字符1</w:t>
            </w:r>
            <w:r/>
          </w:p>
        </w:tc>
        <w:tc>
          <w:tcPr>
            <w:tcW w:w="4394" w:type="dxa"/>
            <w:vAlign w:val="center"/>
            <w:textDirection w:val="lrTb"/>
            <w:noWrap w:val="false"/>
          </w:tcPr>
          <w:p>
            <w:pPr>
              <w:pStyle w:val="1201"/>
              <w:ind w:firstLine="0"/>
              <w:jc w:val="center"/>
              <w:tabs>
                <w:tab w:val="center" w:pos="4201" w:leader="none"/>
                <w:tab w:val="right" w:pos="9298" w:leader="dot"/>
              </w:tabs>
            </w:pPr>
            <w:r>
              <w:t xml:space="preserve">0xEB</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起始字符2</w:t>
            </w:r>
            <w:r/>
          </w:p>
        </w:tc>
        <w:tc>
          <w:tcPr>
            <w:tcW w:w="4394" w:type="dxa"/>
            <w:vAlign w:val="center"/>
            <w:textDirection w:val="lrTb"/>
            <w:noWrap w:val="false"/>
          </w:tcPr>
          <w:p>
            <w:pPr>
              <w:pStyle w:val="1201"/>
              <w:ind w:firstLine="0"/>
              <w:jc w:val="center"/>
              <w:tabs>
                <w:tab w:val="center" w:pos="4201" w:leader="none"/>
                <w:tab w:val="right" w:pos="9298" w:leader="dot"/>
              </w:tabs>
            </w:pPr>
            <w:r>
              <w:t xml:space="preserve">0x90</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长度</w:t>
            </w:r>
            <w:r/>
          </w:p>
        </w:tc>
        <w:tc>
          <w:tcPr>
            <w:tcW w:w="4394" w:type="dxa"/>
            <w:vAlign w:val="center"/>
            <w:textDirection w:val="lrTb"/>
            <w:noWrap w:val="false"/>
          </w:tcPr>
          <w:p>
            <w:pPr>
              <w:pStyle w:val="1201"/>
              <w:ind w:firstLine="0"/>
              <w:jc w:val="center"/>
              <w:tabs>
                <w:tab w:val="center" w:pos="4201" w:leader="none"/>
                <w:tab w:val="right" w:pos="9298" w:leader="dot"/>
              </w:tabs>
            </w:pPr>
            <w:r>
              <w:t xml:space="preserve">3</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电源模块地址</w:t>
            </w:r>
            <w:r/>
          </w:p>
        </w:tc>
        <w:tc>
          <w:tcPr>
            <w:tcW w:w="4394" w:type="dxa"/>
            <w:vAlign w:val="center"/>
            <w:textDirection w:val="lrTb"/>
            <w:noWrap w:val="false"/>
          </w:tcPr>
          <w:p>
            <w:pPr>
              <w:pStyle w:val="1201"/>
              <w:ind w:firstLine="0"/>
              <w:jc w:val="center"/>
              <w:tabs>
                <w:tab w:val="center" w:pos="4201" w:leader="none"/>
                <w:tab w:val="right" w:pos="9298" w:leader="dot"/>
              </w:tabs>
            </w:pPr>
            <w:r>
              <w:t xml:space="preserve">0x01</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功能码</w:t>
            </w:r>
            <w:r/>
          </w:p>
        </w:tc>
        <w:tc>
          <w:tcPr>
            <w:tcW w:w="4394" w:type="dxa"/>
            <w:vAlign w:val="center"/>
            <w:textDirection w:val="lrTb"/>
            <w:noWrap w:val="false"/>
          </w:tcPr>
          <w:p>
            <w:pPr>
              <w:pStyle w:val="1201"/>
              <w:ind w:firstLine="0"/>
              <w:jc w:val="center"/>
              <w:tabs>
                <w:tab w:val="center" w:pos="4201" w:leader="none"/>
                <w:tab w:val="right" w:pos="9298" w:leader="dot"/>
              </w:tabs>
            </w:pPr>
            <w:r>
              <w:t xml:space="preserve">0x02</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子类型</w:t>
            </w:r>
            <w:r/>
          </w:p>
        </w:tc>
        <w:tc>
          <w:tcPr>
            <w:tcW w:w="4394" w:type="dxa"/>
            <w:vAlign w:val="center"/>
            <w:textDirection w:val="lrTb"/>
            <w:noWrap w:val="false"/>
          </w:tcPr>
          <w:p>
            <w:pPr>
              <w:pStyle w:val="1201"/>
              <w:ind w:firstLine="0"/>
              <w:jc w:val="center"/>
              <w:tabs>
                <w:tab w:val="center" w:pos="4201" w:leader="none"/>
                <w:tab w:val="right" w:pos="9298" w:leader="dot"/>
              </w:tabs>
            </w:pPr>
            <w:r>
              <w:t xml:space="preserve">0x02</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校验和</w:t>
            </w:r>
            <w:r/>
          </w:p>
        </w:tc>
        <w:tc>
          <w:tcPr>
            <w:tcW w:w="4394" w:type="dxa"/>
            <w:vAlign w:val="center"/>
            <w:textDirection w:val="lrTb"/>
            <w:noWrap w:val="false"/>
          </w:tcPr>
          <w:p>
            <w:pPr>
              <w:pStyle w:val="1201"/>
              <w:ind w:firstLine="0"/>
              <w:jc w:val="center"/>
              <w:tabs>
                <w:tab w:val="center" w:pos="4201" w:leader="none"/>
                <w:tab w:val="right" w:pos="9298" w:leader="dot"/>
              </w:tabs>
            </w:pPr>
            <w:r>
              <w:t xml:space="preserve">全部内容</w:t>
            </w:r>
            <w:r/>
          </w:p>
        </w:tc>
      </w:tr>
    </w:tbl>
    <w:p>
      <w:pPr>
        <w:pStyle w:val="1245"/>
        <w:numPr>
          <w:ilvl w:val="2"/>
          <w:numId w:val="75"/>
        </w:numPr>
        <w:ind w:left="1259" w:firstLine="0"/>
      </w:pPr>
      <w:r>
        <w:t xml:space="preserve">电源模块确认停止电池活化</w:t>
      </w:r>
      <w:r/>
    </w:p>
    <w:p>
      <w:pPr>
        <w:pStyle w:val="1201"/>
        <w:jc w:val="center"/>
        <w:tabs>
          <w:tab w:val="center" w:pos="4201" w:leader="none"/>
          <w:tab w:val="right" w:pos="9298" w:leader="dot"/>
        </w:tabs>
        <w:rPr>
          <w:rFonts w:ascii="黑体" w:hAnsi="黑体" w:eastAsia="黑体"/>
        </w:rPr>
      </w:pPr>
      <w:r>
        <w:rPr>
          <w:rFonts w:ascii="黑体" w:hAnsi="黑体" w:eastAsia="黑体"/>
        </w:rPr>
        <w:t xml:space="preserve">表F</w:t>
      </w:r>
      <w:r>
        <w:rPr>
          <w:rFonts w:hint="eastAsia" w:ascii="黑体" w:hAnsi="黑体" w:eastAsia="黑体"/>
        </w:rPr>
        <w:t xml:space="preserve">-1</w:t>
      </w:r>
      <w:r>
        <w:rPr>
          <w:rFonts w:ascii="黑体" w:hAnsi="黑体" w:eastAsia="黑体"/>
        </w:rPr>
        <w:t xml:space="preserve">7</w:t>
      </w:r>
      <w:r>
        <w:rPr>
          <w:rFonts w:hint="eastAsia" w:ascii="黑体" w:hAnsi="黑体" w:eastAsia="黑体"/>
        </w:rPr>
        <w:t xml:space="preserve">活化停止确认报文说明</w:t>
      </w:r>
      <w:r>
        <w:rPr>
          <w:rFonts w:ascii="黑体" w:hAnsi="黑体" w:eastAsia="黑体"/>
        </w:rPr>
      </w:r>
      <w:r/>
    </w:p>
    <w:tbl>
      <w:tblPr>
        <w:tblW w:w="66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1559"/>
        <w:gridCol w:w="850"/>
        <w:gridCol w:w="1985"/>
      </w:tblGrid>
      <w:tr>
        <w:trPr/>
        <w:tc>
          <w:tcPr>
            <w:tcW w:w="2268" w:type="dxa"/>
            <w:vAlign w:val="center"/>
            <w:textDirection w:val="lrTb"/>
            <w:noWrap w:val="false"/>
          </w:tcPr>
          <w:p>
            <w:pPr>
              <w:pStyle w:val="1201"/>
              <w:ind w:firstLine="0"/>
              <w:jc w:val="center"/>
              <w:tabs>
                <w:tab w:val="center" w:pos="4201" w:leader="none"/>
                <w:tab w:val="right" w:pos="9298" w:leader="dot"/>
              </w:tabs>
            </w:pPr>
            <w:r>
              <w:t xml:space="preserve">起始字符1</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0xEB</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起始字符2</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0x90</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长度</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4</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电源模块地址</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0x01</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功能码</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0x82</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子类型</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0x02</w:t>
            </w:r>
            <w:r/>
          </w:p>
        </w:tc>
      </w:tr>
      <w:tr>
        <w:trPr>
          <w:trHeight w:val="337"/>
        </w:trPr>
        <w:tc>
          <w:tcPr>
            <w:tcW w:w="2268" w:type="dxa"/>
            <w:vAlign w:val="center"/>
            <w:textDirection w:val="lrTb"/>
            <w:noWrap w:val="false"/>
          </w:tcPr>
          <w:p>
            <w:pPr>
              <w:pStyle w:val="1201"/>
              <w:ind w:firstLine="0"/>
              <w:jc w:val="center"/>
              <w:tabs>
                <w:tab w:val="center" w:pos="4201" w:leader="none"/>
                <w:tab w:val="right" w:pos="9298" w:leader="dot"/>
              </w:tabs>
            </w:pPr>
            <w:r>
              <w:t xml:space="preserve">数据</w:t>
            </w:r>
            <w:r/>
          </w:p>
        </w:tc>
        <w:tc>
          <w:tcPr>
            <w:tcW w:w="1559" w:type="dxa"/>
            <w:vAlign w:val="center"/>
            <w:textDirection w:val="lrTb"/>
            <w:noWrap w:val="false"/>
          </w:tcPr>
          <w:p>
            <w:pPr>
              <w:pStyle w:val="1201"/>
              <w:ind w:firstLine="0"/>
              <w:jc w:val="center"/>
              <w:tabs>
                <w:tab w:val="center" w:pos="4201" w:leader="none"/>
                <w:tab w:val="right" w:pos="9298" w:leader="dot"/>
              </w:tabs>
            </w:pPr>
            <w:r>
              <w:t xml:space="preserve">返回结果</w:t>
            </w:r>
            <w:r/>
          </w:p>
        </w:tc>
        <w:tc>
          <w:tcPr>
            <w:tcW w:w="850" w:type="dxa"/>
            <w:vAlign w:val="center"/>
            <w:textDirection w:val="lrTb"/>
            <w:noWrap w:val="false"/>
          </w:tcPr>
          <w:p>
            <w:pPr>
              <w:pStyle w:val="1201"/>
              <w:ind w:firstLine="0"/>
              <w:jc w:val="center"/>
              <w:tabs>
                <w:tab w:val="center" w:pos="4201" w:leader="none"/>
                <w:tab w:val="right" w:pos="9298" w:leader="dot"/>
              </w:tabs>
            </w:pPr>
            <w:r>
              <w:t xml:space="preserve">1</w:t>
            </w:r>
            <w:r/>
          </w:p>
        </w:tc>
        <w:tc>
          <w:tcPr>
            <w:tcW w:w="1985" w:type="dxa"/>
            <w:vAlign w:val="center"/>
            <w:textDirection w:val="lrTb"/>
            <w:noWrap w:val="false"/>
          </w:tcPr>
          <w:p>
            <w:pPr>
              <w:pStyle w:val="1201"/>
              <w:tabs>
                <w:tab w:val="center" w:pos="4201" w:leader="none"/>
                <w:tab w:val="right" w:pos="9298" w:leader="dot"/>
              </w:tabs>
            </w:pPr>
            <w:r>
              <w:t xml:space="preserve">0x1：成功</w:t>
            </w:r>
            <w:r/>
          </w:p>
          <w:p>
            <w:pPr>
              <w:pStyle w:val="1201"/>
              <w:tabs>
                <w:tab w:val="center" w:pos="4201" w:leader="none"/>
                <w:tab w:val="right" w:pos="9298" w:leader="dot"/>
              </w:tabs>
            </w:pPr>
            <w:r>
              <w:t xml:space="preserve">0x81：失败</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校验和</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全部内容</w:t>
            </w:r>
            <w:r/>
          </w:p>
        </w:tc>
      </w:tr>
    </w:tbl>
    <w:p>
      <w:pPr>
        <w:pStyle w:val="1245"/>
        <w:numPr>
          <w:ilvl w:val="1"/>
          <w:numId w:val="75"/>
        </w:numPr>
        <w:ind w:left="839" w:firstLine="0"/>
      </w:pPr>
      <w:r>
        <w:t xml:space="preserve">停止电池放电操作</w:t>
      </w:r>
      <w:r/>
    </w:p>
    <w:p>
      <w:pPr>
        <w:pStyle w:val="1245"/>
        <w:numPr>
          <w:ilvl w:val="2"/>
          <w:numId w:val="75"/>
        </w:numPr>
        <w:ind w:left="1259" w:firstLine="0"/>
      </w:pPr>
      <w:r>
        <w:t xml:space="preserve">DTU核心单元向电源模块停止电池放电</w:t>
      </w:r>
      <w:r/>
    </w:p>
    <w:p>
      <w:pPr>
        <w:pStyle w:val="1201"/>
        <w:jc w:val="center"/>
        <w:tabs>
          <w:tab w:val="center" w:pos="4201" w:leader="none"/>
          <w:tab w:val="right" w:pos="9298" w:leader="dot"/>
        </w:tabs>
        <w:rPr>
          <w:rFonts w:ascii="黑体" w:hAnsi="黑体" w:eastAsia="黑体"/>
        </w:rPr>
      </w:pPr>
      <w:r>
        <w:rPr>
          <w:rFonts w:ascii="黑体" w:hAnsi="黑体" w:eastAsia="黑体"/>
        </w:rPr>
        <w:t xml:space="preserve">表F</w:t>
      </w:r>
      <w:r>
        <w:rPr>
          <w:rFonts w:hint="eastAsia" w:ascii="黑体" w:hAnsi="黑体" w:eastAsia="黑体"/>
        </w:rPr>
        <w:t xml:space="preserve">-1</w:t>
      </w:r>
      <w:r>
        <w:rPr>
          <w:rFonts w:ascii="黑体" w:hAnsi="黑体" w:eastAsia="黑体"/>
        </w:rPr>
        <w:t xml:space="preserve">8</w:t>
      </w:r>
      <w:r>
        <w:rPr>
          <w:rFonts w:hint="eastAsia" w:ascii="黑体" w:hAnsi="黑体" w:eastAsia="黑体"/>
        </w:rPr>
        <w:t xml:space="preserve">停止电池放电报文说明</w:t>
      </w:r>
      <w:r>
        <w:rPr>
          <w:rFonts w:ascii="黑体" w:hAnsi="黑体" w:eastAsia="黑体"/>
        </w:rPr>
      </w:r>
      <w:r/>
    </w:p>
    <w:tbl>
      <w:tblPr>
        <w:tblW w:w="66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4394"/>
      </w:tblGrid>
      <w:tr>
        <w:trPr/>
        <w:tc>
          <w:tcPr>
            <w:tcW w:w="2268" w:type="dxa"/>
            <w:vAlign w:val="center"/>
            <w:textDirection w:val="lrTb"/>
            <w:noWrap w:val="false"/>
          </w:tcPr>
          <w:p>
            <w:pPr>
              <w:pStyle w:val="1201"/>
              <w:ind w:firstLine="0"/>
              <w:jc w:val="center"/>
              <w:tabs>
                <w:tab w:val="center" w:pos="4201" w:leader="none"/>
                <w:tab w:val="right" w:pos="9298" w:leader="dot"/>
              </w:tabs>
            </w:pPr>
            <w:r>
              <w:t xml:space="preserve">起始字符1</w:t>
            </w:r>
            <w:r/>
          </w:p>
        </w:tc>
        <w:tc>
          <w:tcPr>
            <w:tcW w:w="4394" w:type="dxa"/>
            <w:vAlign w:val="center"/>
            <w:textDirection w:val="lrTb"/>
            <w:noWrap w:val="false"/>
          </w:tcPr>
          <w:p>
            <w:pPr>
              <w:pStyle w:val="1201"/>
              <w:ind w:firstLine="0"/>
              <w:jc w:val="center"/>
              <w:tabs>
                <w:tab w:val="center" w:pos="4201" w:leader="none"/>
                <w:tab w:val="right" w:pos="9298" w:leader="dot"/>
              </w:tabs>
            </w:pPr>
            <w:r>
              <w:t xml:space="preserve">0xEB</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起始字符2</w:t>
            </w:r>
            <w:r/>
          </w:p>
        </w:tc>
        <w:tc>
          <w:tcPr>
            <w:tcW w:w="4394" w:type="dxa"/>
            <w:vAlign w:val="center"/>
            <w:textDirection w:val="lrTb"/>
            <w:noWrap w:val="false"/>
          </w:tcPr>
          <w:p>
            <w:pPr>
              <w:pStyle w:val="1201"/>
              <w:ind w:firstLine="0"/>
              <w:jc w:val="center"/>
              <w:tabs>
                <w:tab w:val="center" w:pos="4201" w:leader="none"/>
                <w:tab w:val="right" w:pos="9298" w:leader="dot"/>
              </w:tabs>
            </w:pPr>
            <w:r>
              <w:t xml:space="preserve">0x90</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长度</w:t>
            </w:r>
            <w:r/>
          </w:p>
        </w:tc>
        <w:tc>
          <w:tcPr>
            <w:tcW w:w="4394" w:type="dxa"/>
            <w:vAlign w:val="center"/>
            <w:textDirection w:val="lrTb"/>
            <w:noWrap w:val="false"/>
          </w:tcPr>
          <w:p>
            <w:pPr>
              <w:pStyle w:val="1201"/>
              <w:ind w:firstLine="0"/>
              <w:jc w:val="center"/>
              <w:tabs>
                <w:tab w:val="center" w:pos="4201" w:leader="none"/>
                <w:tab w:val="right" w:pos="9298" w:leader="dot"/>
              </w:tabs>
            </w:pPr>
            <w:r>
              <w:t xml:space="preserve">3</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电源模块地址</w:t>
            </w:r>
            <w:r/>
          </w:p>
        </w:tc>
        <w:tc>
          <w:tcPr>
            <w:tcW w:w="4394" w:type="dxa"/>
            <w:vAlign w:val="center"/>
            <w:textDirection w:val="lrTb"/>
            <w:noWrap w:val="false"/>
          </w:tcPr>
          <w:p>
            <w:pPr>
              <w:pStyle w:val="1201"/>
              <w:ind w:firstLine="0"/>
              <w:jc w:val="center"/>
              <w:tabs>
                <w:tab w:val="center" w:pos="4201" w:leader="none"/>
                <w:tab w:val="right" w:pos="9298" w:leader="dot"/>
              </w:tabs>
            </w:pPr>
            <w:r>
              <w:t xml:space="preserve">0x01</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功能码</w:t>
            </w:r>
            <w:r/>
          </w:p>
        </w:tc>
        <w:tc>
          <w:tcPr>
            <w:tcW w:w="4394" w:type="dxa"/>
            <w:vAlign w:val="center"/>
            <w:textDirection w:val="lrTb"/>
            <w:noWrap w:val="false"/>
          </w:tcPr>
          <w:p>
            <w:pPr>
              <w:pStyle w:val="1201"/>
              <w:ind w:firstLine="0"/>
              <w:jc w:val="center"/>
              <w:tabs>
                <w:tab w:val="center" w:pos="4201" w:leader="none"/>
                <w:tab w:val="right" w:pos="9298" w:leader="dot"/>
              </w:tabs>
            </w:pPr>
            <w:r>
              <w:t xml:space="preserve">0x02</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子类型</w:t>
            </w:r>
            <w:r/>
          </w:p>
        </w:tc>
        <w:tc>
          <w:tcPr>
            <w:tcW w:w="4394" w:type="dxa"/>
            <w:vAlign w:val="center"/>
            <w:textDirection w:val="lrTb"/>
            <w:noWrap w:val="false"/>
          </w:tcPr>
          <w:p>
            <w:pPr>
              <w:pStyle w:val="1201"/>
              <w:ind w:firstLine="0"/>
              <w:jc w:val="center"/>
              <w:tabs>
                <w:tab w:val="center" w:pos="4201" w:leader="none"/>
                <w:tab w:val="right" w:pos="9298" w:leader="dot"/>
              </w:tabs>
            </w:pPr>
            <w:r>
              <w:t xml:space="preserve">0x03</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校验和</w:t>
            </w:r>
            <w:r/>
          </w:p>
        </w:tc>
        <w:tc>
          <w:tcPr>
            <w:tcW w:w="4394" w:type="dxa"/>
            <w:vAlign w:val="center"/>
            <w:textDirection w:val="lrTb"/>
            <w:noWrap w:val="false"/>
          </w:tcPr>
          <w:p>
            <w:pPr>
              <w:pStyle w:val="1201"/>
              <w:ind w:firstLine="0"/>
              <w:jc w:val="center"/>
              <w:tabs>
                <w:tab w:val="center" w:pos="4201" w:leader="none"/>
                <w:tab w:val="right" w:pos="9298" w:leader="dot"/>
              </w:tabs>
            </w:pPr>
            <w:r>
              <w:t xml:space="preserve">全部内容</w:t>
            </w:r>
            <w:r/>
          </w:p>
        </w:tc>
      </w:tr>
    </w:tbl>
    <w:p>
      <w:pPr>
        <w:pStyle w:val="1245"/>
        <w:numPr>
          <w:ilvl w:val="2"/>
          <w:numId w:val="75"/>
        </w:numPr>
        <w:ind w:left="1259" w:firstLine="0"/>
      </w:pPr>
      <w:r>
        <w:t xml:space="preserve">电源模块确认停止电池放电</w:t>
      </w:r>
      <w:r/>
    </w:p>
    <w:p>
      <w:pPr>
        <w:pStyle w:val="1201"/>
        <w:jc w:val="center"/>
        <w:tabs>
          <w:tab w:val="center" w:pos="4201" w:leader="none"/>
          <w:tab w:val="right" w:pos="9298" w:leader="dot"/>
        </w:tabs>
        <w:rPr>
          <w:rFonts w:ascii="黑体" w:hAnsi="黑体" w:eastAsia="黑体"/>
        </w:rPr>
      </w:pPr>
      <w:r>
        <w:rPr>
          <w:rFonts w:ascii="黑体" w:hAnsi="黑体" w:eastAsia="黑体"/>
        </w:rPr>
        <w:t xml:space="preserve">表F</w:t>
      </w:r>
      <w:r>
        <w:rPr>
          <w:rFonts w:hint="eastAsia" w:ascii="黑体" w:hAnsi="黑体" w:eastAsia="黑体"/>
        </w:rPr>
        <w:t xml:space="preserve">-1</w:t>
      </w:r>
      <w:r>
        <w:rPr>
          <w:rFonts w:ascii="黑体" w:hAnsi="黑体" w:eastAsia="黑体"/>
        </w:rPr>
        <w:t xml:space="preserve">9</w:t>
      </w:r>
      <w:r>
        <w:rPr>
          <w:rFonts w:hint="eastAsia" w:ascii="黑体" w:hAnsi="黑体" w:eastAsia="黑体"/>
        </w:rPr>
        <w:t xml:space="preserve">停止电池放电确认报文说明</w:t>
      </w:r>
      <w:r>
        <w:rPr>
          <w:rFonts w:ascii="黑体" w:hAnsi="黑体" w:eastAsia="黑体"/>
        </w:rPr>
      </w:r>
      <w:r/>
    </w:p>
    <w:tbl>
      <w:tblPr>
        <w:tblW w:w="66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1559"/>
        <w:gridCol w:w="850"/>
        <w:gridCol w:w="1985"/>
      </w:tblGrid>
      <w:tr>
        <w:trPr/>
        <w:tc>
          <w:tcPr>
            <w:tcW w:w="2268" w:type="dxa"/>
            <w:vAlign w:val="center"/>
            <w:textDirection w:val="lrTb"/>
            <w:noWrap w:val="false"/>
          </w:tcPr>
          <w:p>
            <w:pPr>
              <w:pStyle w:val="1201"/>
              <w:ind w:firstLine="0"/>
              <w:jc w:val="center"/>
              <w:tabs>
                <w:tab w:val="center" w:pos="4201" w:leader="none"/>
                <w:tab w:val="right" w:pos="9298" w:leader="dot"/>
              </w:tabs>
            </w:pPr>
            <w:r>
              <w:t xml:space="preserve">起始字符1</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0xEB</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起始字符2</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0x90</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长度</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4</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电源模块地址</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0x01</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功能码</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0x82</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子类型</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0x03</w:t>
            </w:r>
            <w:r/>
          </w:p>
        </w:tc>
      </w:tr>
      <w:tr>
        <w:trPr>
          <w:trHeight w:val="337"/>
        </w:trPr>
        <w:tc>
          <w:tcPr>
            <w:tcW w:w="2268" w:type="dxa"/>
            <w:vAlign w:val="center"/>
            <w:textDirection w:val="lrTb"/>
            <w:noWrap w:val="false"/>
          </w:tcPr>
          <w:p>
            <w:pPr>
              <w:pStyle w:val="1201"/>
              <w:ind w:firstLine="0"/>
              <w:jc w:val="center"/>
              <w:tabs>
                <w:tab w:val="center" w:pos="4201" w:leader="none"/>
                <w:tab w:val="right" w:pos="9298" w:leader="dot"/>
              </w:tabs>
            </w:pPr>
            <w:r>
              <w:t xml:space="preserve">数据</w:t>
            </w:r>
            <w:r/>
          </w:p>
        </w:tc>
        <w:tc>
          <w:tcPr>
            <w:tcW w:w="1559" w:type="dxa"/>
            <w:vAlign w:val="center"/>
            <w:textDirection w:val="lrTb"/>
            <w:noWrap w:val="false"/>
          </w:tcPr>
          <w:p>
            <w:pPr>
              <w:pStyle w:val="1201"/>
              <w:ind w:firstLine="0"/>
              <w:jc w:val="center"/>
              <w:tabs>
                <w:tab w:val="center" w:pos="4201" w:leader="none"/>
                <w:tab w:val="right" w:pos="9298" w:leader="dot"/>
              </w:tabs>
            </w:pPr>
            <w:r>
              <w:t xml:space="preserve">返回结果</w:t>
            </w:r>
            <w:r/>
          </w:p>
        </w:tc>
        <w:tc>
          <w:tcPr>
            <w:tcW w:w="850" w:type="dxa"/>
            <w:vAlign w:val="center"/>
            <w:textDirection w:val="lrTb"/>
            <w:noWrap w:val="false"/>
          </w:tcPr>
          <w:p>
            <w:pPr>
              <w:pStyle w:val="1201"/>
              <w:ind w:firstLine="0"/>
              <w:jc w:val="center"/>
              <w:tabs>
                <w:tab w:val="center" w:pos="4201" w:leader="none"/>
                <w:tab w:val="right" w:pos="9298" w:leader="dot"/>
              </w:tabs>
            </w:pPr>
            <w:r>
              <w:t xml:space="preserve">1</w:t>
            </w:r>
            <w:r/>
          </w:p>
        </w:tc>
        <w:tc>
          <w:tcPr>
            <w:tcW w:w="1985" w:type="dxa"/>
            <w:vAlign w:val="center"/>
            <w:textDirection w:val="lrTb"/>
            <w:noWrap w:val="false"/>
          </w:tcPr>
          <w:p>
            <w:pPr>
              <w:pStyle w:val="1201"/>
              <w:ind w:firstLine="0"/>
              <w:jc w:val="center"/>
              <w:tabs>
                <w:tab w:val="center" w:pos="4201" w:leader="none"/>
                <w:tab w:val="right" w:pos="9298" w:leader="dot"/>
              </w:tabs>
            </w:pPr>
            <w:r>
              <w:t xml:space="preserve">0x1：成功</w:t>
            </w:r>
            <w:r/>
          </w:p>
          <w:p>
            <w:pPr>
              <w:pStyle w:val="1201"/>
              <w:ind w:firstLine="0"/>
              <w:jc w:val="center"/>
              <w:tabs>
                <w:tab w:val="center" w:pos="4201" w:leader="none"/>
                <w:tab w:val="right" w:pos="9298" w:leader="dot"/>
              </w:tabs>
            </w:pPr>
            <w:r>
              <w:t xml:space="preserve">0x81：失败</w:t>
            </w:r>
            <w:r/>
          </w:p>
        </w:tc>
      </w:tr>
      <w:tr>
        <w:trPr/>
        <w:tc>
          <w:tcPr>
            <w:tcW w:w="2268" w:type="dxa"/>
            <w:vAlign w:val="center"/>
            <w:textDirection w:val="lrTb"/>
            <w:noWrap w:val="false"/>
          </w:tcPr>
          <w:p>
            <w:pPr>
              <w:pStyle w:val="1201"/>
              <w:ind w:firstLine="0"/>
              <w:jc w:val="center"/>
              <w:tabs>
                <w:tab w:val="center" w:pos="4201" w:leader="none"/>
                <w:tab w:val="right" w:pos="9298" w:leader="dot"/>
              </w:tabs>
            </w:pPr>
            <w:r>
              <w:t xml:space="preserve">校验和</w:t>
            </w:r>
            <w:r/>
          </w:p>
        </w:tc>
        <w:tc>
          <w:tcPr>
            <w:gridSpan w:val="3"/>
            <w:tcW w:w="4394" w:type="dxa"/>
            <w:vAlign w:val="center"/>
            <w:textDirection w:val="lrTb"/>
            <w:noWrap w:val="false"/>
          </w:tcPr>
          <w:p>
            <w:pPr>
              <w:pStyle w:val="1201"/>
              <w:ind w:firstLine="0"/>
              <w:jc w:val="center"/>
              <w:tabs>
                <w:tab w:val="center" w:pos="4201" w:leader="none"/>
                <w:tab w:val="right" w:pos="9298" w:leader="dot"/>
              </w:tabs>
            </w:pPr>
            <w:r>
              <w:t xml:space="preserve">全部内容</w:t>
            </w:r>
            <w:r/>
          </w:p>
        </w:tc>
      </w:tr>
    </w:tbl>
    <w:p>
      <w:pPr>
        <w:pStyle w:val="1151"/>
      </w:pPr>
      <w:r/>
      <w:r/>
    </w:p>
    <w:p>
      <w:pPr>
        <w:pStyle w:val="1151"/>
        <w:spacing w:before="312" w:after="312" w:line="276" w:lineRule="auto"/>
        <w:widowControl/>
        <w:rPr>
          <w:rFonts w:ascii="黑体" w:eastAsia="黑体"/>
          <w:b/>
          <w:color w:val="000000"/>
        </w:rPr>
        <w:outlineLvl w:val="1"/>
      </w:pPr>
      <w:r>
        <w:rPr>
          <w:rFonts w:hint="eastAsia" w:ascii="黑体" w:eastAsia="黑体"/>
          <w:b/>
          <w:color w:val="000000"/>
        </w:rPr>
        <w:t xml:space="preserve">F.7 适用范围</w:t>
      </w:r>
      <w:r>
        <w:rPr>
          <w:rFonts w:ascii="黑体" w:eastAsia="黑体"/>
          <w:b/>
          <w:color w:val="000000"/>
        </w:rPr>
      </w:r>
      <w:r/>
    </w:p>
    <w:p>
      <w:pPr>
        <w:pStyle w:val="1201"/>
        <w:tabs>
          <w:tab w:val="center" w:pos="4201" w:leader="none"/>
          <w:tab w:val="right" w:pos="9298" w:leader="dot"/>
        </w:tabs>
        <w:rPr>
          <w:szCs w:val="22"/>
        </w:rPr>
      </w:pPr>
      <w:r>
        <w:rPr>
          <w:rFonts w:hint="eastAsia"/>
          <w:szCs w:val="22"/>
        </w:rPr>
        <w:t xml:space="preserve">本节规定主要适用后备电源为铅酸电池的终端电源模块。对后备电源为超级电容等其它种类后备电源时，电源模块的结构、接口、通信规约、供电电源、输出电源的要求应符合本节的规定。</w:t>
      </w:r>
      <w:r>
        <w:rPr>
          <w:szCs w:val="22"/>
        </w:rPr>
      </w:r>
      <w:r/>
    </w:p>
    <w:p>
      <w:pPr>
        <w:pStyle w:val="1151"/>
        <w:jc w:val="left"/>
        <w:widowControl/>
        <w:rPr>
          <w:rFonts w:ascii="黑体" w:hAnsi="黑体" w:eastAsia="黑体"/>
          <w:color w:val="000000"/>
        </w:rPr>
      </w:pPr>
      <w:r/>
      <w:bookmarkStart w:id="428" w:name="_Toc35772967"/>
      <w:r/>
      <w:bookmarkStart w:id="429" w:name="_Toc35713694"/>
      <w:r/>
      <w:bookmarkStart w:id="430" w:name="_Toc47551486"/>
      <w:r>
        <w:rPr>
          <w:rFonts w:ascii="黑体" w:hAnsi="黑体" w:eastAsia="黑体"/>
          <w:color w:val="000000"/>
        </w:rPr>
        <w:br w:type="page" w:clear="all"/>
      </w:r>
      <w:r>
        <w:rPr>
          <w:rFonts w:ascii="黑体" w:hAnsi="黑体" w:eastAsia="黑体"/>
          <w:color w:val="000000"/>
        </w:rPr>
      </w:r>
      <w:r/>
    </w:p>
    <w:p>
      <w:pPr>
        <w:pStyle w:val="1245"/>
        <w:rPr>
          <w:rFonts w:ascii="黑体" w:hAnsi="黑体" w:eastAsia="黑体"/>
          <w:b/>
          <w:color w:val="000000"/>
        </w:rPr>
        <w:outlineLvl w:val="0"/>
      </w:pPr>
      <w:r/>
      <w:bookmarkStart w:id="431" w:name="_Toc28189"/>
      <w:r/>
      <w:bookmarkStart w:id="432" w:name="_Toc55057893"/>
      <w:r/>
      <w:bookmarkStart w:id="433" w:name="_Toc22326"/>
      <w:r/>
      <w:bookmarkStart w:id="434" w:name="_Toc23248"/>
      <w:r>
        <w:rPr>
          <w:rFonts w:hint="eastAsia" w:ascii="黑体" w:hAnsi="黑体" w:eastAsia="黑体"/>
          <w:color w:val="000000"/>
        </w:rPr>
        <w:t xml:space="preserve">附录</w:t>
      </w:r>
      <w:r>
        <w:rPr>
          <w:rFonts w:ascii="黑体" w:hAnsi="黑体" w:eastAsia="黑体"/>
          <w:color w:val="000000"/>
        </w:rPr>
        <w:t xml:space="preserve">G 配套</w:t>
      </w:r>
      <w:r>
        <w:rPr>
          <w:rFonts w:hint="eastAsia" w:ascii="黑体" w:hAnsi="黑体" w:eastAsia="黑体"/>
          <w:color w:val="000000"/>
        </w:rPr>
        <w:t xml:space="preserve">电磁式</w:t>
      </w:r>
      <w:r>
        <w:rPr>
          <w:rFonts w:ascii="黑体" w:hAnsi="黑体" w:eastAsia="黑体"/>
          <w:color w:val="000000"/>
        </w:rPr>
        <w:t xml:space="preserve">互感器/</w:t>
      </w:r>
      <w:r>
        <w:rPr>
          <w:rFonts w:hint="eastAsia" w:ascii="黑体" w:hAnsi="黑体" w:eastAsia="黑体"/>
          <w:color w:val="000000"/>
        </w:rPr>
        <w:t xml:space="preserve">低功率互</w:t>
      </w:r>
      <w:r>
        <w:rPr>
          <w:rFonts w:ascii="黑体" w:hAnsi="黑体" w:eastAsia="黑体"/>
          <w:color w:val="000000"/>
        </w:rPr>
        <w:t xml:space="preserve">感器</w:t>
      </w:r>
      <w:r>
        <w:rPr>
          <w:rFonts w:hint="eastAsia" w:ascii="黑体" w:hAnsi="黑体" w:eastAsia="黑体"/>
          <w:color w:val="000000"/>
        </w:rPr>
        <w:t xml:space="preserve">参考设计</w:t>
      </w:r>
      <w:bookmarkEnd w:id="428"/>
      <w:r/>
      <w:bookmarkEnd w:id="429"/>
      <w:r/>
      <w:bookmarkEnd w:id="430"/>
      <w:r/>
      <w:bookmarkEnd w:id="431"/>
      <w:r/>
      <w:bookmarkEnd w:id="432"/>
      <w:r/>
      <w:bookmarkEnd w:id="433"/>
      <w:r/>
      <w:bookmarkEnd w:id="434"/>
      <w:r>
        <w:rPr>
          <w:rFonts w:ascii="黑体" w:hAnsi="黑体" w:eastAsia="黑体"/>
          <w:b/>
          <w:color w:val="000000"/>
        </w:rPr>
      </w:r>
      <w:r/>
    </w:p>
    <w:p>
      <w:pPr>
        <w:pStyle w:val="1186"/>
        <w:ind w:left="0"/>
        <w:spacing w:after="0"/>
        <w:rPr>
          <w:szCs w:val="21"/>
        </w:rPr>
      </w:pPr>
      <w:r>
        <w:rPr>
          <w:rFonts w:hint="eastAsia"/>
          <w:szCs w:val="21"/>
        </w:rPr>
        <w:t xml:space="preserve">本章节给出配套互感器详细参考设计，本章节涉及内容包括电磁式电流互感器、电磁式电压互感器、低功率电流互感器；因低功率电压互感器缺乏成熟应用案例，本文档未作详细设计。</w:t>
      </w:r>
      <w:r>
        <w:rPr>
          <w:szCs w:val="21"/>
        </w:rPr>
      </w:r>
      <w:r/>
    </w:p>
    <w:p>
      <w:pPr>
        <w:pStyle w:val="1151"/>
        <w:spacing w:line="312" w:lineRule="exact"/>
        <w:rPr>
          <w:rFonts w:ascii="黑体" w:hAnsi="黑体" w:eastAsia="黑体"/>
          <w:szCs w:val="21"/>
        </w:rPr>
        <w:outlineLvl w:val="1"/>
      </w:pPr>
      <w:r>
        <w:rPr>
          <w:rFonts w:ascii="黑体" w:hAnsi="黑体" w:eastAsia="黑体"/>
          <w:szCs w:val="21"/>
        </w:rPr>
        <w:t xml:space="preserve">G.1 </w:t>
      </w:r>
      <w:r>
        <w:rPr>
          <w:rFonts w:hint="eastAsia" w:ascii="黑体" w:hAnsi="黑体" w:eastAsia="黑体"/>
          <w:szCs w:val="21"/>
        </w:rPr>
        <w:t xml:space="preserve">电磁式电流互感器技术要求</w:t>
      </w:r>
      <w:r>
        <w:rPr>
          <w:rFonts w:ascii="黑体" w:hAnsi="黑体" w:eastAsia="黑体"/>
          <w:szCs w:val="21"/>
        </w:rPr>
      </w:r>
      <w:r/>
    </w:p>
    <w:p>
      <w:pPr>
        <w:pStyle w:val="1186"/>
        <w:ind w:left="0"/>
        <w:rPr>
          <w:szCs w:val="21"/>
        </w:rPr>
      </w:pPr>
      <w:r>
        <w:rPr>
          <w:rFonts w:hint="eastAsia"/>
          <w:szCs w:val="21"/>
        </w:rPr>
        <w:t xml:space="preserve">1、电磁式电流互感器典型结构</w:t>
      </w:r>
      <w:r>
        <w:rPr>
          <w:szCs w:val="21"/>
        </w:rPr>
      </w:r>
      <w:r/>
    </w:p>
    <w:p>
      <w:pPr>
        <w:pStyle w:val="1186"/>
        <w:ind w:left="0"/>
        <w:spacing w:after="0"/>
        <w:rPr>
          <w:szCs w:val="21"/>
        </w:rPr>
      </w:pPr>
      <w:r>
        <w:rPr>
          <w:rFonts w:hint="eastAsia"/>
          <w:szCs w:val="21"/>
        </w:rPr>
        <w:t xml:space="preserve">根据断路器柜相间距不同和结构方式，给出四种电磁式相电流互感器典型结构和一种电磁式零序电流互感器典型结构。</w:t>
      </w:r>
      <w:r>
        <w:rPr>
          <w:szCs w:val="21"/>
        </w:rPr>
      </w:r>
      <w:r/>
    </w:p>
    <w:p>
      <w:pPr>
        <w:pStyle w:val="1186"/>
        <w:ind w:firstLine="0"/>
        <w:rPr>
          <w:szCs w:val="21"/>
        </w:rPr>
      </w:pPr>
      <w:r>
        <w:rPr>
          <w:szCs w:val="21"/>
        </w:rPr>
        <mc:AlternateContent>
          <mc:Choice Requires="wpg">
            <w:drawing>
              <wp:inline xmlns:wp="http://schemas.openxmlformats.org/drawingml/2006/wordprocessingDrawing" distT="0" distB="0" distL="0" distR="0">
                <wp:extent cx="5274462" cy="2604922"/>
                <wp:effectExtent l="0" t="0" r="0" b="0"/>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5274462" cy="26049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415.3pt;height:205.1pt;mso-wrap-distance-left:0.0pt;mso-wrap-distance-top:0.0pt;mso-wrap-distance-right:0.0pt;mso-wrap-distance-bottom:0.0pt;" stroked="f">
                <v:path textboxrect="0,0,0,0"/>
                <v:imagedata r:id="rId160" o:title=""/>
              </v:shape>
            </w:pict>
          </mc:Fallback>
        </mc:AlternateContent>
      </w:r>
      <w:r>
        <w:rPr>
          <w:szCs w:val="21"/>
        </w:rPr>
      </w:r>
      <w:r/>
    </w:p>
    <w:p>
      <w:pPr>
        <w:pStyle w:val="1186"/>
        <w:ind w:firstLine="0"/>
        <w:jc w:val="center"/>
        <w:rPr>
          <w:szCs w:val="21"/>
        </w:rPr>
      </w:pPr>
      <w:r>
        <w:rPr>
          <w:szCs w:val="21"/>
        </w:rPr>
        <w:t xml:space="preserve">款型</w:t>
      </w:r>
      <w:r>
        <w:rPr>
          <w:rFonts w:hint="eastAsia"/>
          <w:szCs w:val="21"/>
        </w:rPr>
        <w:t xml:space="preserve">1（相间距107）</w:t>
      </w:r>
      <w:r>
        <w:rPr>
          <w:szCs w:val="21"/>
        </w:rPr>
      </w:r>
      <w:r/>
    </w:p>
    <w:p>
      <w:pPr>
        <w:pStyle w:val="1186"/>
        <w:ind w:firstLine="0"/>
        <w:jc w:val="center"/>
        <w:rPr>
          <w:szCs w:val="21"/>
        </w:rPr>
      </w:pPr>
      <w:r>
        <w:rPr>
          <w:szCs w:val="21"/>
        </w:rPr>
        <mc:AlternateContent>
          <mc:Choice Requires="wpg">
            <w:drawing>
              <wp:inline xmlns:wp="http://schemas.openxmlformats.org/drawingml/2006/wordprocessingDrawing" distT="0" distB="0" distL="0" distR="0">
                <wp:extent cx="5274170" cy="2724214"/>
                <wp:effectExtent l="0" t="0" r="0" b="0"/>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5274170" cy="27242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415.3pt;height:214.5pt;mso-wrap-distance-left:0.0pt;mso-wrap-distance-top:0.0pt;mso-wrap-distance-right:0.0pt;mso-wrap-distance-bottom:0.0pt;" stroked="f">
                <v:path textboxrect="0,0,0,0"/>
                <v:imagedata r:id="rId161" o:title=""/>
              </v:shape>
            </w:pict>
          </mc:Fallback>
        </mc:AlternateContent>
      </w:r>
      <w:r>
        <w:rPr>
          <w:szCs w:val="21"/>
        </w:rPr>
      </w:r>
      <w:r/>
    </w:p>
    <w:p>
      <w:pPr>
        <w:pStyle w:val="1186"/>
        <w:ind w:firstLine="0"/>
        <w:jc w:val="center"/>
        <w:rPr>
          <w:szCs w:val="21"/>
        </w:rPr>
      </w:pPr>
      <w:r>
        <w:rPr>
          <w:szCs w:val="21"/>
        </w:rPr>
        <w:t xml:space="preserve">款型2</w:t>
      </w:r>
      <w:r>
        <w:rPr>
          <w:rFonts w:hint="eastAsia"/>
          <w:szCs w:val="21"/>
        </w:rPr>
        <w:t xml:space="preserve">（相间距110）</w:t>
      </w:r>
      <w:r>
        <w:rPr>
          <w:szCs w:val="21"/>
        </w:rPr>
      </w:r>
      <w:r/>
    </w:p>
    <w:p>
      <w:pPr>
        <w:pStyle w:val="1186"/>
        <w:ind w:firstLine="0"/>
        <w:jc w:val="center"/>
        <w:rPr>
          <w:szCs w:val="21"/>
        </w:rPr>
      </w:pPr>
      <w:r>
        <w:rPr>
          <w:szCs w:val="21"/>
        </w:rPr>
        <mc:AlternateContent>
          <mc:Choice Requires="wpg">
            <w:drawing>
              <wp:inline xmlns:wp="http://schemas.openxmlformats.org/drawingml/2006/wordprocessingDrawing" distT="0" distB="0" distL="0" distR="0">
                <wp:extent cx="5274285" cy="2720238"/>
                <wp:effectExtent l="0" t="0" r="0" b="0"/>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5274285" cy="27202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415.3pt;height:214.2pt;mso-wrap-distance-left:0.0pt;mso-wrap-distance-top:0.0pt;mso-wrap-distance-right:0.0pt;mso-wrap-distance-bottom:0.0pt;" stroked="f">
                <v:path textboxrect="0,0,0,0"/>
                <v:imagedata r:id="rId162" o:title=""/>
              </v:shape>
            </w:pict>
          </mc:Fallback>
        </mc:AlternateContent>
      </w:r>
      <w:r>
        <w:rPr>
          <w:szCs w:val="21"/>
        </w:rPr>
      </w:r>
      <w:r/>
    </w:p>
    <w:p>
      <w:pPr>
        <w:pStyle w:val="1186"/>
        <w:ind w:firstLine="0"/>
        <w:jc w:val="center"/>
        <w:rPr>
          <w:szCs w:val="21"/>
        </w:rPr>
      </w:pPr>
      <w:r>
        <w:rPr>
          <w:szCs w:val="21"/>
        </w:rPr>
        <w:t xml:space="preserve">款型</w:t>
      </w:r>
      <w:r>
        <w:rPr>
          <w:rFonts w:hint="eastAsia"/>
          <w:szCs w:val="21"/>
        </w:rPr>
        <w:t xml:space="preserve">3（相间距125）</w:t>
      </w:r>
      <w:r>
        <w:rPr>
          <w:szCs w:val="21"/>
        </w:rPr>
      </w:r>
      <w:r/>
    </w:p>
    <w:p>
      <w:pPr>
        <w:pStyle w:val="1186"/>
        <w:ind w:firstLine="0"/>
        <w:jc w:val="center"/>
        <w:rPr>
          <w:szCs w:val="21"/>
        </w:rPr>
      </w:pPr>
      <w:r>
        <w:rPr>
          <w:szCs w:val="21"/>
        </w:rPr>
        <mc:AlternateContent>
          <mc:Choice Requires="wpg">
            <w:drawing>
              <wp:inline xmlns:wp="http://schemas.openxmlformats.org/drawingml/2006/wordprocessingDrawing" distT="0" distB="0" distL="0" distR="0">
                <wp:extent cx="5274145" cy="2564892"/>
                <wp:effectExtent l="0" t="0" r="0" b="0"/>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5274144" cy="25648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415.3pt;height:202.0pt;mso-wrap-distance-left:0.0pt;mso-wrap-distance-top:0.0pt;mso-wrap-distance-right:0.0pt;mso-wrap-distance-bottom:0.0pt;" stroked="f">
                <v:path textboxrect="0,0,0,0"/>
                <v:imagedata r:id="rId163" o:title=""/>
              </v:shape>
            </w:pict>
          </mc:Fallback>
        </mc:AlternateContent>
      </w:r>
      <w:r>
        <w:rPr>
          <w:szCs w:val="21"/>
        </w:rPr>
      </w:r>
      <w:r/>
    </w:p>
    <w:p>
      <w:pPr>
        <w:pStyle w:val="1186"/>
        <w:ind w:firstLine="0"/>
        <w:jc w:val="center"/>
        <w:rPr>
          <w:szCs w:val="21"/>
        </w:rPr>
      </w:pPr>
      <w:r>
        <w:rPr>
          <w:szCs w:val="21"/>
        </w:rPr>
        <w:t xml:space="preserve">款型4</w:t>
      </w:r>
      <w:r>
        <w:rPr>
          <w:rFonts w:hint="eastAsia"/>
          <w:szCs w:val="21"/>
        </w:rPr>
        <w:t xml:space="preserve">（单相78内孔）</w:t>
      </w:r>
      <w:r>
        <w:rPr>
          <w:szCs w:val="21"/>
        </w:rPr>
      </w:r>
      <w:r/>
    </w:p>
    <w:p>
      <w:pPr>
        <w:pStyle w:val="1186"/>
        <w:ind w:firstLine="0"/>
        <w:jc w:val="center"/>
        <w:rPr>
          <w:szCs w:val="21"/>
        </w:rPr>
      </w:pPr>
      <w:r>
        <w:rPr>
          <w:szCs w:val="21"/>
        </w:rPr>
        <mc:AlternateContent>
          <mc:Choice Requires="wpg">
            <w:drawing>
              <wp:inline xmlns:wp="http://schemas.openxmlformats.org/drawingml/2006/wordprocessingDrawing" distT="0" distB="0" distL="0" distR="0">
                <wp:extent cx="4839449" cy="2552560"/>
                <wp:effectExtent l="0" t="0" r="0" b="0"/>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4839449" cy="255256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381.1pt;height:201.0pt;mso-wrap-distance-left:0.0pt;mso-wrap-distance-top:0.0pt;mso-wrap-distance-right:0.0pt;mso-wrap-distance-bottom:0.0pt;" stroked="f">
                <v:path textboxrect="0,0,0,0"/>
                <v:imagedata r:id="rId164" o:title=""/>
              </v:shape>
            </w:pict>
          </mc:Fallback>
        </mc:AlternateContent>
      </w:r>
      <w:r>
        <w:rPr>
          <w:szCs w:val="21"/>
        </w:rPr>
      </w:r>
      <w:r/>
    </w:p>
    <w:p>
      <w:pPr>
        <w:pStyle w:val="1186"/>
        <w:ind w:firstLine="0"/>
        <w:jc w:val="center"/>
        <w:rPr>
          <w:szCs w:val="21"/>
        </w:rPr>
      </w:pPr>
      <w:r>
        <w:rPr>
          <w:szCs w:val="21"/>
        </w:rPr>
        <w:t xml:space="preserve">款型5</w:t>
      </w:r>
      <w:r>
        <w:rPr>
          <w:rFonts w:hint="eastAsia"/>
          <w:szCs w:val="21"/>
        </w:rPr>
        <w:t xml:space="preserve">（零序120内孔）</w:t>
      </w:r>
      <w:r>
        <w:rPr>
          <w:szCs w:val="21"/>
        </w:rPr>
      </w:r>
      <w:r/>
    </w:p>
    <w:p>
      <w:pPr>
        <w:pStyle w:val="1186"/>
        <w:ind w:left="0"/>
        <w:rPr>
          <w:szCs w:val="21"/>
        </w:rPr>
      </w:pPr>
      <w:r>
        <w:rPr>
          <w:rFonts w:hint="eastAsia"/>
          <w:szCs w:val="21"/>
        </w:rPr>
        <w:t xml:space="preserve">2、电磁式电流互感器输出</w:t>
      </w:r>
      <w:r>
        <w:rPr>
          <w:szCs w:val="21"/>
        </w:rPr>
      </w:r>
      <w:r/>
    </w:p>
    <w:p>
      <w:pPr>
        <w:pStyle w:val="1186"/>
        <w:ind w:left="0"/>
        <w:rPr>
          <w:szCs w:val="21"/>
        </w:rPr>
      </w:pPr>
      <w:r>
        <w:rPr>
          <w:rFonts w:hint="eastAsia"/>
          <w:szCs w:val="21"/>
        </w:rPr>
        <w:t xml:space="preserve">电磁式电流互感器本体用电缆直接引出，输出方式不做具体规定，但输出端子应采取防水措施。输出电缆另一头采用矩形连接器。矩形连接器的要求应符合本文档连接器章节有关规定。连接器端子定义应符合本文档间隔柜二次回路标准化设计章节要求。</w:t>
      </w:r>
      <w:r>
        <w:rPr>
          <w:szCs w:val="21"/>
        </w:rPr>
      </w:r>
      <w:r/>
    </w:p>
    <w:p>
      <w:pPr>
        <w:pStyle w:val="1151"/>
        <w:spacing w:line="312" w:lineRule="exact"/>
        <w:rPr>
          <w:rFonts w:ascii="黑体" w:hAnsi="黑体" w:eastAsia="黑体"/>
          <w:szCs w:val="21"/>
        </w:rPr>
        <w:outlineLvl w:val="1"/>
      </w:pPr>
      <w:r>
        <w:rPr>
          <w:rFonts w:ascii="黑体" w:hAnsi="黑体" w:eastAsia="黑体"/>
          <w:szCs w:val="21"/>
        </w:rPr>
        <w:t xml:space="preserve">G.2 </w:t>
      </w:r>
      <w:r>
        <w:rPr>
          <w:rFonts w:hint="eastAsia" w:ascii="黑体" w:hAnsi="黑体" w:eastAsia="黑体"/>
          <w:szCs w:val="21"/>
        </w:rPr>
        <w:t xml:space="preserve">电磁式电压互感器技术要求</w:t>
      </w:r>
      <w:r>
        <w:rPr>
          <w:rFonts w:ascii="黑体" w:hAnsi="黑体" w:eastAsia="黑体"/>
          <w:szCs w:val="21"/>
        </w:rPr>
      </w:r>
      <w:r/>
    </w:p>
    <w:p>
      <w:pPr>
        <w:pStyle w:val="1186"/>
        <w:ind w:left="0"/>
        <w:rPr>
          <w:szCs w:val="21"/>
        </w:rPr>
      </w:pPr>
      <w:r>
        <w:rPr>
          <w:rFonts w:hint="eastAsia"/>
          <w:szCs w:val="21"/>
        </w:rPr>
        <w:t xml:space="preserve">1、电磁式电压互感器典型结构</w:t>
      </w:r>
      <w:r>
        <w:rPr>
          <w:szCs w:val="21"/>
        </w:rPr>
      </w:r>
      <w:r/>
    </w:p>
    <w:p>
      <w:pPr>
        <w:pStyle w:val="1186"/>
        <w:ind w:firstLine="0"/>
        <w:jc w:val="center"/>
        <w:rPr>
          <w:szCs w:val="21"/>
        </w:rPr>
      </w:pPr>
      <w:r>
        <w:rPr>
          <w:szCs w:val="21"/>
        </w:rPr>
        <mc:AlternateContent>
          <mc:Choice Requires="wpg">
            <w:drawing>
              <wp:inline xmlns:wp="http://schemas.openxmlformats.org/drawingml/2006/wordprocessingDrawing" distT="0" distB="0" distL="0" distR="0">
                <wp:extent cx="3865016" cy="3985336"/>
                <wp:effectExtent l="0" t="0" r="0" b="0"/>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3865016" cy="39853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304.3pt;height:313.8pt;mso-wrap-distance-left:0.0pt;mso-wrap-distance-top:0.0pt;mso-wrap-distance-right:0.0pt;mso-wrap-distance-bottom:0.0pt;" stroked="f">
                <v:path textboxrect="0,0,0,0"/>
                <v:imagedata r:id="rId165" o:title=""/>
              </v:shape>
            </w:pict>
          </mc:Fallback>
        </mc:AlternateContent>
      </w:r>
      <w:r>
        <w:rPr>
          <w:szCs w:val="21"/>
        </w:rPr>
      </w:r>
      <w:r/>
    </w:p>
    <w:p>
      <w:pPr>
        <w:pStyle w:val="1186"/>
        <w:ind w:left="0"/>
        <w:rPr>
          <w:szCs w:val="21"/>
        </w:rPr>
      </w:pPr>
      <w:r>
        <w:rPr>
          <w:rFonts w:hint="eastAsia"/>
          <w:szCs w:val="21"/>
        </w:rPr>
        <w:t xml:space="preserve">2、电磁式电压互感器端子</w:t>
      </w:r>
      <w:r>
        <w:rPr>
          <w:szCs w:val="21"/>
        </w:rPr>
      </w:r>
      <w:r/>
    </w:p>
    <w:p>
      <w:pPr>
        <w:pStyle w:val="1186"/>
        <w:ind w:left="0"/>
        <w:rPr>
          <w:szCs w:val="21"/>
        </w:rPr>
      </w:pPr>
      <w:r>
        <w:rPr>
          <w:rFonts w:hint="eastAsia"/>
          <w:szCs w:val="21"/>
        </w:rPr>
        <w:t xml:space="preserve">电磁式电流互感器本体用电缆直接引出，输出方式不做具体规定，但输出端子应采取防水措施。输出电缆另一头采用矩形连接器。矩形连接器的要求应符合本文档连接器章节有关规定。连接器端子定义应符合本文档PT柜二次回路标准化设计章节要求。</w:t>
      </w:r>
      <w:r>
        <w:rPr>
          <w:szCs w:val="21"/>
        </w:rPr>
      </w:r>
      <w:r/>
    </w:p>
    <w:p>
      <w:pPr>
        <w:pStyle w:val="1151"/>
        <w:spacing w:line="312" w:lineRule="exact"/>
        <w:rPr>
          <w:rFonts w:ascii="黑体" w:hAnsi="黑体" w:eastAsia="黑体"/>
          <w:szCs w:val="21"/>
        </w:rPr>
        <w:outlineLvl w:val="1"/>
      </w:pPr>
      <w:r>
        <w:rPr>
          <w:rFonts w:ascii="黑体" w:hAnsi="黑体" w:eastAsia="黑体"/>
          <w:szCs w:val="21"/>
        </w:rPr>
        <w:t xml:space="preserve">G.3 </w:t>
      </w:r>
      <w:r>
        <w:rPr>
          <w:rFonts w:hint="eastAsia" w:ascii="黑体" w:hAnsi="黑体" w:eastAsia="黑体"/>
          <w:szCs w:val="21"/>
        </w:rPr>
        <w:t xml:space="preserve">低功率电流互</w:t>
      </w:r>
      <w:r>
        <w:rPr>
          <w:rFonts w:ascii="黑体" w:hAnsi="黑体" w:eastAsia="黑体"/>
          <w:szCs w:val="21"/>
        </w:rPr>
        <w:t xml:space="preserve">感器</w:t>
      </w:r>
      <w:r>
        <w:rPr>
          <w:rFonts w:hint="eastAsia" w:ascii="黑体" w:hAnsi="黑体" w:eastAsia="黑体"/>
          <w:szCs w:val="21"/>
        </w:rPr>
        <w:t xml:space="preserve">技术要求</w:t>
      </w:r>
      <w:r>
        <w:rPr>
          <w:rFonts w:ascii="黑体" w:hAnsi="黑体" w:eastAsia="黑体"/>
          <w:szCs w:val="21"/>
        </w:rPr>
      </w:r>
      <w:r/>
    </w:p>
    <w:p>
      <w:pPr>
        <w:pStyle w:val="1186"/>
        <w:ind w:left="0"/>
        <w:rPr>
          <w:szCs w:val="21"/>
        </w:rPr>
      </w:pPr>
      <w:r>
        <w:rPr>
          <w:rFonts w:hint="eastAsia"/>
          <w:szCs w:val="21"/>
        </w:rPr>
        <w:t xml:space="preserve">1、低功率电流互感器典型结构</w:t>
      </w:r>
      <w:r>
        <w:rPr>
          <w:szCs w:val="21"/>
        </w:rPr>
      </w:r>
      <w:r/>
    </w:p>
    <w:p>
      <w:pPr>
        <w:pStyle w:val="1186"/>
        <w:ind w:left="0"/>
        <w:rPr>
          <w:szCs w:val="21"/>
        </w:rPr>
      </w:pPr>
      <w:r>
        <w:rPr>
          <w:rFonts w:hint="eastAsia"/>
          <w:szCs w:val="21"/>
        </w:rPr>
        <w:t xml:space="preserve">根据断路器柜相间距不同和结构方式，给出四种低功率相电流互感器典型结构和一种低功率零序电流互感器典型结构。</w:t>
      </w:r>
      <w:r>
        <w:rPr>
          <w:szCs w:val="21"/>
        </w:rPr>
      </w:r>
      <w:r/>
    </w:p>
    <w:p>
      <w:pPr>
        <w:pStyle w:val="1186"/>
        <w:ind w:firstLine="0"/>
        <w:jc w:val="center"/>
        <w:rPr>
          <w:szCs w:val="21"/>
        </w:rPr>
      </w:pPr>
      <w:r>
        <w:rPr>
          <w:szCs w:val="21"/>
        </w:rPr>
        <mc:AlternateContent>
          <mc:Choice Requires="wpg">
            <w:drawing>
              <wp:inline xmlns:wp="http://schemas.openxmlformats.org/drawingml/2006/wordprocessingDrawing" distT="0" distB="0" distL="0" distR="0">
                <wp:extent cx="5274208" cy="2703220"/>
                <wp:effectExtent l="0" t="0" r="0" b="0"/>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5274208" cy="2703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415.3pt;height:212.9pt;mso-wrap-distance-left:0.0pt;mso-wrap-distance-top:0.0pt;mso-wrap-distance-right:0.0pt;mso-wrap-distance-bottom:0.0pt;" stroked="f">
                <v:path textboxrect="0,0,0,0"/>
                <v:imagedata r:id="rId166" o:title=""/>
              </v:shape>
            </w:pict>
          </mc:Fallback>
        </mc:AlternateContent>
      </w:r>
      <w:r>
        <w:rPr>
          <w:szCs w:val="21"/>
        </w:rPr>
      </w:r>
      <w:r/>
    </w:p>
    <w:p>
      <w:pPr>
        <w:pStyle w:val="1186"/>
        <w:ind w:firstLine="0"/>
        <w:jc w:val="center"/>
        <w:rPr>
          <w:szCs w:val="21"/>
        </w:rPr>
      </w:pPr>
      <w:r>
        <w:rPr>
          <w:szCs w:val="21"/>
        </w:rPr>
        <w:t xml:space="preserve">款型</w:t>
      </w:r>
      <w:r>
        <w:rPr>
          <w:rFonts w:hint="eastAsia"/>
          <w:szCs w:val="21"/>
        </w:rPr>
        <w:t xml:space="preserve">1（相间距107）</w:t>
      </w:r>
      <w:r>
        <w:rPr>
          <w:szCs w:val="21"/>
        </w:rPr>
      </w:r>
      <w:r/>
    </w:p>
    <w:p>
      <w:pPr>
        <w:pStyle w:val="1186"/>
        <w:ind w:firstLine="0"/>
        <w:jc w:val="center"/>
        <w:rPr>
          <w:szCs w:val="21"/>
        </w:rPr>
      </w:pPr>
      <w:r>
        <w:rPr>
          <w:szCs w:val="21"/>
        </w:rPr>
        <mc:AlternateContent>
          <mc:Choice Requires="wpg">
            <w:drawing>
              <wp:inline xmlns:wp="http://schemas.openxmlformats.org/drawingml/2006/wordprocessingDrawing" distT="0" distB="0" distL="0" distR="0">
                <wp:extent cx="5274247" cy="2710663"/>
                <wp:effectExtent l="0" t="0" r="0" b="0"/>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5274247" cy="2710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415.3pt;height:213.4pt;mso-wrap-distance-left:0.0pt;mso-wrap-distance-top:0.0pt;mso-wrap-distance-right:0.0pt;mso-wrap-distance-bottom:0.0pt;" stroked="f">
                <v:path textboxrect="0,0,0,0"/>
                <v:imagedata r:id="rId167" o:title=""/>
              </v:shape>
            </w:pict>
          </mc:Fallback>
        </mc:AlternateContent>
      </w:r>
      <w:r>
        <w:rPr>
          <w:szCs w:val="21"/>
        </w:rPr>
      </w:r>
      <w:r/>
    </w:p>
    <w:p>
      <w:pPr>
        <w:pStyle w:val="1186"/>
        <w:ind w:firstLine="0"/>
        <w:jc w:val="center"/>
        <w:rPr>
          <w:szCs w:val="21"/>
        </w:rPr>
      </w:pPr>
      <w:r>
        <w:rPr>
          <w:szCs w:val="21"/>
        </w:rPr>
        <w:t xml:space="preserve">款型</w:t>
      </w:r>
      <w:r>
        <w:rPr>
          <w:rFonts w:hint="eastAsia"/>
          <w:szCs w:val="21"/>
        </w:rPr>
        <w:t xml:space="preserve">2（相间距110）</w:t>
      </w:r>
      <w:r>
        <w:rPr>
          <w:szCs w:val="21"/>
        </w:rPr>
      </w:r>
      <w:r/>
    </w:p>
    <w:p>
      <w:pPr>
        <w:pStyle w:val="1186"/>
        <w:ind w:firstLine="0"/>
        <w:jc w:val="center"/>
        <w:rPr>
          <w:szCs w:val="21"/>
        </w:rPr>
      </w:pPr>
      <w:r>
        <w:rPr>
          <w:szCs w:val="21"/>
        </w:rPr>
        <mc:AlternateContent>
          <mc:Choice Requires="wpg">
            <w:drawing>
              <wp:inline xmlns:wp="http://schemas.openxmlformats.org/drawingml/2006/wordprocessingDrawing" distT="0" distB="0" distL="0" distR="0">
                <wp:extent cx="5274348" cy="2829611"/>
                <wp:effectExtent l="0" t="0" r="0" b="0"/>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5274348" cy="28296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415.3pt;height:222.8pt;mso-wrap-distance-left:0.0pt;mso-wrap-distance-top:0.0pt;mso-wrap-distance-right:0.0pt;mso-wrap-distance-bottom:0.0pt;" stroked="f">
                <v:path textboxrect="0,0,0,0"/>
                <v:imagedata r:id="rId168" o:title=""/>
              </v:shape>
            </w:pict>
          </mc:Fallback>
        </mc:AlternateContent>
      </w:r>
      <w:r>
        <w:rPr>
          <w:szCs w:val="21"/>
        </w:rPr>
      </w:r>
      <w:r/>
    </w:p>
    <w:p>
      <w:pPr>
        <w:pStyle w:val="1186"/>
        <w:ind w:firstLine="0"/>
        <w:jc w:val="center"/>
        <w:rPr>
          <w:szCs w:val="21"/>
        </w:rPr>
      </w:pPr>
      <w:r>
        <w:rPr>
          <w:szCs w:val="21"/>
        </w:rPr>
        <w:t xml:space="preserve">款型</w:t>
      </w:r>
      <w:r>
        <w:rPr>
          <w:rFonts w:hint="eastAsia"/>
          <w:szCs w:val="21"/>
        </w:rPr>
        <w:t xml:space="preserve">3（相间距125）</w:t>
      </w:r>
      <w:r>
        <w:rPr>
          <w:szCs w:val="21"/>
        </w:rPr>
      </w:r>
      <w:r/>
    </w:p>
    <w:p>
      <w:pPr>
        <w:pStyle w:val="1186"/>
        <w:ind w:firstLine="0"/>
        <w:jc w:val="center"/>
        <w:rPr>
          <w:szCs w:val="21"/>
        </w:rPr>
      </w:pPr>
      <w:r>
        <w:rPr>
          <w:szCs w:val="21"/>
        </w:rPr>
        <mc:AlternateContent>
          <mc:Choice Requires="wpg">
            <w:drawing>
              <wp:inline xmlns:wp="http://schemas.openxmlformats.org/drawingml/2006/wordprocessingDrawing" distT="0" distB="0" distL="0" distR="0">
                <wp:extent cx="5274259" cy="2447303"/>
                <wp:effectExtent l="0" t="0" r="0" b="0"/>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5274259" cy="24473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415.3pt;height:192.7pt;mso-wrap-distance-left:0.0pt;mso-wrap-distance-top:0.0pt;mso-wrap-distance-right:0.0pt;mso-wrap-distance-bottom:0.0pt;" stroked="f">
                <v:path textboxrect="0,0,0,0"/>
                <v:imagedata r:id="rId169" o:title=""/>
              </v:shape>
            </w:pict>
          </mc:Fallback>
        </mc:AlternateContent>
      </w:r>
      <w:r>
        <w:rPr>
          <w:szCs w:val="21"/>
        </w:rPr>
      </w:r>
      <w:r/>
    </w:p>
    <w:p>
      <w:pPr>
        <w:pStyle w:val="1186"/>
        <w:ind w:firstLine="0"/>
        <w:jc w:val="center"/>
        <w:rPr>
          <w:szCs w:val="21"/>
        </w:rPr>
      </w:pPr>
      <w:r>
        <w:rPr>
          <w:szCs w:val="21"/>
        </w:rPr>
        <w:t xml:space="preserve">款型4</w:t>
      </w:r>
      <w:r>
        <w:rPr>
          <w:rFonts w:hint="eastAsia"/>
          <w:szCs w:val="21"/>
        </w:rPr>
        <w:t xml:space="preserve">（单相78内孔）</w:t>
      </w:r>
      <w:r>
        <w:rPr>
          <w:szCs w:val="21"/>
        </w:rPr>
      </w:r>
      <w:r/>
    </w:p>
    <w:p>
      <w:pPr>
        <w:pStyle w:val="1186"/>
        <w:ind w:firstLine="0"/>
        <w:jc w:val="center"/>
        <w:rPr>
          <w:szCs w:val="21"/>
        </w:rPr>
      </w:pPr>
      <w:r>
        <w:rPr>
          <w:szCs w:val="21"/>
        </w:rPr>
        <mc:AlternateContent>
          <mc:Choice Requires="wpg">
            <w:drawing>
              <wp:inline xmlns:wp="http://schemas.openxmlformats.org/drawingml/2006/wordprocessingDrawing" distT="0" distB="0" distL="0" distR="0">
                <wp:extent cx="4337787" cy="2251024"/>
                <wp:effectExtent l="0" t="0" r="0" b="0"/>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4337787" cy="2251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341.6pt;height:177.2pt;mso-wrap-distance-left:0.0pt;mso-wrap-distance-top:0.0pt;mso-wrap-distance-right:0.0pt;mso-wrap-distance-bottom:0.0pt;" stroked="f">
                <v:path textboxrect="0,0,0,0"/>
                <v:imagedata r:id="rId170" o:title=""/>
              </v:shape>
            </w:pict>
          </mc:Fallback>
        </mc:AlternateContent>
      </w:r>
      <w:r>
        <w:rPr>
          <w:szCs w:val="21"/>
        </w:rPr>
      </w:r>
      <w:r/>
    </w:p>
    <w:p>
      <w:pPr>
        <w:pStyle w:val="1186"/>
        <w:ind w:firstLine="0"/>
        <w:jc w:val="center"/>
        <w:rPr>
          <w:szCs w:val="21"/>
        </w:rPr>
      </w:pPr>
      <w:r>
        <w:rPr>
          <w:szCs w:val="21"/>
        </w:rPr>
        <w:t xml:space="preserve">款型5</w:t>
      </w:r>
      <w:r>
        <w:rPr>
          <w:rFonts w:hint="eastAsia"/>
          <w:szCs w:val="21"/>
        </w:rPr>
        <w:t xml:space="preserve">（零序120内孔）</w:t>
      </w:r>
      <w:r>
        <w:rPr>
          <w:szCs w:val="21"/>
        </w:rPr>
      </w:r>
      <w:r/>
    </w:p>
    <w:p>
      <w:pPr>
        <w:pStyle w:val="1186"/>
        <w:ind w:firstLine="0"/>
        <w:jc w:val="center"/>
        <w:rPr>
          <w:szCs w:val="21"/>
        </w:rPr>
      </w:pPr>
      <w:r>
        <w:rPr>
          <w:szCs w:val="21"/>
        </w:rPr>
      </w:r>
      <w:r/>
    </w:p>
    <w:p>
      <w:pPr>
        <w:pStyle w:val="1186"/>
        <w:ind w:firstLine="0"/>
        <w:rPr>
          <w:szCs w:val="21"/>
        </w:rPr>
      </w:pPr>
      <w:r>
        <w:rPr>
          <w:rFonts w:hint="eastAsia"/>
          <w:szCs w:val="21"/>
        </w:rPr>
        <w:t xml:space="preserve">2、低功率电流互感器端子</w:t>
      </w:r>
      <w:r>
        <w:rPr>
          <w:szCs w:val="21"/>
        </w:rPr>
      </w:r>
      <w:r/>
    </w:p>
    <w:p>
      <w:pPr>
        <w:pStyle w:val="1186"/>
        <w:ind w:left="0"/>
        <w:rPr>
          <w:szCs w:val="21"/>
        </w:rPr>
      </w:pPr>
      <w:r>
        <w:rPr>
          <w:rFonts w:hint="eastAsia"/>
          <w:szCs w:val="21"/>
        </w:rPr>
        <w:t xml:space="preserve">低功率电流互感器本体用电缆直接引出，输出方式不做具体规定，但输出端子应采取防水措施。输出电缆另一头采用矩形连接器。矩形连接器的要求应符合本文档连接器章节有关规定。连接器端子定义应符合本文档间隔柜二次回路标准化设计章节要求。</w:t>
      </w:r>
      <w:r>
        <w:rPr>
          <w:szCs w:val="21"/>
        </w:rPr>
      </w:r>
      <w:r/>
    </w:p>
    <w:p>
      <w:pPr>
        <w:pStyle w:val="1151"/>
        <w:rPr>
          <w:szCs w:val="21"/>
        </w:rPr>
      </w:pPr>
      <w:r>
        <w:rPr>
          <w:szCs w:val="21"/>
        </w:rPr>
      </w:r>
      <w:r/>
    </w:p>
    <w:p>
      <w:pPr>
        <w:pStyle w:val="1151"/>
        <w:jc w:val="left"/>
        <w:widowControl/>
        <w:rPr>
          <w:rFonts w:ascii="黑体" w:hAnsi="黑体" w:eastAsia="黑体"/>
          <w:color w:val="000000"/>
        </w:rPr>
      </w:pPr>
      <w:r/>
      <w:bookmarkStart w:id="435" w:name="_Toc35772968"/>
      <w:r/>
      <w:bookmarkStart w:id="436" w:name="_Toc47551487"/>
      <w:r>
        <w:rPr>
          <w:rFonts w:ascii="黑体" w:hAnsi="黑体" w:eastAsia="黑体"/>
          <w:color w:val="000000"/>
        </w:rPr>
        <w:br w:type="page" w:clear="all"/>
      </w:r>
      <w:r>
        <w:rPr>
          <w:rFonts w:ascii="黑体" w:hAnsi="黑体" w:eastAsia="黑体"/>
          <w:color w:val="000000"/>
        </w:rPr>
      </w:r>
      <w:r/>
    </w:p>
    <w:p>
      <w:pPr>
        <w:pStyle w:val="1245"/>
        <w:rPr>
          <w:rFonts w:ascii="黑体" w:hAnsi="黑体" w:eastAsia="黑体"/>
          <w:color w:val="000000"/>
        </w:rPr>
        <w:outlineLvl w:val="0"/>
      </w:pPr>
      <w:r/>
      <w:bookmarkStart w:id="437" w:name="_Toc32430"/>
      <w:r/>
      <w:bookmarkStart w:id="438" w:name="_Toc3579"/>
      <w:r/>
      <w:bookmarkStart w:id="439" w:name="_Toc55057894"/>
      <w:r/>
      <w:bookmarkStart w:id="440" w:name="_Toc13899"/>
      <w:r>
        <w:rPr>
          <w:rFonts w:hint="eastAsia" w:ascii="黑体" w:hAnsi="黑体" w:eastAsia="黑体"/>
          <w:color w:val="000000"/>
        </w:rPr>
        <w:t xml:space="preserve">附录H</w:t>
      </w:r>
      <w:r>
        <w:rPr>
          <w:rFonts w:ascii="黑体" w:hAnsi="黑体" w:eastAsia="黑体"/>
          <w:color w:val="000000"/>
        </w:rPr>
        <w:t xml:space="preserve">运维通信协议</w:t>
      </w:r>
      <w:r>
        <w:rPr>
          <w:rFonts w:hint="eastAsia" w:ascii="黑体" w:hAnsi="黑体" w:eastAsia="黑体"/>
          <w:color w:val="000000"/>
        </w:rPr>
        <w:t xml:space="preserve">技术要求</w:t>
      </w:r>
      <w:r>
        <w:rPr>
          <w:rFonts w:ascii="黑体" w:hAnsi="黑体" w:eastAsia="黑体"/>
          <w:color w:val="000000"/>
        </w:rPr>
        <w:t xml:space="preserve">(规范性附录)</w:t>
      </w:r>
      <w:bookmarkEnd w:id="435"/>
      <w:r/>
      <w:bookmarkEnd w:id="436"/>
      <w:r/>
      <w:bookmarkEnd w:id="437"/>
      <w:r/>
      <w:bookmarkEnd w:id="438"/>
      <w:r/>
      <w:bookmarkEnd w:id="439"/>
      <w:r/>
      <w:bookmarkEnd w:id="440"/>
      <w:r>
        <w:rPr>
          <w:rFonts w:ascii="黑体" w:hAnsi="黑体" w:eastAsia="黑体"/>
          <w:color w:val="000000"/>
        </w:rPr>
      </w:r>
      <w:r/>
    </w:p>
    <w:p>
      <w:pPr>
        <w:pStyle w:val="1151"/>
        <w:spacing w:before="312" w:after="312"/>
        <w:widowControl/>
        <w:rPr>
          <w:rFonts w:ascii="黑体" w:eastAsia="黑体"/>
        </w:rPr>
        <w:outlineLvl w:val="1"/>
      </w:pPr>
      <w:r/>
      <w:bookmarkStart w:id="441" w:name="_Toc35646457"/>
      <w:r>
        <w:rPr>
          <w:rFonts w:ascii="黑体" w:eastAsia="黑体"/>
        </w:rPr>
        <w:t xml:space="preserve">H.1 </w:t>
      </w:r>
      <w:r>
        <w:rPr>
          <w:rFonts w:hint="eastAsia" w:ascii="黑体" w:eastAsia="黑体"/>
        </w:rPr>
        <w:t xml:space="preserve">通讯方式要求</w:t>
      </w:r>
      <w:bookmarkEnd w:id="441"/>
      <w:r>
        <w:rPr>
          <w:rFonts w:ascii="黑体" w:eastAsia="黑体"/>
        </w:rPr>
      </w:r>
      <w:r/>
    </w:p>
    <w:p>
      <w:pPr>
        <w:pStyle w:val="1151"/>
        <w:numPr>
          <w:ilvl w:val="0"/>
          <w:numId w:val="76"/>
        </w:numPr>
        <w:spacing w:line="312" w:lineRule="exact"/>
        <w:rPr>
          <w:rFonts w:ascii="宋体" w:hAnsi="宋体"/>
        </w:rPr>
      </w:pPr>
      <w:r>
        <w:rPr>
          <w:rFonts w:hint="eastAsia" w:ascii="宋体" w:hAnsi="宋体"/>
        </w:rPr>
        <w:t xml:space="preserve">运维工具须通过配电终端的安全认证，信息安全有保障，可有效避免非法人员、非法工具、非法终端的使用；</w:t>
      </w:r>
      <w:r>
        <w:rPr>
          <w:rFonts w:ascii="宋体" w:hAnsi="宋体"/>
        </w:rPr>
      </w:r>
      <w:r/>
    </w:p>
    <w:p>
      <w:pPr>
        <w:pStyle w:val="1151"/>
        <w:numPr>
          <w:ilvl w:val="0"/>
          <w:numId w:val="76"/>
        </w:numPr>
        <w:spacing w:line="312" w:lineRule="exact"/>
        <w:rPr>
          <w:rFonts w:ascii="宋体" w:hAnsi="宋体"/>
        </w:rPr>
      </w:pPr>
      <w:r>
        <w:rPr>
          <w:rFonts w:hint="eastAsia" w:ascii="宋体" w:hAnsi="宋体"/>
        </w:rPr>
        <w:t xml:space="preserve">由于就地运维有人员在现场，使用的是有线串口或蓝牙（1</w:t>
      </w:r>
      <w:r>
        <w:rPr>
          <w:rFonts w:ascii="宋体" w:hAnsi="宋体"/>
        </w:rPr>
        <w:t xml:space="preserve">0</w:t>
      </w:r>
      <w:r>
        <w:rPr>
          <w:rFonts w:hint="eastAsia" w:ascii="宋体" w:hAnsi="宋体"/>
        </w:rPr>
        <w:t xml:space="preserve">m以内），运维过程中，工具与终端的信息安全有保障；</w:t>
      </w:r>
      <w:r>
        <w:rPr>
          <w:rFonts w:ascii="宋体" w:hAnsi="宋体"/>
        </w:rPr>
      </w:r>
      <w:r/>
    </w:p>
    <w:p>
      <w:pPr>
        <w:pStyle w:val="1151"/>
        <w:numPr>
          <w:ilvl w:val="0"/>
          <w:numId w:val="76"/>
        </w:numPr>
        <w:spacing w:line="312" w:lineRule="exact"/>
        <w:rPr>
          <w:rFonts w:ascii="宋体" w:hAnsi="宋体"/>
        </w:rPr>
      </w:pPr>
      <w:r>
        <w:rPr>
          <w:rFonts w:hint="eastAsia" w:ascii="宋体" w:hAnsi="宋体"/>
        </w:rPr>
        <w:t xml:space="preserve">经过安全认证后，为提升运维效率，采取明文传输方式完成运维。</w:t>
      </w:r>
      <w:r>
        <w:rPr>
          <w:rFonts w:ascii="宋体" w:hAnsi="宋体"/>
        </w:rPr>
      </w:r>
      <w:r/>
    </w:p>
    <w:p>
      <w:pPr>
        <w:pStyle w:val="1151"/>
        <w:spacing w:before="312" w:after="312"/>
        <w:widowControl/>
        <w:rPr>
          <w:rFonts w:ascii="黑体" w:eastAsia="黑体"/>
        </w:rPr>
        <w:outlineLvl w:val="1"/>
      </w:pPr>
      <w:r/>
      <w:bookmarkStart w:id="442" w:name="_Toc35646458"/>
      <w:r>
        <w:rPr>
          <w:rFonts w:ascii="黑体" w:eastAsia="黑体"/>
        </w:rPr>
        <w:t xml:space="preserve">H.2 </w:t>
      </w:r>
      <w:r>
        <w:rPr>
          <w:rFonts w:hint="eastAsia" w:ascii="黑体" w:eastAsia="黑体"/>
        </w:rPr>
        <w:t xml:space="preserve">通讯规约要求</w:t>
      </w:r>
      <w:bookmarkEnd w:id="442"/>
      <w:r>
        <w:rPr>
          <w:rFonts w:ascii="黑体" w:eastAsia="黑体"/>
        </w:rPr>
      </w:r>
      <w:r/>
    </w:p>
    <w:p>
      <w:pPr>
        <w:pStyle w:val="1151"/>
        <w:numPr>
          <w:ilvl w:val="0"/>
          <w:numId w:val="77"/>
        </w:numPr>
        <w:spacing w:line="312" w:lineRule="exact"/>
        <w:rPr>
          <w:rFonts w:ascii="宋体" w:hAnsi="宋体"/>
        </w:rPr>
      </w:pPr>
      <w:r>
        <w:rPr>
          <w:rFonts w:hint="eastAsia" w:ascii="宋体" w:hAnsi="宋体"/>
        </w:rPr>
        <w:t xml:space="preserve">维护协议可采用</w:t>
      </w:r>
      <w:r>
        <w:rPr>
          <w:rFonts w:ascii="宋体" w:hAnsi="宋体"/>
        </w:rPr>
        <w:t xml:space="preserve">扩展101通信协议</w:t>
      </w:r>
      <w:r>
        <w:rPr>
          <w:rFonts w:hint="eastAsia" w:ascii="宋体" w:hAnsi="宋体"/>
        </w:rPr>
        <w:t xml:space="preserve">，又名</w:t>
      </w:r>
      <w:r>
        <w:rPr>
          <w:rFonts w:ascii="宋体" w:hAnsi="宋体"/>
        </w:rPr>
        <w:t xml:space="preserve">“</w:t>
      </w:r>
      <w:r>
        <w:rPr>
          <w:rFonts w:hint="eastAsia" w:ascii="宋体" w:hAnsi="宋体"/>
        </w:rPr>
        <w:t xml:space="preserve">运维101</w:t>
      </w:r>
      <w:r>
        <w:rPr>
          <w:rFonts w:ascii="宋体" w:hAnsi="宋体"/>
        </w:rPr>
        <w:t xml:space="preserve">”</w:t>
      </w:r>
      <w:r>
        <w:rPr>
          <w:rFonts w:hint="eastAsia" w:ascii="宋体" w:hAnsi="宋体"/>
        </w:rPr>
        <w:t xml:space="preserve">协议</w:t>
      </w:r>
      <w:r>
        <w:rPr>
          <w:rFonts w:ascii="宋体" w:hAnsi="宋体"/>
        </w:rPr>
        <w:t xml:space="preserve">。</w:t>
      </w:r>
      <w:r>
        <w:rPr>
          <w:rFonts w:ascii="宋体" w:hAnsi="宋体"/>
        </w:rPr>
      </w:r>
      <w:r/>
    </w:p>
    <w:p>
      <w:pPr>
        <w:pStyle w:val="1151"/>
        <w:ind w:left="210" w:hanging="210"/>
        <w:jc w:val="center"/>
        <w:spacing w:after="120"/>
        <w:rPr>
          <w:szCs w:val="21"/>
        </w:rPr>
      </w:pPr>
      <w:r>
        <w:rPr>
          <w:rFonts w:hint="eastAsia" w:ascii="宋体" w:hAnsi="宋体" w:eastAsia="宋体"/>
          <w:szCs w:val="21"/>
        </w:rPr>
        <mc:AlternateContent>
          <mc:Choice Requires="wpg">
            <w:drawing>
              <wp:inline xmlns:wp="http://schemas.openxmlformats.org/drawingml/2006/wordprocessingDrawing" distT="0" distB="0" distL="0" distR="0">
                <wp:extent cx="3016275" cy="2992869"/>
                <wp:effectExtent l="0" t="0" r="0" b="0"/>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3016275" cy="29928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237.5pt;height:235.7pt;mso-wrap-distance-left:0.0pt;mso-wrap-distance-top:0.0pt;mso-wrap-distance-right:0.0pt;mso-wrap-distance-bottom:0.0pt;" stroked="f">
                <v:path textboxrect="0,0,0,0"/>
                <v:imagedata r:id="rId171" o:title=""/>
              </v:shape>
            </w:pict>
          </mc:Fallback>
        </mc:AlternateContent>
      </w:r>
      <w:r>
        <w:rPr>
          <w:szCs w:val="21"/>
        </w:rPr>
      </w:r>
      <w:r/>
    </w:p>
    <w:p>
      <w:pPr>
        <w:pStyle w:val="1151"/>
        <w:ind w:firstLine="360"/>
        <w:jc w:val="center"/>
        <w:spacing w:line="360" w:lineRule="auto"/>
        <w:rPr>
          <w:rFonts w:eastAsia="黑体"/>
          <w:szCs w:val="21"/>
        </w:rPr>
      </w:pPr>
      <w:r>
        <w:rPr>
          <w:rFonts w:hint="eastAsia" w:eastAsia="黑体"/>
          <w:szCs w:val="21"/>
        </w:rPr>
        <w:t xml:space="preserve">图</w:t>
      </w:r>
      <w:r>
        <w:rPr>
          <w:rFonts w:eastAsia="黑体"/>
          <w:szCs w:val="21"/>
        </w:rPr>
        <w:t xml:space="preserve">H</w:t>
      </w:r>
      <w:r>
        <w:rPr>
          <w:rFonts w:hint="eastAsia" w:eastAsia="黑体"/>
          <w:szCs w:val="21"/>
        </w:rPr>
        <w:t xml:space="preserve">-</w:t>
      </w:r>
      <w:r>
        <w:rPr>
          <w:rFonts w:eastAsia="黑体"/>
          <w:szCs w:val="21"/>
        </w:rPr>
        <w:t xml:space="preserve">1 </w:t>
      </w:r>
      <w:r>
        <w:rPr>
          <w:rFonts w:hint="eastAsia" w:eastAsia="黑体"/>
          <w:szCs w:val="21"/>
        </w:rPr>
        <w:t xml:space="preserve">运维101规约报文结构</w:t>
      </w:r>
      <w:r>
        <w:rPr>
          <w:rFonts w:eastAsia="黑体"/>
          <w:szCs w:val="21"/>
        </w:rPr>
      </w:r>
      <w:r/>
    </w:p>
    <w:p>
      <w:pPr>
        <w:pStyle w:val="1151"/>
        <w:numPr>
          <w:ilvl w:val="0"/>
          <w:numId w:val="77"/>
        </w:numPr>
        <w:spacing w:line="312" w:lineRule="exact"/>
        <w:rPr>
          <w:rFonts w:ascii="宋体" w:hAnsi="宋体"/>
        </w:rPr>
      </w:pPr>
      <w:r>
        <w:rPr>
          <w:rFonts w:hint="eastAsia" w:ascii="宋体" w:hAnsi="宋体"/>
        </w:rPr>
        <w:t xml:space="preserve">对运维101报文长度的限制要求：在串口（包括短距离无线）通信时，建议报文长度不超过1024；</w:t>
      </w:r>
      <w:r>
        <w:rPr>
          <w:rFonts w:ascii="宋体" w:hAnsi="宋体"/>
        </w:rPr>
      </w:r>
      <w:r/>
    </w:p>
    <w:p>
      <w:pPr>
        <w:pStyle w:val="1151"/>
        <w:numPr>
          <w:ilvl w:val="0"/>
          <w:numId w:val="0"/>
        </w:numPr>
        <w:rPr>
          <w:rFonts w:ascii="宋体" w:hAnsi="宋体"/>
        </w:rPr>
      </w:pPr>
      <w:r>
        <w:rPr>
          <w:rFonts w:ascii="宋体" w:hAnsi="宋体"/>
        </w:rPr>
        <w:br w:type="page" w:clear="all"/>
      </w:r>
      <w:r>
        <w:rPr>
          <w:rFonts w:ascii="宋体" w:hAnsi="宋体"/>
        </w:rPr>
      </w:r>
      <w:r/>
    </w:p>
    <w:p>
      <w:pPr>
        <w:pStyle w:val="1245"/>
        <w:rPr>
          <w:szCs w:val="21"/>
        </w:rPr>
        <w:outlineLvl w:val="0"/>
      </w:pPr>
      <w:r/>
      <w:bookmarkStart w:id="443" w:name="_Toc21941"/>
      <w:r/>
      <w:bookmarkStart w:id="444" w:name="_Toc55057895"/>
      <w:r/>
      <w:bookmarkStart w:id="445" w:name="_Toc11248"/>
      <w:r/>
      <w:bookmarkStart w:id="446" w:name="_Toc7341"/>
      <w:r>
        <w:rPr>
          <w:rFonts w:hint="eastAsia" w:ascii="黑体" w:hAnsi="黑体" w:eastAsia="黑体"/>
          <w:color w:val="000000"/>
        </w:rPr>
        <w:t xml:space="preserve">附录I 二次回路模块技术要求</w:t>
      </w:r>
      <w:bookmarkEnd w:id="443"/>
      <w:r/>
      <w:bookmarkEnd w:id="444"/>
      <w:r/>
      <w:bookmarkEnd w:id="445"/>
      <w:r/>
      <w:bookmarkEnd w:id="446"/>
      <w:r>
        <w:rPr>
          <w:szCs w:val="21"/>
        </w:rPr>
      </w:r>
      <w:r/>
    </w:p>
    <w:p>
      <w:pPr>
        <w:pStyle w:val="1151"/>
        <w:numPr>
          <w:ilvl w:val="0"/>
          <w:numId w:val="0"/>
        </w:numPr>
        <w:spacing w:before="312" w:after="312"/>
        <w:widowControl/>
        <w:rPr>
          <w:rFonts w:ascii="黑体" w:eastAsia="黑体"/>
        </w:rPr>
        <w:outlineLvl w:val="1"/>
      </w:pPr>
      <w:r>
        <w:rPr>
          <w:rFonts w:ascii="黑体" w:eastAsia="黑体"/>
        </w:rPr>
        <w:t xml:space="preserve">I.1PT切换模块要求</w:t>
      </w:r>
      <w:r>
        <w:rPr>
          <w:rFonts w:ascii="黑体" w:eastAsia="黑体"/>
        </w:rPr>
      </w:r>
      <w:r/>
    </w:p>
    <w:p>
      <w:pPr>
        <w:pStyle w:val="1151"/>
        <w:rPr>
          <w:szCs w:val="21"/>
        </w:rPr>
      </w:pPr>
      <w:r>
        <w:rPr>
          <w:rFonts w:hint="eastAsia"/>
          <w:szCs w:val="21"/>
        </w:rPr>
        <w:t xml:space="preserve">1）PT切换模块输入端子定义如表I.1-1所示：</w:t>
      </w:r>
      <w:r>
        <w:rPr>
          <w:szCs w:val="21"/>
        </w:rPr>
      </w:r>
      <w:r/>
    </w:p>
    <w:p>
      <w:pPr>
        <w:pStyle w:val="1151"/>
        <w:jc w:val="center"/>
        <w:rPr>
          <w:szCs w:val="21"/>
        </w:rPr>
      </w:pPr>
      <w:r>
        <w:rPr>
          <w:rFonts w:hint="eastAsia"/>
          <w:szCs w:val="21"/>
        </w:rPr>
        <w:t xml:space="preserve">表I.1-1 输入端子定义</w:t>
      </w:r>
      <w:r>
        <w:rPr>
          <w:szCs w:val="21"/>
        </w:rPr>
      </w:r>
      <w:r/>
    </w:p>
    <w:tbl>
      <w:tblPr>
        <w:tblW w:w="51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1417"/>
        <w:gridCol w:w="2552"/>
      </w:tblGrid>
      <w:tr>
        <w:trPr/>
        <w:tc>
          <w:tcPr>
            <w:tcW w:w="1226" w:type="dxa"/>
            <w:vAlign w:val="center"/>
            <w:textDirection w:val="lrTb"/>
            <w:noWrap w:val="false"/>
          </w:tcPr>
          <w:p>
            <w:pPr>
              <w:pStyle w:val="1151"/>
              <w:jc w:val="center"/>
              <w:widowControl/>
              <w:rPr>
                <w:szCs w:val="21"/>
              </w:rPr>
            </w:pPr>
            <w:r>
              <w:rPr>
                <w:rFonts w:hint="eastAsia"/>
                <w:szCs w:val="21"/>
              </w:rPr>
              <w:t xml:space="preserve">引脚号</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标记</w:t>
            </w:r>
            <w:r>
              <w:rPr>
                <w:szCs w:val="21"/>
              </w:rPr>
            </w:r>
            <w:r/>
          </w:p>
        </w:tc>
        <w:tc>
          <w:tcPr>
            <w:tcW w:w="2552" w:type="dxa"/>
            <w:vAlign w:val="center"/>
            <w:textDirection w:val="lrTb"/>
            <w:noWrap w:val="false"/>
          </w:tcPr>
          <w:p>
            <w:pPr>
              <w:pStyle w:val="1151"/>
              <w:jc w:val="center"/>
              <w:widowControl/>
              <w:rPr>
                <w:szCs w:val="21"/>
              </w:rPr>
            </w:pPr>
            <w:r>
              <w:rPr>
                <w:rFonts w:hint="eastAsia"/>
                <w:szCs w:val="21"/>
              </w:rPr>
              <w:t xml:space="preserve">标记说明</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1</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Ua</w:t>
            </w:r>
            <w:r>
              <w:rPr>
                <w:szCs w:val="21"/>
              </w:rPr>
            </w:r>
            <w:r/>
          </w:p>
        </w:tc>
        <w:tc>
          <w:tcPr>
            <w:tcW w:w="2552" w:type="dxa"/>
            <w:vAlign w:val="center"/>
            <w:vMerge w:val="restart"/>
            <w:textDirection w:val="lrTb"/>
            <w:noWrap w:val="false"/>
          </w:tcPr>
          <w:p>
            <w:pPr>
              <w:pStyle w:val="1151"/>
              <w:jc w:val="center"/>
              <w:widowControl/>
              <w:rPr>
                <w:szCs w:val="21"/>
              </w:rPr>
            </w:pPr>
            <w:r>
              <w:rPr>
                <w:rFonts w:hint="eastAsia"/>
                <w:szCs w:val="21"/>
              </w:rPr>
              <w:t xml:space="preserve">测量电压</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2</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Ub</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3</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Uc</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4</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Un</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r>
    </w:tbl>
    <w:p>
      <w:pPr>
        <w:pStyle w:val="1151"/>
        <w:rPr>
          <w:szCs w:val="21"/>
        </w:rPr>
      </w:pPr>
      <w:r>
        <w:rPr>
          <w:rFonts w:hint="eastAsia"/>
          <w:szCs w:val="21"/>
        </w:rPr>
        <w:t xml:space="preserve">PT切换模块输出端子定义如表I.1-</w:t>
      </w:r>
      <w:r>
        <w:rPr>
          <w:szCs w:val="21"/>
        </w:rPr>
        <w:t xml:space="preserve">2</w:t>
      </w:r>
      <w:r>
        <w:rPr>
          <w:rFonts w:hint="eastAsia"/>
          <w:szCs w:val="21"/>
        </w:rPr>
        <w:t xml:space="preserve">所示：</w:t>
      </w:r>
      <w:r>
        <w:rPr>
          <w:szCs w:val="21"/>
        </w:rPr>
      </w:r>
      <w:r/>
    </w:p>
    <w:p>
      <w:pPr>
        <w:pStyle w:val="1151"/>
        <w:jc w:val="center"/>
        <w:rPr>
          <w:szCs w:val="21"/>
        </w:rPr>
      </w:pPr>
      <w:r>
        <w:rPr>
          <w:rFonts w:hint="eastAsia"/>
          <w:szCs w:val="21"/>
        </w:rPr>
        <w:t xml:space="preserve">表I.1-</w:t>
      </w:r>
      <w:r>
        <w:rPr>
          <w:szCs w:val="21"/>
        </w:rPr>
        <w:t xml:space="preserve">2</w:t>
      </w:r>
      <w:r>
        <w:rPr>
          <w:rFonts w:hint="eastAsia"/>
          <w:szCs w:val="21"/>
        </w:rPr>
        <w:t xml:space="preserve">输出端子定义</w:t>
      </w:r>
      <w:r>
        <w:rPr>
          <w:szCs w:val="21"/>
        </w:rPr>
      </w:r>
      <w:r/>
    </w:p>
    <w:tbl>
      <w:tblPr>
        <w:tblW w:w="51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1417"/>
        <w:gridCol w:w="2552"/>
      </w:tblGrid>
      <w:tr>
        <w:trPr/>
        <w:tc>
          <w:tcPr>
            <w:tcW w:w="1226" w:type="dxa"/>
            <w:vAlign w:val="center"/>
            <w:textDirection w:val="lrTb"/>
            <w:noWrap w:val="false"/>
          </w:tcPr>
          <w:p>
            <w:pPr>
              <w:pStyle w:val="1151"/>
              <w:jc w:val="center"/>
              <w:widowControl/>
              <w:rPr>
                <w:szCs w:val="21"/>
              </w:rPr>
            </w:pPr>
            <w:r>
              <w:rPr>
                <w:rFonts w:hint="eastAsia"/>
                <w:szCs w:val="21"/>
              </w:rPr>
              <w:t xml:space="preserve">引脚号</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标记</w:t>
            </w:r>
            <w:r>
              <w:rPr>
                <w:szCs w:val="21"/>
              </w:rPr>
            </w:r>
            <w:r/>
          </w:p>
        </w:tc>
        <w:tc>
          <w:tcPr>
            <w:tcW w:w="2552" w:type="dxa"/>
            <w:vAlign w:val="center"/>
            <w:textDirection w:val="lrTb"/>
            <w:noWrap w:val="false"/>
          </w:tcPr>
          <w:p>
            <w:pPr>
              <w:pStyle w:val="1151"/>
              <w:jc w:val="center"/>
              <w:widowControl/>
              <w:rPr>
                <w:szCs w:val="21"/>
              </w:rPr>
            </w:pPr>
            <w:r>
              <w:rPr>
                <w:rFonts w:hint="eastAsia"/>
                <w:szCs w:val="21"/>
              </w:rPr>
              <w:t xml:space="preserve">标记说明</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1</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w:t>
            </w:r>
            <w:r>
              <w:rPr>
                <w:szCs w:val="21"/>
              </w:rPr>
            </w:r>
            <w:r/>
          </w:p>
        </w:tc>
        <w:tc>
          <w:tcPr>
            <w:tcW w:w="2552" w:type="dxa"/>
            <w:vAlign w:val="center"/>
            <w:vMerge w:val="restart"/>
            <w:textDirection w:val="lrTb"/>
            <w:noWrap w:val="false"/>
          </w:tcPr>
          <w:p>
            <w:pPr>
              <w:pStyle w:val="1151"/>
              <w:jc w:val="center"/>
              <w:widowControl/>
              <w:rPr>
                <w:szCs w:val="21"/>
              </w:rPr>
            </w:pPr>
            <w:r>
              <w:rPr>
                <w:rFonts w:hint="eastAsia"/>
                <w:szCs w:val="21"/>
              </w:rPr>
              <w:t xml:space="preserve">表计电压</w:t>
            </w:r>
            <w:r>
              <w:rPr>
                <w:szCs w:val="21"/>
              </w:rPr>
            </w:r>
            <w:r/>
          </w:p>
        </w:tc>
      </w:tr>
      <w:tr>
        <w:trPr/>
        <w:tc>
          <w:tcPr>
            <w:tcW w:w="1226" w:type="dxa"/>
            <w:vAlign w:val="center"/>
            <w:textDirection w:val="lrTb"/>
            <w:noWrap w:val="false"/>
          </w:tcPr>
          <w:p>
            <w:pPr>
              <w:pStyle w:val="1151"/>
              <w:jc w:val="center"/>
              <w:widowControl/>
              <w:rPr>
                <w:szCs w:val="21"/>
              </w:rPr>
            </w:pPr>
            <w:r>
              <w:rPr>
                <w:rFonts w:hint="eastAsia"/>
                <w:szCs w:val="21"/>
              </w:rPr>
              <w:t xml:space="preserve">2</w:t>
            </w:r>
            <w:r>
              <w:rPr>
                <w:szCs w:val="21"/>
              </w:rPr>
            </w:r>
            <w:r/>
          </w:p>
        </w:tc>
        <w:tc>
          <w:tcPr>
            <w:tcW w:w="1417" w:type="dxa"/>
            <w:vAlign w:val="center"/>
            <w:textDirection w:val="lrTb"/>
            <w:noWrap w:val="false"/>
          </w:tcPr>
          <w:p>
            <w:pPr>
              <w:pStyle w:val="1151"/>
              <w:jc w:val="center"/>
              <w:widowControl/>
              <w:rPr>
                <w:szCs w:val="21"/>
              </w:rPr>
            </w:pPr>
            <w:r>
              <w:rPr>
                <w:rFonts w:hint="eastAsia"/>
                <w:szCs w:val="21"/>
              </w:rPr>
              <w:t xml:space="preserve">Un</w:t>
            </w:r>
            <w:r>
              <w:rPr>
                <w:szCs w:val="21"/>
              </w:rPr>
            </w:r>
            <w:r/>
          </w:p>
        </w:tc>
        <w:tc>
          <w:tcPr>
            <w:tcW w:w="2552" w:type="dxa"/>
            <w:vAlign w:val="center"/>
            <w:vMerge w:val="continue"/>
            <w:textDirection w:val="lrTb"/>
            <w:noWrap w:val="false"/>
          </w:tcPr>
          <w:p>
            <w:pPr>
              <w:pStyle w:val="1151"/>
              <w:jc w:val="center"/>
              <w:widowControl/>
              <w:rPr>
                <w:szCs w:val="21"/>
              </w:rPr>
            </w:pPr>
            <w:r>
              <w:rPr>
                <w:szCs w:val="21"/>
              </w:rPr>
            </w:r>
            <w:r/>
          </w:p>
        </w:tc>
      </w:tr>
    </w:tbl>
    <w:p>
      <w:pPr>
        <w:pStyle w:val="1151"/>
        <w:rPr>
          <w:szCs w:val="21"/>
        </w:rPr>
      </w:pPr>
      <w:r>
        <w:rPr>
          <w:szCs w:val="21"/>
        </w:rPr>
      </w:r>
      <w:r/>
    </w:p>
    <w:p>
      <w:pPr>
        <w:pStyle w:val="1151"/>
        <w:numPr>
          <w:ilvl w:val="0"/>
          <w:numId w:val="0"/>
        </w:numPr>
        <w:spacing w:line="360" w:lineRule="auto"/>
        <w:rPr>
          <w:szCs w:val="21"/>
        </w:rPr>
      </w:pPr>
      <w:r>
        <w:rPr>
          <w:rFonts w:hint="eastAsia"/>
          <w:szCs w:val="21"/>
        </w:rPr>
        <w:t xml:space="preserve">2）PT切换模块结构如图I-1所示：</w:t>
      </w:r>
      <w:r>
        <w:rPr>
          <w:szCs w:val="21"/>
        </w:rPr>
      </w:r>
      <w:r/>
    </w:p>
    <w:p>
      <w:pPr>
        <w:pStyle w:val="1151"/>
        <w:jc w:val="center"/>
      </w:pPr>
      <w:r>
        <mc:AlternateContent>
          <mc:Choice Requires="wpg">
            <w:drawing>
              <wp:inline xmlns:wp="http://schemas.openxmlformats.org/drawingml/2006/wordprocessingDrawing" distT="0" distB="0" distL="0" distR="0">
                <wp:extent cx="3651250" cy="3072130"/>
                <wp:effectExtent l="0" t="0" r="0" b="0"/>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3651250" cy="3072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287.5pt;height:241.9pt;mso-wrap-distance-left:0.0pt;mso-wrap-distance-top:0.0pt;mso-wrap-distance-right:0.0pt;mso-wrap-distance-bottom:0.0pt;" stroked="f">
                <v:path textboxrect="0,0,0,0"/>
                <v:imagedata r:id="rId172" o:title=""/>
              </v:shape>
            </w:pict>
          </mc:Fallback>
        </mc:AlternateContent>
      </w:r>
      <w:r/>
    </w:p>
    <w:p>
      <w:pPr>
        <w:pStyle w:val="1151"/>
        <w:jc w:val="center"/>
      </w:pPr>
      <w:r>
        <w:rPr>
          <w:rFonts w:hint="eastAsia"/>
          <w:szCs w:val="21"/>
        </w:rPr>
        <w:t xml:space="preserve">图I-1  PT切换模块结构</w:t>
      </w:r>
      <w:r/>
    </w:p>
    <w:p>
      <w:pPr>
        <w:pStyle w:val="1151"/>
        <w:spacing w:before="312" w:after="312"/>
        <w:widowControl/>
        <w:rPr>
          <w:rFonts w:ascii="黑体" w:eastAsia="黑体"/>
        </w:rPr>
        <w:outlineLvl w:val="1"/>
      </w:pPr>
      <w:r>
        <w:rPr>
          <w:rFonts w:ascii="黑体" w:eastAsia="黑体"/>
        </w:rPr>
        <w:t xml:space="preserve">I.2 PT二次模块要求</w:t>
      </w:r>
      <w:r>
        <w:rPr>
          <w:rFonts w:ascii="黑体" w:eastAsia="黑体"/>
        </w:rPr>
      </w:r>
      <w:r/>
    </w:p>
    <w:p>
      <w:pPr>
        <w:pStyle w:val="1151"/>
        <w:numPr>
          <w:ilvl w:val="0"/>
          <w:numId w:val="78"/>
        </w:numPr>
        <w:ind w:firstLine="420"/>
        <w:spacing w:line="360" w:lineRule="auto"/>
        <w:tabs>
          <w:tab w:val="left" w:pos="312" w:leader="none"/>
        </w:tabs>
        <w:rPr>
          <w:szCs w:val="21"/>
        </w:rPr>
      </w:pPr>
      <w:r>
        <w:rPr>
          <w:rFonts w:hint="eastAsia"/>
          <w:szCs w:val="21"/>
        </w:rPr>
        <w:t xml:space="preserve">PT柜二次模块端子定义</w:t>
      </w:r>
      <w:r>
        <w:rPr>
          <w:szCs w:val="21"/>
        </w:rPr>
      </w:r>
      <w:r/>
    </w:p>
    <w:p>
      <w:pPr>
        <w:pStyle w:val="1151"/>
        <w:ind w:firstLine="420"/>
        <w:jc w:val="left"/>
        <w:rPr>
          <w:szCs w:val="21"/>
        </w:rPr>
      </w:pPr>
      <w:r>
        <w:rPr>
          <w:rFonts w:hint="eastAsia"/>
          <w:szCs w:val="21"/>
        </w:rPr>
        <w:t xml:space="preserve">PT柜二次模块下行10芯矩形连接器引脚定义见附录</w:t>
      </w:r>
      <w:r>
        <w:rPr>
          <w:szCs w:val="21"/>
        </w:rPr>
        <w:t xml:space="preserve">D </w:t>
      </w:r>
      <w:r>
        <w:rPr>
          <w:rFonts w:hint="eastAsia"/>
          <w:szCs w:val="21"/>
        </w:rPr>
        <w:t xml:space="preserve">矩形连接器接口定义及接线要求</w:t>
      </w:r>
      <w:r>
        <w:rPr>
          <w:szCs w:val="21"/>
        </w:rPr>
        <w:t xml:space="preserve">(规范性附录)</w:t>
      </w:r>
      <w:r>
        <w:rPr>
          <w:szCs w:val="21"/>
        </w:rPr>
      </w:r>
      <w:r/>
    </w:p>
    <w:p>
      <w:pPr>
        <w:pStyle w:val="1151"/>
        <w:ind w:firstLine="420"/>
        <w:jc w:val="left"/>
        <w:rPr>
          <w:szCs w:val="21"/>
        </w:rPr>
      </w:pPr>
      <w:r>
        <w:rPr>
          <w:rFonts w:hint="eastAsia"/>
          <w:szCs w:val="21"/>
        </w:rPr>
        <w:t xml:space="preserve">PT柜二次模块上行10芯矩形连接器引脚定义见附录</w:t>
      </w:r>
      <w:r>
        <w:rPr>
          <w:szCs w:val="21"/>
        </w:rPr>
        <w:t xml:space="preserve">D </w:t>
      </w:r>
      <w:r>
        <w:rPr>
          <w:rFonts w:hint="eastAsia"/>
          <w:szCs w:val="21"/>
        </w:rPr>
        <w:t xml:space="preserve">矩形连接器接口定义及接线要求</w:t>
      </w:r>
      <w:r>
        <w:rPr>
          <w:szCs w:val="21"/>
        </w:rPr>
        <w:t xml:space="preserve">(规范性附录)</w:t>
      </w:r>
      <w:r>
        <w:rPr>
          <w:szCs w:val="21"/>
        </w:rPr>
      </w:r>
      <w:r/>
    </w:p>
    <w:p>
      <w:pPr>
        <w:pStyle w:val="1151"/>
        <w:ind w:firstLine="420"/>
        <w:jc w:val="left"/>
        <w:rPr>
          <w:szCs w:val="21"/>
        </w:rPr>
      </w:pPr>
      <w:r>
        <w:rPr>
          <w:rFonts w:hint="eastAsia"/>
          <w:szCs w:val="21"/>
        </w:rPr>
        <w:t xml:space="preserve">PT柜二次模块上行32+1芯矩形连接器引脚定义见附录</w:t>
      </w:r>
      <w:r>
        <w:rPr>
          <w:szCs w:val="21"/>
        </w:rPr>
        <w:t xml:space="preserve">D </w:t>
      </w:r>
      <w:r>
        <w:rPr>
          <w:rFonts w:hint="eastAsia"/>
          <w:szCs w:val="21"/>
        </w:rPr>
        <w:t xml:space="preserve">矩形连接器接口定义及接线要求</w:t>
      </w:r>
      <w:r>
        <w:rPr>
          <w:szCs w:val="21"/>
        </w:rPr>
        <w:t xml:space="preserve">(规范性附录)</w:t>
      </w:r>
      <w:r>
        <w:rPr>
          <w:szCs w:val="21"/>
        </w:rPr>
      </w:r>
      <w:r/>
    </w:p>
    <w:p>
      <w:pPr>
        <w:pStyle w:val="1151"/>
        <w:rPr>
          <w:szCs w:val="21"/>
        </w:rPr>
      </w:pPr>
      <w:r>
        <w:rPr>
          <w:szCs w:val="21"/>
        </w:rPr>
      </w:r>
      <w:r/>
    </w:p>
    <w:p>
      <w:pPr>
        <w:pStyle w:val="1151"/>
        <w:numPr>
          <w:ilvl w:val="0"/>
          <w:numId w:val="78"/>
        </w:numPr>
        <w:ind w:firstLine="420"/>
        <w:spacing w:line="360" w:lineRule="auto"/>
        <w:tabs>
          <w:tab w:val="left" w:pos="312" w:leader="none"/>
        </w:tabs>
        <w:rPr>
          <w:szCs w:val="21"/>
        </w:rPr>
      </w:pPr>
      <w:r>
        <w:rPr>
          <w:rFonts w:hint="eastAsia"/>
          <w:szCs w:val="21"/>
        </w:rPr>
        <w:t xml:space="preserve">PT二次模块结构示意图如图I-2所示：</w:t>
      </w:r>
      <w:r>
        <w:rPr>
          <w:szCs w:val="21"/>
        </w:rPr>
      </w:r>
      <w:r/>
    </w:p>
    <w:p>
      <w:pPr>
        <w:pStyle w:val="1151"/>
        <w:jc w:val="center"/>
      </w:pPr>
      <w:r>
        <mc:AlternateContent>
          <mc:Choice Requires="wpg">
            <w:drawing>
              <wp:inline xmlns:wp="http://schemas.openxmlformats.org/drawingml/2006/wordprocessingDrawing" distT="0" distB="0" distL="0" distR="0">
                <wp:extent cx="5214391" cy="2991231"/>
                <wp:effectExtent l="0" t="0" r="0" b="0"/>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5214391" cy="29912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410.6pt;height:235.5pt;mso-wrap-distance-left:0.0pt;mso-wrap-distance-top:0.0pt;mso-wrap-distance-right:0.0pt;mso-wrap-distance-bottom:0.0pt;" stroked="f">
                <v:path textboxrect="0,0,0,0"/>
                <v:imagedata r:id="rId173" o:title=""/>
              </v:shape>
            </w:pict>
          </mc:Fallback>
        </mc:AlternateContent>
      </w:r>
      <w:r/>
    </w:p>
    <w:p>
      <w:pPr>
        <w:pStyle w:val="1151"/>
        <w:jc w:val="center"/>
      </w:pPr>
      <w:r>
        <w:rPr>
          <w:rFonts w:hint="eastAsia"/>
          <w:szCs w:val="21"/>
        </w:rPr>
        <w:t xml:space="preserve">图I-2 PT二次模块结构图</w:t>
      </w:r>
      <w:r/>
    </w:p>
    <w:p>
      <w:pPr>
        <w:pStyle w:val="1151"/>
        <w:jc w:val="center"/>
      </w:pPr>
      <w:r/>
      <w:r/>
    </w:p>
    <w:p>
      <w:pPr>
        <w:pStyle w:val="1151"/>
        <w:spacing w:before="312" w:after="312"/>
        <w:widowControl/>
        <w:rPr>
          <w:szCs w:val="21"/>
        </w:rPr>
        <w:outlineLvl w:val="1"/>
      </w:pPr>
      <w:r>
        <w:rPr>
          <w:rFonts w:hint="eastAsia" w:ascii="黑体" w:eastAsia="黑体"/>
        </w:rPr>
        <w:t xml:space="preserve">I</w:t>
      </w:r>
      <w:r>
        <w:rPr>
          <w:rFonts w:ascii="黑体" w:eastAsia="黑体"/>
        </w:rPr>
        <w:t xml:space="preserve">.3 间隔柜</w:t>
      </w:r>
      <w:r>
        <w:rPr>
          <w:rFonts w:hint="eastAsia" w:ascii="黑体" w:eastAsia="黑体"/>
        </w:rPr>
        <w:t xml:space="preserve">结构要求</w:t>
      </w:r>
      <w:r>
        <w:rPr>
          <w:szCs w:val="21"/>
        </w:rPr>
      </w:r>
      <w:r/>
    </w:p>
    <w:p>
      <w:pPr>
        <w:pStyle w:val="1151"/>
        <w:rPr>
          <w:szCs w:val="21"/>
        </w:rPr>
      </w:pPr>
      <w:r>
        <w:rPr>
          <w:rFonts w:hint="eastAsia"/>
          <w:szCs w:val="21"/>
        </w:rPr>
        <w:t xml:space="preserve">间隔柜二次室整体结构图</w:t>
      </w:r>
      <w:r>
        <w:rPr>
          <w:szCs w:val="21"/>
        </w:rPr>
      </w:r>
      <w:r/>
    </w:p>
    <w:p>
      <w:pPr>
        <w:pStyle w:val="1151"/>
        <w:ind w:firstLine="420"/>
        <w:rPr>
          <w:szCs w:val="21"/>
        </w:rPr>
      </w:pPr>
      <w:r>
        <w:rPr>
          <w:rFonts w:hint="eastAsia"/>
          <w:szCs w:val="21"/>
        </w:rPr>
        <w:t xml:space="preserve">间隔柜整体结构图如图I-3所示：</w:t>
      </w:r>
      <w:r>
        <w:rPr>
          <w:szCs w:val="21"/>
        </w:rPr>
      </w:r>
      <w:r/>
    </w:p>
    <w:p>
      <w:pPr>
        <w:pStyle w:val="1151"/>
        <w:jc w:val="center"/>
        <w:rPr>
          <w:szCs w:val="21"/>
        </w:rPr>
      </w:pPr>
      <w:r>
        <w:rPr>
          <w:rFonts w:hint="eastAsia"/>
          <w:szCs w:val="21"/>
        </w:rPr>
        <mc:AlternateContent>
          <mc:Choice Requires="wpg">
            <w:drawing>
              <wp:inline xmlns:wp="http://schemas.openxmlformats.org/drawingml/2006/wordprocessingDrawing" distT="0" distB="0" distL="0" distR="0">
                <wp:extent cx="4083114" cy="3926789"/>
                <wp:effectExtent l="0" t="0" r="0" b="0"/>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4083114" cy="39267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321.5pt;height:309.2pt;mso-wrap-distance-left:0.0pt;mso-wrap-distance-top:0.0pt;mso-wrap-distance-right:0.0pt;mso-wrap-distance-bottom:0.0pt;" stroked="f">
                <v:path textboxrect="0,0,0,0"/>
                <v:imagedata r:id="rId174" o:title=""/>
              </v:shape>
            </w:pict>
          </mc:Fallback>
        </mc:AlternateContent>
      </w:r>
      <w:r>
        <w:rPr>
          <w:szCs w:val="21"/>
        </w:rPr>
      </w:r>
      <w:r/>
    </w:p>
    <w:p>
      <w:pPr>
        <w:pStyle w:val="1151"/>
        <w:jc w:val="center"/>
        <w:rPr>
          <w:szCs w:val="21"/>
        </w:rPr>
      </w:pPr>
      <w:r>
        <w:rPr>
          <w:rFonts w:hint="eastAsia"/>
          <w:szCs w:val="21"/>
        </w:rPr>
        <mc:AlternateContent>
          <mc:Choice Requires="wpg">
            <w:drawing>
              <wp:inline xmlns:wp="http://schemas.openxmlformats.org/drawingml/2006/wordprocessingDrawing" distT="0" distB="0" distL="0" distR="0">
                <wp:extent cx="5273040" cy="4218216"/>
                <wp:effectExtent l="0" t="0" r="0" b="0"/>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5273040" cy="4218216"/>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415.2pt;height:332.1pt;mso-wrap-distance-left:0.0pt;mso-wrap-distance-top:0.0pt;mso-wrap-distance-right:0.0pt;mso-wrap-distance-bottom:0.0pt;" stroked="f">
                <v:path textboxrect="0,0,0,0"/>
                <v:imagedata r:id="rId175" o:title=""/>
              </v:shape>
            </w:pict>
          </mc:Fallback>
        </mc:AlternateContent>
      </w:r>
      <w:r>
        <w:rPr>
          <w:szCs w:val="21"/>
        </w:rPr>
      </w:r>
      <w:r/>
    </w:p>
    <w:p>
      <w:pPr>
        <w:pStyle w:val="1151"/>
        <w:jc w:val="center"/>
        <w:rPr>
          <w:szCs w:val="21"/>
        </w:rPr>
      </w:pPr>
      <w:r>
        <w:rPr>
          <w:rFonts w:hint="eastAsia"/>
          <w:szCs w:val="21"/>
        </w:rPr>
        <w:t xml:space="preserve">图I-3 间隔柜整体结构图</w:t>
      </w:r>
      <w:r>
        <w:rPr>
          <w:szCs w:val="21"/>
        </w:rPr>
      </w:r>
      <w:r/>
    </w:p>
    <w:p>
      <w:pPr>
        <w:pStyle w:val="1151"/>
        <w:spacing w:before="312" w:after="312"/>
        <w:widowControl/>
        <w:rPr>
          <w:rFonts w:ascii="黑体" w:eastAsia="黑体"/>
        </w:rPr>
        <w:outlineLvl w:val="1"/>
      </w:pPr>
      <w:r>
        <w:rPr>
          <w:rFonts w:hint="eastAsia" w:ascii="黑体" w:eastAsia="黑体"/>
        </w:rPr>
        <w:t xml:space="preserve">I.4 间隔操作模块技术要求</w:t>
      </w:r>
      <w:r>
        <w:rPr>
          <w:rFonts w:ascii="黑体" w:eastAsia="黑体"/>
        </w:rPr>
      </w:r>
      <w:r/>
    </w:p>
    <w:p>
      <w:pPr>
        <w:pStyle w:val="1151"/>
        <w:ind w:firstLine="420"/>
        <w:rPr>
          <w:szCs w:val="21"/>
        </w:rPr>
      </w:pPr>
      <w:r>
        <w:rPr>
          <w:rFonts w:hint="eastAsia"/>
          <w:szCs w:val="21"/>
        </w:rPr>
        <w:t xml:space="preserve">间隔操作模块包含遥控合闸、遥控分闸、保护合闸、保护跳闸4个压板，以及遥控开关、分闸按钮、合闸按钮和分、合闸指示灯。</w:t>
      </w:r>
      <w:r>
        <w:rPr>
          <w:szCs w:val="21"/>
        </w:rPr>
      </w:r>
      <w:r/>
    </w:p>
    <w:p>
      <w:pPr>
        <w:pStyle w:val="1151"/>
        <w:ind w:firstLine="420"/>
        <w:rPr>
          <w:szCs w:val="21"/>
        </w:rPr>
      </w:pPr>
      <w:r>
        <w:rPr>
          <w:rFonts w:hint="eastAsia"/>
          <w:szCs w:val="21"/>
        </w:rPr>
        <w:t xml:space="preserve">1.间隔操作模块内部原理图如图I-4所示：</w:t>
      </w:r>
      <w:r>
        <w:rPr>
          <w:szCs w:val="21"/>
        </w:rPr>
      </w:r>
      <w:r/>
    </w:p>
    <w:p>
      <w:pPr>
        <w:pStyle w:val="1151"/>
        <w:jc w:val="center"/>
        <w:rPr>
          <w:szCs w:val="21"/>
        </w:rPr>
      </w:pPr>
      <w:r>
        <mc:AlternateContent>
          <mc:Choice Requires="wpg">
            <w:drawing>
              <wp:inline xmlns:wp="http://schemas.openxmlformats.org/drawingml/2006/wordprocessingDrawing" distT="0" distB="0" distL="0" distR="0">
                <wp:extent cx="4252620" cy="4799178"/>
                <wp:effectExtent l="0" t="0" r="0" b="0"/>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rcRect l="22827" t="14384" r="38887" b="8819"/>
                        <a:stretch/>
                      </pic:blipFill>
                      <pic:spPr bwMode="auto">
                        <a:xfrm>
                          <a:off x="0" y="0"/>
                          <a:ext cx="4252620" cy="47991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334.9pt;height:377.9pt;mso-wrap-distance-left:0.0pt;mso-wrap-distance-top:0.0pt;mso-wrap-distance-right:0.0pt;mso-wrap-distance-bottom:0.0pt;" stroked="f">
                <v:path textboxrect="0,0,0,0"/>
                <v:imagedata r:id="rId176" o:title=""/>
              </v:shape>
            </w:pict>
          </mc:Fallback>
        </mc:AlternateContent>
      </w:r>
      <w:r>
        <w:rPr>
          <w:szCs w:val="21"/>
        </w:rPr>
      </w:r>
      <w:r/>
    </w:p>
    <w:p>
      <w:pPr>
        <w:pStyle w:val="1151"/>
        <w:ind w:firstLine="420"/>
        <w:jc w:val="center"/>
        <w:rPr>
          <w:szCs w:val="21"/>
        </w:rPr>
      </w:pPr>
      <w:r>
        <w:rPr>
          <w:rFonts w:hint="eastAsia"/>
          <w:szCs w:val="21"/>
        </w:rPr>
        <w:t xml:space="preserve">图I-4 间隔操作模块内部原理图</w:t>
      </w:r>
      <w:r>
        <w:rPr>
          <w:szCs w:val="21"/>
        </w:rPr>
      </w:r>
      <w:r/>
    </w:p>
    <w:p>
      <w:pPr>
        <w:pStyle w:val="1151"/>
        <w:ind w:firstLine="420"/>
        <w:rPr>
          <w:szCs w:val="21"/>
        </w:rPr>
      </w:pPr>
      <w:r>
        <w:rPr>
          <w:rFonts w:hint="eastAsia"/>
          <w:szCs w:val="21"/>
        </w:rPr>
        <w:t xml:space="preserve">2.间隔操作模块模块端子定义见附录</w:t>
      </w:r>
      <w:r>
        <w:rPr>
          <w:szCs w:val="21"/>
        </w:rPr>
        <w:t xml:space="preserve">D </w:t>
      </w:r>
      <w:r>
        <w:rPr>
          <w:rFonts w:hint="eastAsia"/>
          <w:szCs w:val="21"/>
        </w:rPr>
        <w:t xml:space="preserve">矩形连接器接口定义及接线要求</w:t>
      </w:r>
      <w:r>
        <w:rPr>
          <w:szCs w:val="21"/>
        </w:rPr>
        <w:t xml:space="preserve">(规范性附录)</w:t>
      </w:r>
      <w:r>
        <w:rPr>
          <w:szCs w:val="21"/>
        </w:rPr>
      </w:r>
      <w:r/>
    </w:p>
    <w:p>
      <w:pPr>
        <w:pStyle w:val="1151"/>
        <w:ind w:firstLine="420"/>
        <w:rPr>
          <w:szCs w:val="21"/>
        </w:rPr>
      </w:pPr>
      <w:r>
        <w:rPr>
          <w:rFonts w:hint="eastAsia"/>
          <w:szCs w:val="21"/>
        </w:rPr>
        <w:t xml:space="preserve">3.间隔操作模块结构</w:t>
      </w:r>
      <w:r>
        <w:rPr>
          <w:szCs w:val="21"/>
        </w:rPr>
        <w:t xml:space="preserve">示意图如</w:t>
      </w:r>
      <w:r>
        <w:rPr>
          <w:rFonts w:hint="eastAsia"/>
          <w:szCs w:val="21"/>
        </w:rPr>
        <w:t xml:space="preserve">图I-5所示</w:t>
      </w:r>
      <w:r>
        <w:rPr>
          <w:szCs w:val="21"/>
        </w:rPr>
        <w:t xml:space="preserve">：</w:t>
      </w:r>
      <w:r>
        <w:rPr>
          <w:szCs w:val="21"/>
        </w:rPr>
      </w:r>
      <w:r/>
    </w:p>
    <w:p>
      <w:pPr>
        <w:pStyle w:val="1151"/>
        <w:jc w:val="center"/>
      </w:pPr>
      <w:r>
        <w:rPr>
          <w:rFonts w:hint="eastAsia"/>
        </w:rPr>
        <mc:AlternateContent>
          <mc:Choice Requires="wpg">
            <w:drawing>
              <wp:inline xmlns:wp="http://schemas.openxmlformats.org/drawingml/2006/wordprocessingDrawing" distT="0" distB="0" distL="0" distR="0">
                <wp:extent cx="5148555" cy="3405442"/>
                <wp:effectExtent l="0" t="0" r="0" b="0"/>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5148554" cy="34054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405.4pt;height:268.1pt;mso-wrap-distance-left:0.0pt;mso-wrap-distance-top:0.0pt;mso-wrap-distance-right:0.0pt;mso-wrap-distance-bottom:0.0pt;" stroked="f">
                <v:path textboxrect="0,0,0,0"/>
                <v:imagedata r:id="rId177" o:title=""/>
              </v:shape>
            </w:pict>
          </mc:Fallback>
        </mc:AlternateContent>
      </w:r>
      <w:r/>
    </w:p>
    <w:p>
      <w:pPr>
        <w:pStyle w:val="1151"/>
        <w:jc w:val="center"/>
      </w:pPr>
      <w:r>
        <w:rPr>
          <w:rFonts w:hint="eastAsia"/>
        </w:rPr>
        <mc:AlternateContent>
          <mc:Choice Requires="wpg">
            <w:drawing>
              <wp:inline xmlns:wp="http://schemas.openxmlformats.org/drawingml/2006/wordprocessingDrawing" distT="0" distB="0" distL="0" distR="0">
                <wp:extent cx="4430979" cy="1180396"/>
                <wp:effectExtent l="0" t="0" r="0" b="0"/>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4430979" cy="1180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348.9pt;height:92.9pt;mso-wrap-distance-left:0.0pt;mso-wrap-distance-top:0.0pt;mso-wrap-distance-right:0.0pt;mso-wrap-distance-bottom:0.0pt;" stroked="f">
                <v:path textboxrect="0,0,0,0"/>
                <v:imagedata r:id="rId178" o:title=""/>
              </v:shape>
            </w:pict>
          </mc:Fallback>
        </mc:AlternateContent>
      </w:r>
      <w:r/>
    </w:p>
    <w:p>
      <w:pPr>
        <w:pStyle w:val="1151"/>
        <w:jc w:val="center"/>
        <w:rPr>
          <w:szCs w:val="21"/>
        </w:rPr>
      </w:pPr>
      <w:r>
        <w:rPr>
          <w:rFonts w:hint="eastAsia"/>
          <w:szCs w:val="21"/>
        </w:rPr>
        <w:t xml:space="preserve">图I-5 间隔操作模块结构</w:t>
      </w:r>
      <w:r>
        <w:rPr>
          <w:szCs w:val="21"/>
        </w:rPr>
        <w:t xml:space="preserve">示意图</w:t>
      </w:r>
      <w:r>
        <w:rPr>
          <w:szCs w:val="21"/>
        </w:rPr>
      </w:r>
      <w:r/>
    </w:p>
    <w:p>
      <w:pPr>
        <w:pStyle w:val="1151"/>
        <w:spacing w:before="312" w:after="312"/>
        <w:widowControl/>
        <w:rPr>
          <w:rFonts w:ascii="黑体" w:eastAsia="黑体"/>
        </w:rPr>
        <w:outlineLvl w:val="1"/>
      </w:pPr>
      <w:r>
        <w:rPr>
          <w:rFonts w:hint="eastAsia" w:ascii="黑体" w:eastAsia="黑体"/>
        </w:rPr>
        <w:t xml:space="preserve">I.5 间隔二次模块技术要求</w:t>
      </w:r>
      <w:r>
        <w:rPr>
          <w:rFonts w:ascii="黑体" w:eastAsia="黑体"/>
        </w:rPr>
      </w:r>
      <w:r/>
    </w:p>
    <w:p>
      <w:pPr>
        <w:pStyle w:val="1151"/>
        <w:ind w:firstLine="420"/>
        <w:rPr>
          <w:szCs w:val="21"/>
        </w:rPr>
      </w:pPr>
      <w:r>
        <w:rPr>
          <w:rFonts w:hint="eastAsia"/>
          <w:szCs w:val="21"/>
        </w:rPr>
        <w:t xml:space="preserve">间隔二次模块技术要求包括间隔二次模块内部原理、间隔二次模块端子定义、间隔二次模块结构图、间隔二次模块安装示意图.</w:t>
      </w:r>
      <w:r>
        <w:rPr>
          <w:szCs w:val="21"/>
        </w:rPr>
      </w:r>
      <w:r/>
    </w:p>
    <w:p>
      <w:pPr>
        <w:pStyle w:val="1151"/>
        <w:ind w:firstLine="420"/>
        <w:rPr>
          <w:szCs w:val="21"/>
        </w:rPr>
      </w:pPr>
      <w:r>
        <w:rPr>
          <w:rFonts w:hint="eastAsia"/>
          <w:szCs w:val="21"/>
        </w:rPr>
        <w:t xml:space="preserve">1.间隔二次模块内部原理图如图I-6所示：</w:t>
      </w:r>
      <w:r>
        <w:rPr>
          <w:szCs w:val="21"/>
        </w:rPr>
      </w:r>
      <w:r/>
    </w:p>
    <w:p>
      <w:pPr>
        <w:pStyle w:val="1151"/>
        <w:jc w:val="center"/>
        <w:rPr>
          <w:szCs w:val="21"/>
        </w:rPr>
      </w:pPr>
      <w:r>
        <mc:AlternateContent>
          <mc:Choice Requires="wpg">
            <w:drawing>
              <wp:inline xmlns:wp="http://schemas.openxmlformats.org/drawingml/2006/wordprocessingDrawing" distT="0" distB="0" distL="0" distR="0">
                <wp:extent cx="5666105" cy="3168015"/>
                <wp:effectExtent l="0" t="0" r="0" b="0"/>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5666105" cy="3168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446.1pt;height:249.4pt;mso-wrap-distance-left:0.0pt;mso-wrap-distance-top:0.0pt;mso-wrap-distance-right:0.0pt;mso-wrap-distance-bottom:0.0pt;" stroked="f">
                <v:path textboxrect="0,0,0,0"/>
                <v:imagedata r:id="rId179" o:title=""/>
              </v:shape>
            </w:pict>
          </mc:Fallback>
        </mc:AlternateContent>
      </w:r>
      <w:r>
        <w:rPr>
          <w:szCs w:val="21"/>
        </w:rPr>
      </w:r>
      <w:r/>
    </w:p>
    <w:p>
      <w:pPr>
        <w:pStyle w:val="1151"/>
        <w:jc w:val="center"/>
        <w:rPr>
          <w:szCs w:val="21"/>
        </w:rPr>
      </w:pPr>
      <w:r>
        <mc:AlternateContent>
          <mc:Choice Requires="wpg">
            <w:drawing>
              <wp:inline xmlns:wp="http://schemas.openxmlformats.org/drawingml/2006/wordprocessingDrawing" distT="0" distB="0" distL="0" distR="0">
                <wp:extent cx="5264937" cy="3740823"/>
                <wp:effectExtent l="0" t="0" r="0" b="0"/>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5264937" cy="37408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414.6pt;height:294.6pt;mso-wrap-distance-left:0.0pt;mso-wrap-distance-top:0.0pt;mso-wrap-distance-right:0.0pt;mso-wrap-distance-bottom:0.0pt;" stroked="f">
                <v:path textboxrect="0,0,0,0"/>
                <v:imagedata r:id="rId180" o:title=""/>
              </v:shape>
            </w:pict>
          </mc:Fallback>
        </mc:AlternateContent>
      </w:r>
      <w:r>
        <w:rPr>
          <w:szCs w:val="21"/>
        </w:rPr>
      </w:r>
      <w:r/>
    </w:p>
    <w:p>
      <w:pPr>
        <w:pStyle w:val="1151"/>
        <w:jc w:val="center"/>
        <w:rPr>
          <w:szCs w:val="21"/>
        </w:rPr>
      </w:pPr>
      <w:r>
        <mc:AlternateContent>
          <mc:Choice Requires="wpg">
            <w:drawing>
              <wp:inline xmlns:wp="http://schemas.openxmlformats.org/drawingml/2006/wordprocessingDrawing" distT="0" distB="0" distL="0" distR="0">
                <wp:extent cx="5273586" cy="3731717"/>
                <wp:effectExtent l="0" t="0" r="0" b="0"/>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5273586" cy="37317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415.2pt;height:293.8pt;mso-wrap-distance-left:0.0pt;mso-wrap-distance-top:0.0pt;mso-wrap-distance-right:0.0pt;mso-wrap-distance-bottom:0.0pt;" stroked="f">
                <v:path textboxrect="0,0,0,0"/>
                <v:imagedata r:id="rId181" o:title=""/>
              </v:shape>
            </w:pict>
          </mc:Fallback>
        </mc:AlternateContent>
      </w:r>
      <w:r>
        <w:rPr>
          <w:szCs w:val="21"/>
        </w:rPr>
      </w:r>
      <w:r/>
    </w:p>
    <w:p>
      <w:pPr>
        <w:pStyle w:val="1151"/>
        <w:jc w:val="center"/>
        <w:rPr>
          <w:szCs w:val="21"/>
        </w:rPr>
      </w:pPr>
      <w:r>
        <mc:AlternateContent>
          <mc:Choice Requires="wpg">
            <w:drawing>
              <wp:inline xmlns:wp="http://schemas.openxmlformats.org/drawingml/2006/wordprocessingDrawing" distT="0" distB="0" distL="0" distR="0">
                <wp:extent cx="5268506" cy="3721189"/>
                <wp:effectExtent l="0" t="0" r="0" b="0"/>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5268506" cy="3721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414.8pt;height:293.0pt;mso-wrap-distance-left:0.0pt;mso-wrap-distance-top:0.0pt;mso-wrap-distance-right:0.0pt;mso-wrap-distance-bottom:0.0pt;" stroked="f">
                <v:path textboxrect="0,0,0,0"/>
                <v:imagedata r:id="rId182" o:title=""/>
              </v:shape>
            </w:pict>
          </mc:Fallback>
        </mc:AlternateContent>
      </w:r>
      <w:r>
        <w:rPr>
          <w:szCs w:val="21"/>
        </w:rPr>
      </w:r>
      <w:r/>
    </w:p>
    <w:p>
      <w:pPr>
        <w:pStyle w:val="1151"/>
        <w:jc w:val="center"/>
        <w:rPr>
          <w:szCs w:val="21"/>
        </w:rPr>
      </w:pPr>
      <w:r>
        <mc:AlternateContent>
          <mc:Choice Requires="wpg">
            <w:drawing>
              <wp:inline xmlns:wp="http://schemas.openxmlformats.org/drawingml/2006/wordprocessingDrawing" distT="0" distB="0" distL="0" distR="0">
                <wp:extent cx="5269814" cy="3719754"/>
                <wp:effectExtent l="0" t="0" r="0" b="0"/>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5269814" cy="37197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414.9pt;height:292.9pt;mso-wrap-distance-left:0.0pt;mso-wrap-distance-top:0.0pt;mso-wrap-distance-right:0.0pt;mso-wrap-distance-bottom:0.0pt;" stroked="f">
                <v:path textboxrect="0,0,0,0"/>
                <v:imagedata r:id="rId183" o:title=""/>
              </v:shape>
            </w:pict>
          </mc:Fallback>
        </mc:AlternateContent>
      </w:r>
      <w:r>
        <w:rPr>
          <w:szCs w:val="21"/>
        </w:rPr>
      </w:r>
      <w:r/>
    </w:p>
    <w:p>
      <w:pPr>
        <w:pStyle w:val="1151"/>
        <w:jc w:val="center"/>
        <w:rPr>
          <w:szCs w:val="21"/>
        </w:rPr>
      </w:pPr>
      <w:r>
        <w:rPr>
          <w:rFonts w:hint="eastAsia"/>
          <w:szCs w:val="21"/>
        </w:rPr>
        <w:t xml:space="preserve">图I-6 间隔二次模块内部原理图</w:t>
      </w:r>
      <w:r>
        <w:rPr>
          <w:szCs w:val="21"/>
        </w:rPr>
      </w:r>
      <w:r/>
    </w:p>
    <w:p>
      <w:pPr>
        <w:pStyle w:val="1151"/>
        <w:numPr>
          <w:ilvl w:val="0"/>
          <w:numId w:val="0"/>
        </w:numPr>
        <w:spacing w:line="360" w:lineRule="auto"/>
        <w:rPr>
          <w:szCs w:val="21"/>
        </w:rPr>
      </w:pPr>
      <w:r>
        <w:rPr>
          <w:rFonts w:hint="eastAsia"/>
          <w:szCs w:val="21"/>
        </w:rPr>
        <w:t xml:space="preserve">2.间隔二次模块端子定义：</w:t>
      </w:r>
      <w:r>
        <w:rPr>
          <w:szCs w:val="21"/>
        </w:rPr>
      </w:r>
      <w:r/>
    </w:p>
    <w:p>
      <w:pPr>
        <w:pStyle w:val="1151"/>
        <w:ind w:firstLine="420"/>
        <w:rPr>
          <w:szCs w:val="21"/>
        </w:rPr>
      </w:pPr>
      <w:r>
        <w:rPr>
          <w:rFonts w:hint="eastAsia"/>
          <w:szCs w:val="21"/>
        </w:rPr>
        <w:t xml:space="preserve">间隔二次模块32芯矩形连接器引脚定义见附录</w:t>
      </w:r>
      <w:r>
        <w:rPr>
          <w:szCs w:val="21"/>
        </w:rPr>
        <w:t xml:space="preserve">D </w:t>
      </w:r>
      <w:r>
        <w:rPr>
          <w:rFonts w:hint="eastAsia"/>
          <w:szCs w:val="21"/>
        </w:rPr>
        <w:t xml:space="preserve">矩形连接器接口定义及接线要求</w:t>
      </w:r>
      <w:r>
        <w:rPr>
          <w:szCs w:val="21"/>
        </w:rPr>
        <w:t xml:space="preserve">(规范性附录)</w:t>
      </w:r>
      <w:r>
        <w:rPr>
          <w:szCs w:val="21"/>
        </w:rPr>
      </w:r>
      <w:r/>
    </w:p>
    <w:p>
      <w:pPr>
        <w:pStyle w:val="1151"/>
        <w:ind w:firstLine="420"/>
        <w:rPr>
          <w:szCs w:val="21"/>
        </w:rPr>
      </w:pPr>
      <w:r>
        <w:rPr>
          <w:rFonts w:hint="eastAsia"/>
          <w:szCs w:val="21"/>
        </w:rPr>
        <w:t xml:space="preserve">20芯凤凰</w:t>
      </w:r>
      <w:r>
        <w:rPr>
          <w:szCs w:val="21"/>
        </w:rPr>
        <w:t xml:space="preserve">端子排定义</w:t>
      </w:r>
      <w:r>
        <w:rPr>
          <w:rFonts w:hint="eastAsia"/>
          <w:szCs w:val="21"/>
        </w:rPr>
        <w:t xml:space="preserve">见附录</w:t>
      </w:r>
      <w:r>
        <w:rPr>
          <w:szCs w:val="21"/>
        </w:rPr>
        <w:t xml:space="preserve">D </w:t>
      </w:r>
      <w:r>
        <w:rPr>
          <w:rFonts w:hint="eastAsia"/>
          <w:szCs w:val="21"/>
        </w:rPr>
        <w:t xml:space="preserve">矩形连接器接口定义及接线要求</w:t>
      </w:r>
      <w:r>
        <w:rPr>
          <w:szCs w:val="21"/>
        </w:rPr>
        <w:t xml:space="preserve">(规范性附录)</w:t>
      </w:r>
      <w:r>
        <w:rPr>
          <w:szCs w:val="21"/>
        </w:rPr>
      </w:r>
      <w:r/>
    </w:p>
    <w:p>
      <w:pPr>
        <w:pStyle w:val="1151"/>
        <w:rPr>
          <w:szCs w:val="21"/>
        </w:rPr>
      </w:pPr>
      <w:r>
        <w:rPr>
          <w:szCs w:val="21"/>
        </w:rPr>
      </w:r>
      <w:r/>
    </w:p>
    <w:p>
      <w:pPr>
        <w:pStyle w:val="1151"/>
        <w:numPr>
          <w:ilvl w:val="0"/>
          <w:numId w:val="0"/>
        </w:numPr>
        <w:spacing w:line="360" w:lineRule="auto"/>
        <w:rPr>
          <w:szCs w:val="21"/>
        </w:rPr>
      </w:pPr>
      <w:r>
        <w:rPr>
          <w:rFonts w:hint="eastAsia"/>
          <w:szCs w:val="21"/>
        </w:rPr>
        <w:t xml:space="preserve">3.间隔二次模块结构图如图I-7所示：</w:t>
      </w:r>
      <w:r>
        <w:rPr>
          <w:szCs w:val="21"/>
        </w:rPr>
      </w:r>
      <w:r/>
    </w:p>
    <w:p>
      <w:pPr>
        <w:pStyle w:val="1151"/>
        <w:ind w:left="420"/>
        <w:rPr>
          <w:szCs w:val="21"/>
        </w:rPr>
      </w:pPr>
      <w:r>
        <w:rPr>
          <w:szCs w:val="21"/>
        </w:rPr>
      </w:r>
      <w:r/>
    </w:p>
    <w:p>
      <w:pPr>
        <w:pStyle w:val="1151"/>
        <w:jc w:val="center"/>
        <w:rPr>
          <w:szCs w:val="21"/>
        </w:rPr>
      </w:pPr>
      <w:r>
        <mc:AlternateContent>
          <mc:Choice Requires="wpg">
            <w:drawing>
              <wp:inline xmlns:wp="http://schemas.openxmlformats.org/drawingml/2006/wordprocessingDrawing" distT="0" distB="0" distL="0" distR="0">
                <wp:extent cx="5302466" cy="4241978"/>
                <wp:effectExtent l="0" t="0" r="0" b="0"/>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5302466" cy="42419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417.5pt;height:334.0pt;mso-wrap-distance-left:0.0pt;mso-wrap-distance-top:0.0pt;mso-wrap-distance-right:0.0pt;mso-wrap-distance-bottom:0.0pt;" stroked="f">
                <v:path textboxrect="0,0,0,0"/>
                <v:imagedata r:id="rId184" o:title=""/>
              </v:shape>
            </w:pict>
          </mc:Fallback>
        </mc:AlternateContent>
      </w:r>
      <w:r>
        <w:rPr>
          <w:szCs w:val="21"/>
        </w:rPr>
      </w:r>
      <w:r/>
    </w:p>
    <w:p>
      <w:pPr>
        <w:pStyle w:val="1151"/>
        <w:jc w:val="center"/>
        <w:rPr>
          <w:szCs w:val="21"/>
        </w:rPr>
      </w:pPr>
      <w:r>
        <w:rPr>
          <w:rFonts w:hint="eastAsia"/>
          <w:szCs w:val="21"/>
        </w:rPr>
        <w:t xml:space="preserve">图I-7 间隔二次模块结构图</w:t>
      </w:r>
      <w:r>
        <w:rPr>
          <w:szCs w:val="21"/>
        </w:rPr>
      </w:r>
      <w:r/>
    </w:p>
    <w:p>
      <w:pPr>
        <w:pStyle w:val="1151"/>
        <w:spacing w:before="312" w:after="312"/>
        <w:widowControl/>
        <w:rPr>
          <w:rFonts w:ascii="黑体" w:eastAsia="黑体"/>
        </w:rPr>
        <w:outlineLvl w:val="1"/>
      </w:pPr>
      <w:r>
        <w:rPr>
          <w:rFonts w:hint="eastAsia" w:ascii="黑体" w:eastAsia="黑体"/>
        </w:rPr>
        <w:t xml:space="preserve">I.6</w:t>
      </w:r>
      <w:r>
        <w:rPr>
          <w:rFonts w:ascii="黑体" w:eastAsia="黑体"/>
        </w:rPr>
        <w:t xml:space="preserve">配套连接器</w:t>
      </w:r>
      <w:r>
        <w:rPr>
          <w:rFonts w:ascii="黑体" w:eastAsia="黑体"/>
        </w:rPr>
      </w:r>
      <w:r/>
    </w:p>
    <w:p>
      <w:pPr>
        <w:pStyle w:val="1151"/>
        <w:rPr>
          <w:rStyle w:val="1246"/>
          <w:rFonts w:ascii="宋体" w:hAnsi="宋体" w:eastAsia="宋体"/>
        </w:rPr>
      </w:pPr>
      <w:r>
        <w:rPr>
          <w:rFonts w:hint="eastAsia" w:eastAsia="宋体"/>
          <w:szCs w:val="21"/>
        </w:rPr>
        <w:t xml:space="preserve">1.</w:t>
      </w:r>
      <w:r>
        <w:rPr>
          <w:rStyle w:val="1246"/>
          <w:rFonts w:hint="eastAsia" w:ascii="宋体" w:hAnsi="宋体" w:eastAsia="宋体"/>
        </w:rPr>
        <w:t xml:space="preserve">间隔二</w:t>
      </w:r>
      <w:r>
        <w:rPr>
          <w:rStyle w:val="1246"/>
          <w:rFonts w:ascii="宋体" w:hAnsi="宋体" w:eastAsia="宋体"/>
        </w:rPr>
        <w:t xml:space="preserve">次模块对下与间隔模块连接1</w:t>
      </w:r>
      <w:r>
        <w:rPr>
          <w:rStyle w:val="1246"/>
          <w:rFonts w:hint="eastAsia" w:ascii="宋体" w:hAnsi="宋体" w:eastAsia="宋体"/>
        </w:rPr>
        <w:t xml:space="preserve">6芯矩形连接器</w:t>
      </w:r>
      <w:r>
        <w:rPr>
          <w:rStyle w:val="1246"/>
          <w:rFonts w:ascii="宋体" w:hAnsi="宋体" w:eastAsia="宋体"/>
        </w:rPr>
      </w:r>
      <w:r/>
    </w:p>
    <w:p>
      <w:pPr>
        <w:pStyle w:val="1151"/>
        <w:ind w:firstLine="420"/>
        <w:rPr>
          <w:rStyle w:val="1246"/>
          <w:szCs w:val="21"/>
        </w:rPr>
      </w:pPr>
      <w:r>
        <w:rPr>
          <w:rStyle w:val="1246"/>
          <w:rFonts w:ascii="宋体" w:hAnsi="宋体" w:eastAsia="宋体"/>
        </w:rPr>
        <w:t xml:space="preserve">1</w:t>
      </w:r>
      <w:r>
        <w:rPr>
          <w:rStyle w:val="1246"/>
          <w:rFonts w:hint="eastAsia" w:ascii="宋体" w:hAnsi="宋体" w:eastAsia="宋体"/>
        </w:rPr>
        <w:t xml:space="preserve">6芯矩形连接器外形尺寸</w:t>
      </w:r>
      <w:r>
        <w:rPr>
          <w:rFonts w:hint="eastAsia"/>
          <w:szCs w:val="21"/>
        </w:rPr>
        <w:t xml:space="preserve">见附录</w:t>
      </w:r>
      <w:r>
        <w:rPr>
          <w:szCs w:val="21"/>
        </w:rPr>
        <w:t xml:space="preserve">D </w:t>
      </w:r>
      <w:r>
        <w:rPr>
          <w:rFonts w:hint="eastAsia"/>
          <w:szCs w:val="21"/>
        </w:rPr>
        <w:t xml:space="preserve">矩形连接器接口定义及接线要求</w:t>
      </w:r>
      <w:r>
        <w:rPr>
          <w:szCs w:val="21"/>
        </w:rPr>
        <w:t xml:space="preserve">(规范性附录)</w:t>
      </w:r>
      <w:r>
        <w:rPr>
          <w:rStyle w:val="1246"/>
          <w:szCs w:val="21"/>
        </w:rPr>
      </w:r>
      <w:r/>
    </w:p>
    <w:p>
      <w:pPr>
        <w:pStyle w:val="1151"/>
        <w:rPr>
          <w:rStyle w:val="1246"/>
          <w:rFonts w:ascii="宋体" w:hAnsi="宋体" w:eastAsia="宋体"/>
        </w:rPr>
      </w:pPr>
      <w:r>
        <w:rPr>
          <w:rFonts w:hint="eastAsia" w:eastAsia="宋体"/>
          <w:szCs w:val="21"/>
        </w:rPr>
        <w:t xml:space="preserve">2.</w:t>
      </w:r>
      <w:r>
        <w:rPr>
          <w:rStyle w:val="1246"/>
          <w:rFonts w:hint="eastAsia" w:ascii="宋体" w:hAnsi="宋体" w:eastAsia="宋体"/>
        </w:rPr>
        <w:t xml:space="preserve">间隔二次模块对下</w:t>
      </w:r>
      <w:r>
        <w:rPr>
          <w:rStyle w:val="1246"/>
          <w:rFonts w:ascii="宋体" w:hAnsi="宋体" w:eastAsia="宋体"/>
        </w:rPr>
        <w:t xml:space="preserve">与开关及CT连接32</w:t>
      </w:r>
      <w:r>
        <w:rPr>
          <w:rStyle w:val="1246"/>
          <w:rFonts w:hint="eastAsia" w:ascii="宋体" w:hAnsi="宋体" w:eastAsia="宋体"/>
        </w:rPr>
        <w:t xml:space="preserve">芯矩形连接器</w:t>
      </w:r>
      <w:r>
        <w:rPr>
          <w:rStyle w:val="1246"/>
          <w:rFonts w:ascii="宋体" w:hAnsi="宋体" w:eastAsia="宋体"/>
        </w:rPr>
      </w:r>
      <w:r/>
    </w:p>
    <w:p>
      <w:pPr>
        <w:pStyle w:val="1151"/>
        <w:ind w:firstLine="420"/>
        <w:rPr>
          <w:szCs w:val="21"/>
        </w:rPr>
      </w:pPr>
      <w:r>
        <w:rPr>
          <w:rStyle w:val="1246"/>
          <w:rFonts w:ascii="宋体" w:hAnsi="宋体" w:eastAsia="宋体"/>
        </w:rPr>
        <w:t xml:space="preserve">32</w:t>
      </w:r>
      <w:r>
        <w:rPr>
          <w:rStyle w:val="1246"/>
          <w:rFonts w:hint="eastAsia" w:ascii="宋体" w:hAnsi="宋体" w:eastAsia="宋体"/>
        </w:rPr>
        <w:t xml:space="preserve">芯矩形连接器（插头自短路）外形尺寸</w:t>
      </w:r>
      <w:r>
        <w:rPr>
          <w:rFonts w:hint="eastAsia"/>
          <w:szCs w:val="21"/>
        </w:rPr>
        <w:t xml:space="preserve">见附录</w:t>
      </w:r>
      <w:r>
        <w:rPr>
          <w:szCs w:val="21"/>
        </w:rPr>
        <w:t xml:space="preserve">D </w:t>
      </w:r>
      <w:r>
        <w:rPr>
          <w:rFonts w:hint="eastAsia"/>
          <w:szCs w:val="21"/>
        </w:rPr>
        <w:t xml:space="preserve">矩形连接器接口定义及接线要求</w:t>
      </w:r>
      <w:r>
        <w:rPr>
          <w:szCs w:val="21"/>
        </w:rPr>
        <w:t xml:space="preserve">(规范性附录)</w:t>
      </w:r>
      <w:r>
        <w:rPr>
          <w:szCs w:val="21"/>
        </w:rPr>
      </w:r>
      <w:r/>
    </w:p>
    <w:p>
      <w:pPr>
        <w:pStyle w:val="1151"/>
        <w:rPr>
          <w:rStyle w:val="1246"/>
          <w:rFonts w:ascii="宋体" w:hAnsi="宋体" w:eastAsia="宋体"/>
        </w:rPr>
      </w:pPr>
      <w:r>
        <w:rPr>
          <w:rStyle w:val="1246"/>
          <w:rFonts w:hint="eastAsia" w:ascii="宋体" w:hAnsi="宋体" w:eastAsia="宋体"/>
        </w:rPr>
        <w:t xml:space="preserve">3.间隔二次模块对上</w:t>
      </w:r>
      <w:r>
        <w:rPr>
          <w:rStyle w:val="1246"/>
          <w:rFonts w:ascii="宋体" w:hAnsi="宋体" w:eastAsia="宋体"/>
        </w:rPr>
        <w:t xml:space="preserve">与</w:t>
      </w:r>
      <w:r>
        <w:rPr>
          <w:rStyle w:val="1246"/>
          <w:rFonts w:hint="eastAsia" w:ascii="宋体" w:hAnsi="宋体" w:eastAsia="宋体"/>
        </w:rPr>
        <w:t xml:space="preserve">DTU</w:t>
      </w:r>
      <w:r>
        <w:rPr>
          <w:rStyle w:val="1246"/>
          <w:rFonts w:ascii="宋体" w:hAnsi="宋体" w:eastAsia="宋体"/>
        </w:rPr>
        <w:t xml:space="preserve">连接32</w:t>
      </w:r>
      <w:r>
        <w:rPr>
          <w:rStyle w:val="1246"/>
          <w:rFonts w:hint="eastAsia" w:ascii="宋体" w:hAnsi="宋体" w:eastAsia="宋体"/>
        </w:rPr>
        <w:t xml:space="preserve">芯矩形连接器</w:t>
      </w:r>
      <w:r>
        <w:rPr>
          <w:rStyle w:val="1246"/>
          <w:rFonts w:ascii="宋体" w:hAnsi="宋体" w:eastAsia="宋体"/>
        </w:rPr>
      </w:r>
      <w:r/>
    </w:p>
    <w:p>
      <w:pPr>
        <w:pStyle w:val="1151"/>
        <w:ind w:firstLine="420"/>
      </w:pPr>
      <w:r>
        <w:t xml:space="preserve">32芯矩形连接器（插座自短路）外形尺寸见附录D 矩形连接器接口定义及接线要求(规范性附录)</w:t>
      </w:r>
      <w:r/>
    </w:p>
    <w:p>
      <w:pPr>
        <w:pStyle w:val="1151"/>
        <w:jc w:val="left"/>
        <w:spacing w:line="276" w:lineRule="auto"/>
        <w:rPr>
          <w:szCs w:val="21"/>
        </w:rPr>
      </w:pPr>
      <w:r>
        <w:rPr>
          <w:szCs w:val="21"/>
        </w:rPr>
        <w:br w:type="page" w:clear="all"/>
      </w:r>
      <w:r>
        <w:rPr>
          <w:szCs w:val="21"/>
        </w:rPr>
      </w:r>
      <w:r/>
    </w:p>
    <w:p>
      <w:pPr>
        <w:pStyle w:val="1165"/>
        <w:ind w:hanging="1260"/>
        <w:jc w:val="both"/>
        <w:spacing w:before="156" w:line="276" w:lineRule="auto"/>
        <w:rPr>
          <w:rFonts w:ascii="黑体" w:hAnsi="黑体" w:eastAsia="黑体"/>
          <w:color w:val="000000"/>
          <w:sz w:val="21"/>
          <w:szCs w:val="24"/>
        </w:rPr>
        <w:outlineLvl w:val="0"/>
      </w:pPr>
      <w:r/>
      <w:bookmarkStart w:id="447" w:name="_Toc12972"/>
      <w:r/>
      <w:bookmarkStart w:id="448" w:name="_Toc1111"/>
      <w:r/>
      <w:bookmarkStart w:id="449" w:name="_Toc35646474"/>
      <w:r/>
      <w:bookmarkStart w:id="450" w:name="_Toc14227"/>
      <w:r/>
      <w:bookmarkStart w:id="451" w:name="_Toc47551489"/>
      <w:r/>
      <w:bookmarkStart w:id="452" w:name="_Toc55057896"/>
      <w:r>
        <w:rPr>
          <w:rFonts w:hint="eastAsia" w:ascii="黑体" w:hAnsi="黑体" w:eastAsia="黑体"/>
          <w:color w:val="000000"/>
          <w:sz w:val="21"/>
          <w:szCs w:val="24"/>
        </w:rPr>
        <w:t xml:space="preserve">附录J保护相关技术要求与配置</w:t>
      </w:r>
      <w:bookmarkEnd w:id="447"/>
      <w:r/>
      <w:bookmarkEnd w:id="448"/>
      <w:r/>
      <w:bookmarkEnd w:id="449"/>
      <w:r/>
      <w:bookmarkEnd w:id="450"/>
      <w:r/>
      <w:bookmarkEnd w:id="451"/>
      <w:r/>
      <w:bookmarkEnd w:id="452"/>
      <w:r>
        <w:rPr>
          <w:rFonts w:ascii="黑体" w:hAnsi="黑体" w:eastAsia="黑体"/>
          <w:color w:val="000000"/>
          <w:sz w:val="21"/>
          <w:szCs w:val="24"/>
        </w:rPr>
      </w:r>
      <w:r/>
    </w:p>
    <w:p>
      <w:pPr>
        <w:pStyle w:val="1151"/>
        <w:spacing w:line="276" w:lineRule="auto"/>
        <w:widowControl/>
        <w:rPr>
          <w:rFonts w:ascii="黑体" w:eastAsia="黑体"/>
        </w:rPr>
        <w:outlineLvl w:val="1"/>
      </w:pPr>
      <w:r>
        <w:rPr>
          <w:rFonts w:hint="eastAsia" w:ascii="黑体" w:eastAsia="黑体"/>
        </w:rPr>
        <w:t xml:space="preserve">J</w:t>
      </w:r>
      <w:r>
        <w:rPr>
          <w:rFonts w:ascii="黑体" w:eastAsia="黑体"/>
        </w:rPr>
        <w:t xml:space="preserve">.1 </w:t>
      </w:r>
      <w:r>
        <w:rPr>
          <w:rFonts w:hint="eastAsia" w:ascii="黑体" w:eastAsia="黑体"/>
        </w:rPr>
        <w:t xml:space="preserve">接口要求</w:t>
      </w:r>
      <w:r>
        <w:rPr>
          <w:rFonts w:ascii="黑体" w:eastAsia="黑体"/>
        </w:rPr>
      </w:r>
      <w:r/>
    </w:p>
    <w:p>
      <w:pPr>
        <w:pStyle w:val="1151"/>
        <w:numPr>
          <w:ilvl w:val="0"/>
          <w:numId w:val="79"/>
        </w:numPr>
        <w:ind w:left="426" w:hanging="142"/>
        <w:jc w:val="left"/>
        <w:spacing w:line="276" w:lineRule="auto"/>
        <w:rPr>
          <w:rFonts w:ascii="黑体" w:eastAsia="黑体"/>
          <w:szCs w:val="21"/>
        </w:rPr>
      </w:pPr>
      <w:r>
        <w:rPr>
          <w:rFonts w:hint="eastAsia"/>
          <w:szCs w:val="21"/>
        </w:rPr>
        <w:t xml:space="preserve">开关量输入（按间隔配置）</w:t>
      </w:r>
      <w:r>
        <w:rPr>
          <w:rFonts w:ascii="黑体" w:eastAsia="黑体"/>
          <w:szCs w:val="21"/>
        </w:rPr>
      </w:r>
      <w:r/>
    </w:p>
    <w:p>
      <w:pPr>
        <w:pStyle w:val="1249"/>
        <w:ind w:left="0" w:firstLine="567"/>
        <w:jc w:val="left"/>
        <w:spacing w:line="276" w:lineRule="auto"/>
        <w:rPr>
          <w:rFonts w:eastAsia="宋体"/>
          <w:szCs w:val="21"/>
        </w:rPr>
      </w:pPr>
      <w:r>
        <w:rPr>
          <w:rFonts w:eastAsia="宋体"/>
          <w:szCs w:val="21"/>
        </w:rPr>
        <w:t xml:space="preserve">a</w:t>
      </w:r>
      <w:r>
        <w:rPr>
          <w:rFonts w:hint="eastAsia" w:eastAsia="宋体"/>
          <w:szCs w:val="21"/>
        </w:rPr>
        <w:t xml:space="preserve">）开关合位</w:t>
      </w:r>
      <w:r>
        <w:rPr>
          <w:rFonts w:eastAsia="宋体"/>
          <w:szCs w:val="21"/>
        </w:rPr>
      </w:r>
      <w:r/>
    </w:p>
    <w:p>
      <w:pPr>
        <w:pStyle w:val="1249"/>
        <w:ind w:left="-141" w:firstLine="707"/>
        <w:jc w:val="left"/>
        <w:spacing w:line="276" w:lineRule="auto"/>
        <w:rPr>
          <w:rFonts w:eastAsia="宋体"/>
          <w:szCs w:val="21"/>
        </w:rPr>
      </w:pPr>
      <w:r>
        <w:rPr>
          <w:rFonts w:eastAsia="宋体"/>
          <w:szCs w:val="21"/>
        </w:rPr>
        <w:t xml:space="preserve">b</w:t>
      </w:r>
      <w:r>
        <w:rPr>
          <w:rFonts w:hint="eastAsia" w:eastAsia="宋体"/>
          <w:szCs w:val="21"/>
        </w:rPr>
        <w:t xml:space="preserve">）开关分位</w:t>
      </w:r>
      <w:r>
        <w:rPr>
          <w:rFonts w:eastAsia="宋体"/>
          <w:szCs w:val="21"/>
        </w:rPr>
      </w:r>
      <w:r/>
    </w:p>
    <w:p>
      <w:pPr>
        <w:pStyle w:val="1249"/>
        <w:ind w:left="-141" w:firstLine="707"/>
        <w:jc w:val="left"/>
        <w:spacing w:line="276" w:lineRule="auto"/>
        <w:rPr>
          <w:rFonts w:eastAsia="宋体"/>
          <w:szCs w:val="21"/>
        </w:rPr>
      </w:pPr>
      <w:r>
        <w:rPr>
          <w:rFonts w:eastAsia="宋体"/>
          <w:szCs w:val="21"/>
        </w:rPr>
        <w:t xml:space="preserve">c</w:t>
      </w:r>
      <w:r>
        <w:rPr>
          <w:rFonts w:hint="eastAsia" w:eastAsia="宋体"/>
          <w:szCs w:val="21"/>
        </w:rPr>
        <w:t xml:space="preserve">）隔离开关位置（选配）</w:t>
      </w:r>
      <w:r>
        <w:rPr>
          <w:rFonts w:eastAsia="宋体"/>
          <w:szCs w:val="21"/>
        </w:rPr>
      </w:r>
      <w:r/>
    </w:p>
    <w:p>
      <w:pPr>
        <w:pStyle w:val="1249"/>
        <w:ind w:left="-141" w:firstLine="707"/>
        <w:jc w:val="left"/>
        <w:spacing w:line="276" w:lineRule="auto"/>
        <w:rPr>
          <w:rFonts w:eastAsia="宋体"/>
          <w:szCs w:val="21"/>
        </w:rPr>
      </w:pPr>
      <w:r>
        <w:rPr>
          <w:rFonts w:eastAsia="宋体"/>
          <w:szCs w:val="21"/>
        </w:rPr>
        <w:t xml:space="preserve">d</w:t>
      </w:r>
      <w:r>
        <w:rPr>
          <w:rFonts w:hint="eastAsia" w:eastAsia="宋体"/>
          <w:szCs w:val="21"/>
        </w:rPr>
        <w:t xml:space="preserve">）接地开关位置（选配）</w:t>
      </w:r>
      <w:r>
        <w:rPr>
          <w:rFonts w:eastAsia="宋体"/>
          <w:szCs w:val="21"/>
        </w:rPr>
      </w:r>
      <w:r/>
    </w:p>
    <w:p>
      <w:pPr>
        <w:pStyle w:val="1249"/>
        <w:ind w:left="-141" w:firstLine="707"/>
        <w:jc w:val="left"/>
        <w:spacing w:line="276" w:lineRule="auto"/>
        <w:rPr>
          <w:rFonts w:eastAsia="宋体"/>
          <w:szCs w:val="21"/>
        </w:rPr>
      </w:pPr>
      <w:r>
        <w:rPr>
          <w:rFonts w:eastAsia="宋体"/>
          <w:szCs w:val="21"/>
        </w:rPr>
        <w:t xml:space="preserve">e</w:t>
      </w:r>
      <w:r>
        <w:rPr>
          <w:rFonts w:hint="eastAsia" w:eastAsia="宋体"/>
          <w:szCs w:val="21"/>
        </w:rPr>
        <w:t xml:space="preserve">）未储能位（永磁不需要）</w:t>
      </w:r>
      <w:r>
        <w:rPr>
          <w:rFonts w:eastAsia="宋体"/>
          <w:szCs w:val="21"/>
        </w:rPr>
      </w:r>
      <w:r/>
    </w:p>
    <w:p>
      <w:pPr>
        <w:pStyle w:val="1249"/>
        <w:ind w:left="-141" w:firstLine="707"/>
        <w:jc w:val="left"/>
        <w:spacing w:line="276" w:lineRule="auto"/>
        <w:rPr>
          <w:rFonts w:eastAsia="宋体"/>
          <w:szCs w:val="21"/>
        </w:rPr>
      </w:pPr>
      <w:r>
        <w:rPr>
          <w:rFonts w:eastAsia="宋体"/>
          <w:szCs w:val="21"/>
        </w:rPr>
        <w:t xml:space="preserve">f</w:t>
      </w:r>
      <w:r>
        <w:rPr>
          <w:rFonts w:hint="eastAsia" w:eastAsia="宋体"/>
          <w:szCs w:val="21"/>
        </w:rPr>
        <w:t xml:space="preserve">）远方</w:t>
      </w:r>
      <w:r>
        <w:rPr>
          <w:rFonts w:eastAsia="宋体"/>
          <w:szCs w:val="21"/>
        </w:rPr>
        <w:t xml:space="preserve">/</w:t>
      </w:r>
      <w:r>
        <w:rPr>
          <w:rFonts w:hint="eastAsia" w:eastAsia="宋体"/>
          <w:szCs w:val="21"/>
        </w:rPr>
        <w:t xml:space="preserve">当地</w:t>
      </w:r>
      <w:r>
        <w:rPr>
          <w:rFonts w:eastAsia="宋体"/>
          <w:szCs w:val="21"/>
        </w:rPr>
      </w:r>
      <w:r/>
    </w:p>
    <w:p>
      <w:pPr>
        <w:pStyle w:val="1151"/>
        <w:numPr>
          <w:ilvl w:val="0"/>
          <w:numId w:val="79"/>
        </w:numPr>
        <w:ind w:left="426" w:hanging="142"/>
        <w:jc w:val="left"/>
        <w:spacing w:line="276" w:lineRule="auto"/>
        <w:rPr>
          <w:rFonts w:eastAsia="宋体"/>
          <w:szCs w:val="21"/>
        </w:rPr>
      </w:pPr>
      <w:r>
        <w:rPr>
          <w:rFonts w:hint="eastAsia" w:eastAsia="宋体"/>
          <w:szCs w:val="21"/>
        </w:rPr>
        <w:t xml:space="preserve">开关量输出（按间隔配置，必须考虑防凝露防尘等措施）</w:t>
      </w:r>
      <w:r>
        <w:rPr>
          <w:rFonts w:eastAsia="宋体"/>
          <w:szCs w:val="21"/>
        </w:rPr>
      </w:r>
      <w:r/>
    </w:p>
    <w:p>
      <w:pPr>
        <w:pStyle w:val="1249"/>
        <w:ind w:left="-141" w:firstLine="707"/>
        <w:jc w:val="left"/>
        <w:spacing w:line="276" w:lineRule="auto"/>
        <w:rPr>
          <w:rFonts w:eastAsia="宋体"/>
          <w:szCs w:val="21"/>
        </w:rPr>
      </w:pPr>
      <w:r>
        <w:rPr>
          <w:rFonts w:eastAsia="宋体"/>
          <w:szCs w:val="21"/>
        </w:rPr>
        <w:t xml:space="preserve">a</w:t>
      </w:r>
      <w:r>
        <w:rPr>
          <w:rFonts w:hint="eastAsia" w:eastAsia="宋体"/>
          <w:szCs w:val="21"/>
        </w:rPr>
        <w:t xml:space="preserve">）保护出口</w:t>
      </w:r>
      <w:r>
        <w:rPr>
          <w:rFonts w:eastAsia="宋体"/>
          <w:szCs w:val="21"/>
        </w:rPr>
      </w:r>
      <w:r/>
    </w:p>
    <w:p>
      <w:pPr>
        <w:pStyle w:val="1249"/>
        <w:ind w:left="-141" w:firstLine="707"/>
        <w:jc w:val="left"/>
        <w:spacing w:line="276" w:lineRule="auto"/>
        <w:rPr>
          <w:rFonts w:eastAsia="宋体"/>
          <w:szCs w:val="21"/>
        </w:rPr>
      </w:pPr>
      <w:r>
        <w:rPr>
          <w:rFonts w:eastAsia="宋体"/>
          <w:szCs w:val="21"/>
        </w:rPr>
        <w:t xml:space="preserve">b</w:t>
      </w:r>
      <w:r>
        <w:rPr>
          <w:rFonts w:hint="eastAsia" w:eastAsia="宋体"/>
          <w:szCs w:val="21"/>
        </w:rPr>
        <w:t xml:space="preserve">）遥控出口</w:t>
      </w:r>
      <w:r>
        <w:rPr>
          <w:rFonts w:eastAsia="宋体"/>
          <w:szCs w:val="21"/>
        </w:rPr>
      </w:r>
      <w:r/>
    </w:p>
    <w:p>
      <w:pPr>
        <w:pStyle w:val="1151"/>
        <w:spacing w:line="276" w:lineRule="auto"/>
        <w:widowControl/>
        <w:rPr>
          <w:rFonts w:ascii="黑体" w:eastAsia="黑体"/>
        </w:rPr>
        <w:outlineLvl w:val="1"/>
      </w:pPr>
      <w:r>
        <w:rPr>
          <w:rFonts w:hint="eastAsia" w:ascii="黑体" w:eastAsia="黑体"/>
        </w:rPr>
        <w:t xml:space="preserve">J</w:t>
      </w:r>
      <w:r>
        <w:rPr>
          <w:rFonts w:ascii="黑体" w:eastAsia="黑体"/>
        </w:rPr>
        <w:t xml:space="preserve">.2 </w:t>
      </w:r>
      <w:r>
        <w:rPr>
          <w:rFonts w:hint="eastAsia" w:ascii="黑体" w:eastAsia="黑体"/>
        </w:rPr>
        <w:t xml:space="preserve">压板设置</w:t>
      </w:r>
      <w:bookmarkStart w:id="453" w:name="_Toc35024144"/>
      <w:r>
        <w:rPr>
          <w:rFonts w:ascii="黑体" w:eastAsia="黑体"/>
        </w:rPr>
      </w:r>
      <w:r/>
    </w:p>
    <w:p>
      <w:pPr>
        <w:pStyle w:val="1151"/>
        <w:numPr>
          <w:ilvl w:val="0"/>
          <w:numId w:val="80"/>
        </w:numPr>
        <w:ind w:left="426" w:hanging="142"/>
        <w:jc w:val="left"/>
        <w:spacing w:line="276" w:lineRule="auto"/>
        <w:rPr>
          <w:rFonts w:eastAsia="宋体"/>
          <w:szCs w:val="21"/>
        </w:rPr>
      </w:pPr>
      <w:r>
        <w:rPr>
          <w:rFonts w:hint="eastAsia" w:eastAsia="宋体"/>
          <w:szCs w:val="21"/>
        </w:rPr>
        <w:t xml:space="preserve">出口硬压板</w:t>
      </w:r>
      <w:bookmarkEnd w:id="453"/>
      <w:r>
        <w:rPr>
          <w:rFonts w:hint="eastAsia" w:eastAsia="宋体"/>
          <w:szCs w:val="21"/>
        </w:rPr>
        <w:t xml:space="preserve">（按间隔配置）</w:t>
      </w:r>
      <w:r>
        <w:rPr>
          <w:rFonts w:eastAsia="宋体"/>
          <w:szCs w:val="21"/>
        </w:rPr>
      </w:r>
      <w:r/>
    </w:p>
    <w:p>
      <w:pPr>
        <w:pStyle w:val="1249"/>
        <w:ind w:left="210" w:firstLine="357"/>
        <w:jc w:val="left"/>
        <w:spacing w:line="276" w:lineRule="auto"/>
        <w:rPr>
          <w:rFonts w:eastAsia="宋体"/>
          <w:szCs w:val="21"/>
        </w:rPr>
      </w:pPr>
      <w:r>
        <w:rPr>
          <w:rFonts w:eastAsia="宋体"/>
          <w:szCs w:val="21"/>
        </w:rPr>
        <w:t xml:space="preserve">a</w:t>
      </w:r>
      <w:r>
        <w:rPr>
          <w:rFonts w:hint="eastAsia" w:eastAsia="宋体"/>
          <w:szCs w:val="21"/>
        </w:rPr>
        <w:t xml:space="preserve">）保护出口压板：保护跳闸、保护合闸。</w:t>
      </w:r>
      <w:r>
        <w:rPr>
          <w:rFonts w:eastAsia="宋体"/>
          <w:szCs w:val="21"/>
        </w:rPr>
      </w:r>
      <w:r/>
    </w:p>
    <w:p>
      <w:pPr>
        <w:pStyle w:val="1249"/>
        <w:ind w:left="210" w:firstLine="357"/>
        <w:jc w:val="left"/>
        <w:spacing w:line="276" w:lineRule="auto"/>
        <w:rPr>
          <w:rFonts w:eastAsia="宋体"/>
          <w:szCs w:val="21"/>
        </w:rPr>
      </w:pPr>
      <w:r>
        <w:rPr>
          <w:rFonts w:eastAsia="宋体"/>
          <w:szCs w:val="21"/>
        </w:rPr>
        <w:t xml:space="preserve">b</w:t>
      </w:r>
      <w:r>
        <w:rPr>
          <w:rFonts w:hint="eastAsia" w:eastAsia="宋体"/>
          <w:szCs w:val="21"/>
        </w:rPr>
        <w:t xml:space="preserve">）遥控出口压板：遥控合闸、遥控分闸。</w:t>
      </w:r>
      <w:r>
        <w:rPr>
          <w:rFonts w:eastAsia="宋体"/>
          <w:szCs w:val="21"/>
        </w:rPr>
      </w:r>
      <w:r/>
    </w:p>
    <w:p>
      <w:pPr>
        <w:pStyle w:val="1151"/>
        <w:numPr>
          <w:ilvl w:val="0"/>
          <w:numId w:val="80"/>
        </w:numPr>
        <w:ind w:left="426" w:hanging="142"/>
        <w:jc w:val="left"/>
        <w:spacing w:line="276" w:lineRule="auto"/>
        <w:rPr>
          <w:rFonts w:eastAsia="宋体"/>
          <w:szCs w:val="21"/>
        </w:rPr>
      </w:pPr>
      <w:r>
        <w:rPr>
          <w:rFonts w:hint="eastAsia" w:eastAsia="宋体"/>
          <w:szCs w:val="21"/>
        </w:rPr>
        <w:t xml:space="preserve">功能软压板</w:t>
      </w:r>
      <w:r>
        <w:rPr>
          <w:rFonts w:eastAsia="宋体"/>
          <w:szCs w:val="21"/>
        </w:rPr>
      </w:r>
      <w:r/>
    </w:p>
    <w:p>
      <w:pPr>
        <w:pStyle w:val="1151"/>
        <w:ind w:firstLine="480"/>
        <w:rPr>
          <w:sz w:val="24"/>
        </w:rPr>
      </w:pPr>
      <w:r>
        <w:rPr>
          <w:rFonts w:hint="eastAsia" w:eastAsia="宋体"/>
          <w:szCs w:val="21"/>
        </w:rPr>
        <w:t xml:space="preserve">功能压板按单间隔配置，以远方操作软压板形式提供，与相应功能的控制字结合实现故障处理功能。</w:t>
      </w:r>
      <w:r>
        <w:rPr>
          <w:rFonts w:hint="eastAsia"/>
        </w:rPr>
        <w:t xml:space="preserve">功能压板包括</w:t>
      </w:r>
      <w:r>
        <w:t xml:space="preserve">[</w:t>
      </w:r>
      <w:r>
        <w:rPr>
          <w:rFonts w:hint="eastAsia"/>
        </w:rPr>
        <w:t xml:space="preserve">常规保护压板</w:t>
      </w:r>
      <w:r>
        <w:t xml:space="preserve">]</w:t>
      </w:r>
      <w:r>
        <w:rPr>
          <w:rFonts w:hint="eastAsia"/>
        </w:rPr>
        <w:t xml:space="preserve">、</w:t>
      </w:r>
      <w:r>
        <w:t xml:space="preserve">[</w:t>
      </w:r>
      <w:r>
        <w:rPr>
          <w:rFonts w:hint="eastAsia"/>
        </w:rPr>
        <w:t xml:space="preserve">分布式</w:t>
      </w:r>
      <w:r>
        <w:t xml:space="preserve">FA</w:t>
      </w:r>
      <w:r>
        <w:rPr>
          <w:rFonts w:hint="eastAsia"/>
        </w:rPr>
        <w:t xml:space="preserve">压板</w:t>
      </w:r>
      <w:r>
        <w:t xml:space="preserve">]</w:t>
      </w:r>
      <w:r>
        <w:rPr>
          <w:rFonts w:hint="eastAsia"/>
        </w:rPr>
        <w:t xml:space="preserve">。</w:t>
      </w:r>
      <w:r>
        <w:rPr>
          <w:sz w:val="24"/>
        </w:rPr>
      </w:r>
      <w:r/>
    </w:p>
    <w:p>
      <w:pPr>
        <w:pStyle w:val="1151"/>
        <w:ind w:firstLine="480"/>
        <w:rPr>
          <w:rFonts w:cs="Times New Roman"/>
          <w:szCs w:val="22"/>
        </w:rPr>
      </w:pPr>
      <w:r>
        <w:t xml:space="preserve">[</w:t>
      </w:r>
      <w:r>
        <w:rPr>
          <w:rFonts w:hint="eastAsia"/>
        </w:rPr>
        <w:t xml:space="preserve">常规保护压板</w:t>
      </w:r>
      <w:r>
        <w:t xml:space="preserve">]</w:t>
      </w:r>
      <w:r>
        <w:rPr>
          <w:rFonts w:hint="eastAsia"/>
        </w:rPr>
        <w:t xml:space="preserve">，</w:t>
      </w:r>
      <w:r>
        <w:t xml:space="preserve">1</w:t>
      </w:r>
      <w:r>
        <w:rPr>
          <w:rFonts w:hint="eastAsia"/>
        </w:rPr>
        <w:t xml:space="preserve">为常规保护功能投入，</w:t>
      </w:r>
      <w:r>
        <w:t xml:space="preserve">0</w:t>
      </w:r>
      <w:r>
        <w:rPr>
          <w:rFonts w:hint="eastAsia"/>
        </w:rPr>
        <w:t xml:space="preserve">为常规保护功能退出。</w:t>
      </w:r>
      <w:r>
        <w:rPr>
          <w:rFonts w:cs="Times New Roman"/>
          <w:szCs w:val="22"/>
        </w:rPr>
      </w:r>
      <w:r/>
    </w:p>
    <w:p>
      <w:pPr>
        <w:pStyle w:val="1151"/>
        <w:ind w:firstLine="480"/>
      </w:pPr>
      <w:r>
        <w:t xml:space="preserve">[</w:t>
      </w:r>
      <w:r>
        <w:rPr>
          <w:rFonts w:hint="eastAsia"/>
        </w:rPr>
        <w:t xml:space="preserve">分布式</w:t>
      </w:r>
      <w:r>
        <w:t xml:space="preserve">FA</w:t>
      </w:r>
      <w:r>
        <w:rPr>
          <w:rFonts w:hint="eastAsia"/>
        </w:rPr>
        <w:t xml:space="preserve">压板</w:t>
      </w:r>
      <w:r>
        <w:t xml:space="preserve">]</w:t>
      </w:r>
      <w:r>
        <w:rPr>
          <w:rFonts w:hint="eastAsia"/>
        </w:rPr>
        <w:t xml:space="preserve">，</w:t>
      </w:r>
      <w:r>
        <w:t xml:space="preserve">1</w:t>
      </w:r>
      <w:r>
        <w:rPr>
          <w:rFonts w:hint="eastAsia"/>
        </w:rPr>
        <w:t xml:space="preserve">为分布式</w:t>
      </w:r>
      <w:r>
        <w:t xml:space="preserve">FA</w:t>
      </w:r>
      <w:r>
        <w:rPr>
          <w:rFonts w:hint="eastAsia"/>
        </w:rPr>
        <w:t xml:space="preserve">功能投入，</w:t>
      </w:r>
      <w:r>
        <w:t xml:space="preserve">0</w:t>
      </w:r>
      <w:r>
        <w:rPr>
          <w:rFonts w:hint="eastAsia"/>
        </w:rPr>
        <w:t xml:space="preserve">为分布式</w:t>
      </w:r>
      <w:r>
        <w:t xml:space="preserve">FA</w:t>
      </w:r>
      <w:r>
        <w:rPr>
          <w:rFonts w:hint="eastAsia"/>
        </w:rPr>
        <w:t xml:space="preserve">功能退出。</w:t>
      </w:r>
      <w:r/>
    </w:p>
    <w:p>
      <w:pPr>
        <w:pStyle w:val="1249"/>
        <w:ind w:left="0" w:firstLine="567"/>
        <w:jc w:val="left"/>
        <w:spacing w:line="276" w:lineRule="auto"/>
        <w:rPr>
          <w:rFonts w:eastAsia="宋体"/>
          <w:szCs w:val="21"/>
        </w:rPr>
      </w:pPr>
      <w:r>
        <w:rPr>
          <w:rFonts w:eastAsia="宋体"/>
          <w:szCs w:val="21"/>
        </w:rPr>
      </w:r>
      <w:r/>
    </w:p>
    <w:p>
      <w:pPr>
        <w:pStyle w:val="1151"/>
        <w:jc w:val="center"/>
        <w:spacing w:line="276" w:lineRule="auto"/>
        <w:rPr>
          <w:rFonts w:eastAsia="黑体"/>
        </w:rPr>
      </w:pPr>
      <w:r>
        <w:rPr>
          <w:rFonts w:eastAsia="黑体"/>
        </w:rPr>
      </w:r>
      <w:r/>
    </w:p>
    <w:p>
      <w:pPr>
        <w:pStyle w:val="1151"/>
        <w:jc w:val="left"/>
        <w:widowControl/>
        <w:rPr>
          <w:rFonts w:ascii="黑体" w:hAnsi="黑体" w:eastAsia="黑体"/>
          <w:color w:val="000000"/>
        </w:rPr>
      </w:pPr>
      <w:r/>
      <w:bookmarkStart w:id="454" w:name="_Toc47551490"/>
      <w:r>
        <w:rPr>
          <w:rFonts w:ascii="黑体" w:hAnsi="黑体" w:eastAsia="黑体"/>
          <w:color w:val="000000"/>
        </w:rPr>
        <w:br w:type="page" w:clear="all"/>
      </w:r>
      <w:r>
        <w:rPr>
          <w:rFonts w:ascii="黑体" w:hAnsi="黑体" w:eastAsia="黑体"/>
          <w:color w:val="000000"/>
        </w:rPr>
      </w:r>
      <w:r/>
    </w:p>
    <w:p>
      <w:pPr>
        <w:pStyle w:val="1165"/>
        <w:ind w:hanging="1260"/>
        <w:jc w:val="both"/>
        <w:spacing w:before="156" w:line="276" w:lineRule="auto"/>
        <w:rPr>
          <w:rFonts w:ascii="黑体" w:hAnsi="黑体" w:eastAsia="黑体"/>
          <w:color w:val="000000"/>
          <w:sz w:val="21"/>
          <w:szCs w:val="24"/>
        </w:rPr>
        <w:outlineLvl w:val="0"/>
      </w:pPr>
      <w:r/>
      <w:bookmarkStart w:id="455" w:name="_Toc55057897"/>
      <w:r/>
      <w:bookmarkStart w:id="456" w:name="_Toc12784"/>
      <w:r/>
      <w:bookmarkStart w:id="457" w:name="_Toc14294"/>
      <w:r/>
      <w:bookmarkStart w:id="458" w:name="_Toc9087"/>
      <w:r>
        <w:rPr>
          <w:rFonts w:hint="eastAsia" w:ascii="黑体" w:hAnsi="黑体" w:eastAsia="黑体"/>
          <w:color w:val="000000"/>
          <w:sz w:val="21"/>
          <w:szCs w:val="24"/>
        </w:rPr>
        <w:t xml:space="preserve">附录</w:t>
      </w:r>
      <w:r>
        <w:rPr>
          <w:rFonts w:ascii="黑体" w:hAnsi="黑体" w:eastAsia="黑体"/>
          <w:color w:val="000000"/>
          <w:sz w:val="21"/>
          <w:szCs w:val="24"/>
        </w:rPr>
        <w:t xml:space="preserve">K </w:t>
      </w:r>
      <w:r>
        <w:rPr>
          <w:rFonts w:hint="eastAsia" w:ascii="黑体" w:hAnsi="黑体" w:eastAsia="黑体"/>
          <w:color w:val="000000"/>
          <w:sz w:val="21"/>
          <w:szCs w:val="24"/>
        </w:rPr>
        <w:t xml:space="preserve">站所终端和参数定义(规范性附录)</w:t>
      </w:r>
      <w:bookmarkEnd w:id="454"/>
      <w:r/>
      <w:bookmarkEnd w:id="455"/>
      <w:r/>
      <w:bookmarkEnd w:id="456"/>
      <w:r/>
      <w:bookmarkEnd w:id="457"/>
      <w:r/>
      <w:bookmarkEnd w:id="458"/>
      <w:r>
        <w:rPr>
          <w:rFonts w:ascii="黑体" w:hAnsi="黑体" w:eastAsia="黑体"/>
          <w:color w:val="000000"/>
          <w:sz w:val="21"/>
          <w:szCs w:val="24"/>
        </w:rPr>
      </w:r>
      <w:r/>
    </w:p>
    <w:p>
      <w:pPr>
        <w:pStyle w:val="1151"/>
        <w:spacing w:before="312" w:after="312" w:line="276" w:lineRule="auto"/>
        <w:widowControl/>
        <w:rPr>
          <w:rFonts w:ascii="黑体" w:eastAsia="黑体"/>
        </w:rPr>
        <w:outlineLvl w:val="1"/>
      </w:pPr>
      <w:r>
        <w:rPr>
          <w:rFonts w:ascii="黑体" w:eastAsia="黑体"/>
        </w:rPr>
        <w:t xml:space="preserve">K.1 </w:t>
      </w:r>
      <w:r>
        <w:rPr>
          <w:rFonts w:hint="eastAsia" w:ascii="黑体" w:eastAsia="黑体"/>
        </w:rPr>
        <w:t xml:space="preserve">站所终端主站通信点表定义</w:t>
      </w:r>
      <w:r>
        <w:rPr>
          <w:rFonts w:ascii="黑体" w:eastAsia="黑体"/>
        </w:rPr>
      </w:r>
      <w:r/>
    </w:p>
    <w:p>
      <w:pPr>
        <w:pStyle w:val="1201"/>
        <w:jc w:val="center"/>
        <w:spacing w:line="276" w:lineRule="auto"/>
        <w:tabs>
          <w:tab w:val="center" w:pos="4201" w:leader="none"/>
          <w:tab w:val="right" w:pos="9298" w:leader="dot"/>
        </w:tabs>
        <w:rPr>
          <w:rFonts w:ascii="Times New Roman" w:eastAsia="黑体"/>
        </w:rPr>
      </w:pPr>
      <w:r>
        <w:rPr>
          <w:rFonts w:ascii="Times New Roman" w:eastAsia="黑体"/>
        </w:rPr>
        <w:t xml:space="preserve">表K.1  终端主站通信点表</w:t>
      </w:r>
      <w:r>
        <w:rPr>
          <w:rFonts w:ascii="Times New Roman" w:eastAsia="黑体"/>
        </w:rPr>
      </w:r>
      <w:r/>
    </w:p>
    <w:tbl>
      <w:tblPr>
        <w:tblW w:w="83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9"/>
        <w:gridCol w:w="17"/>
        <w:gridCol w:w="895"/>
        <w:gridCol w:w="3901"/>
        <w:gridCol w:w="2132"/>
      </w:tblGrid>
      <w:tr>
        <w:trPr>
          <w:trHeight w:val="555"/>
        </w:trPr>
        <w:tc>
          <w:tcPr>
            <w:tcW w:w="1419" w:type="dxa"/>
            <w:vAlign w:val="center"/>
            <w:textDirection w:val="lrTb"/>
            <w:noWrap w:val="false"/>
          </w:tcPr>
          <w:p>
            <w:pPr>
              <w:pStyle w:val="1151"/>
              <w:jc w:val="center"/>
              <w:spacing w:line="276" w:lineRule="auto"/>
              <w:rPr>
                <w:szCs w:val="21"/>
              </w:rPr>
            </w:pPr>
            <w:r>
              <w:rPr>
                <w:szCs w:val="21"/>
              </w:rPr>
              <w:t xml:space="preserve">信息体地址</w:t>
            </w:r>
            <w:r>
              <w:rPr>
                <w:szCs w:val="21"/>
              </w:rPr>
            </w:r>
            <w:r/>
          </w:p>
        </w:tc>
        <w:tc>
          <w:tcPr>
            <w:gridSpan w:val="3"/>
            <w:tcW w:w="4813" w:type="dxa"/>
            <w:vAlign w:val="center"/>
            <w:textDirection w:val="lrTb"/>
            <w:noWrap w:val="false"/>
          </w:tcPr>
          <w:p>
            <w:pPr>
              <w:pStyle w:val="1151"/>
              <w:jc w:val="center"/>
              <w:spacing w:line="276" w:lineRule="auto"/>
              <w:rPr>
                <w:szCs w:val="21"/>
              </w:rPr>
            </w:pPr>
            <w:r>
              <w:rPr>
                <w:szCs w:val="21"/>
              </w:rPr>
              <w:t xml:space="preserve">说明</w:t>
            </w:r>
            <w:r>
              <w:rPr>
                <w:szCs w:val="21"/>
              </w:rPr>
            </w:r>
            <w:r/>
          </w:p>
        </w:tc>
        <w:tc>
          <w:tcPr>
            <w:tcW w:w="2132" w:type="dxa"/>
            <w:vAlign w:val="center"/>
            <w:textDirection w:val="lrTb"/>
            <w:noWrap w:val="false"/>
          </w:tcPr>
          <w:p>
            <w:pPr>
              <w:pStyle w:val="1151"/>
              <w:jc w:val="center"/>
              <w:spacing w:line="276" w:lineRule="auto"/>
              <w:rPr>
                <w:szCs w:val="21"/>
              </w:rPr>
            </w:pPr>
            <w:r>
              <w:rPr>
                <w:szCs w:val="21"/>
              </w:rPr>
              <w:t xml:space="preserve">备注</w:t>
            </w:r>
            <w:r>
              <w:rPr>
                <w:szCs w:val="21"/>
              </w:rPr>
            </w:r>
            <w:r/>
          </w:p>
        </w:tc>
      </w:tr>
      <w:tr>
        <w:trPr/>
        <w:tc>
          <w:tcPr>
            <w:gridSpan w:val="5"/>
            <w:tcW w:w="8364" w:type="dxa"/>
            <w:vAlign w:val="center"/>
            <w:textDirection w:val="lrTb"/>
            <w:noWrap w:val="false"/>
          </w:tcPr>
          <w:p>
            <w:pPr>
              <w:pStyle w:val="1151"/>
              <w:jc w:val="center"/>
              <w:spacing w:line="276" w:lineRule="auto"/>
              <w:rPr>
                <w:szCs w:val="21"/>
              </w:rPr>
            </w:pPr>
            <w:r>
              <w:rPr>
                <w:szCs w:val="21"/>
              </w:rPr>
              <w:t xml:space="preserve">一、遥测</w:t>
            </w: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w:t>
            </w:r>
            <w:r>
              <w:rPr>
                <w:rFonts w:hint="eastAsia"/>
                <w:szCs w:val="21"/>
              </w:rPr>
              <w:t xml:space="preserve">x</w:t>
            </w:r>
            <w:r>
              <w:rPr>
                <w:szCs w:val="21"/>
              </w:rPr>
              <w:t xml:space="preserve">4001</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Vb</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后备</w:t>
            </w:r>
            <w:r>
              <w:rPr>
                <w:szCs w:val="21"/>
              </w:rPr>
              <w:t xml:space="preserve">电</w:t>
            </w:r>
            <w:r>
              <w:rPr>
                <w:rFonts w:hint="eastAsia"/>
                <w:szCs w:val="21"/>
              </w:rPr>
              <w:t xml:space="preserve">源</w:t>
            </w:r>
            <w:r>
              <w:rPr>
                <w:szCs w:val="21"/>
              </w:rPr>
              <w:t xml:space="preserve">电压(V)</w:t>
            </w:r>
            <w:r>
              <w:rPr>
                <w:szCs w:val="21"/>
              </w:rPr>
            </w:r>
            <w:r/>
          </w:p>
        </w:tc>
        <w:tc>
          <w:tcPr>
            <w:tcW w:w="2132" w:type="dxa"/>
            <w:vAlign w:val="center"/>
            <w:vMerge w:val="restart"/>
            <w:textDirection w:val="lrTb"/>
            <w:noWrap w:val="false"/>
          </w:tcPr>
          <w:p>
            <w:pPr>
              <w:pStyle w:val="1151"/>
              <w:jc w:val="center"/>
              <w:spacing w:line="276" w:lineRule="auto"/>
              <w:rPr>
                <w:bCs/>
                <w:szCs w:val="21"/>
              </w:rPr>
            </w:pPr>
            <w:r>
              <w:rPr>
                <w:bCs/>
                <w:szCs w:val="21"/>
              </w:rPr>
              <w:t xml:space="preserve">公共遥测</w:t>
            </w:r>
            <w:r>
              <w:rPr>
                <w:bCs/>
                <w:szCs w:val="21"/>
              </w:rPr>
            </w:r>
            <w:r/>
          </w:p>
          <w:p>
            <w:pPr>
              <w:pStyle w:val="1151"/>
              <w:jc w:val="center"/>
              <w:spacing w:line="276" w:lineRule="auto"/>
              <w:rPr>
                <w:bCs/>
                <w:szCs w:val="21"/>
              </w:rPr>
            </w:pPr>
            <w:r>
              <w:rPr>
                <w:bCs/>
                <w:szCs w:val="21"/>
              </w:rPr>
              <w:t xml:space="preserve">20个</w:t>
            </w:r>
            <w:r>
              <w:rPr>
                <w:bCs/>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w:t>
            </w:r>
            <w:r>
              <w:rPr>
                <w:rFonts w:hint="eastAsia"/>
                <w:szCs w:val="21"/>
              </w:rPr>
              <w:t xml:space="preserve">x</w:t>
            </w:r>
            <w:r>
              <w:rPr>
                <w:szCs w:val="21"/>
              </w:rPr>
              <w:t xml:space="preserve">4002</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Vc</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备用</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color w:val="000000"/>
                <w:szCs w:val="21"/>
              </w:rPr>
              <w:t xml:space="preserve">0x</w:t>
            </w:r>
            <w:r>
              <w:rPr>
                <w:szCs w:val="21"/>
              </w:rPr>
              <w:t xml:space="preserve">4003</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Tb1</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电源模块主动活化最大放电时长</w:t>
            </w:r>
            <w:r>
              <w:rPr>
                <w:rFonts w:hint="eastAsia"/>
                <w:szCs w:val="21"/>
              </w:rPr>
              <w:t xml:space="preserve">(</w:t>
            </w:r>
            <w:r>
              <w:rPr>
                <w:szCs w:val="21"/>
              </w:rPr>
              <w:t xml:space="preserve">h)</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color w:val="000000"/>
                <w:szCs w:val="21"/>
              </w:rPr>
              <w:t xml:space="preserve">0x</w:t>
            </w:r>
            <w:r>
              <w:rPr>
                <w:szCs w:val="21"/>
              </w:rPr>
              <w:t xml:space="preserve">4004</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Tb2</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电源模块主动活化当前放电时长</w:t>
            </w:r>
            <w:r>
              <w:rPr>
                <w:rFonts w:hint="eastAsia"/>
                <w:szCs w:val="21"/>
              </w:rPr>
              <w:t xml:space="preserve">(</w:t>
            </w:r>
            <w:r>
              <w:rPr>
                <w:szCs w:val="21"/>
              </w:rPr>
              <w:t xml:space="preserve">h)</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0x4005</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Ua1</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第1组A相电压</w:t>
            </w:r>
            <w:r>
              <w:rPr>
                <w:rFonts w:hint="eastAsia"/>
                <w:szCs w:val="21"/>
              </w:rPr>
              <w:t xml:space="preserve">(</w:t>
            </w:r>
            <w:r>
              <w:rPr>
                <w:szCs w:val="21"/>
              </w:rPr>
              <w:t xml:space="preserve">V)</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0x4006</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Ub1</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第1组B相电压</w:t>
            </w:r>
            <w:r>
              <w:rPr>
                <w:rFonts w:hint="eastAsia"/>
                <w:szCs w:val="21"/>
              </w:rPr>
              <w:t xml:space="preserve">(</w:t>
            </w:r>
            <w:r>
              <w:rPr>
                <w:szCs w:val="21"/>
              </w:rPr>
              <w:t xml:space="preserve">V)</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0x4007</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Uc1</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第1组C相电压</w:t>
            </w:r>
            <w:r>
              <w:rPr>
                <w:rFonts w:hint="eastAsia"/>
                <w:szCs w:val="21"/>
              </w:rPr>
              <w:t xml:space="preserve">(</w:t>
            </w:r>
            <w:r>
              <w:rPr>
                <w:szCs w:val="21"/>
              </w:rPr>
              <w:t xml:space="preserve">V)</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0x4008</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U0</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第1组零序电压</w:t>
            </w:r>
            <w:r>
              <w:rPr>
                <w:rFonts w:hint="eastAsia"/>
                <w:szCs w:val="21"/>
              </w:rPr>
              <w:t xml:space="preserve">(</w:t>
            </w:r>
            <w:r>
              <w:rPr>
                <w:szCs w:val="21"/>
              </w:rPr>
              <w:t xml:space="preserve">V)</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0x4009</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Ua2</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第2组A相电压</w:t>
            </w:r>
            <w:r>
              <w:rPr>
                <w:rFonts w:hint="eastAsia"/>
                <w:szCs w:val="21"/>
              </w:rPr>
              <w:t xml:space="preserve">(</w:t>
            </w:r>
            <w:r>
              <w:rPr>
                <w:szCs w:val="21"/>
              </w:rPr>
              <w:t xml:space="preserve">V)</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0x400A</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Ub2</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第2组B相电压</w:t>
            </w:r>
            <w:r>
              <w:rPr>
                <w:rFonts w:hint="eastAsia"/>
                <w:szCs w:val="21"/>
              </w:rPr>
              <w:t xml:space="preserve">(</w:t>
            </w:r>
            <w:r>
              <w:rPr>
                <w:szCs w:val="21"/>
              </w:rPr>
              <w:t xml:space="preserve">V)</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0x400B</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Uc2</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第2组C相电压</w:t>
            </w:r>
            <w:r>
              <w:rPr>
                <w:rFonts w:hint="eastAsia"/>
                <w:szCs w:val="21"/>
              </w:rPr>
              <w:t xml:space="preserve">(</w:t>
            </w:r>
            <w:r>
              <w:rPr>
                <w:szCs w:val="21"/>
              </w:rPr>
              <w:t xml:space="preserve">V)</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0x400C</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U02</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第2组零序电压</w:t>
            </w:r>
            <w:r>
              <w:rPr>
                <w:rFonts w:hint="eastAsia"/>
                <w:szCs w:val="21"/>
              </w:rPr>
              <w:t xml:space="preserve">(</w:t>
            </w:r>
            <w:r>
              <w:rPr>
                <w:szCs w:val="21"/>
              </w:rPr>
              <w:t xml:space="preserve">V)</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0x400D</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Fr</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频率</w:t>
            </w:r>
            <w:r>
              <w:rPr>
                <w:rFonts w:hint="eastAsia"/>
                <w:szCs w:val="21"/>
              </w:rPr>
              <w:t xml:space="preserve">(</w:t>
            </w:r>
            <w:r>
              <w:rPr>
                <w:szCs w:val="21"/>
              </w:rPr>
              <w:t xml:space="preserve">Hz)</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w:t>
            </w:r>
            <w:r>
              <w:rPr>
                <w:rFonts w:hint="eastAsia"/>
                <w:szCs w:val="21"/>
              </w:rPr>
              <w:t xml:space="preserve">0E</w:t>
            </w:r>
            <w:r>
              <w:rPr>
                <w:szCs w:val="21"/>
              </w:rPr>
            </w:r>
            <w:r/>
          </w:p>
        </w:tc>
        <w:tc>
          <w:tcPr>
            <w:gridSpan w:val="2"/>
            <w:tcW w:w="912" w:type="dxa"/>
            <w:vAlign w:val="center"/>
            <w:textDirection w:val="lrTb"/>
            <w:noWrap w:val="false"/>
          </w:tcPr>
          <w:p>
            <w:pPr>
              <w:pStyle w:val="1151"/>
              <w:jc w:val="center"/>
              <w:spacing w:line="276" w:lineRule="auto"/>
              <w:rPr>
                <w:szCs w:val="21"/>
              </w:rPr>
            </w:pPr>
            <w:r>
              <w:rPr>
                <w:rFonts w:hint="eastAsia"/>
                <w:szCs w:val="21"/>
              </w:rPr>
              <w:t xml:space="preserve">T</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装置内部温度</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w:t>
            </w:r>
            <w:r>
              <w:rPr>
                <w:rFonts w:hint="eastAsia"/>
                <w:szCs w:val="21"/>
              </w:rPr>
              <w:t xml:space="preserve">0F</w:t>
            </w:r>
            <w:r>
              <w:rPr>
                <w:szCs w:val="21"/>
              </w:rPr>
            </w:r>
            <w:r/>
          </w:p>
        </w:tc>
        <w:tc>
          <w:tcPr>
            <w:gridSpan w:val="2"/>
            <w:tcW w:w="912" w:type="dxa"/>
            <w:vAlign w:val="center"/>
            <w:textDirection w:val="lrTb"/>
            <w:noWrap w:val="false"/>
          </w:tcPr>
          <w:p>
            <w:pPr>
              <w:pStyle w:val="1151"/>
              <w:jc w:val="center"/>
              <w:spacing w:line="276" w:lineRule="auto"/>
              <w:rPr>
                <w:szCs w:val="21"/>
              </w:rPr>
            </w:pPr>
            <w:r>
              <w:rPr>
                <w:rFonts w:hint="eastAsia"/>
                <w:szCs w:val="21"/>
              </w:rPr>
              <w:t xml:space="preserve">经度</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定位经度，单精度浮点数（</w:t>
            </w:r>
            <w:r>
              <w:rPr>
                <w:szCs w:val="21"/>
              </w:rPr>
              <w:t xml:space="preserve">°</w:t>
            </w:r>
            <w:r>
              <w:rPr>
                <w:rFonts w:hint="eastAsia"/>
                <w:szCs w:val="21"/>
              </w:rPr>
              <w:t xml:space="preserve">，东经为正）</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w:t>
            </w:r>
            <w:r>
              <w:rPr>
                <w:rFonts w:hint="eastAsia"/>
                <w:szCs w:val="21"/>
              </w:rPr>
              <w:t xml:space="preserve">1</w:t>
            </w:r>
            <w:r>
              <w:rPr>
                <w:szCs w:val="21"/>
              </w:rPr>
              <w:t xml:space="preserve">0</w:t>
            </w:r>
            <w:r>
              <w:rPr>
                <w:szCs w:val="21"/>
              </w:rPr>
            </w:r>
            <w:r/>
          </w:p>
        </w:tc>
        <w:tc>
          <w:tcPr>
            <w:gridSpan w:val="2"/>
            <w:tcW w:w="912" w:type="dxa"/>
            <w:vAlign w:val="center"/>
            <w:textDirection w:val="lrTb"/>
            <w:noWrap w:val="false"/>
          </w:tcPr>
          <w:p>
            <w:pPr>
              <w:pStyle w:val="1151"/>
              <w:jc w:val="center"/>
              <w:spacing w:line="276" w:lineRule="auto"/>
              <w:rPr>
                <w:szCs w:val="21"/>
              </w:rPr>
            </w:pPr>
            <w:r>
              <w:rPr>
                <w:rFonts w:hint="eastAsia"/>
                <w:szCs w:val="21"/>
              </w:rPr>
              <w:t xml:space="preserve">纬度</w:t>
            </w:r>
            <w:r>
              <w:rPr>
                <w:szCs w:val="21"/>
              </w:rPr>
            </w:r>
            <w:r/>
          </w:p>
        </w:tc>
        <w:tc>
          <w:tcPr>
            <w:tcW w:w="3901" w:type="dxa"/>
            <w:vAlign w:val="center"/>
            <w:textDirection w:val="lrTb"/>
            <w:noWrap w:val="false"/>
          </w:tcPr>
          <w:p>
            <w:pPr>
              <w:pStyle w:val="1151"/>
              <w:jc w:val="center"/>
              <w:spacing w:line="276" w:lineRule="auto"/>
              <w:rPr>
                <w:rFonts w:eastAsia="宋体"/>
                <w:szCs w:val="21"/>
              </w:rPr>
            </w:pPr>
            <w:r>
              <w:rPr>
                <w:rFonts w:hint="eastAsia" w:eastAsia="宋体"/>
                <w:szCs w:val="21"/>
              </w:rPr>
              <w:t xml:space="preserve">定位纬度，</w:t>
            </w:r>
            <w:r>
              <w:rPr>
                <w:rFonts w:hint="eastAsia" w:eastAsia="宋体"/>
                <w:szCs w:val="21"/>
              </w:rPr>
              <w:t xml:space="preserve">单精度浮点数（</w:t>
            </w:r>
            <w:r>
              <w:rPr>
                <w:rFonts w:eastAsia="宋体"/>
                <w:szCs w:val="21"/>
              </w:rPr>
              <w:t xml:space="preserve">°</w:t>
            </w:r>
            <w:r>
              <w:rPr>
                <w:rFonts w:hint="eastAsia" w:eastAsia="宋体"/>
                <w:szCs w:val="21"/>
              </w:rPr>
              <w:t xml:space="preserve">，北纬为正）</w:t>
            </w:r>
            <w:r>
              <w:rPr>
                <w:rFonts w:eastAsia="宋体"/>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w:t>
            </w:r>
            <w:r>
              <w:rPr>
                <w:rFonts w:hint="eastAsia"/>
                <w:szCs w:val="21"/>
              </w:rPr>
              <w:t xml:space="preserve">11</w:t>
            </w:r>
            <w:r>
              <w:rPr>
                <w:szCs w:val="21"/>
              </w:rPr>
            </w:r>
            <w:r/>
          </w:p>
        </w:tc>
        <w:tc>
          <w:tcPr>
            <w:gridSpan w:val="2"/>
            <w:tcW w:w="912" w:type="dxa"/>
            <w:vAlign w:val="center"/>
            <w:textDirection w:val="lrTb"/>
            <w:noWrap w:val="false"/>
          </w:tcPr>
          <w:p>
            <w:pPr>
              <w:pStyle w:val="1151"/>
              <w:jc w:val="center"/>
              <w:spacing w:line="276" w:lineRule="auto"/>
              <w:rPr>
                <w:szCs w:val="21"/>
              </w:rPr>
            </w:pPr>
            <w:r>
              <w:rPr>
                <w:rFonts w:hint="eastAsia"/>
                <w:szCs w:val="21"/>
              </w:rPr>
              <w:t xml:space="preserve">通讯流量</w:t>
            </w:r>
            <w:r>
              <w:rPr>
                <w:szCs w:val="21"/>
              </w:rPr>
            </w:r>
            <w:r/>
          </w:p>
        </w:tc>
        <w:tc>
          <w:tcPr>
            <w:tcW w:w="3901" w:type="dxa"/>
            <w:vAlign w:val="center"/>
            <w:textDirection w:val="lrTb"/>
            <w:noWrap w:val="false"/>
          </w:tcPr>
          <w:p>
            <w:pPr>
              <w:pStyle w:val="1151"/>
              <w:jc w:val="center"/>
              <w:spacing w:line="276" w:lineRule="auto"/>
              <w:rPr>
                <w:rFonts w:eastAsia="宋体"/>
                <w:szCs w:val="21"/>
              </w:rPr>
            </w:pPr>
            <w:r>
              <w:rPr>
                <w:rFonts w:hint="eastAsia" w:eastAsia="宋体"/>
                <w:szCs w:val="21"/>
              </w:rPr>
              <w:t xml:space="preserve">主站通信数据量（</w:t>
            </w:r>
            <w:r>
              <w:rPr>
                <w:rFonts w:hint="eastAsia" w:eastAsia="宋体"/>
                <w:szCs w:val="21"/>
              </w:rPr>
              <w:t xml:space="preserve">和主站通信的报文字节数，浮点值</w:t>
            </w:r>
            <w:r>
              <w:rPr>
                <w:rFonts w:hint="eastAsia" w:eastAsia="宋体"/>
                <w:szCs w:val="21"/>
              </w:rPr>
              <w:t xml:space="preserve">）</w:t>
            </w:r>
            <w:r>
              <w:rPr>
                <w:rFonts w:eastAsia="宋体"/>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0x4012</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0x4013</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0x4014</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0x4015</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Ia</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A相电流</w:t>
            </w:r>
            <w:r>
              <w:rPr>
                <w:rFonts w:hint="eastAsia"/>
                <w:szCs w:val="21"/>
              </w:rPr>
              <w:t xml:space="preserve">(</w:t>
            </w:r>
            <w:r>
              <w:rPr>
                <w:szCs w:val="21"/>
              </w:rPr>
              <w:t xml:space="preserve">A)</w:t>
            </w:r>
            <w:r>
              <w:rPr>
                <w:szCs w:val="21"/>
              </w:rPr>
            </w:r>
            <w:r/>
          </w:p>
        </w:tc>
        <w:tc>
          <w:tcPr>
            <w:tcW w:w="2132" w:type="dxa"/>
            <w:vAlign w:val="center"/>
            <w:vMerge w:val="restart"/>
            <w:textDirection w:val="lrTb"/>
            <w:noWrap w:val="false"/>
          </w:tcPr>
          <w:p>
            <w:pPr>
              <w:pStyle w:val="1151"/>
              <w:jc w:val="center"/>
              <w:spacing w:line="276" w:lineRule="auto"/>
              <w:rPr>
                <w:szCs w:val="21"/>
              </w:rPr>
            </w:pPr>
            <w:r>
              <w:rPr>
                <w:szCs w:val="21"/>
              </w:rPr>
              <w:t xml:space="preserve">第1路开关遥测</w:t>
            </w:r>
            <w:r>
              <w:rPr>
                <w:szCs w:val="21"/>
              </w:rPr>
            </w:r>
            <w:r/>
          </w:p>
          <w:p>
            <w:pPr>
              <w:pStyle w:val="1151"/>
              <w:jc w:val="center"/>
              <w:spacing w:line="276" w:lineRule="auto"/>
              <w:rPr>
                <w:szCs w:val="21"/>
              </w:rPr>
            </w:pPr>
            <w:r>
              <w:rPr>
                <w:szCs w:val="21"/>
              </w:rPr>
              <w:t xml:space="preserve">16个</w:t>
            </w: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0x4016</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Ib</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B相电流</w:t>
            </w:r>
            <w:r>
              <w:rPr>
                <w:rFonts w:hint="eastAsia"/>
                <w:szCs w:val="21"/>
              </w:rPr>
              <w:t xml:space="preserve">(</w:t>
            </w:r>
            <w:r>
              <w:rPr>
                <w:szCs w:val="21"/>
              </w:rPr>
              <w:t xml:space="preserve">A)</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0x4017</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Ic</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C相电流</w:t>
            </w:r>
            <w:r>
              <w:rPr>
                <w:rFonts w:hint="eastAsia"/>
                <w:szCs w:val="21"/>
              </w:rPr>
              <w:t xml:space="preserve">(</w:t>
            </w:r>
            <w:r>
              <w:rPr>
                <w:szCs w:val="21"/>
              </w:rPr>
              <w:t xml:space="preserve">A)</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0x4018</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I0</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零序</w:t>
            </w:r>
            <w:r>
              <w:rPr>
                <w:szCs w:val="21"/>
              </w:rPr>
              <w:t xml:space="preserve">电流</w:t>
            </w:r>
            <w:r>
              <w:rPr>
                <w:rFonts w:hint="eastAsia"/>
                <w:szCs w:val="21"/>
              </w:rPr>
              <w:t xml:space="preserve">(</w:t>
            </w:r>
            <w:r>
              <w:rPr>
                <w:szCs w:val="21"/>
              </w:rPr>
              <w:t xml:space="preserve">A)</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0x4019</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P</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总有功功率</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0x401</w:t>
            </w:r>
            <w:r>
              <w:rPr>
                <w:rFonts w:hint="eastAsia"/>
                <w:szCs w:val="21"/>
              </w:rPr>
              <w:t xml:space="preserve">A</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Q</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总无功功率</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0x401B</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S</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视在功率</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0x401C</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COS</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功率因数</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0x401D</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0x401E</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0x401F</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0x4020</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0x4021</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0x4022</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0x4023</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0x4024</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w:t>
            </w:r>
            <w:r>
              <w:rPr>
                <w:szCs w:val="21"/>
              </w:rPr>
            </w:r>
            <w:r/>
          </w:p>
        </w:tc>
        <w:tc>
          <w:tcPr>
            <w:tcW w:w="2132" w:type="dxa"/>
            <w:vAlign w:val="center"/>
            <w:textDirection w:val="lrTb"/>
            <w:noWrap w:val="false"/>
          </w:tcPr>
          <w:p>
            <w:pPr>
              <w:pStyle w:val="1151"/>
              <w:jc w:val="center"/>
              <w:spacing w:line="276" w:lineRule="auto"/>
              <w:rPr>
                <w:szCs w:val="21"/>
              </w:rPr>
            </w:pPr>
            <w:r>
              <w:rPr>
                <w:szCs w:val="21"/>
              </w:rPr>
              <w:t xml:space="preserve">第N路开关</w:t>
            </w:r>
            <w:r>
              <w:rPr>
                <w:szCs w:val="21"/>
              </w:rPr>
            </w:r>
            <w:r/>
          </w:p>
        </w:tc>
      </w:tr>
      <w:tr>
        <w:trPr>
          <w:trHeight w:val="113"/>
        </w:trPr>
        <w:tc>
          <w:tcPr>
            <w:gridSpan w:val="5"/>
            <w:tcW w:w="8364" w:type="dxa"/>
            <w:vAlign w:val="center"/>
            <w:textDirection w:val="lrTb"/>
            <w:noWrap w:val="false"/>
          </w:tcPr>
          <w:p>
            <w:pPr>
              <w:pStyle w:val="1151"/>
              <w:jc w:val="center"/>
              <w:spacing w:line="276" w:lineRule="auto"/>
              <w:rPr>
                <w:szCs w:val="21"/>
              </w:rPr>
            </w:pPr>
            <w:r>
              <w:rPr>
                <w:szCs w:val="21"/>
              </w:rPr>
              <w:t xml:space="preserve">二、遥信</w:t>
            </w: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0x0001</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YX1</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电源模块交流失电</w:t>
            </w:r>
            <w:r>
              <w:rPr>
                <w:szCs w:val="21"/>
              </w:rPr>
            </w:r>
            <w:r/>
          </w:p>
        </w:tc>
        <w:tc>
          <w:tcPr>
            <w:tcW w:w="2132" w:type="dxa"/>
            <w:vAlign w:val="center"/>
            <w:vMerge w:val="restart"/>
            <w:textDirection w:val="lrTb"/>
            <w:noWrap w:val="false"/>
          </w:tcPr>
          <w:p>
            <w:pPr>
              <w:pStyle w:val="1151"/>
              <w:jc w:val="center"/>
              <w:spacing w:line="276" w:lineRule="auto"/>
              <w:rPr>
                <w:szCs w:val="21"/>
              </w:rPr>
            </w:pPr>
            <w:r>
              <w:rPr>
                <w:szCs w:val="21"/>
              </w:rPr>
              <w:t xml:space="preserve">公共遥信</w:t>
            </w:r>
            <w:r>
              <w:rPr>
                <w:szCs w:val="21"/>
              </w:rPr>
            </w:r>
            <w:r/>
          </w:p>
          <w:p>
            <w:pPr>
              <w:pStyle w:val="1151"/>
              <w:jc w:val="center"/>
              <w:spacing w:line="276" w:lineRule="auto"/>
              <w:rPr>
                <w:szCs w:val="21"/>
              </w:rPr>
            </w:pPr>
            <w:r>
              <w:rPr>
                <w:szCs w:val="21"/>
              </w:rPr>
              <w:t xml:space="preserve">20个</w:t>
            </w: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0x0002</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YX2</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电池活化</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0x0003</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YX3</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电池欠压告警</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0x0004</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YX4</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电源模块故障</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0x0005</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YX5</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电源模块通信异常</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0x0006</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YX6</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0x0007</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YX7</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柜门开启</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0x0008</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YX8</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总远方/就地</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0x0009</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YX9</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过压告警1</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0x000A</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YX10</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低压告警1</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0x000B</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YX11</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有压鉴别1</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0x000C</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YX12</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过压告警2</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0x000D</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YX13</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低压告警2</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0x000E</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YX14</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有压鉴别2</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0x000F</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YX15</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终端故障</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0x0010</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YX16</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对时方式（1，北斗/GPS对时；0，主站对时）</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w:t>
            </w:r>
            <w:r>
              <w:rPr>
                <w:rFonts w:hint="eastAsia"/>
                <w:szCs w:val="21"/>
              </w:rPr>
              <w:t xml:space="preserve">11</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YX1</w:t>
            </w:r>
            <w:r>
              <w:rPr>
                <w:rFonts w:hint="eastAsia"/>
                <w:szCs w:val="21"/>
              </w:rPr>
              <w:t xml:space="preserve">7</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主站通信状态（</w:t>
            </w:r>
            <w:r>
              <w:rPr>
                <w:szCs w:val="21"/>
              </w:rPr>
              <w:t xml:space="preserve">0</w:t>
            </w:r>
            <w:r>
              <w:rPr>
                <w:rFonts w:hint="eastAsia"/>
                <w:szCs w:val="21"/>
              </w:rPr>
              <w:t xml:space="preserve">，正常；</w:t>
            </w:r>
            <w:r>
              <w:rPr>
                <w:szCs w:val="21"/>
              </w:rPr>
              <w:t xml:space="preserve">1</w:t>
            </w:r>
            <w:r>
              <w:rPr>
                <w:rFonts w:hint="eastAsia"/>
                <w:szCs w:val="21"/>
              </w:rPr>
              <w:t xml:space="preserve">，异常）</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0x0012</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YX18</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0x0013</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YX19</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0x0014</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YX20</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0x0015</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YX21</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外部遥信1（双位置遥信开关合位）</w:t>
            </w:r>
            <w:r>
              <w:rPr>
                <w:szCs w:val="21"/>
              </w:rPr>
            </w:r>
            <w:r/>
          </w:p>
        </w:tc>
        <w:tc>
          <w:tcPr>
            <w:tcW w:w="2132" w:type="dxa"/>
            <w:vAlign w:val="center"/>
            <w:vMerge w:val="restart"/>
            <w:textDirection w:val="lrTb"/>
            <w:noWrap w:val="false"/>
          </w:tcPr>
          <w:p>
            <w:pPr>
              <w:pStyle w:val="1151"/>
              <w:jc w:val="center"/>
              <w:spacing w:line="276" w:lineRule="auto"/>
              <w:rPr>
                <w:szCs w:val="21"/>
              </w:rPr>
            </w:pPr>
            <w:r>
              <w:rPr>
                <w:szCs w:val="21"/>
              </w:rPr>
              <w:t xml:space="preserve">第1路开关遥信</w:t>
            </w:r>
            <w:r>
              <w:rPr>
                <w:szCs w:val="21"/>
              </w:rPr>
            </w:r>
            <w:r/>
          </w:p>
          <w:p>
            <w:pPr>
              <w:pStyle w:val="1151"/>
              <w:jc w:val="center"/>
              <w:spacing w:line="276" w:lineRule="auto"/>
              <w:rPr>
                <w:szCs w:val="21"/>
              </w:rPr>
            </w:pPr>
            <w:r>
              <w:rPr>
                <w:szCs w:val="21"/>
              </w:rPr>
              <w:t xml:space="preserve">55个</w:t>
            </w: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0x0016</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YX22</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外部遥信2（双位置遥信开关分位）</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0x0017</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YX23</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外部遥信3（隔离开关位置）</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0x0018</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YX24</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外部遥信4（接地开关位置）</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0x0019</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YX25</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外部遥信5（未储能）</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0x001A</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YX26</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外部遥信6（远方/就地）</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0x001B</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YX27</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外部遥信7</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0x001C</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YX28</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0x001D</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YX29</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0x001E</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YX30</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0x001F</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YX31</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分布式FA投入</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0x0020</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YX32</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集中式FA投入</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0x0021</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YX33</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常规保护投入</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0x0022</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YX34</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备用</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0x0023</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YX35</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事故总（故障指示）</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0x0024</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YX36</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过流I段</w:t>
            </w:r>
            <w:r>
              <w:rPr>
                <w:rFonts w:hint="eastAsia"/>
                <w:szCs w:val="21"/>
              </w:rPr>
              <w:t xml:space="preserve">动作</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56"/>
        </w:trPr>
        <w:tc>
          <w:tcPr>
            <w:gridSpan w:val="2"/>
            <w:tcW w:w="1436" w:type="dxa"/>
            <w:vAlign w:val="center"/>
            <w:textDirection w:val="lrTb"/>
            <w:noWrap w:val="false"/>
          </w:tcPr>
          <w:p>
            <w:pPr>
              <w:pStyle w:val="1151"/>
              <w:jc w:val="center"/>
              <w:spacing w:line="276" w:lineRule="auto"/>
              <w:rPr>
                <w:szCs w:val="21"/>
              </w:rPr>
            </w:pPr>
            <w:r>
              <w:rPr>
                <w:szCs w:val="21"/>
              </w:rPr>
              <w:t xml:space="preserve">0x0025</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YX37</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过流II段</w:t>
            </w:r>
            <w:r>
              <w:rPr>
                <w:rFonts w:hint="eastAsia"/>
                <w:szCs w:val="21"/>
              </w:rPr>
              <w:t xml:space="preserve">动作</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0x0026</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YX38</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过流III段</w:t>
            </w:r>
            <w:r>
              <w:rPr>
                <w:rFonts w:hint="eastAsia"/>
                <w:szCs w:val="21"/>
              </w:rPr>
              <w:t xml:space="preserve">动作</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0x0027</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YX39</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零序过流I段</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0x0028</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YX40</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零序过流II段</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0x0029</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YX41</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小电流接地</w:t>
            </w:r>
            <w:r>
              <w:rPr>
                <w:rFonts w:hint="eastAsia"/>
                <w:szCs w:val="21"/>
              </w:rPr>
              <w:t xml:space="preserve">保护动作</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rFonts w:hint="eastAsia"/>
                <w:szCs w:val="21"/>
              </w:rPr>
              <w:t xml:space="preserve">0</w:t>
            </w:r>
            <w:r>
              <w:rPr>
                <w:szCs w:val="21"/>
              </w:rPr>
              <w:t xml:space="preserve">x002A</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YX42</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PT断线保护动作</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rFonts w:hint="eastAsia"/>
                <w:szCs w:val="21"/>
              </w:rPr>
              <w:t xml:space="preserve">0</w:t>
            </w:r>
            <w:r>
              <w:rPr>
                <w:szCs w:val="21"/>
              </w:rPr>
              <w:t xml:space="preserve">x002B</w:t>
            </w:r>
            <w:r>
              <w:rPr>
                <w:szCs w:val="21"/>
              </w:rPr>
            </w:r>
            <w:r/>
          </w:p>
        </w:tc>
        <w:tc>
          <w:tcPr>
            <w:gridSpan w:val="2"/>
            <w:tcW w:w="912" w:type="dxa"/>
            <w:vAlign w:val="center"/>
            <w:textDirection w:val="lrTb"/>
            <w:noWrap w:val="false"/>
          </w:tcPr>
          <w:p>
            <w:pPr>
              <w:pStyle w:val="1151"/>
              <w:jc w:val="center"/>
              <w:spacing w:line="276" w:lineRule="auto"/>
              <w:rPr>
                <w:szCs w:val="21"/>
              </w:rPr>
            </w:pPr>
            <w:r>
              <w:rPr>
                <w:rFonts w:hint="eastAsia"/>
                <w:szCs w:val="21"/>
              </w:rPr>
              <w:t xml:space="preserve">Y</w:t>
            </w:r>
            <w:r>
              <w:rPr>
                <w:szCs w:val="21"/>
              </w:rPr>
              <w:t xml:space="preserve">X43</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负荷越限告警</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0x002C</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YX44</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重载</w:t>
            </w:r>
            <w:r>
              <w:rPr>
                <w:rFonts w:hint="eastAsia"/>
                <w:szCs w:val="21"/>
              </w:rPr>
              <w:t xml:space="preserve">告警</w:t>
            </w:r>
            <w:r>
              <w:rPr>
                <w:szCs w:val="21"/>
              </w:rPr>
            </w:r>
            <w:r/>
          </w:p>
        </w:tc>
        <w:tc>
          <w:tcPr>
            <w:tcW w:w="2132" w:type="dxa"/>
            <w:vAlign w:val="center"/>
            <w:vMerge w:val="continue"/>
            <w:textDirection w:val="lrTb"/>
            <w:noWrap w:val="false"/>
          </w:tcPr>
          <w:p>
            <w:pPr>
              <w:pStyle w:val="1151"/>
              <w:ind w:firstLine="420"/>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0x002D</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YX45</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过载</w:t>
            </w:r>
            <w:r>
              <w:rPr>
                <w:rFonts w:hint="eastAsia"/>
                <w:szCs w:val="21"/>
              </w:rPr>
              <w:t xml:space="preserve">告警</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0x002E</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YX46</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重合闸动作</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0x002F</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YX47</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过流加速</w:t>
            </w:r>
            <w:r>
              <w:rPr>
                <w:rFonts w:hint="eastAsia"/>
                <w:szCs w:val="21"/>
              </w:rPr>
              <w:t xml:space="preserve">保护</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0x0030</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YX48</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零流加速</w:t>
            </w:r>
            <w:r>
              <w:rPr>
                <w:rFonts w:hint="eastAsia"/>
                <w:szCs w:val="21"/>
              </w:rPr>
              <w:t xml:space="preserve">保护</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0x0031</w:t>
            </w:r>
            <w:r>
              <w:rPr>
                <w:szCs w:val="21"/>
              </w:rPr>
            </w:r>
            <w:r/>
          </w:p>
        </w:tc>
        <w:tc>
          <w:tcPr>
            <w:gridSpan w:val="2"/>
            <w:tcW w:w="912" w:type="dxa"/>
            <w:vAlign w:val="center"/>
            <w:textDirection w:val="lrTb"/>
            <w:noWrap w:val="false"/>
          </w:tcPr>
          <w:p>
            <w:pPr>
              <w:pStyle w:val="1151"/>
              <w:jc w:val="center"/>
              <w:spacing w:line="276" w:lineRule="auto"/>
              <w:rPr>
                <w:szCs w:val="21"/>
              </w:rPr>
            </w:pPr>
            <w:r>
              <w:rPr>
                <w:rFonts w:hint="eastAsia"/>
                <w:szCs w:val="21"/>
              </w:rPr>
              <w:t xml:space="preserve">Y</w:t>
            </w:r>
            <w:r>
              <w:rPr>
                <w:szCs w:val="21"/>
              </w:rPr>
              <w:t xml:space="preserve">X49</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零压加速保护</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0x0032</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YX50</w:t>
            </w:r>
            <w:r>
              <w:rPr>
                <w:szCs w:val="21"/>
              </w:rPr>
            </w:r>
            <w:r/>
          </w:p>
        </w:tc>
        <w:tc>
          <w:tcPr>
            <w:tcW w:w="3901" w:type="dxa"/>
            <w:vAlign w:val="center"/>
            <w:textDirection w:val="lrTb"/>
            <w:noWrap w:val="false"/>
          </w:tcPr>
          <w:p>
            <w:pPr>
              <w:pStyle w:val="1151"/>
              <w:ind w:left="2" w:hanging="23"/>
              <w:jc w:val="center"/>
              <w:spacing w:line="276" w:lineRule="auto"/>
              <w:rPr>
                <w:szCs w:val="21"/>
              </w:rPr>
            </w:pPr>
            <w:r>
              <w:rPr>
                <w:rFonts w:hint="eastAsia"/>
              </w:rPr>
              <w:t xml:space="preserve">短路故障告警</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0x0033</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YX51</w:t>
            </w:r>
            <w:r>
              <w:rPr>
                <w:szCs w:val="21"/>
              </w:rPr>
            </w:r>
            <w:r/>
          </w:p>
        </w:tc>
        <w:tc>
          <w:tcPr>
            <w:tcW w:w="3901" w:type="dxa"/>
            <w:vAlign w:val="center"/>
            <w:textDirection w:val="lrTb"/>
            <w:noWrap w:val="false"/>
          </w:tcPr>
          <w:p>
            <w:pPr>
              <w:pStyle w:val="1151"/>
              <w:ind w:left="2" w:hanging="23"/>
              <w:jc w:val="center"/>
              <w:spacing w:line="276" w:lineRule="auto"/>
              <w:rPr>
                <w:szCs w:val="21"/>
              </w:rPr>
            </w:pPr>
            <w:r>
              <w:rPr>
                <w:rFonts w:hint="eastAsia"/>
                <w:szCs w:val="21"/>
              </w:rPr>
              <w:t xml:space="preserve">零流故障告警</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0x0034</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YX52</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小电流接地告警</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0x0035</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YX53</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PT断线告警</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0x0036</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YX54</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0x0037</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YX55</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0x0038</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YX56</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0x0039</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YX57</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0x003A</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YX58</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0x003B</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YX59</w:t>
            </w:r>
            <w:r>
              <w:rPr>
                <w:szCs w:val="21"/>
              </w:rPr>
            </w:r>
            <w:r/>
          </w:p>
        </w:tc>
        <w:tc>
          <w:tcPr>
            <w:tcW w:w="3901" w:type="dxa"/>
            <w:vAlign w:val="center"/>
            <w:textDirection w:val="lrTb"/>
            <w:noWrap w:val="false"/>
          </w:tcPr>
          <w:p>
            <w:pPr>
              <w:pStyle w:val="1151"/>
              <w:ind w:left="2" w:hanging="23"/>
              <w:jc w:val="center"/>
              <w:spacing w:line="276" w:lineRule="auto"/>
              <w:rPr>
                <w:szCs w:val="21"/>
              </w:rPr>
            </w:pPr>
            <w:r>
              <w:rPr>
                <w:rFonts w:hint="eastAsia"/>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0x003</w:t>
            </w:r>
            <w:r>
              <w:rPr>
                <w:rFonts w:hint="eastAsia"/>
                <w:szCs w:val="21"/>
              </w:rPr>
              <w:t xml:space="preserve">C</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YX60</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正向闭锁合闸</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0x003D</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YX61</w:t>
            </w:r>
            <w:r>
              <w:rPr>
                <w:szCs w:val="21"/>
              </w:rPr>
            </w:r>
            <w:r/>
          </w:p>
        </w:tc>
        <w:tc>
          <w:tcPr>
            <w:tcW w:w="3901" w:type="dxa"/>
            <w:vAlign w:val="center"/>
            <w:textDirection w:val="lrTb"/>
            <w:noWrap w:val="false"/>
          </w:tcPr>
          <w:p>
            <w:pPr>
              <w:pStyle w:val="1151"/>
              <w:jc w:val="center"/>
              <w:spacing w:line="276" w:lineRule="auto"/>
            </w:pPr>
            <w:r>
              <w:rPr>
                <w:szCs w:val="21"/>
              </w:rPr>
              <w:t xml:space="preserve">反向闭锁合闸</w:t>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0x003E</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YX62</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0x003F</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YX63</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0x0040</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YX64</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分布式FA隔离动作</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90"/>
        </w:trPr>
        <w:tc>
          <w:tcPr>
            <w:gridSpan w:val="2"/>
            <w:tcW w:w="1436" w:type="dxa"/>
            <w:vAlign w:val="center"/>
            <w:textDirection w:val="lrTb"/>
            <w:noWrap w:val="false"/>
          </w:tcPr>
          <w:p>
            <w:pPr>
              <w:pStyle w:val="1151"/>
              <w:jc w:val="center"/>
              <w:spacing w:line="276" w:lineRule="auto"/>
              <w:rPr>
                <w:szCs w:val="21"/>
              </w:rPr>
            </w:pPr>
            <w:r>
              <w:rPr>
                <w:szCs w:val="21"/>
              </w:rPr>
              <w:t xml:space="preserve">0x0041</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YX65</w:t>
            </w:r>
            <w:r>
              <w:rPr>
                <w:szCs w:val="21"/>
              </w:rPr>
            </w:r>
            <w:r/>
          </w:p>
        </w:tc>
        <w:tc>
          <w:tcPr>
            <w:tcW w:w="3901" w:type="dxa"/>
            <w:vAlign w:val="center"/>
            <w:textDirection w:val="lrTb"/>
            <w:noWrap w:val="false"/>
          </w:tcPr>
          <w:p>
            <w:pPr>
              <w:pStyle w:val="1151"/>
              <w:jc w:val="center"/>
              <w:spacing w:line="276" w:lineRule="auto"/>
              <w:rPr>
                <w:szCs w:val="21"/>
              </w:rPr>
            </w:pPr>
            <w:r>
              <w:rPr>
                <w:rFonts w:hint="eastAsia"/>
              </w:rPr>
              <w:t xml:space="preserve">分布式F</w:t>
            </w:r>
            <w:r>
              <w:t xml:space="preserve">A</w:t>
            </w:r>
            <w:r>
              <w:rPr>
                <w:rFonts w:hint="eastAsia"/>
              </w:rPr>
              <w:t xml:space="preserve">隔离成功</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0x0042</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YX66</w:t>
            </w:r>
            <w:r>
              <w:rPr>
                <w:szCs w:val="21"/>
              </w:rPr>
            </w:r>
            <w:r/>
          </w:p>
        </w:tc>
        <w:tc>
          <w:tcPr>
            <w:tcW w:w="3901" w:type="dxa"/>
            <w:vAlign w:val="center"/>
            <w:textDirection w:val="lrTb"/>
            <w:noWrap w:val="false"/>
          </w:tcPr>
          <w:p>
            <w:pPr>
              <w:pStyle w:val="1151"/>
              <w:jc w:val="center"/>
              <w:spacing w:line="276" w:lineRule="auto"/>
              <w:rPr>
                <w:szCs w:val="21"/>
              </w:rPr>
            </w:pPr>
            <w:r>
              <w:rPr>
                <w:rFonts w:hint="eastAsia"/>
              </w:rPr>
              <w:t xml:space="preserve">分布式F</w:t>
            </w:r>
            <w:r>
              <w:t xml:space="preserve">A</w:t>
            </w:r>
            <w:r>
              <w:rPr>
                <w:rFonts w:hint="eastAsia"/>
              </w:rPr>
              <w:t xml:space="preserve">隔离闭锁</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0x0043</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YX67</w:t>
            </w:r>
            <w:r>
              <w:rPr>
                <w:szCs w:val="21"/>
              </w:rPr>
            </w:r>
            <w:r/>
          </w:p>
        </w:tc>
        <w:tc>
          <w:tcPr>
            <w:tcW w:w="3901" w:type="dxa"/>
            <w:vAlign w:val="center"/>
            <w:textDirection w:val="lrTb"/>
            <w:noWrap w:val="false"/>
          </w:tcPr>
          <w:p>
            <w:pPr>
              <w:pStyle w:val="1151"/>
              <w:jc w:val="center"/>
              <w:spacing w:line="276" w:lineRule="auto"/>
              <w:rPr>
                <w:szCs w:val="21"/>
              </w:rPr>
            </w:pPr>
            <w:r>
              <w:rPr>
                <w:rFonts w:hint="eastAsia"/>
              </w:rPr>
              <w:t xml:space="preserve">分布式FA开关拒动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0x0044</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YX68</w:t>
            </w:r>
            <w:r>
              <w:rPr>
                <w:szCs w:val="21"/>
              </w:rPr>
            </w:r>
            <w:r/>
          </w:p>
        </w:tc>
        <w:tc>
          <w:tcPr>
            <w:tcW w:w="3901" w:type="dxa"/>
            <w:vAlign w:val="center"/>
            <w:textDirection w:val="lrTb"/>
            <w:noWrap w:val="false"/>
          </w:tcPr>
          <w:p>
            <w:pPr>
              <w:pStyle w:val="1151"/>
              <w:jc w:val="center"/>
              <w:spacing w:line="276" w:lineRule="auto"/>
              <w:rPr>
                <w:szCs w:val="21"/>
              </w:rPr>
            </w:pPr>
            <w:r>
              <w:rPr>
                <w:rFonts w:hint="eastAsia"/>
              </w:rPr>
              <w:t xml:space="preserve">分布式FA恢复动作</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0x0045</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YX69</w:t>
            </w:r>
            <w:r>
              <w:rPr>
                <w:szCs w:val="21"/>
              </w:rPr>
            </w:r>
            <w:r/>
          </w:p>
        </w:tc>
        <w:tc>
          <w:tcPr>
            <w:tcW w:w="3901" w:type="dxa"/>
            <w:vAlign w:val="center"/>
            <w:textDirection w:val="lrTb"/>
            <w:noWrap w:val="false"/>
          </w:tcPr>
          <w:p>
            <w:pPr>
              <w:pStyle w:val="1151"/>
              <w:jc w:val="center"/>
              <w:spacing w:line="276" w:lineRule="auto"/>
              <w:rPr>
                <w:szCs w:val="21"/>
              </w:rPr>
            </w:pPr>
            <w:r>
              <w:rPr>
                <w:rFonts w:hint="eastAsia"/>
              </w:rPr>
              <w:t xml:space="preserve">分布式FA恢复闭锁</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0x0046</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YX70</w:t>
            </w:r>
            <w:r>
              <w:rPr>
                <w:szCs w:val="21"/>
              </w:rPr>
            </w:r>
            <w:r/>
          </w:p>
        </w:tc>
        <w:tc>
          <w:tcPr>
            <w:tcW w:w="3901" w:type="dxa"/>
            <w:vAlign w:val="center"/>
            <w:textDirection w:val="lrTb"/>
            <w:noWrap w:val="false"/>
          </w:tcPr>
          <w:p>
            <w:pPr>
              <w:pStyle w:val="1151"/>
              <w:jc w:val="center"/>
              <w:spacing w:line="276" w:lineRule="auto"/>
              <w:rPr>
                <w:szCs w:val="21"/>
              </w:rPr>
            </w:pPr>
            <w:r>
              <w:rPr>
                <w:rFonts w:hint="eastAsia"/>
              </w:rPr>
              <w:t xml:space="preserve">首开关失压保护动作</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0x0047</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YX71</w:t>
            </w:r>
            <w:r>
              <w:rPr>
                <w:szCs w:val="21"/>
              </w:rPr>
            </w:r>
            <w:r/>
          </w:p>
        </w:tc>
        <w:tc>
          <w:tcPr>
            <w:tcW w:w="3901" w:type="dxa"/>
            <w:vAlign w:val="center"/>
            <w:textDirection w:val="lrTb"/>
            <w:noWrap w:val="false"/>
          </w:tcPr>
          <w:p>
            <w:pPr>
              <w:pStyle w:val="1151"/>
              <w:jc w:val="center"/>
              <w:spacing w:line="276" w:lineRule="auto"/>
              <w:rPr>
                <w:szCs w:val="21"/>
              </w:rPr>
            </w:pPr>
            <w:r>
              <w:rPr>
                <w:rFonts w:hint="eastAsia"/>
              </w:rPr>
              <w:t xml:space="preserve">失灵保护动作</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0x0048</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YX72</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分布式FA通信异常</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0x0049</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YX73</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0x004</w:t>
            </w:r>
            <w:r>
              <w:rPr>
                <w:rFonts w:hint="eastAsia"/>
                <w:szCs w:val="21"/>
              </w:rPr>
              <w:t xml:space="preserve">A</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YX74</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gridSpan w:val="2"/>
            <w:tcW w:w="1436" w:type="dxa"/>
            <w:vAlign w:val="center"/>
            <w:textDirection w:val="lrTb"/>
            <w:noWrap w:val="false"/>
          </w:tcPr>
          <w:p>
            <w:pPr>
              <w:pStyle w:val="1151"/>
              <w:jc w:val="center"/>
              <w:spacing w:line="276" w:lineRule="auto"/>
              <w:rPr>
                <w:szCs w:val="21"/>
              </w:rPr>
            </w:pPr>
            <w:r>
              <w:rPr>
                <w:szCs w:val="21"/>
              </w:rPr>
              <w:t xml:space="preserve">0x004B</w:t>
            </w:r>
            <w:r>
              <w:rPr>
                <w:szCs w:val="21"/>
              </w:rPr>
            </w:r>
            <w:r/>
          </w:p>
        </w:tc>
        <w:tc>
          <w:tcPr>
            <w:tcW w:w="895" w:type="dxa"/>
            <w:vAlign w:val="center"/>
            <w:textDirection w:val="lrTb"/>
            <w:noWrap w:val="false"/>
          </w:tcPr>
          <w:p>
            <w:pPr>
              <w:pStyle w:val="1151"/>
              <w:jc w:val="center"/>
              <w:spacing w:line="276" w:lineRule="auto"/>
              <w:rPr>
                <w:szCs w:val="21"/>
              </w:rPr>
            </w:pPr>
            <w:r>
              <w:rPr>
                <w:szCs w:val="21"/>
              </w:rPr>
              <w:t xml:space="preserve">YX75</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w:t>
            </w:r>
            <w:r>
              <w:rPr>
                <w:szCs w:val="21"/>
              </w:rPr>
            </w:r>
            <w:r/>
          </w:p>
        </w:tc>
        <w:tc>
          <w:tcPr>
            <w:tcW w:w="2132" w:type="dxa"/>
            <w:vAlign w:val="center"/>
            <w:textDirection w:val="lrTb"/>
            <w:noWrap w:val="false"/>
          </w:tcPr>
          <w:p>
            <w:pPr>
              <w:pStyle w:val="1151"/>
              <w:jc w:val="center"/>
              <w:spacing w:line="276" w:lineRule="auto"/>
              <w:rPr>
                <w:szCs w:val="21"/>
              </w:rPr>
            </w:pPr>
            <w:r>
              <w:rPr>
                <w:szCs w:val="21"/>
              </w:rPr>
              <w:t xml:space="preserve">第N路开关</w:t>
            </w:r>
            <w:r>
              <w:rPr>
                <w:szCs w:val="21"/>
              </w:rPr>
            </w:r>
            <w:r/>
          </w:p>
        </w:tc>
      </w:tr>
      <w:tr>
        <w:trPr>
          <w:trHeight w:val="113"/>
        </w:trPr>
        <w:tc>
          <w:tcPr>
            <w:gridSpan w:val="5"/>
            <w:tcW w:w="8364" w:type="dxa"/>
            <w:vAlign w:val="center"/>
            <w:textDirection w:val="lrTb"/>
            <w:noWrap w:val="false"/>
          </w:tcPr>
          <w:p>
            <w:pPr>
              <w:pStyle w:val="1151"/>
              <w:jc w:val="center"/>
              <w:spacing w:line="276" w:lineRule="auto"/>
              <w:rPr>
                <w:szCs w:val="21"/>
              </w:rPr>
            </w:pPr>
            <w:r>
              <w:rPr>
                <w:szCs w:val="21"/>
              </w:rPr>
              <w:t xml:space="preserve">三、遥控</w:t>
            </w: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0x6001</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YK1</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电池活化</w:t>
            </w:r>
            <w:r>
              <w:rPr>
                <w:szCs w:val="21"/>
              </w:rPr>
            </w:r>
            <w:r/>
          </w:p>
        </w:tc>
        <w:tc>
          <w:tcPr>
            <w:tcW w:w="2132" w:type="dxa"/>
            <w:vAlign w:val="center"/>
            <w:vMerge w:val="restart"/>
            <w:textDirection w:val="lrTb"/>
            <w:noWrap w:val="false"/>
          </w:tcPr>
          <w:p>
            <w:pPr>
              <w:pStyle w:val="1151"/>
              <w:jc w:val="center"/>
              <w:spacing w:line="276" w:lineRule="auto"/>
              <w:rPr>
                <w:szCs w:val="21"/>
              </w:rPr>
            </w:pPr>
            <w:r>
              <w:rPr>
                <w:szCs w:val="21"/>
              </w:rPr>
              <w:t xml:space="preserve">公共遥控</w:t>
            </w:r>
            <w:r>
              <w:rPr>
                <w:szCs w:val="21"/>
              </w:rPr>
            </w:r>
            <w:r/>
          </w:p>
          <w:p>
            <w:pPr>
              <w:pStyle w:val="1151"/>
              <w:jc w:val="center"/>
              <w:spacing w:line="276" w:lineRule="auto"/>
              <w:rPr>
                <w:szCs w:val="21"/>
              </w:rPr>
            </w:pPr>
            <w:r>
              <w:rPr>
                <w:szCs w:val="21"/>
              </w:rPr>
              <w:t xml:space="preserve">5个</w:t>
            </w: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0x6002</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YK2</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0x6003</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YK3</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远方复位</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0x6004</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YK4</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0x6005</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YK5</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0x6006</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YK6</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开关遥控</w:t>
            </w:r>
            <w:r>
              <w:rPr>
                <w:szCs w:val="21"/>
              </w:rPr>
            </w:r>
            <w:r/>
          </w:p>
        </w:tc>
        <w:tc>
          <w:tcPr>
            <w:tcW w:w="2132" w:type="dxa"/>
            <w:vAlign w:val="center"/>
            <w:vMerge w:val="restart"/>
            <w:textDirection w:val="lrTb"/>
            <w:noWrap w:val="false"/>
          </w:tcPr>
          <w:p>
            <w:pPr>
              <w:pStyle w:val="1151"/>
              <w:jc w:val="center"/>
              <w:spacing w:line="276" w:lineRule="auto"/>
              <w:rPr>
                <w:bCs/>
                <w:szCs w:val="21"/>
              </w:rPr>
            </w:pPr>
            <w:r>
              <w:rPr>
                <w:bCs/>
                <w:szCs w:val="21"/>
              </w:rPr>
              <w:t xml:space="preserve">第1路开关遥控</w:t>
            </w:r>
            <w:r>
              <w:rPr>
                <w:bCs/>
                <w:szCs w:val="21"/>
              </w:rPr>
            </w:r>
            <w:r/>
          </w:p>
          <w:p>
            <w:pPr>
              <w:pStyle w:val="1151"/>
              <w:jc w:val="center"/>
              <w:spacing w:line="276" w:lineRule="auto"/>
              <w:rPr>
                <w:bCs/>
                <w:szCs w:val="21"/>
              </w:rPr>
            </w:pPr>
            <w:r>
              <w:rPr>
                <w:bCs/>
                <w:szCs w:val="21"/>
              </w:rPr>
              <w:t xml:space="preserve">6个</w:t>
            </w:r>
            <w:r>
              <w:rPr>
                <w:bCs/>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0x6007</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YK7</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信号复归</w:t>
            </w:r>
            <w:r>
              <w:rPr>
                <w:rFonts w:hint="eastAsia"/>
                <w:szCs w:val="21"/>
              </w:rPr>
              <w:t xml:space="preserve">（不含闭锁解除）</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0x6008</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YK8</w:t>
            </w:r>
            <w:r>
              <w:rPr>
                <w:szCs w:val="21"/>
              </w:rPr>
            </w:r>
            <w:r/>
          </w:p>
        </w:tc>
        <w:tc>
          <w:tcPr>
            <w:tcW w:w="3901" w:type="dxa"/>
            <w:vAlign w:val="center"/>
            <w:textDirection w:val="lrTb"/>
            <w:noWrap w:val="false"/>
          </w:tcPr>
          <w:p>
            <w:pPr>
              <w:pStyle w:val="1151"/>
              <w:jc w:val="center"/>
              <w:spacing w:line="276" w:lineRule="auto"/>
              <w:rPr>
                <w:szCs w:val="21"/>
              </w:rPr>
            </w:pPr>
            <w:r>
              <w:rPr>
                <w:color w:val="000000"/>
                <w:szCs w:val="21"/>
              </w:rPr>
              <w:t xml:space="preserve">遥控软压板</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0x6009</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YK9</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0x600A</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YK10</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rFonts w:hint="eastAsia"/>
                <w:szCs w:val="21"/>
              </w:rPr>
              <w:t xml:space="preserve">0</w:t>
            </w:r>
            <w:r>
              <w:rPr>
                <w:szCs w:val="21"/>
              </w:rPr>
              <w:t xml:space="preserve">x600B</w:t>
            </w:r>
            <w:r>
              <w:rPr>
                <w:szCs w:val="21"/>
              </w:rPr>
            </w:r>
            <w:r/>
          </w:p>
        </w:tc>
        <w:tc>
          <w:tcPr>
            <w:gridSpan w:val="2"/>
            <w:tcW w:w="912" w:type="dxa"/>
            <w:vAlign w:val="center"/>
            <w:textDirection w:val="lrTb"/>
            <w:noWrap w:val="false"/>
          </w:tcPr>
          <w:p>
            <w:pPr>
              <w:pStyle w:val="1151"/>
              <w:jc w:val="center"/>
              <w:spacing w:line="276" w:lineRule="auto"/>
              <w:rPr>
                <w:szCs w:val="21"/>
              </w:rPr>
            </w:pPr>
            <w:r>
              <w:rPr>
                <w:rFonts w:hint="eastAsia"/>
                <w:szCs w:val="21"/>
              </w:rPr>
              <w:t xml:space="preserve">Y</w:t>
            </w:r>
            <w:r>
              <w:rPr>
                <w:szCs w:val="21"/>
              </w:rPr>
              <w:t xml:space="preserve">K11</w:t>
            </w:r>
            <w:r>
              <w:rPr>
                <w:szCs w:val="21"/>
              </w:rPr>
            </w:r>
            <w:r/>
          </w:p>
        </w:tc>
        <w:tc>
          <w:tcPr>
            <w:tcW w:w="3901" w:type="dxa"/>
            <w:vAlign w:val="center"/>
            <w:textDirection w:val="lrTb"/>
            <w:noWrap w:val="false"/>
          </w:tcPr>
          <w:p>
            <w:pPr>
              <w:pStyle w:val="1151"/>
              <w:jc w:val="center"/>
              <w:spacing w:line="276" w:lineRule="auto"/>
              <w:rPr>
                <w:szCs w:val="21"/>
              </w:rPr>
            </w:pPr>
            <w:r>
              <w:rPr>
                <w:rFonts w:hint="eastAsia"/>
                <w:szCs w:val="21"/>
              </w:rPr>
              <w:t xml:space="preserve">备用</w:t>
            </w:r>
            <w:r>
              <w:rPr>
                <w:szCs w:val="21"/>
              </w:rPr>
            </w:r>
            <w:r/>
          </w:p>
        </w:tc>
        <w:tc>
          <w:tcPr>
            <w:tcW w:w="2132" w:type="dxa"/>
            <w:vAlign w:val="center"/>
            <w:vMerge w:val="continue"/>
            <w:textDirection w:val="lrTb"/>
            <w:noWrap w:val="false"/>
          </w:tcPr>
          <w:p>
            <w:pPr>
              <w:pStyle w:val="1151"/>
              <w:jc w:val="center"/>
              <w:spacing w:line="276" w:lineRule="auto"/>
              <w:rPr>
                <w:szCs w:val="21"/>
              </w:rPr>
            </w:pPr>
            <w:r>
              <w:rPr>
                <w:szCs w:val="21"/>
              </w:rPr>
            </w:r>
            <w:r/>
          </w:p>
        </w:tc>
      </w:tr>
      <w:tr>
        <w:trPr>
          <w:trHeight w:val="113"/>
        </w:trPr>
        <w:tc>
          <w:tcPr>
            <w:tcW w:w="1419" w:type="dxa"/>
            <w:vAlign w:val="center"/>
            <w:textDirection w:val="lrTb"/>
            <w:noWrap w:val="false"/>
          </w:tcPr>
          <w:p>
            <w:pPr>
              <w:pStyle w:val="1151"/>
              <w:jc w:val="center"/>
              <w:spacing w:line="276" w:lineRule="auto"/>
              <w:rPr>
                <w:szCs w:val="21"/>
              </w:rPr>
            </w:pPr>
            <w:r>
              <w:rPr>
                <w:szCs w:val="21"/>
              </w:rPr>
              <w:t xml:space="preserve">…</w:t>
            </w:r>
            <w:r>
              <w:rPr>
                <w:szCs w:val="21"/>
              </w:rPr>
            </w:r>
            <w:r/>
          </w:p>
        </w:tc>
        <w:tc>
          <w:tcPr>
            <w:gridSpan w:val="2"/>
            <w:tcW w:w="912" w:type="dxa"/>
            <w:vAlign w:val="center"/>
            <w:textDirection w:val="lrTb"/>
            <w:noWrap w:val="false"/>
          </w:tcPr>
          <w:p>
            <w:pPr>
              <w:pStyle w:val="1151"/>
              <w:jc w:val="center"/>
              <w:spacing w:line="276" w:lineRule="auto"/>
              <w:rPr>
                <w:szCs w:val="21"/>
              </w:rPr>
            </w:pPr>
            <w:r>
              <w:rPr>
                <w:szCs w:val="21"/>
              </w:rPr>
              <w:t xml:space="preserve">…</w:t>
            </w:r>
            <w:r>
              <w:rPr>
                <w:szCs w:val="21"/>
              </w:rPr>
            </w:r>
            <w:r/>
          </w:p>
        </w:tc>
        <w:tc>
          <w:tcPr>
            <w:tcW w:w="3901" w:type="dxa"/>
            <w:vAlign w:val="center"/>
            <w:textDirection w:val="lrTb"/>
            <w:noWrap w:val="false"/>
          </w:tcPr>
          <w:p>
            <w:pPr>
              <w:pStyle w:val="1151"/>
              <w:jc w:val="center"/>
              <w:spacing w:line="276" w:lineRule="auto"/>
              <w:rPr>
                <w:szCs w:val="21"/>
              </w:rPr>
            </w:pPr>
            <w:r>
              <w:rPr>
                <w:szCs w:val="21"/>
              </w:rPr>
              <w:t xml:space="preserve">…</w:t>
            </w:r>
            <w:r>
              <w:rPr>
                <w:szCs w:val="21"/>
              </w:rPr>
            </w:r>
            <w:r/>
          </w:p>
        </w:tc>
        <w:tc>
          <w:tcPr>
            <w:tcW w:w="2132" w:type="dxa"/>
            <w:vAlign w:val="center"/>
            <w:textDirection w:val="lrTb"/>
            <w:noWrap w:val="false"/>
          </w:tcPr>
          <w:p>
            <w:pPr>
              <w:pStyle w:val="1151"/>
              <w:jc w:val="center"/>
              <w:spacing w:line="276" w:lineRule="auto"/>
              <w:rPr>
                <w:szCs w:val="21"/>
              </w:rPr>
            </w:pPr>
            <w:r>
              <w:rPr>
                <w:szCs w:val="21"/>
              </w:rPr>
              <w:t xml:space="preserve">第N路开关</w:t>
            </w:r>
            <w:r>
              <w:rPr>
                <w:szCs w:val="21"/>
              </w:rPr>
            </w:r>
            <w:r/>
          </w:p>
        </w:tc>
      </w:tr>
    </w:tbl>
    <w:p>
      <w:pPr>
        <w:pStyle w:val="1186"/>
        <w:ind w:left="480"/>
        <w:spacing w:line="276" w:lineRule="auto"/>
      </w:pPr>
      <w:r/>
      <w:r/>
    </w:p>
    <w:p>
      <w:pPr>
        <w:pStyle w:val="1151"/>
        <w:spacing w:before="312" w:after="312" w:line="276" w:lineRule="auto"/>
        <w:widowControl/>
        <w:rPr>
          <w:rFonts w:ascii="黑体" w:eastAsia="黑体"/>
        </w:rPr>
        <w:outlineLvl w:val="1"/>
      </w:pPr>
      <w:r>
        <w:rPr>
          <w:rFonts w:ascii="黑体" w:eastAsia="黑体"/>
        </w:rPr>
        <w:t xml:space="preserve">K.</w:t>
      </w:r>
      <w:r>
        <w:rPr>
          <w:rFonts w:hint="eastAsia" w:ascii="黑体" w:eastAsia="黑体"/>
        </w:rPr>
        <w:t xml:space="preserve">2站所终端参数定义</w:t>
      </w:r>
      <w:r>
        <w:rPr>
          <w:rFonts w:ascii="黑体" w:eastAsia="黑体"/>
        </w:rPr>
      </w:r>
      <w:r/>
    </w:p>
    <w:p>
      <w:pPr>
        <w:pStyle w:val="1201"/>
        <w:jc w:val="center"/>
        <w:spacing w:line="276" w:lineRule="auto"/>
        <w:tabs>
          <w:tab w:val="center" w:pos="4201" w:leader="none"/>
          <w:tab w:val="right" w:pos="9298" w:leader="dot"/>
        </w:tabs>
        <w:rPr>
          <w:rFonts w:ascii="Times New Roman" w:eastAsia="黑体"/>
        </w:rPr>
      </w:pPr>
      <w:r>
        <w:rPr>
          <w:rFonts w:ascii="Times New Roman" w:eastAsia="黑体"/>
        </w:rPr>
        <w:t xml:space="preserve">表K.</w:t>
      </w:r>
      <w:r>
        <w:rPr>
          <w:rFonts w:hint="eastAsia" w:ascii="Times New Roman" w:eastAsia="黑体"/>
        </w:rPr>
        <w:t xml:space="preserve">2</w:t>
      </w:r>
      <w:r>
        <w:rPr>
          <w:rFonts w:ascii="Times New Roman" w:eastAsia="黑体"/>
        </w:rPr>
        <w:t xml:space="preserve">-1 终端固有参数配置信息体地址分配表</w:t>
      </w:r>
      <w:r>
        <w:rPr>
          <w:rFonts w:ascii="Times New Roman" w:eastAsia="黑体"/>
        </w:rPr>
      </w:r>
      <w:r/>
    </w:p>
    <w:tbl>
      <w:tblPr>
        <w:tblW w:w="83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59"/>
        <w:gridCol w:w="2127"/>
        <w:gridCol w:w="2835"/>
        <w:gridCol w:w="1134"/>
      </w:tblGrid>
      <w:tr>
        <w:trPr>
          <w:trHeight w:val="113"/>
        </w:trPr>
        <w:tc>
          <w:tcPr>
            <w:tcW w:w="704" w:type="dxa"/>
            <w:vAlign w:val="center"/>
            <w:textDirection w:val="lrTb"/>
            <w:noWrap/>
          </w:tcPr>
          <w:p>
            <w:pPr>
              <w:pStyle w:val="1151"/>
              <w:jc w:val="center"/>
              <w:spacing w:line="276" w:lineRule="auto"/>
              <w:widowControl/>
              <w:rPr>
                <w:color w:val="000000"/>
                <w:szCs w:val="21"/>
              </w:rPr>
            </w:pPr>
            <w:r>
              <w:rPr>
                <w:color w:val="000000"/>
                <w:szCs w:val="21"/>
              </w:rPr>
              <w:t xml:space="preserve">序号</w:t>
            </w:r>
            <w:r>
              <w:rPr>
                <w:color w:val="000000"/>
                <w:szCs w:val="21"/>
              </w:rPr>
            </w:r>
            <w:r/>
          </w:p>
        </w:tc>
        <w:tc>
          <w:tcPr>
            <w:tcW w:w="1559" w:type="dxa"/>
            <w:vAlign w:val="center"/>
            <w:textDirection w:val="lrTb"/>
            <w:noWrap/>
          </w:tcPr>
          <w:p>
            <w:pPr>
              <w:pStyle w:val="1151"/>
              <w:jc w:val="center"/>
              <w:spacing w:line="276" w:lineRule="auto"/>
              <w:widowControl/>
              <w:rPr>
                <w:color w:val="000000"/>
                <w:szCs w:val="21"/>
              </w:rPr>
            </w:pPr>
            <w:r>
              <w:rPr>
                <w:color w:val="000000"/>
                <w:szCs w:val="21"/>
              </w:rPr>
              <w:t xml:space="preserve">信息体地址</w:t>
            </w:r>
            <w:r>
              <w:rPr>
                <w:color w:val="000000"/>
                <w:szCs w:val="21"/>
              </w:rPr>
            </w:r>
            <w:r/>
          </w:p>
        </w:tc>
        <w:tc>
          <w:tcPr>
            <w:tcW w:w="2127" w:type="dxa"/>
            <w:vAlign w:val="center"/>
            <w:textDirection w:val="lrTb"/>
            <w:noWrap/>
          </w:tcPr>
          <w:p>
            <w:pPr>
              <w:pStyle w:val="1151"/>
              <w:jc w:val="center"/>
              <w:spacing w:line="276" w:lineRule="auto"/>
              <w:widowControl/>
              <w:rPr>
                <w:color w:val="000000"/>
                <w:szCs w:val="21"/>
              </w:rPr>
            </w:pPr>
            <w:r>
              <w:rPr>
                <w:color w:val="000000"/>
                <w:szCs w:val="21"/>
              </w:rPr>
              <w:t xml:space="preserve">参数描述</w:t>
            </w:r>
            <w:r>
              <w:rPr>
                <w:color w:val="000000"/>
                <w:szCs w:val="21"/>
              </w:rPr>
            </w:r>
            <w:r/>
          </w:p>
        </w:tc>
        <w:tc>
          <w:tcPr>
            <w:tcW w:w="2835" w:type="dxa"/>
            <w:vAlign w:val="top"/>
            <w:textDirection w:val="lrTb"/>
            <w:noWrap w:val="false"/>
          </w:tcPr>
          <w:p>
            <w:pPr>
              <w:pStyle w:val="1151"/>
              <w:jc w:val="center"/>
              <w:spacing w:line="276" w:lineRule="auto"/>
              <w:widowControl/>
              <w:rPr>
                <w:color w:val="000000"/>
                <w:szCs w:val="21"/>
              </w:rPr>
            </w:pPr>
            <w:r>
              <w:rPr>
                <w:color w:val="000000"/>
                <w:szCs w:val="21"/>
              </w:rPr>
              <w:t xml:space="preserve">参数类型</w:t>
            </w:r>
            <w:r>
              <w:rPr>
                <w:color w:val="000000"/>
                <w:szCs w:val="21"/>
              </w:rPr>
            </w:r>
            <w:r/>
          </w:p>
        </w:tc>
        <w:tc>
          <w:tcPr>
            <w:tcW w:w="1134" w:type="dxa"/>
            <w:vAlign w:val="top"/>
            <w:textDirection w:val="lrTb"/>
            <w:noWrap w:val="false"/>
          </w:tcPr>
          <w:p>
            <w:pPr>
              <w:pStyle w:val="1151"/>
              <w:jc w:val="center"/>
              <w:spacing w:line="276" w:lineRule="auto"/>
              <w:widowControl/>
              <w:rPr>
                <w:color w:val="000000"/>
                <w:szCs w:val="21"/>
              </w:rPr>
            </w:pPr>
            <w:r>
              <w:rPr>
                <w:color w:val="000000"/>
                <w:szCs w:val="21"/>
              </w:rPr>
              <w:t xml:space="preserve">备注</w:t>
            </w:r>
            <w:r>
              <w:rPr>
                <w:color w:val="000000"/>
                <w:szCs w:val="21"/>
              </w:rPr>
            </w:r>
            <w:r/>
          </w:p>
        </w:tc>
      </w:tr>
      <w:tr>
        <w:trPr>
          <w:trHeight w:val="113"/>
        </w:trPr>
        <w:tc>
          <w:tcPr>
            <w:tcW w:w="704" w:type="dxa"/>
            <w:vAlign w:val="center"/>
            <w:textDirection w:val="lrTb"/>
            <w:noWrap/>
          </w:tcPr>
          <w:p>
            <w:pPr>
              <w:pStyle w:val="1151"/>
              <w:jc w:val="center"/>
              <w:spacing w:line="276" w:lineRule="auto"/>
              <w:widowControl/>
              <w:rPr>
                <w:color w:val="000000"/>
                <w:szCs w:val="21"/>
              </w:rPr>
            </w:pPr>
            <w:r>
              <w:rPr>
                <w:color w:val="000000"/>
                <w:szCs w:val="21"/>
              </w:rPr>
              <w:t xml:space="preserve">1</w:t>
            </w:r>
            <w:r>
              <w:rPr>
                <w:color w:val="000000"/>
                <w:szCs w:val="21"/>
              </w:rPr>
            </w:r>
            <w:r/>
          </w:p>
        </w:tc>
        <w:tc>
          <w:tcPr>
            <w:tcW w:w="1559" w:type="dxa"/>
            <w:vAlign w:val="center"/>
            <w:textDirection w:val="lrTb"/>
            <w:noWrap/>
          </w:tcPr>
          <w:p>
            <w:pPr>
              <w:pStyle w:val="1151"/>
              <w:jc w:val="center"/>
              <w:spacing w:line="276" w:lineRule="auto"/>
              <w:widowControl/>
              <w:rPr>
                <w:color w:val="000000"/>
                <w:szCs w:val="21"/>
              </w:rPr>
            </w:pPr>
            <w:r>
              <w:rPr>
                <w:color w:val="000000"/>
                <w:szCs w:val="21"/>
              </w:rPr>
              <w:t xml:space="preserve">0x8001</w:t>
            </w:r>
            <w:r>
              <w:rPr>
                <w:color w:val="000000"/>
                <w:szCs w:val="21"/>
              </w:rPr>
            </w:r>
            <w:r/>
          </w:p>
        </w:tc>
        <w:tc>
          <w:tcPr>
            <w:tcW w:w="2127" w:type="dxa"/>
            <w:vAlign w:val="center"/>
            <w:textDirection w:val="lrTb"/>
            <w:noWrap/>
          </w:tcPr>
          <w:p>
            <w:pPr>
              <w:pStyle w:val="1151"/>
              <w:jc w:val="center"/>
              <w:spacing w:line="276" w:lineRule="auto"/>
              <w:widowControl/>
              <w:rPr>
                <w:color w:val="000000"/>
                <w:szCs w:val="21"/>
              </w:rPr>
            </w:pPr>
            <w:r>
              <w:rPr>
                <w:color w:val="000000"/>
                <w:szCs w:val="21"/>
              </w:rPr>
              <w:t xml:space="preserve">终端类型</w:t>
            </w:r>
            <w:r>
              <w:rPr>
                <w:color w:val="000000"/>
                <w:szCs w:val="21"/>
              </w:rPr>
            </w:r>
            <w:r/>
          </w:p>
        </w:tc>
        <w:tc>
          <w:tcPr>
            <w:tcW w:w="2835" w:type="dxa"/>
            <w:vAlign w:val="top"/>
            <w:textDirection w:val="lrTb"/>
            <w:noWrap w:val="false"/>
          </w:tcPr>
          <w:p>
            <w:pPr>
              <w:pStyle w:val="1151"/>
              <w:jc w:val="center"/>
              <w:spacing w:line="276" w:lineRule="auto"/>
              <w:widowControl/>
              <w:rPr>
                <w:color w:val="000000"/>
                <w:szCs w:val="21"/>
              </w:rPr>
            </w:pPr>
            <w:r>
              <w:rPr>
                <w:szCs w:val="21"/>
              </w:rPr>
              <w:t xml:space="preserve">字符串，F30\D30等，长度4字节，包含\0</w:t>
            </w:r>
            <w:r>
              <w:rPr>
                <w:color w:val="000000"/>
                <w:szCs w:val="21"/>
              </w:rPr>
            </w:r>
            <w:r/>
          </w:p>
        </w:tc>
        <w:tc>
          <w:tcPr>
            <w:tcW w:w="1134" w:type="dxa"/>
            <w:vAlign w:val="top"/>
            <w:vMerge w:val="restart"/>
            <w:textDirection w:val="lrTb"/>
            <w:noWrap w:val="false"/>
          </w:tcPr>
          <w:p>
            <w:pPr>
              <w:pStyle w:val="1151"/>
              <w:jc w:val="center"/>
              <w:spacing w:line="276" w:lineRule="auto"/>
              <w:widowControl/>
              <w:rPr>
                <w:color w:val="000000"/>
                <w:szCs w:val="21"/>
              </w:rPr>
            </w:pPr>
            <w:r>
              <w:rPr>
                <w:color w:val="000000"/>
                <w:szCs w:val="21"/>
              </w:rPr>
              <w:t xml:space="preserve">集中式站所终端/分散式站所终端公共单元</w:t>
            </w:r>
            <w:r>
              <w:rPr>
                <w:color w:val="000000"/>
                <w:szCs w:val="21"/>
              </w:rPr>
            </w:r>
            <w:r/>
          </w:p>
        </w:tc>
      </w:tr>
      <w:tr>
        <w:trPr>
          <w:trHeight w:val="304"/>
        </w:trPr>
        <w:tc>
          <w:tcPr>
            <w:tcW w:w="704" w:type="dxa"/>
            <w:vAlign w:val="center"/>
            <w:textDirection w:val="lrTb"/>
            <w:noWrap/>
          </w:tcPr>
          <w:p>
            <w:pPr>
              <w:pStyle w:val="1151"/>
              <w:jc w:val="center"/>
              <w:spacing w:line="276" w:lineRule="auto"/>
              <w:widowControl/>
              <w:rPr>
                <w:color w:val="000000"/>
                <w:szCs w:val="21"/>
              </w:rPr>
            </w:pPr>
            <w:r>
              <w:rPr>
                <w:color w:val="000000"/>
                <w:szCs w:val="21"/>
              </w:rPr>
              <w:t xml:space="preserve">2</w:t>
            </w:r>
            <w:r>
              <w:rPr>
                <w:color w:val="000000"/>
                <w:szCs w:val="21"/>
              </w:rPr>
            </w:r>
            <w:r/>
          </w:p>
        </w:tc>
        <w:tc>
          <w:tcPr>
            <w:tcW w:w="1559" w:type="dxa"/>
            <w:vAlign w:val="center"/>
            <w:textDirection w:val="lrTb"/>
            <w:noWrap/>
          </w:tcPr>
          <w:p>
            <w:pPr>
              <w:pStyle w:val="1151"/>
              <w:jc w:val="center"/>
              <w:spacing w:line="276" w:lineRule="auto"/>
              <w:widowControl/>
              <w:rPr>
                <w:color w:val="000000"/>
                <w:szCs w:val="21"/>
              </w:rPr>
            </w:pPr>
            <w:r>
              <w:rPr>
                <w:color w:val="000000"/>
                <w:szCs w:val="21"/>
              </w:rPr>
              <w:t xml:space="preserve">0x8002</w:t>
            </w:r>
            <w:r>
              <w:rPr>
                <w:color w:val="000000"/>
                <w:szCs w:val="21"/>
              </w:rPr>
            </w:r>
            <w:r/>
          </w:p>
        </w:tc>
        <w:tc>
          <w:tcPr>
            <w:tcW w:w="2127" w:type="dxa"/>
            <w:vAlign w:val="center"/>
            <w:textDirection w:val="lrTb"/>
            <w:noWrap/>
          </w:tcPr>
          <w:p>
            <w:pPr>
              <w:pStyle w:val="1151"/>
              <w:jc w:val="center"/>
              <w:spacing w:line="276" w:lineRule="auto"/>
              <w:widowControl/>
              <w:rPr>
                <w:color w:val="000000"/>
                <w:szCs w:val="21"/>
              </w:rPr>
            </w:pPr>
            <w:r>
              <w:rPr>
                <w:color w:val="000000"/>
                <w:szCs w:val="21"/>
              </w:rPr>
              <w:t xml:space="preserve">终端操作系统</w:t>
            </w:r>
            <w:r>
              <w:rPr>
                <w:color w:val="000000"/>
                <w:szCs w:val="21"/>
              </w:rPr>
            </w:r>
            <w:r/>
          </w:p>
        </w:tc>
        <w:tc>
          <w:tcPr>
            <w:tcW w:w="2835" w:type="dxa"/>
            <w:vAlign w:val="top"/>
            <w:textDirection w:val="lrTb"/>
            <w:noWrap w:val="false"/>
          </w:tcPr>
          <w:p>
            <w:pPr>
              <w:pStyle w:val="1151"/>
              <w:jc w:val="center"/>
              <w:spacing w:line="276" w:lineRule="auto"/>
              <w:widowControl/>
              <w:rPr>
                <w:szCs w:val="21"/>
              </w:rPr>
            </w:pPr>
            <w:r>
              <w:rPr>
                <w:szCs w:val="21"/>
              </w:rPr>
              <w:t xml:space="preserve">字符串，参考《Q/GDW11183-2018配电自动化终端参数配置规范》第6.1.2</w:t>
            </w:r>
            <w:r>
              <w:rPr>
                <w:szCs w:val="21"/>
              </w:rPr>
            </w:r>
            <w:r/>
          </w:p>
        </w:tc>
        <w:tc>
          <w:tcPr>
            <w:tcW w:w="1134" w:type="dxa"/>
            <w:vAlign w:val="top"/>
            <w:vMerge w:val="continue"/>
            <w:textDirection w:val="lrTb"/>
            <w:noWrap w:val="false"/>
          </w:tcPr>
          <w:p>
            <w:pPr>
              <w:pStyle w:val="1151"/>
              <w:ind w:firstLine="360"/>
              <w:jc w:val="center"/>
              <w:spacing w:line="276" w:lineRule="auto"/>
              <w:widowControl/>
              <w:rPr>
                <w:rFonts w:eastAsia="方正仿宋_GBK"/>
                <w:color w:val="000000"/>
                <w:sz w:val="18"/>
                <w:szCs w:val="18"/>
              </w:rPr>
            </w:pPr>
            <w:r>
              <w:rPr>
                <w:rFonts w:eastAsia="方正仿宋_GBK"/>
                <w:color w:val="000000"/>
                <w:sz w:val="18"/>
                <w:szCs w:val="18"/>
              </w:rPr>
            </w:r>
            <w:r/>
          </w:p>
        </w:tc>
      </w:tr>
      <w:tr>
        <w:trPr>
          <w:trHeight w:val="113"/>
        </w:trPr>
        <w:tc>
          <w:tcPr>
            <w:tcW w:w="704" w:type="dxa"/>
            <w:vAlign w:val="center"/>
            <w:textDirection w:val="lrTb"/>
            <w:noWrap/>
          </w:tcPr>
          <w:p>
            <w:pPr>
              <w:pStyle w:val="1151"/>
              <w:jc w:val="center"/>
              <w:spacing w:line="276" w:lineRule="auto"/>
              <w:widowControl/>
              <w:rPr>
                <w:color w:val="000000"/>
                <w:szCs w:val="21"/>
              </w:rPr>
            </w:pPr>
            <w:r>
              <w:rPr>
                <w:color w:val="000000"/>
                <w:szCs w:val="21"/>
              </w:rPr>
              <w:t xml:space="preserve">3</w:t>
            </w:r>
            <w:r>
              <w:rPr>
                <w:color w:val="000000"/>
                <w:szCs w:val="21"/>
              </w:rPr>
            </w:r>
            <w:r/>
          </w:p>
        </w:tc>
        <w:tc>
          <w:tcPr>
            <w:tcW w:w="1559" w:type="dxa"/>
            <w:vAlign w:val="center"/>
            <w:textDirection w:val="lrTb"/>
            <w:noWrap/>
          </w:tcPr>
          <w:p>
            <w:pPr>
              <w:pStyle w:val="1151"/>
              <w:jc w:val="center"/>
              <w:spacing w:line="276" w:lineRule="auto"/>
              <w:widowControl/>
              <w:rPr>
                <w:color w:val="000000"/>
                <w:szCs w:val="21"/>
              </w:rPr>
            </w:pPr>
            <w:r>
              <w:rPr>
                <w:color w:val="000000"/>
                <w:szCs w:val="21"/>
              </w:rPr>
              <w:t xml:space="preserve">0x8003</w:t>
            </w:r>
            <w:r>
              <w:rPr>
                <w:color w:val="000000"/>
                <w:szCs w:val="21"/>
              </w:rPr>
            </w:r>
            <w:r/>
          </w:p>
        </w:tc>
        <w:tc>
          <w:tcPr>
            <w:tcW w:w="2127" w:type="dxa"/>
            <w:vAlign w:val="center"/>
            <w:textDirection w:val="lrTb"/>
            <w:noWrap/>
          </w:tcPr>
          <w:p>
            <w:pPr>
              <w:pStyle w:val="1151"/>
              <w:jc w:val="center"/>
              <w:spacing w:line="276" w:lineRule="auto"/>
              <w:widowControl/>
              <w:rPr>
                <w:color w:val="000000"/>
                <w:szCs w:val="21"/>
              </w:rPr>
            </w:pPr>
            <w:r>
              <w:rPr>
                <w:color w:val="000000"/>
                <w:szCs w:val="21"/>
              </w:rPr>
              <w:t xml:space="preserve">终端制造商</w:t>
            </w:r>
            <w:r>
              <w:rPr>
                <w:color w:val="000000"/>
                <w:szCs w:val="21"/>
              </w:rPr>
            </w:r>
            <w:r/>
          </w:p>
        </w:tc>
        <w:tc>
          <w:tcPr>
            <w:tcW w:w="2835" w:type="dxa"/>
            <w:vAlign w:val="top"/>
            <w:textDirection w:val="lrTb"/>
            <w:noWrap w:val="false"/>
          </w:tcPr>
          <w:p>
            <w:pPr>
              <w:pStyle w:val="1151"/>
              <w:jc w:val="center"/>
              <w:spacing w:line="276" w:lineRule="auto"/>
              <w:widowControl/>
              <w:rPr>
                <w:rFonts w:eastAsia="方正仿宋_GBK"/>
                <w:color w:val="000000"/>
                <w:szCs w:val="21"/>
              </w:rPr>
            </w:pPr>
            <w:r>
              <w:rPr>
                <w:szCs w:val="21"/>
              </w:rPr>
              <w:t xml:space="preserve">字符串，国家电网分配的四字代码，长度5字节，包含\0</w:t>
            </w:r>
            <w:r>
              <w:rPr>
                <w:rFonts w:eastAsia="方正仿宋_GBK"/>
                <w:color w:val="000000"/>
                <w:szCs w:val="21"/>
              </w:rPr>
            </w:r>
            <w:r/>
          </w:p>
        </w:tc>
        <w:tc>
          <w:tcPr>
            <w:tcW w:w="1134" w:type="dxa"/>
            <w:vAlign w:val="top"/>
            <w:vMerge w:val="continue"/>
            <w:textDirection w:val="lrTb"/>
            <w:noWrap w:val="false"/>
          </w:tcPr>
          <w:p>
            <w:pPr>
              <w:pStyle w:val="1151"/>
              <w:ind w:firstLine="360"/>
              <w:jc w:val="center"/>
              <w:spacing w:line="276" w:lineRule="auto"/>
              <w:widowControl/>
              <w:rPr>
                <w:rFonts w:eastAsia="方正仿宋_GBK"/>
                <w:color w:val="000000"/>
                <w:sz w:val="18"/>
                <w:szCs w:val="18"/>
              </w:rPr>
            </w:pPr>
            <w:r>
              <w:rPr>
                <w:rFonts w:eastAsia="方正仿宋_GBK"/>
                <w:color w:val="000000"/>
                <w:sz w:val="18"/>
                <w:szCs w:val="18"/>
              </w:rPr>
            </w:r>
            <w:r/>
          </w:p>
        </w:tc>
      </w:tr>
      <w:tr>
        <w:trPr>
          <w:trHeight w:val="113"/>
        </w:trPr>
        <w:tc>
          <w:tcPr>
            <w:tcW w:w="704" w:type="dxa"/>
            <w:vAlign w:val="center"/>
            <w:textDirection w:val="lrTb"/>
            <w:noWrap/>
          </w:tcPr>
          <w:p>
            <w:pPr>
              <w:pStyle w:val="1151"/>
              <w:jc w:val="center"/>
              <w:spacing w:line="276" w:lineRule="auto"/>
              <w:widowControl/>
              <w:rPr>
                <w:color w:val="000000"/>
                <w:szCs w:val="21"/>
              </w:rPr>
            </w:pPr>
            <w:r>
              <w:rPr>
                <w:color w:val="000000"/>
                <w:szCs w:val="21"/>
              </w:rPr>
              <w:t xml:space="preserve">4</w:t>
            </w:r>
            <w:r>
              <w:rPr>
                <w:color w:val="000000"/>
                <w:szCs w:val="21"/>
              </w:rPr>
            </w:r>
            <w:r/>
          </w:p>
        </w:tc>
        <w:tc>
          <w:tcPr>
            <w:tcW w:w="1559" w:type="dxa"/>
            <w:vAlign w:val="center"/>
            <w:textDirection w:val="lrTb"/>
            <w:noWrap/>
          </w:tcPr>
          <w:p>
            <w:pPr>
              <w:pStyle w:val="1151"/>
              <w:jc w:val="center"/>
              <w:spacing w:line="276" w:lineRule="auto"/>
              <w:widowControl/>
              <w:rPr>
                <w:color w:val="000000"/>
                <w:szCs w:val="21"/>
              </w:rPr>
            </w:pPr>
            <w:r>
              <w:rPr>
                <w:color w:val="000000"/>
                <w:szCs w:val="21"/>
              </w:rPr>
              <w:t xml:space="preserve">0x8004</w:t>
            </w:r>
            <w:r>
              <w:rPr>
                <w:color w:val="000000"/>
                <w:szCs w:val="21"/>
              </w:rPr>
            </w:r>
            <w:r/>
          </w:p>
        </w:tc>
        <w:tc>
          <w:tcPr>
            <w:tcW w:w="2127" w:type="dxa"/>
            <w:vAlign w:val="center"/>
            <w:textDirection w:val="lrTb"/>
            <w:noWrap/>
          </w:tcPr>
          <w:p>
            <w:pPr>
              <w:pStyle w:val="1151"/>
              <w:jc w:val="center"/>
              <w:spacing w:line="276" w:lineRule="auto"/>
              <w:widowControl/>
              <w:rPr>
                <w:color w:val="000000"/>
                <w:szCs w:val="21"/>
              </w:rPr>
            </w:pPr>
            <w:r>
              <w:rPr>
                <w:color w:val="000000"/>
                <w:szCs w:val="21"/>
              </w:rPr>
              <w:t xml:space="preserve">终端硬件版本</w:t>
            </w:r>
            <w:r>
              <w:rPr>
                <w:color w:val="000000"/>
                <w:szCs w:val="21"/>
              </w:rPr>
            </w:r>
            <w:r/>
          </w:p>
        </w:tc>
        <w:tc>
          <w:tcPr>
            <w:tcW w:w="2835" w:type="dxa"/>
            <w:vAlign w:val="top"/>
            <w:textDirection w:val="lrTb"/>
            <w:noWrap w:val="false"/>
          </w:tcPr>
          <w:p>
            <w:pPr>
              <w:pStyle w:val="1151"/>
              <w:jc w:val="center"/>
              <w:spacing w:line="276" w:lineRule="auto"/>
              <w:widowControl/>
              <w:rPr>
                <w:rFonts w:eastAsia="方正仿宋_GBK"/>
                <w:color w:val="000000"/>
                <w:szCs w:val="21"/>
              </w:rPr>
            </w:pPr>
            <w:r>
              <w:rPr>
                <w:szCs w:val="21"/>
              </w:rPr>
              <w:t xml:space="preserve">字符串，参考《Q/GDW11183-2018配电自动化终端参数配置规范》第6.1.3</w:t>
            </w:r>
            <w:r>
              <w:rPr>
                <w:rFonts w:eastAsia="方正仿宋_GBK"/>
                <w:color w:val="000000"/>
                <w:szCs w:val="21"/>
              </w:rPr>
            </w:r>
            <w:r/>
          </w:p>
        </w:tc>
        <w:tc>
          <w:tcPr>
            <w:tcW w:w="1134" w:type="dxa"/>
            <w:vAlign w:val="top"/>
            <w:vMerge w:val="continue"/>
            <w:textDirection w:val="lrTb"/>
            <w:noWrap w:val="false"/>
          </w:tcPr>
          <w:p>
            <w:pPr>
              <w:pStyle w:val="1151"/>
              <w:ind w:firstLine="360"/>
              <w:jc w:val="center"/>
              <w:spacing w:line="276" w:lineRule="auto"/>
              <w:widowControl/>
              <w:rPr>
                <w:rFonts w:eastAsia="方正仿宋_GBK"/>
                <w:color w:val="000000"/>
                <w:sz w:val="18"/>
                <w:szCs w:val="18"/>
              </w:rPr>
            </w:pPr>
            <w:r>
              <w:rPr>
                <w:rFonts w:eastAsia="方正仿宋_GBK"/>
                <w:color w:val="000000"/>
                <w:sz w:val="18"/>
                <w:szCs w:val="18"/>
              </w:rPr>
            </w:r>
            <w:r/>
          </w:p>
        </w:tc>
      </w:tr>
      <w:tr>
        <w:trPr>
          <w:trHeight w:val="113"/>
        </w:trPr>
        <w:tc>
          <w:tcPr>
            <w:tcW w:w="704" w:type="dxa"/>
            <w:vAlign w:val="center"/>
            <w:textDirection w:val="lrTb"/>
            <w:noWrap/>
          </w:tcPr>
          <w:p>
            <w:pPr>
              <w:pStyle w:val="1151"/>
              <w:jc w:val="center"/>
              <w:spacing w:line="276" w:lineRule="auto"/>
              <w:widowControl/>
              <w:rPr>
                <w:color w:val="000000"/>
                <w:szCs w:val="21"/>
              </w:rPr>
            </w:pPr>
            <w:r>
              <w:rPr>
                <w:color w:val="000000"/>
                <w:szCs w:val="21"/>
              </w:rPr>
              <w:t xml:space="preserve">5</w:t>
            </w:r>
            <w:r>
              <w:rPr>
                <w:color w:val="000000"/>
                <w:szCs w:val="21"/>
              </w:rPr>
            </w:r>
            <w:r/>
          </w:p>
        </w:tc>
        <w:tc>
          <w:tcPr>
            <w:tcW w:w="1559" w:type="dxa"/>
            <w:vAlign w:val="center"/>
            <w:textDirection w:val="lrTb"/>
            <w:noWrap/>
          </w:tcPr>
          <w:p>
            <w:pPr>
              <w:pStyle w:val="1151"/>
              <w:jc w:val="center"/>
              <w:spacing w:line="276" w:lineRule="auto"/>
              <w:widowControl/>
              <w:rPr>
                <w:color w:val="000000"/>
                <w:szCs w:val="21"/>
              </w:rPr>
            </w:pPr>
            <w:r>
              <w:rPr>
                <w:color w:val="000000"/>
                <w:szCs w:val="21"/>
              </w:rPr>
              <w:t xml:space="preserve">0x8005</w:t>
            </w:r>
            <w:r>
              <w:rPr>
                <w:color w:val="000000"/>
                <w:szCs w:val="21"/>
              </w:rPr>
            </w:r>
            <w:r/>
          </w:p>
        </w:tc>
        <w:tc>
          <w:tcPr>
            <w:tcW w:w="2127" w:type="dxa"/>
            <w:vAlign w:val="center"/>
            <w:textDirection w:val="lrTb"/>
            <w:noWrap/>
          </w:tcPr>
          <w:p>
            <w:pPr>
              <w:pStyle w:val="1151"/>
              <w:jc w:val="center"/>
              <w:spacing w:line="276" w:lineRule="auto"/>
              <w:widowControl/>
              <w:rPr>
                <w:color w:val="000000"/>
                <w:szCs w:val="21"/>
              </w:rPr>
            </w:pPr>
            <w:r>
              <w:rPr>
                <w:color w:val="000000"/>
                <w:szCs w:val="21"/>
              </w:rPr>
              <w:t xml:space="preserve">终端软件版本</w:t>
            </w:r>
            <w:r>
              <w:rPr>
                <w:color w:val="000000"/>
                <w:szCs w:val="21"/>
              </w:rPr>
            </w:r>
            <w:r/>
          </w:p>
        </w:tc>
        <w:tc>
          <w:tcPr>
            <w:tcW w:w="2835" w:type="dxa"/>
            <w:vAlign w:val="top"/>
            <w:textDirection w:val="lrTb"/>
            <w:noWrap w:val="false"/>
          </w:tcPr>
          <w:p>
            <w:pPr>
              <w:pStyle w:val="1151"/>
              <w:jc w:val="center"/>
              <w:spacing w:line="276" w:lineRule="auto"/>
              <w:widowControl/>
              <w:rPr>
                <w:rFonts w:eastAsia="方正仿宋_GBK"/>
                <w:color w:val="000000"/>
                <w:szCs w:val="21"/>
              </w:rPr>
            </w:pPr>
            <w:r>
              <w:rPr>
                <w:szCs w:val="21"/>
              </w:rPr>
              <w:t xml:space="preserve">字符串，参考《Q/GDW11183-2018配电自动化终端参数配置规范》第6.1.3</w:t>
            </w:r>
            <w:r>
              <w:rPr>
                <w:rFonts w:eastAsia="方正仿宋_GBK"/>
                <w:color w:val="000000"/>
                <w:szCs w:val="21"/>
              </w:rPr>
            </w:r>
            <w:r/>
          </w:p>
        </w:tc>
        <w:tc>
          <w:tcPr>
            <w:tcW w:w="1134" w:type="dxa"/>
            <w:vAlign w:val="top"/>
            <w:vMerge w:val="continue"/>
            <w:textDirection w:val="lrTb"/>
            <w:noWrap w:val="false"/>
          </w:tcPr>
          <w:p>
            <w:pPr>
              <w:pStyle w:val="1151"/>
              <w:ind w:firstLine="360"/>
              <w:jc w:val="center"/>
              <w:spacing w:line="276" w:lineRule="auto"/>
              <w:widowControl/>
              <w:rPr>
                <w:rFonts w:eastAsia="方正仿宋_GBK"/>
                <w:color w:val="000000"/>
                <w:sz w:val="18"/>
                <w:szCs w:val="18"/>
              </w:rPr>
            </w:pPr>
            <w:r>
              <w:rPr>
                <w:rFonts w:eastAsia="方正仿宋_GBK"/>
                <w:color w:val="000000"/>
                <w:sz w:val="18"/>
                <w:szCs w:val="18"/>
              </w:rPr>
            </w:r>
            <w:r/>
          </w:p>
        </w:tc>
      </w:tr>
      <w:tr>
        <w:trPr>
          <w:trHeight w:val="113"/>
        </w:trPr>
        <w:tc>
          <w:tcPr>
            <w:tcW w:w="704" w:type="dxa"/>
            <w:vAlign w:val="center"/>
            <w:textDirection w:val="lrTb"/>
            <w:noWrap/>
          </w:tcPr>
          <w:p>
            <w:pPr>
              <w:pStyle w:val="1151"/>
              <w:jc w:val="center"/>
              <w:spacing w:line="276" w:lineRule="auto"/>
              <w:widowControl/>
              <w:rPr>
                <w:color w:val="000000"/>
                <w:szCs w:val="21"/>
              </w:rPr>
            </w:pPr>
            <w:r>
              <w:rPr>
                <w:color w:val="000000"/>
                <w:szCs w:val="21"/>
              </w:rPr>
              <w:t xml:space="preserve">6</w:t>
            </w:r>
            <w:r>
              <w:rPr>
                <w:color w:val="000000"/>
                <w:szCs w:val="21"/>
              </w:rPr>
            </w:r>
            <w:r/>
          </w:p>
        </w:tc>
        <w:tc>
          <w:tcPr>
            <w:tcW w:w="1559" w:type="dxa"/>
            <w:vAlign w:val="center"/>
            <w:textDirection w:val="lrTb"/>
            <w:noWrap/>
          </w:tcPr>
          <w:p>
            <w:pPr>
              <w:pStyle w:val="1151"/>
              <w:jc w:val="center"/>
              <w:spacing w:line="276" w:lineRule="auto"/>
              <w:widowControl/>
              <w:rPr>
                <w:color w:val="000000"/>
                <w:szCs w:val="21"/>
              </w:rPr>
            </w:pPr>
            <w:r>
              <w:rPr>
                <w:color w:val="000000"/>
                <w:szCs w:val="21"/>
              </w:rPr>
              <w:t xml:space="preserve">0x8006</w:t>
            </w:r>
            <w:r>
              <w:rPr>
                <w:color w:val="000000"/>
                <w:szCs w:val="21"/>
              </w:rPr>
            </w:r>
            <w:r/>
          </w:p>
        </w:tc>
        <w:tc>
          <w:tcPr>
            <w:tcW w:w="2127" w:type="dxa"/>
            <w:vAlign w:val="center"/>
            <w:textDirection w:val="lrTb"/>
            <w:noWrap/>
          </w:tcPr>
          <w:p>
            <w:pPr>
              <w:pStyle w:val="1151"/>
              <w:jc w:val="center"/>
              <w:spacing w:line="276" w:lineRule="auto"/>
              <w:widowControl/>
              <w:rPr>
                <w:color w:val="000000"/>
                <w:szCs w:val="21"/>
              </w:rPr>
            </w:pPr>
            <w:r>
              <w:rPr>
                <w:color w:val="000000"/>
                <w:szCs w:val="21"/>
              </w:rPr>
              <w:t xml:space="preserve">终端软件版本校验码</w:t>
            </w:r>
            <w:r>
              <w:rPr>
                <w:color w:val="000000"/>
                <w:szCs w:val="21"/>
              </w:rPr>
            </w:r>
            <w:r/>
          </w:p>
        </w:tc>
        <w:tc>
          <w:tcPr>
            <w:tcW w:w="2835" w:type="dxa"/>
            <w:vAlign w:val="top"/>
            <w:textDirection w:val="lrTb"/>
            <w:noWrap w:val="false"/>
          </w:tcPr>
          <w:p>
            <w:pPr>
              <w:pStyle w:val="1151"/>
              <w:jc w:val="center"/>
              <w:spacing w:line="276" w:lineRule="auto"/>
              <w:widowControl/>
              <w:rPr>
                <w:rFonts w:eastAsia="方正仿宋_GBK"/>
                <w:color w:val="000000"/>
                <w:szCs w:val="21"/>
              </w:rPr>
            </w:pPr>
            <w:r>
              <w:rPr>
                <w:szCs w:val="21"/>
              </w:rPr>
              <w:t xml:space="preserve">无符号短整形</w:t>
            </w:r>
            <w:r>
              <w:rPr>
                <w:rFonts w:hint="eastAsia"/>
                <w:szCs w:val="21"/>
              </w:rPr>
              <w:t xml:space="preserve">，</w:t>
            </w:r>
            <w:r>
              <w:rPr>
                <w:szCs w:val="21"/>
              </w:rPr>
              <w:t xml:space="preserve">参考《Q/GDW11183-2018配电自动化终端参数配置规范》第6.1.5</w:t>
            </w:r>
            <w:r>
              <w:rPr>
                <w:rFonts w:eastAsia="方正仿宋_GBK"/>
                <w:color w:val="000000"/>
                <w:szCs w:val="21"/>
              </w:rPr>
            </w:r>
            <w:r/>
          </w:p>
        </w:tc>
        <w:tc>
          <w:tcPr>
            <w:tcW w:w="1134" w:type="dxa"/>
            <w:vAlign w:val="top"/>
            <w:vMerge w:val="continue"/>
            <w:textDirection w:val="lrTb"/>
            <w:noWrap w:val="false"/>
          </w:tcPr>
          <w:p>
            <w:pPr>
              <w:pStyle w:val="1151"/>
              <w:ind w:firstLine="360"/>
              <w:jc w:val="center"/>
              <w:spacing w:line="276" w:lineRule="auto"/>
              <w:widowControl/>
              <w:rPr>
                <w:rFonts w:eastAsia="方正仿宋_GBK"/>
                <w:color w:val="000000"/>
                <w:sz w:val="18"/>
                <w:szCs w:val="18"/>
              </w:rPr>
            </w:pPr>
            <w:r>
              <w:rPr>
                <w:rFonts w:eastAsia="方正仿宋_GBK"/>
                <w:color w:val="000000"/>
                <w:sz w:val="18"/>
                <w:szCs w:val="18"/>
              </w:rPr>
            </w:r>
            <w:r/>
          </w:p>
        </w:tc>
      </w:tr>
      <w:tr>
        <w:trPr>
          <w:trHeight w:val="113"/>
        </w:trPr>
        <w:tc>
          <w:tcPr>
            <w:tcW w:w="704" w:type="dxa"/>
            <w:vAlign w:val="center"/>
            <w:textDirection w:val="lrTb"/>
            <w:noWrap/>
          </w:tcPr>
          <w:p>
            <w:pPr>
              <w:pStyle w:val="1151"/>
              <w:jc w:val="center"/>
              <w:spacing w:line="276" w:lineRule="auto"/>
              <w:widowControl/>
              <w:rPr>
                <w:color w:val="000000"/>
                <w:szCs w:val="21"/>
              </w:rPr>
            </w:pPr>
            <w:r>
              <w:rPr>
                <w:color w:val="000000"/>
                <w:szCs w:val="21"/>
              </w:rPr>
              <w:t xml:space="preserve">7</w:t>
            </w:r>
            <w:r>
              <w:rPr>
                <w:color w:val="000000"/>
                <w:szCs w:val="21"/>
              </w:rPr>
            </w:r>
            <w:r/>
          </w:p>
        </w:tc>
        <w:tc>
          <w:tcPr>
            <w:tcW w:w="1559" w:type="dxa"/>
            <w:vAlign w:val="center"/>
            <w:textDirection w:val="lrTb"/>
            <w:noWrap/>
          </w:tcPr>
          <w:p>
            <w:pPr>
              <w:pStyle w:val="1151"/>
              <w:jc w:val="center"/>
              <w:spacing w:line="276" w:lineRule="auto"/>
              <w:widowControl/>
              <w:rPr>
                <w:color w:val="000000"/>
                <w:szCs w:val="21"/>
              </w:rPr>
            </w:pPr>
            <w:r>
              <w:rPr>
                <w:color w:val="000000"/>
                <w:szCs w:val="21"/>
              </w:rPr>
              <w:t xml:space="preserve">0x8007</w:t>
            </w:r>
            <w:r>
              <w:rPr>
                <w:color w:val="000000"/>
                <w:szCs w:val="21"/>
              </w:rPr>
            </w:r>
            <w:r/>
          </w:p>
        </w:tc>
        <w:tc>
          <w:tcPr>
            <w:tcW w:w="2127" w:type="dxa"/>
            <w:vAlign w:val="center"/>
            <w:textDirection w:val="lrTb"/>
            <w:noWrap/>
          </w:tcPr>
          <w:p>
            <w:pPr>
              <w:pStyle w:val="1151"/>
              <w:jc w:val="center"/>
              <w:spacing w:line="276" w:lineRule="auto"/>
              <w:widowControl/>
              <w:rPr>
                <w:color w:val="000000"/>
                <w:szCs w:val="21"/>
              </w:rPr>
            </w:pPr>
            <w:r>
              <w:rPr>
                <w:color w:val="000000"/>
                <w:szCs w:val="21"/>
              </w:rPr>
              <w:t xml:space="preserve">终端通信规约类型</w:t>
            </w:r>
            <w:r>
              <w:rPr>
                <w:color w:val="000000"/>
                <w:szCs w:val="21"/>
              </w:rPr>
            </w:r>
            <w:r/>
          </w:p>
        </w:tc>
        <w:tc>
          <w:tcPr>
            <w:tcW w:w="2835" w:type="dxa"/>
            <w:vAlign w:val="top"/>
            <w:textDirection w:val="lrTb"/>
            <w:noWrap w:val="false"/>
          </w:tcPr>
          <w:p>
            <w:pPr>
              <w:pStyle w:val="1151"/>
              <w:jc w:val="center"/>
              <w:spacing w:line="276" w:lineRule="auto"/>
              <w:widowControl/>
              <w:rPr>
                <w:rFonts w:eastAsia="方正仿宋_GBK"/>
                <w:color w:val="000000"/>
                <w:szCs w:val="21"/>
              </w:rPr>
            </w:pPr>
            <w:r>
              <w:rPr>
                <w:szCs w:val="21"/>
              </w:rPr>
              <w:t xml:space="preserve">字符串，参考《Q/GDW11183-2018配电自动化终端参数配置规范》第6.1.6</w:t>
            </w:r>
            <w:r>
              <w:rPr>
                <w:rFonts w:eastAsia="方正仿宋_GBK"/>
                <w:color w:val="000000"/>
                <w:szCs w:val="21"/>
              </w:rPr>
            </w:r>
            <w:r/>
          </w:p>
        </w:tc>
        <w:tc>
          <w:tcPr>
            <w:tcW w:w="1134" w:type="dxa"/>
            <w:vAlign w:val="top"/>
            <w:vMerge w:val="continue"/>
            <w:textDirection w:val="lrTb"/>
            <w:noWrap w:val="false"/>
          </w:tcPr>
          <w:p>
            <w:pPr>
              <w:pStyle w:val="1151"/>
              <w:ind w:firstLine="360"/>
              <w:jc w:val="center"/>
              <w:spacing w:line="276" w:lineRule="auto"/>
              <w:widowControl/>
              <w:rPr>
                <w:rFonts w:eastAsia="方正仿宋_GBK"/>
                <w:color w:val="000000"/>
                <w:sz w:val="18"/>
                <w:szCs w:val="18"/>
              </w:rPr>
            </w:pPr>
            <w:r>
              <w:rPr>
                <w:rFonts w:eastAsia="方正仿宋_GBK"/>
                <w:color w:val="000000"/>
                <w:sz w:val="18"/>
                <w:szCs w:val="18"/>
              </w:rPr>
            </w:r>
            <w:r/>
          </w:p>
        </w:tc>
      </w:tr>
      <w:tr>
        <w:trPr>
          <w:trHeight w:val="113"/>
        </w:trPr>
        <w:tc>
          <w:tcPr>
            <w:tcW w:w="704" w:type="dxa"/>
            <w:vAlign w:val="center"/>
            <w:textDirection w:val="lrTb"/>
            <w:noWrap/>
          </w:tcPr>
          <w:p>
            <w:pPr>
              <w:pStyle w:val="1151"/>
              <w:jc w:val="center"/>
              <w:spacing w:line="276" w:lineRule="auto"/>
              <w:widowControl/>
              <w:rPr>
                <w:color w:val="000000"/>
                <w:szCs w:val="21"/>
              </w:rPr>
            </w:pPr>
            <w:r>
              <w:rPr>
                <w:color w:val="000000"/>
                <w:szCs w:val="21"/>
              </w:rPr>
              <w:t xml:space="preserve">8</w:t>
            </w:r>
            <w:r>
              <w:rPr>
                <w:color w:val="000000"/>
                <w:szCs w:val="21"/>
              </w:rPr>
            </w:r>
            <w:r/>
          </w:p>
        </w:tc>
        <w:tc>
          <w:tcPr>
            <w:tcW w:w="1559" w:type="dxa"/>
            <w:vAlign w:val="center"/>
            <w:textDirection w:val="lrTb"/>
            <w:noWrap/>
          </w:tcPr>
          <w:p>
            <w:pPr>
              <w:pStyle w:val="1151"/>
              <w:jc w:val="center"/>
              <w:spacing w:line="276" w:lineRule="auto"/>
              <w:widowControl/>
              <w:rPr>
                <w:color w:val="000000"/>
                <w:szCs w:val="21"/>
              </w:rPr>
            </w:pPr>
            <w:r>
              <w:rPr>
                <w:color w:val="000000"/>
                <w:szCs w:val="21"/>
              </w:rPr>
              <w:t xml:space="preserve">0x8008</w:t>
            </w:r>
            <w:r>
              <w:rPr>
                <w:color w:val="000000"/>
                <w:szCs w:val="21"/>
              </w:rPr>
            </w:r>
            <w:r/>
          </w:p>
        </w:tc>
        <w:tc>
          <w:tcPr>
            <w:tcW w:w="2127" w:type="dxa"/>
            <w:vAlign w:val="center"/>
            <w:textDirection w:val="lrTb"/>
            <w:noWrap/>
          </w:tcPr>
          <w:p>
            <w:pPr>
              <w:pStyle w:val="1151"/>
              <w:jc w:val="center"/>
              <w:spacing w:line="276" w:lineRule="auto"/>
              <w:widowControl/>
              <w:rPr>
                <w:color w:val="000000"/>
                <w:szCs w:val="21"/>
              </w:rPr>
            </w:pPr>
            <w:r>
              <w:rPr>
                <w:color w:val="000000"/>
                <w:szCs w:val="21"/>
              </w:rPr>
              <w:t xml:space="preserve">终端出厂型号</w:t>
            </w:r>
            <w:r>
              <w:rPr>
                <w:color w:val="000000"/>
                <w:szCs w:val="21"/>
              </w:rPr>
            </w:r>
            <w:r/>
          </w:p>
        </w:tc>
        <w:tc>
          <w:tcPr>
            <w:tcW w:w="2835" w:type="dxa"/>
            <w:vAlign w:val="top"/>
            <w:textDirection w:val="lrTb"/>
            <w:noWrap w:val="false"/>
          </w:tcPr>
          <w:p>
            <w:pPr>
              <w:pStyle w:val="1151"/>
              <w:jc w:val="center"/>
              <w:spacing w:line="276" w:lineRule="auto"/>
              <w:widowControl/>
              <w:rPr>
                <w:rFonts w:eastAsia="方正仿宋_GBK"/>
                <w:color w:val="000000"/>
                <w:szCs w:val="21"/>
              </w:rPr>
            </w:pPr>
            <w:r>
              <w:rPr>
                <w:szCs w:val="21"/>
              </w:rPr>
              <w:t xml:space="preserve">字符串，参考《Q/GDW11183-2018配电自动化终端参数配置规范》第6.1.7</w:t>
            </w:r>
            <w:r>
              <w:rPr>
                <w:rFonts w:eastAsia="方正仿宋_GBK"/>
                <w:color w:val="000000"/>
                <w:szCs w:val="21"/>
              </w:rPr>
            </w:r>
            <w:r/>
          </w:p>
        </w:tc>
        <w:tc>
          <w:tcPr>
            <w:tcW w:w="1134" w:type="dxa"/>
            <w:vAlign w:val="top"/>
            <w:vMerge w:val="continue"/>
            <w:textDirection w:val="lrTb"/>
            <w:noWrap w:val="false"/>
          </w:tcPr>
          <w:p>
            <w:pPr>
              <w:pStyle w:val="1151"/>
              <w:ind w:firstLine="360"/>
              <w:jc w:val="center"/>
              <w:spacing w:line="276" w:lineRule="auto"/>
              <w:widowControl/>
              <w:rPr>
                <w:rFonts w:eastAsia="方正仿宋_GBK"/>
                <w:color w:val="000000"/>
                <w:sz w:val="18"/>
                <w:szCs w:val="18"/>
              </w:rPr>
            </w:pPr>
            <w:r>
              <w:rPr>
                <w:rFonts w:eastAsia="方正仿宋_GBK"/>
                <w:color w:val="000000"/>
                <w:sz w:val="18"/>
                <w:szCs w:val="18"/>
              </w:rPr>
            </w:r>
            <w:r/>
          </w:p>
        </w:tc>
      </w:tr>
      <w:tr>
        <w:trPr>
          <w:trHeight w:val="113"/>
        </w:trPr>
        <w:tc>
          <w:tcPr>
            <w:tcW w:w="704" w:type="dxa"/>
            <w:vAlign w:val="center"/>
            <w:textDirection w:val="lrTb"/>
            <w:noWrap/>
          </w:tcPr>
          <w:p>
            <w:pPr>
              <w:pStyle w:val="1151"/>
              <w:jc w:val="center"/>
              <w:spacing w:line="276" w:lineRule="auto"/>
              <w:widowControl/>
              <w:rPr>
                <w:color w:val="000000"/>
                <w:szCs w:val="21"/>
              </w:rPr>
            </w:pPr>
            <w:r>
              <w:rPr>
                <w:color w:val="000000"/>
                <w:szCs w:val="21"/>
              </w:rPr>
              <w:t xml:space="preserve">9</w:t>
            </w:r>
            <w:r>
              <w:rPr>
                <w:color w:val="000000"/>
                <w:szCs w:val="21"/>
              </w:rPr>
            </w:r>
            <w:r/>
          </w:p>
        </w:tc>
        <w:tc>
          <w:tcPr>
            <w:tcW w:w="1559" w:type="dxa"/>
            <w:vAlign w:val="center"/>
            <w:textDirection w:val="lrTb"/>
            <w:noWrap/>
          </w:tcPr>
          <w:p>
            <w:pPr>
              <w:pStyle w:val="1151"/>
              <w:jc w:val="center"/>
              <w:spacing w:line="276" w:lineRule="auto"/>
              <w:widowControl/>
              <w:rPr>
                <w:color w:val="000000"/>
                <w:szCs w:val="21"/>
              </w:rPr>
            </w:pPr>
            <w:r>
              <w:rPr>
                <w:color w:val="000000"/>
                <w:szCs w:val="21"/>
              </w:rPr>
              <w:t xml:space="preserve">0x8009</w:t>
            </w:r>
            <w:r>
              <w:rPr>
                <w:color w:val="000000"/>
                <w:szCs w:val="21"/>
              </w:rPr>
            </w:r>
            <w:r/>
          </w:p>
        </w:tc>
        <w:tc>
          <w:tcPr>
            <w:tcW w:w="2127" w:type="dxa"/>
            <w:vAlign w:val="center"/>
            <w:textDirection w:val="lrTb"/>
            <w:noWrap/>
          </w:tcPr>
          <w:p>
            <w:pPr>
              <w:pStyle w:val="1151"/>
              <w:jc w:val="center"/>
              <w:spacing w:line="276" w:lineRule="auto"/>
              <w:widowControl/>
              <w:rPr>
                <w:color w:val="000000"/>
                <w:szCs w:val="21"/>
              </w:rPr>
            </w:pPr>
            <w:r>
              <w:rPr>
                <w:color w:val="000000"/>
                <w:szCs w:val="21"/>
              </w:rPr>
              <w:t xml:space="preserve">终端ID号</w:t>
            </w:r>
            <w:r>
              <w:rPr>
                <w:color w:val="000000"/>
                <w:szCs w:val="21"/>
              </w:rPr>
            </w:r>
            <w:r/>
          </w:p>
        </w:tc>
        <w:tc>
          <w:tcPr>
            <w:tcW w:w="2835" w:type="dxa"/>
            <w:vAlign w:val="top"/>
            <w:textDirection w:val="lrTb"/>
            <w:noWrap w:val="false"/>
          </w:tcPr>
          <w:p>
            <w:pPr>
              <w:pStyle w:val="1151"/>
              <w:jc w:val="center"/>
              <w:spacing w:line="276" w:lineRule="auto"/>
              <w:widowControl/>
              <w:rPr>
                <w:rFonts w:eastAsia="方正仿宋_GBK"/>
                <w:color w:val="000000"/>
                <w:szCs w:val="21"/>
              </w:rPr>
            </w:pPr>
            <w:r>
              <w:rPr>
                <w:szCs w:val="21"/>
              </w:rPr>
              <w:t xml:space="preserve">字符串，参考《Q/GDW11183-2018配电自动化终端参数配置规范》第6.1.1</w:t>
            </w:r>
            <w:r>
              <w:rPr>
                <w:rFonts w:eastAsia="方正仿宋_GBK"/>
                <w:color w:val="000000"/>
                <w:szCs w:val="21"/>
              </w:rPr>
            </w:r>
            <w:r/>
          </w:p>
        </w:tc>
        <w:tc>
          <w:tcPr>
            <w:tcW w:w="1134" w:type="dxa"/>
            <w:vAlign w:val="top"/>
            <w:vMerge w:val="continue"/>
            <w:textDirection w:val="lrTb"/>
            <w:noWrap w:val="false"/>
          </w:tcPr>
          <w:p>
            <w:pPr>
              <w:pStyle w:val="1151"/>
              <w:ind w:firstLine="360"/>
              <w:jc w:val="center"/>
              <w:spacing w:line="276" w:lineRule="auto"/>
              <w:widowControl/>
              <w:rPr>
                <w:rFonts w:eastAsia="方正仿宋_GBK"/>
                <w:color w:val="000000"/>
                <w:sz w:val="18"/>
                <w:szCs w:val="18"/>
              </w:rPr>
            </w:pPr>
            <w:r>
              <w:rPr>
                <w:rFonts w:eastAsia="方正仿宋_GBK"/>
                <w:color w:val="000000"/>
                <w:sz w:val="18"/>
                <w:szCs w:val="18"/>
              </w:rPr>
            </w:r>
            <w:r/>
          </w:p>
        </w:tc>
      </w:tr>
      <w:tr>
        <w:trPr>
          <w:trHeight w:val="113"/>
        </w:trPr>
        <w:tc>
          <w:tcPr>
            <w:tcW w:w="704" w:type="dxa"/>
            <w:vAlign w:val="center"/>
            <w:textDirection w:val="lrTb"/>
            <w:noWrap/>
          </w:tcPr>
          <w:p>
            <w:pPr>
              <w:pStyle w:val="1151"/>
              <w:jc w:val="center"/>
              <w:spacing w:line="276" w:lineRule="auto"/>
              <w:widowControl/>
              <w:rPr>
                <w:color w:val="000000"/>
                <w:szCs w:val="21"/>
              </w:rPr>
            </w:pPr>
            <w:r>
              <w:rPr>
                <w:color w:val="000000"/>
                <w:szCs w:val="21"/>
              </w:rPr>
              <w:t xml:space="preserve">10</w:t>
            </w:r>
            <w:r>
              <w:rPr>
                <w:color w:val="000000"/>
                <w:szCs w:val="21"/>
              </w:rPr>
            </w:r>
            <w:r/>
          </w:p>
        </w:tc>
        <w:tc>
          <w:tcPr>
            <w:tcW w:w="1559" w:type="dxa"/>
            <w:vAlign w:val="center"/>
            <w:textDirection w:val="lrTb"/>
            <w:noWrap/>
          </w:tcPr>
          <w:p>
            <w:pPr>
              <w:pStyle w:val="1151"/>
              <w:jc w:val="center"/>
              <w:spacing w:line="276" w:lineRule="auto"/>
              <w:widowControl/>
              <w:rPr>
                <w:color w:val="000000"/>
                <w:szCs w:val="21"/>
              </w:rPr>
            </w:pPr>
            <w:r>
              <w:rPr>
                <w:color w:val="000000"/>
                <w:szCs w:val="21"/>
              </w:rPr>
              <w:t xml:space="preserve">0x800A</w:t>
            </w:r>
            <w:r>
              <w:rPr>
                <w:color w:val="000000"/>
                <w:szCs w:val="21"/>
              </w:rPr>
            </w:r>
            <w:r/>
          </w:p>
        </w:tc>
        <w:tc>
          <w:tcPr>
            <w:tcW w:w="2127" w:type="dxa"/>
            <w:vAlign w:val="center"/>
            <w:textDirection w:val="lrTb"/>
            <w:noWrap/>
          </w:tcPr>
          <w:p>
            <w:pPr>
              <w:pStyle w:val="1151"/>
              <w:jc w:val="center"/>
              <w:spacing w:line="276" w:lineRule="auto"/>
              <w:widowControl/>
              <w:rPr>
                <w:color w:val="000000"/>
                <w:szCs w:val="21"/>
              </w:rPr>
            </w:pPr>
            <w:r>
              <w:rPr>
                <w:color w:val="000000"/>
                <w:szCs w:val="21"/>
              </w:rPr>
              <w:t xml:space="preserve">终端网卡MAC地址</w:t>
            </w:r>
            <w:r>
              <w:rPr>
                <w:color w:val="000000"/>
                <w:szCs w:val="21"/>
              </w:rPr>
            </w:r>
            <w:r/>
          </w:p>
        </w:tc>
        <w:tc>
          <w:tcPr>
            <w:tcW w:w="2835" w:type="dxa"/>
            <w:vAlign w:val="top"/>
            <w:textDirection w:val="lrTb"/>
            <w:noWrap w:val="false"/>
          </w:tcPr>
          <w:p>
            <w:pPr>
              <w:pStyle w:val="1151"/>
              <w:jc w:val="center"/>
              <w:spacing w:line="276" w:lineRule="auto"/>
              <w:widowControl/>
              <w:rPr>
                <w:rFonts w:eastAsia="方正仿宋_GBK"/>
                <w:color w:val="000000"/>
                <w:szCs w:val="21"/>
              </w:rPr>
            </w:pPr>
            <w:r>
              <w:rPr>
                <w:szCs w:val="21"/>
              </w:rPr>
              <w:t xml:space="preserve">两个MAC址使用两个长度均为6字节的8位位串，参考《Q/GDW11183-2018配电自动化终端参数配置规范》第6.1.8</w:t>
            </w:r>
            <w:r>
              <w:rPr>
                <w:rFonts w:eastAsia="方正仿宋_GBK"/>
                <w:color w:val="000000"/>
                <w:szCs w:val="21"/>
              </w:rPr>
            </w:r>
            <w:r/>
          </w:p>
        </w:tc>
        <w:tc>
          <w:tcPr>
            <w:tcW w:w="1134" w:type="dxa"/>
            <w:vAlign w:val="top"/>
            <w:vMerge w:val="continue"/>
            <w:textDirection w:val="lrTb"/>
            <w:noWrap w:val="false"/>
          </w:tcPr>
          <w:p>
            <w:pPr>
              <w:pStyle w:val="1151"/>
              <w:ind w:firstLine="360"/>
              <w:jc w:val="center"/>
              <w:spacing w:line="276" w:lineRule="auto"/>
              <w:widowControl/>
              <w:rPr>
                <w:rFonts w:eastAsia="方正仿宋_GBK"/>
                <w:color w:val="000000"/>
                <w:sz w:val="18"/>
                <w:szCs w:val="18"/>
              </w:rPr>
            </w:pPr>
            <w:r>
              <w:rPr>
                <w:rFonts w:eastAsia="方正仿宋_GBK"/>
                <w:color w:val="000000"/>
                <w:sz w:val="18"/>
                <w:szCs w:val="18"/>
              </w:rPr>
            </w:r>
            <w:r/>
          </w:p>
        </w:tc>
      </w:tr>
    </w:tbl>
    <w:p>
      <w:pPr>
        <w:pStyle w:val="1201"/>
        <w:jc w:val="center"/>
        <w:spacing w:line="276" w:lineRule="auto"/>
        <w:tabs>
          <w:tab w:val="center" w:pos="4201" w:leader="none"/>
          <w:tab w:val="right" w:pos="9298" w:leader="dot"/>
        </w:tabs>
        <w:rPr>
          <w:rFonts w:ascii="Times New Roman" w:eastAsia="黑体"/>
        </w:rPr>
      </w:pPr>
      <w:r>
        <w:rPr>
          <w:rFonts w:ascii="Times New Roman" w:eastAsia="黑体"/>
        </w:rPr>
      </w:r>
      <w:r/>
    </w:p>
    <w:p>
      <w:pPr>
        <w:pStyle w:val="1201"/>
        <w:jc w:val="center"/>
        <w:spacing w:line="276" w:lineRule="auto"/>
        <w:tabs>
          <w:tab w:val="center" w:pos="4201" w:leader="none"/>
          <w:tab w:val="right" w:pos="9298" w:leader="dot"/>
        </w:tabs>
        <w:rPr>
          <w:rFonts w:ascii="Times New Roman" w:eastAsia="黑体"/>
        </w:rPr>
      </w:pPr>
      <w:r>
        <w:rPr>
          <w:rFonts w:ascii="Times New Roman" w:eastAsia="黑体"/>
        </w:rPr>
        <w:t xml:space="preserve">表K.2-2 终端运行参数配置信息体地址分配表</w:t>
      </w:r>
      <w:r>
        <w:rPr>
          <w:rFonts w:ascii="Times New Roman" w:eastAsia="黑体"/>
        </w:rPr>
      </w:r>
      <w:r/>
    </w:p>
    <w:tbl>
      <w:tblPr>
        <w:tblW w:w="86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17"/>
        <w:gridCol w:w="1985"/>
        <w:gridCol w:w="3265"/>
        <w:gridCol w:w="1134"/>
      </w:tblGrid>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序号</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信息体地址</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color w:val="000000"/>
                <w:szCs w:val="21"/>
              </w:rPr>
              <w:t xml:space="preserve">参数描述</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参数数据类型（单位）</w:t>
            </w:r>
            <w:r>
              <w:rPr>
                <w:szCs w:val="21"/>
              </w:rPr>
            </w:r>
            <w:r/>
          </w:p>
        </w:tc>
        <w:tc>
          <w:tcPr>
            <w:tcW w:w="1134" w:type="dxa"/>
            <w:vAlign w:val="top"/>
            <w:textDirection w:val="lrTb"/>
            <w:noWrap w:val="false"/>
          </w:tcPr>
          <w:p>
            <w:pPr>
              <w:pStyle w:val="1151"/>
              <w:jc w:val="center"/>
              <w:spacing w:line="276" w:lineRule="auto"/>
              <w:widowControl/>
              <w:rPr>
                <w:color w:val="000000"/>
                <w:szCs w:val="21"/>
              </w:rPr>
            </w:pPr>
            <w:r>
              <w:rPr>
                <w:color w:val="000000"/>
                <w:szCs w:val="21"/>
              </w:rPr>
              <w:t xml:space="preserve">备注</w:t>
            </w: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1</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0x8020</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color w:val="000000"/>
                <w:szCs w:val="21"/>
              </w:rPr>
              <w:t xml:space="preserve">电流死区</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单精度浮点数（0.1表示10%）</w:t>
            </w:r>
            <w:r>
              <w:rPr>
                <w:szCs w:val="21"/>
              </w:rPr>
            </w:r>
            <w:r/>
          </w:p>
        </w:tc>
        <w:tc>
          <w:tcPr>
            <w:tcW w:w="1134" w:type="dxa"/>
            <w:vAlign w:val="top"/>
            <w:vMerge w:val="restart"/>
            <w:textDirection w:val="lrTb"/>
            <w:noWrap w:val="false"/>
          </w:tcPr>
          <w:p>
            <w:pPr>
              <w:pStyle w:val="1151"/>
              <w:jc w:val="center"/>
              <w:spacing w:line="276" w:lineRule="auto"/>
              <w:widowControl/>
              <w:rPr>
                <w:color w:val="000000"/>
                <w:szCs w:val="21"/>
              </w:rPr>
            </w:pPr>
            <w:r>
              <w:rPr>
                <w:color w:val="000000"/>
                <w:szCs w:val="21"/>
              </w:rPr>
              <w:t xml:space="preserve">公共</w:t>
            </w:r>
            <w:r>
              <w:rPr>
                <w:color w:val="000000"/>
                <w:szCs w:val="21"/>
              </w:rPr>
            </w:r>
            <w:r/>
          </w:p>
          <w:p>
            <w:pPr>
              <w:pStyle w:val="1151"/>
              <w:ind w:firstLine="420"/>
              <w:jc w:val="center"/>
              <w:spacing w:line="276" w:lineRule="auto"/>
              <w:rPr>
                <w:color w:val="000000"/>
                <w:szCs w:val="21"/>
              </w:rPr>
            </w:pPr>
            <w:r>
              <w:rPr>
                <w:color w:val="000000"/>
                <w:szCs w:val="21"/>
              </w:rPr>
            </w:r>
            <w:r/>
          </w:p>
        </w:tc>
      </w:tr>
      <w:tr>
        <w:trPr>
          <w:trHeight w:val="304"/>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2</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0x8021</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color w:val="000000"/>
                <w:szCs w:val="21"/>
              </w:rPr>
              <w:t xml:space="preserve">交流电压死区</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单精度浮点数（0.1表示10%）</w:t>
            </w:r>
            <w:r>
              <w:rPr>
                <w:szCs w:val="21"/>
              </w:rPr>
            </w:r>
            <w:r/>
          </w:p>
        </w:tc>
        <w:tc>
          <w:tcPr>
            <w:tcW w:w="1134" w:type="dxa"/>
            <w:vAlign w:val="top"/>
            <w:vMerge w:val="continue"/>
            <w:textDirection w:val="lrTb"/>
            <w:noWrap w:val="false"/>
          </w:tcPr>
          <w:p>
            <w:pPr>
              <w:pStyle w:val="1151"/>
              <w:ind w:firstLine="420"/>
              <w:jc w:val="center"/>
              <w:spacing w:line="276" w:lineRule="auto"/>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3</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0x8022</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color w:val="000000"/>
                <w:szCs w:val="21"/>
              </w:rPr>
              <w:t xml:space="preserve">直流电压死区</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单精度浮点数（0.1表示10%）</w:t>
            </w:r>
            <w:r>
              <w:rPr>
                <w:szCs w:val="21"/>
              </w:rPr>
            </w:r>
            <w:r/>
          </w:p>
        </w:tc>
        <w:tc>
          <w:tcPr>
            <w:tcW w:w="1134" w:type="dxa"/>
            <w:vAlign w:val="top"/>
            <w:vMerge w:val="continue"/>
            <w:textDirection w:val="lrTb"/>
            <w:noWrap w:val="false"/>
          </w:tcPr>
          <w:p>
            <w:pPr>
              <w:pStyle w:val="1151"/>
              <w:ind w:firstLine="420"/>
              <w:jc w:val="center"/>
              <w:spacing w:line="276" w:lineRule="auto"/>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4</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0x8023</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color w:val="000000"/>
                <w:szCs w:val="21"/>
              </w:rPr>
              <w:t xml:space="preserve">功率死区</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单精度浮点数（0.1表示10%）</w:t>
            </w:r>
            <w:r>
              <w:rPr>
                <w:szCs w:val="21"/>
              </w:rPr>
            </w:r>
            <w:r/>
          </w:p>
        </w:tc>
        <w:tc>
          <w:tcPr>
            <w:tcW w:w="1134" w:type="dxa"/>
            <w:vAlign w:val="top"/>
            <w:vMerge w:val="continue"/>
            <w:textDirection w:val="lrTb"/>
            <w:noWrap w:val="false"/>
          </w:tcPr>
          <w:p>
            <w:pPr>
              <w:pStyle w:val="1151"/>
              <w:ind w:firstLine="420"/>
              <w:jc w:val="center"/>
              <w:spacing w:line="276" w:lineRule="auto"/>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5</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0x8024</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rFonts w:hint="eastAsia"/>
                <w:color w:val="000000"/>
                <w:szCs w:val="21"/>
              </w:rPr>
              <w:t xml:space="preserve">TV</w:t>
            </w:r>
            <w:r>
              <w:rPr>
                <w:color w:val="000000"/>
                <w:szCs w:val="21"/>
              </w:rPr>
              <w:t xml:space="preserve">一次额定</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单精度浮点数（V）</w:t>
            </w:r>
            <w:r>
              <w:rPr>
                <w:szCs w:val="21"/>
              </w:rPr>
            </w:r>
            <w:r/>
          </w:p>
        </w:tc>
        <w:tc>
          <w:tcPr>
            <w:tcW w:w="1134" w:type="dxa"/>
            <w:vAlign w:val="top"/>
            <w:vMerge w:val="continue"/>
            <w:textDirection w:val="lrTb"/>
            <w:noWrap w:val="false"/>
          </w:tcPr>
          <w:p>
            <w:pPr>
              <w:pStyle w:val="1151"/>
              <w:ind w:firstLine="420"/>
              <w:jc w:val="center"/>
              <w:spacing w:line="276" w:lineRule="auto"/>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6</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0x8025</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rFonts w:hint="eastAsia"/>
                <w:color w:val="000000"/>
                <w:szCs w:val="21"/>
              </w:rPr>
              <w:t xml:space="preserve">TV</w:t>
            </w:r>
            <w:r>
              <w:rPr>
                <w:color w:val="000000"/>
                <w:szCs w:val="21"/>
              </w:rPr>
              <w:t xml:space="preserve">二次额定</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单精度浮点数（V）</w:t>
            </w:r>
            <w:r>
              <w:rPr>
                <w:szCs w:val="21"/>
              </w:rPr>
            </w:r>
            <w:r/>
          </w:p>
        </w:tc>
        <w:tc>
          <w:tcPr>
            <w:tcW w:w="1134" w:type="dxa"/>
            <w:vAlign w:val="top"/>
            <w:vMerge w:val="continue"/>
            <w:textDirection w:val="lrTb"/>
            <w:noWrap w:val="false"/>
          </w:tcPr>
          <w:p>
            <w:pPr>
              <w:pStyle w:val="1151"/>
              <w:ind w:firstLine="420"/>
              <w:jc w:val="center"/>
              <w:spacing w:line="276" w:lineRule="auto"/>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7</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0x8026</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color w:val="000000"/>
                <w:szCs w:val="21"/>
              </w:rPr>
              <w:t xml:space="preserve">低电压报警门限值</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w:t>
            </w:r>
            <w:r>
              <w:rPr>
                <w:szCs w:val="21"/>
              </w:rPr>
              <w:t xml:space="preserve">（V）</w:t>
            </w:r>
            <w:r>
              <w:rPr>
                <w:szCs w:val="21"/>
              </w:rPr>
            </w:r>
            <w:r/>
          </w:p>
        </w:tc>
        <w:tc>
          <w:tcPr>
            <w:tcW w:w="1134" w:type="dxa"/>
            <w:vAlign w:val="top"/>
            <w:vMerge w:val="continue"/>
            <w:textDirection w:val="lrTb"/>
            <w:noWrap w:val="false"/>
          </w:tcPr>
          <w:p>
            <w:pPr>
              <w:pStyle w:val="1151"/>
              <w:ind w:firstLine="420"/>
              <w:jc w:val="center"/>
              <w:spacing w:line="276" w:lineRule="auto"/>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8</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0x8027</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color w:val="000000"/>
                <w:szCs w:val="21"/>
              </w:rPr>
              <w:t xml:space="preserve">低电压报警周期</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单精度浮点数（s）</w:t>
            </w:r>
            <w:r>
              <w:rPr>
                <w:szCs w:val="21"/>
              </w:rPr>
            </w:r>
            <w:r/>
          </w:p>
        </w:tc>
        <w:tc>
          <w:tcPr>
            <w:tcW w:w="1134" w:type="dxa"/>
            <w:vAlign w:val="top"/>
            <w:vMerge w:val="continue"/>
            <w:textDirection w:val="lrTb"/>
            <w:noWrap w:val="false"/>
          </w:tcPr>
          <w:p>
            <w:pPr>
              <w:pStyle w:val="1151"/>
              <w:ind w:firstLine="420"/>
              <w:jc w:val="center"/>
              <w:spacing w:line="276" w:lineRule="auto"/>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9</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0x8028</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color w:val="000000"/>
                <w:szCs w:val="21"/>
              </w:rPr>
              <w:t xml:space="preserve">过电压报警门限值</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w:t>
            </w:r>
            <w:r>
              <w:rPr>
                <w:szCs w:val="21"/>
              </w:rPr>
              <w:t xml:space="preserve">（V）</w:t>
            </w:r>
            <w:r>
              <w:rPr>
                <w:szCs w:val="21"/>
              </w:rPr>
            </w:r>
            <w:r/>
          </w:p>
        </w:tc>
        <w:tc>
          <w:tcPr>
            <w:tcW w:w="1134" w:type="dxa"/>
            <w:vAlign w:val="top"/>
            <w:vMerge w:val="continue"/>
            <w:textDirection w:val="lrTb"/>
            <w:noWrap w:val="false"/>
          </w:tcPr>
          <w:p>
            <w:pPr>
              <w:pStyle w:val="1151"/>
              <w:ind w:firstLine="420"/>
              <w:jc w:val="center"/>
              <w:spacing w:line="276" w:lineRule="auto"/>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10</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0x8029</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color w:val="000000"/>
                <w:szCs w:val="21"/>
              </w:rPr>
              <w:t xml:space="preserve">过电压报警周期</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单精度浮点数（s）</w:t>
            </w:r>
            <w:r>
              <w:rPr>
                <w:szCs w:val="21"/>
              </w:rPr>
            </w:r>
            <w:r/>
          </w:p>
        </w:tc>
        <w:tc>
          <w:tcPr>
            <w:tcW w:w="1134" w:type="dxa"/>
            <w:vAlign w:val="top"/>
            <w:vMerge w:val="continue"/>
            <w:textDirection w:val="lrTb"/>
            <w:noWrap w:val="false"/>
          </w:tcPr>
          <w:p>
            <w:pPr>
              <w:pStyle w:val="1151"/>
              <w:ind w:firstLine="420"/>
              <w:jc w:val="center"/>
              <w:spacing w:line="276" w:lineRule="auto"/>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11</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0x802A</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rFonts w:hint="eastAsia"/>
                <w:color w:val="000000"/>
                <w:szCs w:val="21"/>
              </w:rPr>
              <w:t xml:space="preserve">负荷越限报警门限值</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rFonts w:ascii="宋体" w:hAnsi="宋体" w:cs="宋体"/>
                <w:szCs w:val="21"/>
              </w:rPr>
              <w:t xml:space="preserve">单精度浮点数（A）</w:t>
            </w:r>
            <w:r>
              <w:rPr>
                <w:szCs w:val="21"/>
              </w:rPr>
            </w:r>
            <w:r/>
          </w:p>
        </w:tc>
        <w:tc>
          <w:tcPr>
            <w:tcW w:w="1134" w:type="dxa"/>
            <w:vAlign w:val="top"/>
            <w:vMerge w:val="continue"/>
            <w:textDirection w:val="lrTb"/>
            <w:noWrap w:val="false"/>
          </w:tcPr>
          <w:p>
            <w:pPr>
              <w:pStyle w:val="1151"/>
              <w:ind w:firstLine="420"/>
              <w:jc w:val="center"/>
              <w:spacing w:line="276" w:lineRule="auto"/>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12</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0x802B</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rFonts w:hint="eastAsia"/>
                <w:color w:val="000000"/>
                <w:szCs w:val="21"/>
              </w:rPr>
              <w:t xml:space="preserve">负荷越限报警周期</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rFonts w:ascii="宋体" w:hAnsi="宋体" w:cs="宋体"/>
                <w:szCs w:val="21"/>
              </w:rPr>
              <w:t xml:space="preserve">单精度浮点数（s）</w:t>
            </w:r>
            <w:r>
              <w:rPr>
                <w:szCs w:val="21"/>
              </w:rPr>
            </w:r>
            <w:r/>
          </w:p>
        </w:tc>
        <w:tc>
          <w:tcPr>
            <w:tcW w:w="1134" w:type="dxa"/>
            <w:vAlign w:val="top"/>
            <w:vMerge w:val="continue"/>
            <w:textDirection w:val="lrTb"/>
            <w:noWrap w:val="false"/>
          </w:tcPr>
          <w:p>
            <w:pPr>
              <w:pStyle w:val="1151"/>
              <w:ind w:firstLine="420"/>
              <w:jc w:val="center"/>
              <w:spacing w:line="276" w:lineRule="auto"/>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13</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0x802C</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color w:val="000000"/>
                <w:szCs w:val="21"/>
              </w:rPr>
              <w:t xml:space="preserve">重载报警门限值</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w:t>
            </w:r>
            <w:r>
              <w:rPr>
                <w:szCs w:val="21"/>
              </w:rPr>
              <w:t xml:space="preserve">（A）</w:t>
            </w:r>
            <w:r>
              <w:rPr>
                <w:szCs w:val="21"/>
              </w:rPr>
            </w:r>
            <w:r/>
          </w:p>
        </w:tc>
        <w:tc>
          <w:tcPr>
            <w:tcW w:w="1134" w:type="dxa"/>
            <w:vAlign w:val="top"/>
            <w:vMerge w:val="continue"/>
            <w:textDirection w:val="lrTb"/>
            <w:noWrap w:val="false"/>
          </w:tcPr>
          <w:p>
            <w:pPr>
              <w:pStyle w:val="1151"/>
              <w:ind w:firstLine="420"/>
              <w:jc w:val="center"/>
              <w:spacing w:line="276" w:lineRule="auto"/>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14</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0x802D</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color w:val="000000"/>
                <w:szCs w:val="21"/>
              </w:rPr>
              <w:t xml:space="preserve">重载报警周期</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单精度浮点数（s）</w:t>
            </w:r>
            <w:r>
              <w:rPr>
                <w:szCs w:val="21"/>
              </w:rPr>
            </w:r>
            <w:r/>
          </w:p>
        </w:tc>
        <w:tc>
          <w:tcPr>
            <w:tcW w:w="1134" w:type="dxa"/>
            <w:vAlign w:val="top"/>
            <w:vMerge w:val="continue"/>
            <w:textDirection w:val="lrTb"/>
            <w:noWrap w:val="false"/>
          </w:tcPr>
          <w:p>
            <w:pPr>
              <w:pStyle w:val="1151"/>
              <w:ind w:firstLine="420"/>
              <w:jc w:val="center"/>
              <w:spacing w:line="276" w:lineRule="auto"/>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15</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0x802E</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color w:val="000000"/>
                <w:szCs w:val="21"/>
              </w:rPr>
              <w:t xml:space="preserve">过载报警门限值</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w:t>
            </w:r>
            <w:r>
              <w:rPr>
                <w:szCs w:val="21"/>
              </w:rPr>
              <w:t xml:space="preserve">（A）</w:t>
            </w:r>
            <w:r>
              <w:rPr>
                <w:szCs w:val="21"/>
              </w:rPr>
            </w:r>
            <w:r/>
          </w:p>
        </w:tc>
        <w:tc>
          <w:tcPr>
            <w:tcW w:w="1134" w:type="dxa"/>
            <w:vAlign w:val="top"/>
            <w:vMerge w:val="continue"/>
            <w:textDirection w:val="lrTb"/>
            <w:noWrap w:val="false"/>
          </w:tcPr>
          <w:p>
            <w:pPr>
              <w:pStyle w:val="1151"/>
              <w:ind w:firstLine="420"/>
              <w:jc w:val="center"/>
              <w:spacing w:line="276" w:lineRule="auto"/>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16</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0x802F</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color w:val="000000"/>
                <w:szCs w:val="21"/>
              </w:rPr>
              <w:t xml:space="preserve">过载报警周期</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单精度浮点数（s）</w:t>
            </w:r>
            <w:r>
              <w:rPr>
                <w:szCs w:val="21"/>
              </w:rPr>
            </w:r>
            <w:r/>
          </w:p>
        </w:tc>
        <w:tc>
          <w:tcPr>
            <w:tcW w:w="1134" w:type="dxa"/>
            <w:vAlign w:val="top"/>
            <w:vMerge w:val="continue"/>
            <w:textDirection w:val="lrTb"/>
            <w:noWrap w:val="false"/>
          </w:tcPr>
          <w:p>
            <w:pPr>
              <w:pStyle w:val="1151"/>
              <w:ind w:firstLine="420"/>
              <w:jc w:val="center"/>
              <w:spacing w:line="276" w:lineRule="auto"/>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17</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0x8030</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color w:val="000000"/>
                <w:szCs w:val="21"/>
              </w:rPr>
              <w:t xml:space="preserve">开入量采集防抖时间</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单精度浮点数（s）</w:t>
            </w:r>
            <w:r>
              <w:rPr>
                <w:szCs w:val="21"/>
              </w:rPr>
            </w:r>
            <w:r/>
          </w:p>
        </w:tc>
        <w:tc>
          <w:tcPr>
            <w:tcW w:w="1134" w:type="dxa"/>
            <w:vAlign w:val="top"/>
            <w:vMerge w:val="continue"/>
            <w:textDirection w:val="lrTb"/>
            <w:noWrap w:val="false"/>
          </w:tcPr>
          <w:p>
            <w:pPr>
              <w:pStyle w:val="1151"/>
              <w:ind w:firstLine="420"/>
              <w:jc w:val="center"/>
              <w:spacing w:line="276" w:lineRule="auto"/>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18</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0x8031</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color w:val="000000"/>
                <w:szCs w:val="21"/>
              </w:rPr>
              <w:t xml:space="preserve">分闸输出脉冲保持时间</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单精度浮点数（s）</w:t>
            </w:r>
            <w:r>
              <w:rPr>
                <w:szCs w:val="21"/>
              </w:rPr>
            </w:r>
            <w:r/>
          </w:p>
        </w:tc>
        <w:tc>
          <w:tcPr>
            <w:tcW w:w="1134" w:type="dxa"/>
            <w:vAlign w:val="top"/>
            <w:vMerge w:val="continue"/>
            <w:textDirection w:val="lrTb"/>
            <w:noWrap w:val="false"/>
          </w:tcPr>
          <w:p>
            <w:pPr>
              <w:pStyle w:val="1151"/>
              <w:ind w:firstLine="420"/>
              <w:jc w:val="center"/>
              <w:spacing w:line="276" w:lineRule="auto"/>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19</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0x8032</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color w:val="000000"/>
                <w:szCs w:val="21"/>
              </w:rPr>
              <w:t xml:space="preserve">合闸输出脉冲保持时间</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单精度浮点数（s）</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20</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0x8033</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color w:val="000000"/>
                <w:szCs w:val="21"/>
              </w:rPr>
              <w:t xml:space="preserve">蓄电池自动活化周期</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无符号整型（天）</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21</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0x8034</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color w:val="000000"/>
                <w:szCs w:val="21"/>
              </w:rPr>
              <w:t xml:space="preserve">蓄电池自动活化时刻</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无符号整型（0-23时）</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22</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0x8035</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szCs w:val="21"/>
              </w:rPr>
              <w:t xml:space="preserve">电流零漂</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单精度浮点数（0.1表示10%）</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23</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0x8036</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szCs w:val="21"/>
              </w:rPr>
              <w:t xml:space="preserve">交流电压零漂</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单精度浮点数（0.1表示10%）</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24</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0x8037</w:t>
            </w:r>
            <w:r>
              <w:rPr>
                <w:color w:val="000000"/>
                <w:szCs w:val="21"/>
              </w:rPr>
            </w:r>
            <w:r/>
          </w:p>
        </w:tc>
        <w:tc>
          <w:tcPr>
            <w:tcW w:w="1985" w:type="dxa"/>
            <w:vAlign w:val="center"/>
            <w:textDirection w:val="lrTb"/>
            <w:noWrap/>
          </w:tcPr>
          <w:p>
            <w:pPr>
              <w:pStyle w:val="1151"/>
              <w:jc w:val="center"/>
              <w:spacing w:line="276" w:lineRule="auto"/>
              <w:widowControl/>
              <w:rPr>
                <w:szCs w:val="21"/>
              </w:rPr>
            </w:pPr>
            <w:r>
              <w:rPr>
                <w:szCs w:val="21"/>
              </w:rPr>
              <w:t xml:space="preserve">直流电压零漂</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单精度浮点数（0.1表示10%）</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25</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0x8038</w:t>
            </w:r>
            <w:r>
              <w:rPr>
                <w:color w:val="000000"/>
                <w:szCs w:val="21"/>
              </w:rPr>
            </w:r>
            <w:r/>
          </w:p>
        </w:tc>
        <w:tc>
          <w:tcPr>
            <w:tcW w:w="1985" w:type="dxa"/>
            <w:vAlign w:val="center"/>
            <w:textDirection w:val="lrTb"/>
            <w:noWrap/>
          </w:tcPr>
          <w:p>
            <w:pPr>
              <w:pStyle w:val="1151"/>
              <w:jc w:val="center"/>
              <w:spacing w:line="276" w:lineRule="auto"/>
              <w:widowControl/>
              <w:rPr>
                <w:szCs w:val="21"/>
              </w:rPr>
            </w:pPr>
            <w:r>
              <w:rPr>
                <w:szCs w:val="21"/>
              </w:rPr>
              <w:t xml:space="preserve">功率零漂</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单精度浮点数（0.1表示10%）</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26</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0x8039</w:t>
            </w:r>
            <w:r>
              <w:rPr>
                <w:color w:val="000000"/>
                <w:szCs w:val="21"/>
              </w:rPr>
            </w:r>
            <w:r/>
          </w:p>
        </w:tc>
        <w:tc>
          <w:tcPr>
            <w:tcW w:w="1985" w:type="dxa"/>
            <w:vAlign w:val="center"/>
            <w:textDirection w:val="lrTb"/>
            <w:noWrap/>
          </w:tcPr>
          <w:p>
            <w:pPr>
              <w:pStyle w:val="1151"/>
              <w:jc w:val="center"/>
              <w:spacing w:line="276" w:lineRule="auto"/>
              <w:widowControl/>
              <w:rPr>
                <w:szCs w:val="21"/>
              </w:rPr>
            </w:pPr>
            <w:r>
              <w:rPr>
                <w:color w:val="000000"/>
                <w:szCs w:val="21"/>
              </w:rPr>
              <w:t xml:space="preserve">有压定值</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单精度浮点数（0.1表示10%）</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27</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0x803A</w:t>
            </w:r>
            <w:r>
              <w:rPr>
                <w:color w:val="000000"/>
                <w:szCs w:val="21"/>
              </w:rPr>
            </w:r>
            <w:r/>
          </w:p>
        </w:tc>
        <w:tc>
          <w:tcPr>
            <w:tcW w:w="1985" w:type="dxa"/>
            <w:vAlign w:val="center"/>
            <w:textDirection w:val="lrTb"/>
            <w:noWrap/>
          </w:tcPr>
          <w:p>
            <w:pPr>
              <w:pStyle w:val="1151"/>
              <w:jc w:val="center"/>
              <w:spacing w:line="276" w:lineRule="auto"/>
              <w:widowControl/>
              <w:rPr>
                <w:szCs w:val="21"/>
              </w:rPr>
            </w:pPr>
            <w:r>
              <w:rPr>
                <w:color w:val="000000"/>
                <w:szCs w:val="21"/>
              </w:rPr>
              <w:t xml:space="preserve">无压定值</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单精度浮点数（0.1表示10%）</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28</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0x803B</w:t>
            </w:r>
            <w:r>
              <w:rPr>
                <w:color w:val="000000"/>
                <w:szCs w:val="21"/>
              </w:rPr>
            </w:r>
            <w:r/>
          </w:p>
        </w:tc>
        <w:tc>
          <w:tcPr>
            <w:tcW w:w="1985" w:type="dxa"/>
            <w:vAlign w:val="center"/>
            <w:textDirection w:val="lrTb"/>
            <w:noWrap/>
          </w:tcPr>
          <w:p>
            <w:pPr>
              <w:pStyle w:val="1151"/>
              <w:jc w:val="center"/>
              <w:spacing w:line="276" w:lineRule="auto"/>
              <w:widowControl/>
              <w:rPr>
                <w:szCs w:val="21"/>
              </w:rPr>
            </w:pPr>
            <w:r>
              <w:rPr>
                <w:rFonts w:hint="eastAsia"/>
                <w:szCs w:val="21"/>
              </w:rPr>
              <w:t xml:space="preserve">残压定值</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单精度浮点数（0.1表示10%）</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29</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0x803C</w:t>
            </w:r>
            <w:r>
              <w:rPr>
                <w:color w:val="000000"/>
                <w:szCs w:val="21"/>
              </w:rPr>
            </w:r>
            <w:r/>
          </w:p>
        </w:tc>
        <w:tc>
          <w:tcPr>
            <w:tcW w:w="1985" w:type="dxa"/>
            <w:vAlign w:val="center"/>
            <w:textDirection w:val="lrTb"/>
            <w:noWrap/>
          </w:tcPr>
          <w:p>
            <w:pPr>
              <w:pStyle w:val="1151"/>
              <w:jc w:val="center"/>
              <w:spacing w:line="276" w:lineRule="auto"/>
              <w:widowControl/>
              <w:rPr>
                <w:szCs w:val="21"/>
              </w:rPr>
            </w:pPr>
            <w:r>
              <w:rPr>
                <w:szCs w:val="21"/>
              </w:rPr>
              <w:t xml:space="preserve">电压鉴别确认时间</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w:t>
            </w:r>
            <w:r>
              <w:rPr>
                <w:rFonts w:hint="eastAsia"/>
                <w:szCs w:val="21"/>
              </w:rPr>
              <w:t xml:space="preserve">s</w:t>
            </w:r>
            <w:r>
              <w:rPr>
                <w:szCs w:val="21"/>
              </w:rPr>
              <w:t xml:space="preserve">）</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30</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0x803D</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rFonts w:hint="eastAsia"/>
                <w:color w:val="000000"/>
                <w:szCs w:val="21"/>
              </w:rPr>
              <w:t xml:space="preserve">备用</w:t>
            </w:r>
            <w:r>
              <w:rPr>
                <w:color w:val="000000"/>
                <w:szCs w:val="21"/>
              </w:rPr>
            </w:r>
            <w:r/>
          </w:p>
        </w:tc>
        <w:tc>
          <w:tcPr>
            <w:tcW w:w="3265" w:type="dxa"/>
            <w:vAlign w:val="center"/>
            <w:textDirection w:val="lrTb"/>
            <w:noWrap w:val="false"/>
          </w:tcPr>
          <w:p>
            <w:pPr>
              <w:pStyle w:val="1151"/>
              <w:jc w:val="center"/>
              <w:spacing w:line="276" w:lineRule="auto"/>
              <w:widowControl/>
              <w:rPr>
                <w:szCs w:val="21"/>
              </w:rPr>
            </w:pP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31</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0x803E</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szCs w:val="21"/>
              </w:rPr>
              <w:t xml:space="preserve">备用</w:t>
            </w:r>
            <w:r>
              <w:rPr>
                <w:color w:val="000000"/>
                <w:szCs w:val="21"/>
              </w:rPr>
            </w:r>
            <w:r/>
          </w:p>
        </w:tc>
        <w:tc>
          <w:tcPr>
            <w:tcW w:w="3265" w:type="dxa"/>
            <w:vAlign w:val="top"/>
            <w:textDirection w:val="lrTb"/>
            <w:noWrap w:val="false"/>
          </w:tcPr>
          <w:p>
            <w:pPr>
              <w:pStyle w:val="1151"/>
              <w:jc w:val="center"/>
              <w:spacing w:line="276" w:lineRule="auto"/>
              <w:widowControl/>
              <w:rPr>
                <w:szCs w:val="21"/>
              </w:rPr>
            </w:pP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32</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0x803F</w:t>
            </w:r>
            <w:r>
              <w:rPr>
                <w:color w:val="000000"/>
                <w:szCs w:val="21"/>
              </w:rPr>
            </w:r>
            <w:r/>
          </w:p>
        </w:tc>
        <w:tc>
          <w:tcPr>
            <w:tcW w:w="1985" w:type="dxa"/>
            <w:vAlign w:val="center"/>
            <w:textDirection w:val="lrTb"/>
            <w:noWrap/>
          </w:tcPr>
          <w:p>
            <w:pPr>
              <w:pStyle w:val="1151"/>
              <w:jc w:val="center"/>
              <w:spacing w:line="276" w:lineRule="auto"/>
              <w:widowControl/>
              <w:rPr>
                <w:szCs w:val="21"/>
              </w:rPr>
            </w:pPr>
            <w:r>
              <w:rPr>
                <w:szCs w:val="21"/>
              </w:rPr>
              <w:t xml:space="preserve">备用</w:t>
            </w:r>
            <w:r>
              <w:rPr>
                <w:szCs w:val="21"/>
              </w:rPr>
            </w:r>
            <w:r/>
          </w:p>
        </w:tc>
        <w:tc>
          <w:tcPr>
            <w:tcW w:w="3265" w:type="dxa"/>
            <w:vAlign w:val="top"/>
            <w:textDirection w:val="lrTb"/>
            <w:noWrap w:val="false"/>
          </w:tcPr>
          <w:p>
            <w:pPr>
              <w:pStyle w:val="1151"/>
              <w:jc w:val="center"/>
              <w:spacing w:line="276" w:lineRule="auto"/>
              <w:widowControl/>
              <w:rPr>
                <w:szCs w:val="21"/>
              </w:rPr>
            </w:pP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33</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0x8040</w:t>
            </w:r>
            <w:r>
              <w:rPr>
                <w:color w:val="000000"/>
                <w:szCs w:val="21"/>
              </w:rPr>
            </w:r>
            <w:r/>
          </w:p>
        </w:tc>
        <w:tc>
          <w:tcPr>
            <w:tcW w:w="1985" w:type="dxa"/>
            <w:vAlign w:val="center"/>
            <w:textDirection w:val="lrTb"/>
            <w:noWrap/>
          </w:tcPr>
          <w:p>
            <w:pPr>
              <w:pStyle w:val="1151"/>
              <w:jc w:val="center"/>
              <w:spacing w:line="276" w:lineRule="auto"/>
              <w:widowControl/>
              <w:rPr>
                <w:szCs w:val="21"/>
              </w:rPr>
            </w:pPr>
            <w:r>
              <w:rPr>
                <w:szCs w:val="21"/>
              </w:rPr>
              <w:t xml:space="preserve">相CT一次额定</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w:t>
            </w:r>
            <w:r>
              <w:rPr>
                <w:szCs w:val="21"/>
              </w:rPr>
              <w:t xml:space="preserve">（A）</w:t>
            </w:r>
            <w:r>
              <w:rPr>
                <w:szCs w:val="21"/>
              </w:rPr>
            </w:r>
            <w:r/>
          </w:p>
        </w:tc>
        <w:tc>
          <w:tcPr>
            <w:tcW w:w="1134" w:type="dxa"/>
            <w:vAlign w:val="top"/>
            <w:vMerge w:val="restart"/>
            <w:textDirection w:val="lrTb"/>
            <w:noWrap w:val="false"/>
          </w:tcPr>
          <w:p>
            <w:pPr>
              <w:pStyle w:val="1151"/>
              <w:jc w:val="center"/>
              <w:spacing w:line="276" w:lineRule="auto"/>
              <w:widowControl/>
              <w:rPr>
                <w:color w:val="000000"/>
                <w:szCs w:val="21"/>
              </w:rPr>
            </w:pPr>
            <w:r>
              <w:rPr>
                <w:color w:val="000000"/>
                <w:szCs w:val="21"/>
              </w:rPr>
              <w:t xml:space="preserve">第1路开关</w:t>
            </w: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34</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0x8041</w:t>
            </w:r>
            <w:r>
              <w:rPr>
                <w:color w:val="000000"/>
                <w:szCs w:val="21"/>
              </w:rPr>
            </w:r>
            <w:r/>
          </w:p>
        </w:tc>
        <w:tc>
          <w:tcPr>
            <w:tcW w:w="1985" w:type="dxa"/>
            <w:vAlign w:val="center"/>
            <w:textDirection w:val="lrTb"/>
            <w:noWrap/>
          </w:tcPr>
          <w:p>
            <w:pPr>
              <w:pStyle w:val="1151"/>
              <w:jc w:val="center"/>
              <w:spacing w:line="276" w:lineRule="auto"/>
              <w:widowControl/>
              <w:rPr>
                <w:szCs w:val="21"/>
              </w:rPr>
            </w:pPr>
            <w:r>
              <w:rPr>
                <w:szCs w:val="21"/>
              </w:rPr>
              <w:t xml:space="preserve">相CT二次额定</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35</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0x8042</w:t>
            </w:r>
            <w:r>
              <w:rPr>
                <w:color w:val="000000"/>
                <w:szCs w:val="21"/>
              </w:rPr>
            </w:r>
            <w:r/>
          </w:p>
        </w:tc>
        <w:tc>
          <w:tcPr>
            <w:tcW w:w="1985" w:type="dxa"/>
            <w:vAlign w:val="center"/>
            <w:textDirection w:val="lrTb"/>
            <w:noWrap/>
          </w:tcPr>
          <w:p>
            <w:pPr>
              <w:pStyle w:val="1151"/>
              <w:jc w:val="center"/>
              <w:spacing w:line="276" w:lineRule="auto"/>
              <w:widowControl/>
              <w:rPr>
                <w:szCs w:val="21"/>
              </w:rPr>
            </w:pPr>
            <w:r>
              <w:rPr>
                <w:szCs w:val="21"/>
              </w:rPr>
              <w:t xml:space="preserve">零序CT一次额定</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w:t>
            </w:r>
            <w:r>
              <w:rPr>
                <w:szCs w:val="21"/>
              </w:rPr>
              <w:t xml:space="preserve">（A）</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36</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0x8043</w:t>
            </w:r>
            <w:r>
              <w:rPr>
                <w:color w:val="000000"/>
                <w:szCs w:val="21"/>
              </w:rPr>
            </w:r>
            <w:r/>
          </w:p>
        </w:tc>
        <w:tc>
          <w:tcPr>
            <w:tcW w:w="1985" w:type="dxa"/>
            <w:vAlign w:val="center"/>
            <w:textDirection w:val="lrTb"/>
            <w:noWrap/>
          </w:tcPr>
          <w:p>
            <w:pPr>
              <w:pStyle w:val="1151"/>
              <w:jc w:val="center"/>
              <w:spacing w:line="276" w:lineRule="auto"/>
              <w:widowControl/>
              <w:rPr>
                <w:szCs w:val="21"/>
              </w:rPr>
            </w:pPr>
            <w:r>
              <w:rPr>
                <w:szCs w:val="21"/>
              </w:rPr>
              <w:t xml:space="preserve">零序CT二次额定</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单精度浮点数</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37</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0x8044</w:t>
            </w:r>
            <w:r>
              <w:rPr>
                <w:color w:val="000000"/>
                <w:szCs w:val="21"/>
              </w:rPr>
            </w:r>
            <w:r/>
          </w:p>
        </w:tc>
        <w:tc>
          <w:tcPr>
            <w:tcW w:w="1985" w:type="dxa"/>
            <w:vAlign w:val="center"/>
            <w:textDirection w:val="lrTb"/>
            <w:noWrap/>
          </w:tcPr>
          <w:p>
            <w:pPr>
              <w:pStyle w:val="1151"/>
              <w:jc w:val="center"/>
              <w:spacing w:line="276" w:lineRule="auto"/>
              <w:widowControl/>
              <w:rPr>
                <w:szCs w:val="21"/>
              </w:rPr>
            </w:pPr>
            <w:r>
              <w:rPr>
                <w:rFonts w:hint="eastAsia"/>
                <w:color w:val="000000"/>
                <w:szCs w:val="21"/>
              </w:rPr>
              <w:t xml:space="preserve">备用</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38</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0x8045</w:t>
            </w:r>
            <w:r>
              <w:rPr>
                <w:color w:val="000000"/>
                <w:szCs w:val="21"/>
              </w:rPr>
            </w:r>
            <w:r/>
          </w:p>
        </w:tc>
        <w:tc>
          <w:tcPr>
            <w:tcW w:w="1985" w:type="dxa"/>
            <w:vAlign w:val="center"/>
            <w:textDirection w:val="lrTb"/>
            <w:noWrap/>
          </w:tcPr>
          <w:p>
            <w:pPr>
              <w:pStyle w:val="1151"/>
              <w:jc w:val="center"/>
              <w:spacing w:line="276" w:lineRule="auto"/>
              <w:widowControl/>
              <w:rPr>
                <w:color w:val="000000"/>
                <w:szCs w:val="21"/>
              </w:rPr>
            </w:pPr>
            <w:r>
              <w:rPr>
                <w:szCs w:val="21"/>
              </w:rPr>
              <w:t xml:space="preserve">备用</w:t>
            </w:r>
            <w:r>
              <w:rPr>
                <w:color w:val="000000"/>
                <w:szCs w:val="21"/>
              </w:rPr>
            </w:r>
            <w:r/>
          </w:p>
        </w:tc>
        <w:tc>
          <w:tcPr>
            <w:tcW w:w="3265" w:type="dxa"/>
            <w:vAlign w:val="center"/>
            <w:textDirection w:val="lrTb"/>
            <w:noWrap w:val="false"/>
          </w:tcPr>
          <w:p>
            <w:pPr>
              <w:pStyle w:val="1151"/>
              <w:jc w:val="center"/>
              <w:spacing w:line="276" w:lineRule="auto"/>
              <w:widowControl/>
              <w:rPr>
                <w:color w:val="000000"/>
                <w:szCs w:val="21"/>
              </w:rPr>
            </w:pPr>
            <w:r>
              <w:rPr>
                <w:color w:val="000000"/>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39</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0x8046</w:t>
            </w:r>
            <w:r>
              <w:rPr>
                <w:color w:val="000000"/>
                <w:szCs w:val="21"/>
              </w:rPr>
            </w:r>
            <w:r/>
          </w:p>
        </w:tc>
        <w:tc>
          <w:tcPr>
            <w:tcW w:w="1985" w:type="dxa"/>
            <w:vAlign w:val="center"/>
            <w:textDirection w:val="lrTb"/>
            <w:noWrap/>
          </w:tcPr>
          <w:p>
            <w:pPr>
              <w:pStyle w:val="1151"/>
              <w:jc w:val="center"/>
              <w:spacing w:line="276" w:lineRule="auto"/>
              <w:widowControl/>
              <w:rPr>
                <w:szCs w:val="21"/>
              </w:rPr>
            </w:pPr>
            <w:r>
              <w:rPr>
                <w:szCs w:val="21"/>
              </w:rPr>
              <w:t xml:space="preserve">备用</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40</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0x8047</w:t>
            </w:r>
            <w:r>
              <w:rPr>
                <w:color w:val="000000"/>
                <w:szCs w:val="21"/>
              </w:rPr>
            </w:r>
            <w:r/>
          </w:p>
        </w:tc>
        <w:tc>
          <w:tcPr>
            <w:tcW w:w="1985" w:type="dxa"/>
            <w:vAlign w:val="center"/>
            <w:textDirection w:val="lrTb"/>
            <w:noWrap/>
          </w:tcPr>
          <w:p>
            <w:pPr>
              <w:pStyle w:val="1151"/>
              <w:jc w:val="center"/>
              <w:spacing w:line="276" w:lineRule="auto"/>
              <w:widowControl/>
              <w:rPr>
                <w:szCs w:val="21"/>
              </w:rPr>
            </w:pPr>
            <w:r>
              <w:rPr>
                <w:szCs w:val="21"/>
              </w:rPr>
              <w:t xml:space="preserve">备用</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41</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0x8048</w:t>
            </w:r>
            <w:r>
              <w:rPr>
                <w:color w:val="000000"/>
                <w:szCs w:val="21"/>
              </w:rPr>
            </w:r>
            <w:r/>
          </w:p>
        </w:tc>
        <w:tc>
          <w:tcPr>
            <w:tcW w:w="1985" w:type="dxa"/>
            <w:vAlign w:val="center"/>
            <w:textDirection w:val="lrTb"/>
            <w:noWrap/>
          </w:tcPr>
          <w:p>
            <w:pPr>
              <w:pStyle w:val="1151"/>
              <w:jc w:val="center"/>
              <w:spacing w:line="276" w:lineRule="auto"/>
              <w:widowControl/>
              <w:rPr>
                <w:szCs w:val="21"/>
              </w:rPr>
            </w:pPr>
            <w:r>
              <w:rPr>
                <w:szCs w:val="21"/>
              </w:rPr>
              <w:t xml:space="preserve">备用</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42</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0x8049</w:t>
            </w:r>
            <w:r>
              <w:rPr>
                <w:color w:val="000000"/>
                <w:szCs w:val="21"/>
              </w:rPr>
            </w:r>
            <w:r/>
          </w:p>
        </w:tc>
        <w:tc>
          <w:tcPr>
            <w:tcW w:w="1985" w:type="dxa"/>
            <w:vAlign w:val="center"/>
            <w:textDirection w:val="lrTb"/>
            <w:noWrap/>
          </w:tcPr>
          <w:p>
            <w:pPr>
              <w:pStyle w:val="1151"/>
              <w:jc w:val="center"/>
              <w:spacing w:line="276" w:lineRule="auto"/>
              <w:widowControl/>
              <w:rPr>
                <w:szCs w:val="21"/>
              </w:rPr>
            </w:pPr>
            <w:r>
              <w:rPr>
                <w:szCs w:val="21"/>
              </w:rPr>
              <w:t xml:space="preserve">备用</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43</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0x804A</w:t>
            </w:r>
            <w:r>
              <w:rPr>
                <w:color w:val="000000"/>
                <w:szCs w:val="21"/>
              </w:rPr>
            </w:r>
            <w:r/>
          </w:p>
        </w:tc>
        <w:tc>
          <w:tcPr>
            <w:tcW w:w="1985" w:type="dxa"/>
            <w:vAlign w:val="center"/>
            <w:textDirection w:val="lrTb"/>
            <w:noWrap/>
          </w:tcPr>
          <w:p>
            <w:pPr>
              <w:pStyle w:val="1151"/>
              <w:jc w:val="center"/>
              <w:spacing w:line="276" w:lineRule="auto"/>
              <w:widowControl/>
              <w:rPr>
                <w:szCs w:val="21"/>
              </w:rPr>
            </w:pPr>
            <w:r>
              <w:rPr>
                <w:szCs w:val="21"/>
              </w:rPr>
              <w:t xml:space="preserve">过流故障启动录波投入</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布尔</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44</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0x804B</w:t>
            </w:r>
            <w:r>
              <w:rPr>
                <w:color w:val="000000"/>
                <w:szCs w:val="21"/>
              </w:rPr>
            </w:r>
            <w:r/>
          </w:p>
        </w:tc>
        <w:tc>
          <w:tcPr>
            <w:tcW w:w="1985" w:type="dxa"/>
            <w:vAlign w:val="center"/>
            <w:textDirection w:val="lrTb"/>
            <w:noWrap/>
          </w:tcPr>
          <w:p>
            <w:pPr>
              <w:pStyle w:val="1151"/>
              <w:jc w:val="center"/>
              <w:spacing w:line="276" w:lineRule="auto"/>
              <w:widowControl/>
              <w:rPr>
                <w:szCs w:val="21"/>
              </w:rPr>
            </w:pPr>
            <w:r>
              <w:rPr>
                <w:szCs w:val="21"/>
              </w:rPr>
              <w:t xml:space="preserve">线路失压启动录波投入</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布尔</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45</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0x804C</w:t>
            </w:r>
            <w:r>
              <w:rPr>
                <w:color w:val="000000"/>
                <w:szCs w:val="21"/>
              </w:rPr>
            </w:r>
            <w:r/>
          </w:p>
        </w:tc>
        <w:tc>
          <w:tcPr>
            <w:tcW w:w="1985" w:type="dxa"/>
            <w:vAlign w:val="center"/>
            <w:textDirection w:val="lrTb"/>
            <w:noWrap/>
          </w:tcPr>
          <w:p>
            <w:pPr>
              <w:pStyle w:val="1151"/>
              <w:jc w:val="center"/>
              <w:spacing w:line="276" w:lineRule="auto"/>
              <w:widowControl/>
              <w:rPr>
                <w:szCs w:val="21"/>
              </w:rPr>
            </w:pPr>
            <w:r>
              <w:rPr>
                <w:szCs w:val="21"/>
              </w:rPr>
              <w:t xml:space="preserve">零序电流突变启动录波投入</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布尔</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46</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0x804D</w:t>
            </w:r>
            <w:r>
              <w:rPr>
                <w:color w:val="000000"/>
                <w:szCs w:val="21"/>
              </w:rPr>
            </w:r>
            <w:r/>
          </w:p>
        </w:tc>
        <w:tc>
          <w:tcPr>
            <w:tcW w:w="1985" w:type="dxa"/>
            <w:vAlign w:val="center"/>
            <w:textDirection w:val="lrTb"/>
            <w:noWrap/>
          </w:tcPr>
          <w:p>
            <w:pPr>
              <w:pStyle w:val="1151"/>
              <w:jc w:val="center"/>
              <w:spacing w:line="276" w:lineRule="auto"/>
              <w:widowControl/>
              <w:rPr>
                <w:szCs w:val="21"/>
              </w:rPr>
            </w:pPr>
            <w:r>
              <w:rPr>
                <w:szCs w:val="21"/>
              </w:rPr>
              <w:t xml:space="preserve">零序电压启动录波投入</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布尔</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47</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0x804E</w:t>
            </w:r>
            <w:r>
              <w:rPr>
                <w:color w:val="000000"/>
                <w:szCs w:val="21"/>
              </w:rPr>
            </w:r>
            <w:r/>
          </w:p>
        </w:tc>
        <w:tc>
          <w:tcPr>
            <w:tcW w:w="1985" w:type="dxa"/>
            <w:vAlign w:val="center"/>
            <w:textDirection w:val="lrTb"/>
            <w:noWrap/>
          </w:tcPr>
          <w:p>
            <w:pPr>
              <w:pStyle w:val="1151"/>
              <w:jc w:val="center"/>
              <w:spacing w:line="276" w:lineRule="auto"/>
              <w:widowControl/>
              <w:rPr>
                <w:szCs w:val="21"/>
              </w:rPr>
            </w:pPr>
            <w:r>
              <w:rPr>
                <w:rFonts w:hint="eastAsia"/>
                <w:szCs w:val="21"/>
              </w:rPr>
              <w:t xml:space="preserve">开关极性</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布尔</w:t>
            </w:r>
            <w:r>
              <w:rPr>
                <w:rFonts w:hint="eastAsia"/>
                <w:szCs w:val="21"/>
              </w:rPr>
              <w:t xml:space="preserve">（</w:t>
            </w:r>
            <w:r>
              <w:rPr>
                <w:rFonts w:hint="eastAsia" w:hAnsi="宋体"/>
                <w:szCs w:val="21"/>
              </w:rPr>
              <w:t xml:space="preserve">“</w:t>
            </w:r>
            <w:r>
              <w:rPr>
                <w:rFonts w:hAnsi="宋体"/>
                <w:szCs w:val="21"/>
              </w:rPr>
              <w:t xml:space="preserve">0</w:t>
            </w:r>
            <w:r>
              <w:rPr>
                <w:rFonts w:hint="eastAsia" w:hAnsi="宋体"/>
                <w:szCs w:val="21"/>
              </w:rPr>
              <w:t xml:space="preserve">”表示一次电流的流向为进线侧流入，出线侧流出；“</w:t>
            </w:r>
            <w:r>
              <w:rPr>
                <w:rFonts w:hAnsi="宋体"/>
                <w:szCs w:val="21"/>
              </w:rPr>
              <w:t xml:space="preserve">1</w:t>
            </w:r>
            <w:r>
              <w:rPr>
                <w:rFonts w:hint="eastAsia" w:hAnsi="宋体"/>
                <w:szCs w:val="21"/>
              </w:rPr>
              <w:t xml:space="preserve">”表示一次电流的流向为出线侧流入，进线侧流出</w:t>
            </w:r>
            <w:r>
              <w:rPr>
                <w:rFonts w:hint="eastAsia"/>
                <w:szCs w:val="21"/>
              </w:rPr>
              <w:t xml:space="preserve">）</w:t>
            </w: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48</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0x804F</w:t>
            </w:r>
            <w:r>
              <w:rPr>
                <w:color w:val="000000"/>
                <w:szCs w:val="21"/>
              </w:rPr>
            </w:r>
            <w:r/>
          </w:p>
        </w:tc>
        <w:tc>
          <w:tcPr>
            <w:tcW w:w="1985" w:type="dxa"/>
            <w:vAlign w:val="center"/>
            <w:textDirection w:val="lrTb"/>
            <w:noWrap/>
          </w:tcPr>
          <w:p>
            <w:pPr>
              <w:pStyle w:val="1151"/>
              <w:jc w:val="center"/>
              <w:spacing w:line="276" w:lineRule="auto"/>
              <w:widowControl/>
              <w:rPr>
                <w:szCs w:val="21"/>
              </w:rPr>
            </w:pPr>
            <w:r>
              <w:rPr>
                <w:szCs w:val="21"/>
              </w:rPr>
              <w:t xml:space="preserve">备用</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r>
            <w:r/>
          </w:p>
        </w:tc>
        <w:tc>
          <w:tcPr>
            <w:tcW w:w="1134" w:type="dxa"/>
            <w:vAlign w:val="top"/>
            <w:vMerge w:val="continue"/>
            <w:textDirection w:val="lrTb"/>
            <w:noWrap w:val="false"/>
          </w:tcPr>
          <w:p>
            <w:pPr>
              <w:pStyle w:val="1151"/>
              <w:jc w:val="center"/>
              <w:spacing w:line="276" w:lineRule="auto"/>
              <w:widowControl/>
              <w:rPr>
                <w:color w:val="000000"/>
                <w:szCs w:val="21"/>
              </w:rPr>
            </w:pPr>
            <w:r>
              <w:rPr>
                <w:color w:val="000000"/>
                <w:szCs w:val="21"/>
              </w:rPr>
            </w:r>
            <w:r/>
          </w:p>
        </w:tc>
      </w:tr>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w:t>
            </w:r>
            <w:r>
              <w:rPr>
                <w:color w:val="000000"/>
                <w:szCs w:val="21"/>
              </w:rPr>
            </w:r>
            <w:r/>
          </w:p>
        </w:tc>
        <w:tc>
          <w:tcPr>
            <w:tcW w:w="1417" w:type="dxa"/>
            <w:vAlign w:val="center"/>
            <w:textDirection w:val="lrTb"/>
            <w:noWrap/>
          </w:tcPr>
          <w:p>
            <w:pPr>
              <w:pStyle w:val="1151"/>
              <w:jc w:val="center"/>
              <w:spacing w:line="276" w:lineRule="auto"/>
              <w:widowControl/>
              <w:rPr>
                <w:color w:val="000000"/>
                <w:szCs w:val="21"/>
              </w:rPr>
            </w:pPr>
            <w:r>
              <w:rPr>
                <w:color w:val="000000"/>
                <w:szCs w:val="21"/>
              </w:rPr>
              <w:t xml:space="preserve">…</w:t>
            </w:r>
            <w:r>
              <w:rPr>
                <w:color w:val="000000"/>
                <w:szCs w:val="21"/>
              </w:rPr>
            </w:r>
            <w:r/>
          </w:p>
        </w:tc>
        <w:tc>
          <w:tcPr>
            <w:tcW w:w="1985" w:type="dxa"/>
            <w:vAlign w:val="center"/>
            <w:textDirection w:val="lrTb"/>
            <w:noWrap/>
          </w:tcPr>
          <w:p>
            <w:pPr>
              <w:pStyle w:val="1151"/>
              <w:jc w:val="center"/>
              <w:spacing w:line="276" w:lineRule="auto"/>
              <w:widowControl/>
              <w:rPr>
                <w:szCs w:val="21"/>
              </w:rPr>
            </w:pPr>
            <w:r>
              <w:rPr>
                <w:szCs w:val="21"/>
              </w:rPr>
              <w:t xml:space="preserve">…</w:t>
            </w:r>
            <w:r>
              <w:rPr>
                <w:szCs w:val="21"/>
              </w:rPr>
            </w:r>
            <w:r/>
          </w:p>
        </w:tc>
        <w:tc>
          <w:tcPr>
            <w:tcW w:w="3265" w:type="dxa"/>
            <w:vAlign w:val="center"/>
            <w:textDirection w:val="lrTb"/>
            <w:noWrap w:val="false"/>
          </w:tcPr>
          <w:p>
            <w:pPr>
              <w:pStyle w:val="1151"/>
              <w:jc w:val="center"/>
              <w:spacing w:line="276" w:lineRule="auto"/>
              <w:widowControl/>
              <w:rPr>
                <w:szCs w:val="21"/>
              </w:rPr>
            </w:pPr>
            <w:r>
              <w:rPr>
                <w:szCs w:val="21"/>
              </w:rPr>
              <w:t xml:space="preserve">…</w:t>
            </w:r>
            <w:r>
              <w:rPr>
                <w:szCs w:val="21"/>
              </w:rPr>
            </w:r>
            <w:r/>
          </w:p>
        </w:tc>
        <w:tc>
          <w:tcPr>
            <w:tcW w:w="1134" w:type="dxa"/>
            <w:vAlign w:val="top"/>
            <w:textDirection w:val="lrTb"/>
            <w:noWrap w:val="false"/>
          </w:tcPr>
          <w:p>
            <w:pPr>
              <w:pStyle w:val="1151"/>
              <w:jc w:val="center"/>
              <w:spacing w:line="276" w:lineRule="auto"/>
              <w:widowControl/>
              <w:rPr>
                <w:color w:val="000000"/>
                <w:szCs w:val="21"/>
              </w:rPr>
            </w:pPr>
            <w:r>
              <w:rPr>
                <w:color w:val="000000"/>
                <w:szCs w:val="21"/>
              </w:rPr>
              <w:t xml:space="preserve">第N路开关</w:t>
            </w:r>
            <w:r>
              <w:rPr>
                <w:color w:val="000000"/>
                <w:szCs w:val="21"/>
              </w:rPr>
            </w:r>
            <w:r/>
          </w:p>
        </w:tc>
      </w:tr>
    </w:tbl>
    <w:p>
      <w:pPr>
        <w:pStyle w:val="1151"/>
      </w:pPr>
      <w:r>
        <w:rPr>
          <w:rFonts w:hint="eastAsia"/>
          <w:szCs w:val="21"/>
        </w:rPr>
        <w:t xml:space="preserve">注1、注2，电流零漂及交流电压零漂参数，采样值小于该值时为测量不准确，上送主站时处理为零值，但对过流保护、零流保护、接地判别等逻辑运算应使用实际测量值。</w:t>
      </w:r>
      <w:r/>
    </w:p>
    <w:p>
      <w:pPr>
        <w:pStyle w:val="1201"/>
        <w:jc w:val="center"/>
        <w:spacing w:line="276" w:lineRule="auto"/>
        <w:tabs>
          <w:tab w:val="center" w:pos="4201" w:leader="none"/>
          <w:tab w:val="right" w:pos="9298" w:leader="dot"/>
        </w:tabs>
        <w:rPr>
          <w:rFonts w:ascii="Times New Roman" w:eastAsia="黑体"/>
        </w:rPr>
      </w:pPr>
      <w:r>
        <w:rPr>
          <w:rFonts w:ascii="Times New Roman" w:eastAsia="黑体"/>
        </w:rPr>
        <w:t xml:space="preserve">表K.2-3  终端动作参数配置信息体地址分配表</w:t>
      </w:r>
      <w:r>
        <w:rPr>
          <w:rFonts w:ascii="Times New Roman" w:eastAsia="黑体"/>
        </w:rPr>
      </w:r>
      <w:r/>
    </w:p>
    <w:tbl>
      <w:tblPr>
        <w:tblW w:w="86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17"/>
        <w:gridCol w:w="2694"/>
        <w:gridCol w:w="2573"/>
        <w:gridCol w:w="1134"/>
      </w:tblGrid>
      <w:tr>
        <w:trPr>
          <w:trHeight w:val="113"/>
        </w:trPr>
        <w:tc>
          <w:tcPr>
            <w:tcW w:w="846" w:type="dxa"/>
            <w:vAlign w:val="center"/>
            <w:textDirection w:val="lrTb"/>
            <w:noWrap/>
          </w:tcPr>
          <w:p>
            <w:pPr>
              <w:pStyle w:val="1151"/>
              <w:jc w:val="center"/>
              <w:spacing w:line="276" w:lineRule="auto"/>
              <w:widowControl/>
              <w:rPr>
                <w:color w:val="000000"/>
                <w:szCs w:val="21"/>
              </w:rPr>
            </w:pPr>
            <w:r>
              <w:rPr>
                <w:color w:val="000000"/>
                <w:szCs w:val="21"/>
              </w:rPr>
              <w:t xml:space="preserve">序号</w:t>
            </w:r>
            <w:r>
              <w:rPr>
                <w:color w:val="000000"/>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hint="eastAsia" w:eastAsia="宋体"/>
                <w:color w:val="000000"/>
                <w:szCs w:val="21"/>
              </w:rPr>
              <w:t xml:space="preserve">信息体地址</w:t>
            </w:r>
            <w:r>
              <w:rPr>
                <w:rFonts w:eastAsia="宋体"/>
                <w:color w:val="000000"/>
                <w:szCs w:val="21"/>
              </w:rPr>
            </w:r>
            <w:r/>
          </w:p>
        </w:tc>
        <w:tc>
          <w:tcPr>
            <w:tcW w:w="2694" w:type="dxa"/>
            <w:vAlign w:val="center"/>
            <w:textDirection w:val="lrTb"/>
            <w:noWrap/>
          </w:tcPr>
          <w:p>
            <w:pPr>
              <w:pStyle w:val="1151"/>
              <w:jc w:val="center"/>
              <w:spacing w:line="276" w:lineRule="auto"/>
              <w:widowControl/>
              <w:rPr>
                <w:color w:val="000000"/>
                <w:szCs w:val="21"/>
              </w:rPr>
            </w:pPr>
            <w:r>
              <w:rPr>
                <w:color w:val="000000"/>
                <w:szCs w:val="21"/>
              </w:rPr>
              <w:t xml:space="preserve">参数描述</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参数数据类型（单位）</w:t>
            </w:r>
            <w:r>
              <w:rPr>
                <w:rFonts w:eastAsia="宋体"/>
                <w:szCs w:val="21"/>
              </w:rPr>
            </w:r>
            <w:r/>
          </w:p>
        </w:tc>
        <w:tc>
          <w:tcPr>
            <w:tcW w:w="1134" w:type="dxa"/>
            <w:vAlign w:val="top"/>
            <w:textDirection w:val="lrTb"/>
            <w:noWrap w:val="false"/>
          </w:tcPr>
          <w:p>
            <w:pPr>
              <w:pStyle w:val="1151"/>
              <w:jc w:val="center"/>
              <w:spacing w:line="276" w:lineRule="auto"/>
              <w:widowControl/>
              <w:rPr>
                <w:szCs w:val="21"/>
              </w:rPr>
            </w:pPr>
            <w:r>
              <w:rPr>
                <w:szCs w:val="21"/>
              </w:rPr>
              <w:t xml:space="preserve">备注</w:t>
            </w: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1</w:t>
            </w:r>
            <w:r>
              <w:rPr>
                <w:szCs w:val="21"/>
              </w:rPr>
            </w:r>
            <w:r/>
          </w:p>
        </w:tc>
        <w:tc>
          <w:tcPr>
            <w:tcW w:w="1417" w:type="dxa"/>
            <w:vAlign w:val="top"/>
            <w:textDirection w:val="lrTb"/>
            <w:noWrap w:val="false"/>
          </w:tcPr>
          <w:p>
            <w:pPr>
              <w:pStyle w:val="1151"/>
              <w:jc w:val="center"/>
              <w:spacing w:line="276" w:lineRule="auto"/>
              <w:widowControl/>
              <w:rPr>
                <w:rFonts w:eastAsia="宋体"/>
                <w:szCs w:val="21"/>
              </w:rPr>
            </w:pPr>
            <w:r>
              <w:rPr>
                <w:rFonts w:eastAsia="宋体"/>
                <w:szCs w:val="21"/>
              </w:rPr>
              <w:t xml:space="preserve">0x8820</w:t>
            </w:r>
            <w:r>
              <w:rPr>
                <w:rFonts w:eastAsia="宋体"/>
                <w:szCs w:val="21"/>
              </w:rPr>
            </w:r>
            <w:r/>
          </w:p>
        </w:tc>
        <w:tc>
          <w:tcPr>
            <w:tcW w:w="2694" w:type="dxa"/>
            <w:vAlign w:val="top"/>
            <w:textDirection w:val="lrTb"/>
            <w:noWrap/>
          </w:tcPr>
          <w:p>
            <w:pPr>
              <w:pStyle w:val="1151"/>
              <w:jc w:val="center"/>
              <w:spacing w:line="276" w:lineRule="auto"/>
              <w:widowControl/>
              <w:rPr>
                <w:szCs w:val="21"/>
              </w:rPr>
            </w:pPr>
            <w:r>
              <w:rPr>
                <w:szCs w:val="21"/>
              </w:rPr>
              <w:t xml:space="preserve">故障指示灯自动复归</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restart"/>
            <w:textDirection w:val="lrTb"/>
            <w:noWrap w:val="false"/>
          </w:tcPr>
          <w:p>
            <w:pPr>
              <w:pStyle w:val="1151"/>
              <w:jc w:val="center"/>
              <w:spacing w:line="276" w:lineRule="auto"/>
              <w:widowControl/>
              <w:rPr>
                <w:szCs w:val="21"/>
              </w:rPr>
            </w:pPr>
            <w:r>
              <w:rPr>
                <w:szCs w:val="21"/>
              </w:rPr>
              <w:t xml:space="preserve">公共动作参数32个</w:t>
            </w:r>
            <w:r>
              <w:rPr>
                <w:szCs w:val="21"/>
              </w:rPr>
            </w:r>
            <w:r/>
          </w:p>
        </w:tc>
      </w:tr>
      <w:tr>
        <w:trPr>
          <w:trHeight w:val="304"/>
        </w:trPr>
        <w:tc>
          <w:tcPr>
            <w:tcW w:w="846" w:type="dxa"/>
            <w:vAlign w:val="center"/>
            <w:textDirection w:val="lrTb"/>
            <w:noWrap/>
          </w:tcPr>
          <w:p>
            <w:pPr>
              <w:pStyle w:val="1151"/>
              <w:jc w:val="center"/>
              <w:spacing w:line="276" w:lineRule="auto"/>
              <w:widowControl/>
              <w:rPr>
                <w:szCs w:val="21"/>
              </w:rPr>
            </w:pPr>
            <w:r>
              <w:rPr>
                <w:szCs w:val="21"/>
              </w:rPr>
              <w:t xml:space="preserve">2</w:t>
            </w:r>
            <w:r>
              <w:rPr>
                <w:szCs w:val="21"/>
              </w:rPr>
            </w:r>
            <w:r/>
          </w:p>
        </w:tc>
        <w:tc>
          <w:tcPr>
            <w:tcW w:w="1417" w:type="dxa"/>
            <w:vAlign w:val="top"/>
            <w:textDirection w:val="lrTb"/>
            <w:noWrap w:val="false"/>
          </w:tcPr>
          <w:p>
            <w:pPr>
              <w:pStyle w:val="1151"/>
              <w:jc w:val="center"/>
              <w:spacing w:line="276" w:lineRule="auto"/>
              <w:widowControl/>
              <w:rPr>
                <w:rFonts w:eastAsia="宋体"/>
                <w:szCs w:val="21"/>
              </w:rPr>
            </w:pPr>
            <w:r>
              <w:rPr>
                <w:rFonts w:eastAsia="宋体"/>
                <w:szCs w:val="21"/>
              </w:rPr>
              <w:t xml:space="preserve">0x8821</w:t>
            </w:r>
            <w:r>
              <w:rPr>
                <w:rFonts w:eastAsia="宋体"/>
                <w:szCs w:val="21"/>
              </w:rPr>
            </w:r>
            <w:r/>
          </w:p>
        </w:tc>
        <w:tc>
          <w:tcPr>
            <w:tcW w:w="2694" w:type="dxa"/>
            <w:vAlign w:val="top"/>
            <w:textDirection w:val="lrTb"/>
            <w:noWrap/>
          </w:tcPr>
          <w:p>
            <w:pPr>
              <w:pStyle w:val="1151"/>
              <w:jc w:val="center"/>
              <w:spacing w:line="276" w:lineRule="auto"/>
              <w:widowControl/>
              <w:rPr>
                <w:szCs w:val="21"/>
              </w:rPr>
            </w:pPr>
            <w:r>
              <w:rPr>
                <w:szCs w:val="21"/>
              </w:rPr>
              <w:t xml:space="preserve">故障指示灯自动复归时间</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3</w:t>
            </w:r>
            <w:r>
              <w:rPr>
                <w:szCs w:val="21"/>
              </w:rPr>
            </w:r>
            <w:r/>
          </w:p>
        </w:tc>
        <w:tc>
          <w:tcPr>
            <w:tcW w:w="1417" w:type="dxa"/>
            <w:vAlign w:val="top"/>
            <w:textDirection w:val="lrTb"/>
            <w:noWrap w:val="false"/>
          </w:tcPr>
          <w:p>
            <w:pPr>
              <w:pStyle w:val="1151"/>
              <w:jc w:val="center"/>
              <w:spacing w:line="276" w:lineRule="auto"/>
              <w:widowControl/>
              <w:rPr>
                <w:rFonts w:eastAsia="宋体"/>
                <w:szCs w:val="21"/>
              </w:rPr>
            </w:pPr>
            <w:r>
              <w:rPr>
                <w:rFonts w:eastAsia="宋体"/>
                <w:szCs w:val="21"/>
              </w:rPr>
              <w:t xml:space="preserve">0x8822</w:t>
            </w:r>
            <w:r>
              <w:rPr>
                <w:rFonts w:eastAsia="宋体"/>
                <w:szCs w:val="21"/>
              </w:rPr>
            </w:r>
            <w:r/>
          </w:p>
        </w:tc>
        <w:tc>
          <w:tcPr>
            <w:tcW w:w="2694" w:type="dxa"/>
            <w:vAlign w:val="top"/>
            <w:textDirection w:val="lrTb"/>
            <w:noWrap/>
          </w:tcPr>
          <w:p>
            <w:pPr>
              <w:pStyle w:val="1151"/>
              <w:jc w:val="center"/>
              <w:spacing w:line="276" w:lineRule="auto"/>
              <w:widowControl/>
              <w:rPr>
                <w:szCs w:val="21"/>
              </w:rPr>
            </w:pPr>
            <w:r>
              <w:rPr>
                <w:szCs w:val="21"/>
              </w:rPr>
              <w:t xml:space="preserve">故障遥信保持时间</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4</w:t>
            </w:r>
            <w:r>
              <w:rPr>
                <w:szCs w:val="21"/>
              </w:rPr>
            </w:r>
            <w:r/>
          </w:p>
        </w:tc>
        <w:tc>
          <w:tcPr>
            <w:tcW w:w="1417" w:type="dxa"/>
            <w:vAlign w:val="top"/>
            <w:textDirection w:val="lrTb"/>
            <w:noWrap w:val="false"/>
          </w:tcPr>
          <w:p>
            <w:pPr>
              <w:pStyle w:val="1151"/>
              <w:jc w:val="center"/>
              <w:spacing w:line="276" w:lineRule="auto"/>
              <w:widowControl/>
              <w:rPr>
                <w:rFonts w:eastAsia="宋体"/>
                <w:szCs w:val="21"/>
              </w:rPr>
            </w:pPr>
            <w:r>
              <w:rPr>
                <w:rFonts w:eastAsia="宋体"/>
                <w:szCs w:val="21"/>
              </w:rPr>
              <w:t xml:space="preserve">0x8823</w:t>
            </w:r>
            <w:r>
              <w:rPr>
                <w:rFonts w:eastAsia="宋体"/>
                <w:szCs w:val="21"/>
              </w:rPr>
            </w:r>
            <w:r/>
          </w:p>
        </w:tc>
        <w:tc>
          <w:tcPr>
            <w:tcW w:w="2694" w:type="dxa"/>
            <w:vAlign w:val="top"/>
            <w:textDirection w:val="lrTb"/>
            <w:noWrap/>
          </w:tcPr>
          <w:p>
            <w:pPr>
              <w:pStyle w:val="1151"/>
              <w:jc w:val="center"/>
              <w:spacing w:line="276" w:lineRule="auto"/>
              <w:widowControl/>
              <w:rPr>
                <w:szCs w:val="21"/>
              </w:rPr>
            </w:pPr>
            <w:r>
              <w:rPr>
                <w:szCs w:val="21"/>
              </w:rPr>
              <w:t xml:space="preserve">X时间定值</w:t>
            </w:r>
            <w:r>
              <w:rPr>
                <w:rFonts w:hint="eastAsia"/>
                <w:szCs w:val="21"/>
              </w:rPr>
              <w:t xml:space="preserve">（</w:t>
            </w:r>
            <w:r>
              <w:rPr>
                <w:szCs w:val="21"/>
              </w:rPr>
              <w:t xml:space="preserve">就地馈线自动化来电合闸延时</w:t>
            </w:r>
            <w:r>
              <w:rPr>
                <w:rFonts w:hint="eastAsia"/>
                <w:szCs w:val="21"/>
              </w:rPr>
              <w:t xml:space="preserve">）</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5</w:t>
            </w:r>
            <w:r>
              <w:rPr>
                <w:szCs w:val="21"/>
              </w:rPr>
            </w:r>
            <w:r/>
          </w:p>
        </w:tc>
        <w:tc>
          <w:tcPr>
            <w:tcW w:w="1417" w:type="dxa"/>
            <w:vAlign w:val="top"/>
            <w:textDirection w:val="lrTb"/>
            <w:noWrap w:val="false"/>
          </w:tcPr>
          <w:p>
            <w:pPr>
              <w:pStyle w:val="1151"/>
              <w:jc w:val="center"/>
              <w:spacing w:line="276" w:lineRule="auto"/>
              <w:widowControl/>
              <w:rPr>
                <w:rFonts w:eastAsia="宋体"/>
                <w:szCs w:val="21"/>
              </w:rPr>
            </w:pPr>
            <w:r>
              <w:rPr>
                <w:rFonts w:eastAsia="宋体"/>
                <w:szCs w:val="21"/>
              </w:rPr>
              <w:t xml:space="preserve">0x8824</w:t>
            </w:r>
            <w:r>
              <w:rPr>
                <w:rFonts w:eastAsia="宋体"/>
                <w:szCs w:val="21"/>
              </w:rPr>
            </w:r>
            <w:r/>
          </w:p>
        </w:tc>
        <w:tc>
          <w:tcPr>
            <w:tcW w:w="2694" w:type="dxa"/>
            <w:vAlign w:val="top"/>
            <w:textDirection w:val="lrTb"/>
            <w:noWrap/>
          </w:tcPr>
          <w:p>
            <w:pPr>
              <w:pStyle w:val="1151"/>
              <w:jc w:val="center"/>
              <w:spacing w:line="276" w:lineRule="auto"/>
              <w:widowControl/>
              <w:rPr>
                <w:szCs w:val="21"/>
              </w:rPr>
            </w:pPr>
            <w:r>
              <w:rPr>
                <w:szCs w:val="21"/>
              </w:rPr>
              <w:t xml:space="preserve">Y时间定值</w:t>
            </w:r>
            <w:r>
              <w:rPr>
                <w:rFonts w:hint="eastAsia"/>
                <w:szCs w:val="21"/>
              </w:rPr>
              <w:t xml:space="preserve">（</w:t>
            </w:r>
            <w:r>
              <w:rPr>
                <w:szCs w:val="21"/>
              </w:rPr>
              <w:t xml:space="preserve">就地馈线自动化故障确认延时</w:t>
            </w:r>
            <w:r>
              <w:rPr>
                <w:rFonts w:hint="eastAsia"/>
                <w:szCs w:val="21"/>
              </w:rPr>
              <w:t xml:space="preserve">）</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6</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0x8825</w:t>
            </w:r>
            <w:r>
              <w:rPr>
                <w:rFonts w:eastAsia="宋体"/>
                <w:color w:val="000000"/>
                <w:szCs w:val="21"/>
              </w:rPr>
            </w:r>
            <w:r/>
          </w:p>
        </w:tc>
        <w:tc>
          <w:tcPr>
            <w:tcW w:w="2694" w:type="dxa"/>
            <w:vAlign w:val="top"/>
            <w:textDirection w:val="lrTb"/>
            <w:noWrap/>
          </w:tcPr>
          <w:p>
            <w:pPr>
              <w:pStyle w:val="1151"/>
              <w:jc w:val="center"/>
              <w:spacing w:line="276" w:lineRule="auto"/>
              <w:widowControl/>
              <w:rPr>
                <w:szCs w:val="21"/>
              </w:rPr>
            </w:pPr>
            <w:r>
              <w:rPr>
                <w:color w:val="000000"/>
                <w:szCs w:val="21"/>
              </w:rPr>
              <w:t xml:space="preserve">S时间定值</w:t>
            </w:r>
            <w:r>
              <w:rPr>
                <w:rFonts w:hint="eastAsia"/>
                <w:color w:val="000000"/>
                <w:szCs w:val="21"/>
              </w:rPr>
              <w:t xml:space="preserve">（</w:t>
            </w:r>
            <w:r>
              <w:rPr>
                <w:color w:val="000000"/>
                <w:szCs w:val="21"/>
              </w:rPr>
              <w:t xml:space="preserve">自适应综合型来电合闸长延时</w:t>
            </w:r>
            <w:r>
              <w:rPr>
                <w:rFonts w:hint="eastAsia"/>
                <w:color w:val="000000"/>
                <w:szCs w:val="21"/>
              </w:rPr>
              <w:t xml:space="preserve">）</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7</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0x8826</w:t>
            </w:r>
            <w:r>
              <w:rPr>
                <w:rFonts w:eastAsia="宋体"/>
                <w:color w:val="000000"/>
                <w:szCs w:val="21"/>
              </w:rPr>
            </w:r>
            <w:r/>
          </w:p>
        </w:tc>
        <w:tc>
          <w:tcPr>
            <w:tcW w:w="2694" w:type="dxa"/>
            <w:vAlign w:val="top"/>
            <w:textDirection w:val="lrTb"/>
            <w:noWrap/>
          </w:tcPr>
          <w:p>
            <w:pPr>
              <w:pStyle w:val="1151"/>
              <w:jc w:val="center"/>
              <w:spacing w:line="276" w:lineRule="auto"/>
              <w:widowControl/>
              <w:rPr>
                <w:szCs w:val="21"/>
              </w:rPr>
            </w:pPr>
            <w:r>
              <w:rPr>
                <w:rFonts w:hint="eastAsia"/>
                <w:szCs w:val="21"/>
              </w:rPr>
              <w:t xml:space="preserve">单相接地故障跳闸</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8</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0x8827</w:t>
            </w:r>
            <w:r>
              <w:rPr>
                <w:rFonts w:eastAsia="宋体"/>
                <w:color w:val="000000"/>
                <w:szCs w:val="21"/>
              </w:rPr>
            </w:r>
            <w:r/>
          </w:p>
        </w:tc>
        <w:tc>
          <w:tcPr>
            <w:tcW w:w="2694" w:type="dxa"/>
            <w:vAlign w:val="top"/>
            <w:textDirection w:val="lrTb"/>
            <w:noWrap/>
          </w:tcPr>
          <w:p>
            <w:pPr>
              <w:pStyle w:val="1151"/>
              <w:jc w:val="center"/>
              <w:spacing w:line="276" w:lineRule="auto"/>
              <w:widowControl/>
              <w:rPr>
                <w:szCs w:val="21"/>
              </w:rPr>
            </w:pPr>
            <w:r>
              <w:rPr>
                <w:rFonts w:hint="eastAsia"/>
                <w:szCs w:val="21"/>
              </w:rPr>
              <w:t xml:space="preserve">接地故障跳闸时间</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9</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0x8828</w:t>
            </w:r>
            <w:r>
              <w:rPr>
                <w:rFonts w:eastAsia="宋体"/>
                <w:color w:val="000000"/>
                <w:szCs w:val="21"/>
              </w:rPr>
            </w:r>
            <w:r/>
          </w:p>
        </w:tc>
        <w:tc>
          <w:tcPr>
            <w:tcW w:w="2694" w:type="dxa"/>
            <w:vAlign w:val="top"/>
            <w:textDirection w:val="lrTb"/>
            <w:noWrap/>
          </w:tcPr>
          <w:p>
            <w:pPr>
              <w:pStyle w:val="1151"/>
              <w:jc w:val="center"/>
              <w:spacing w:line="276" w:lineRule="auto"/>
              <w:widowControl/>
              <w:rPr>
                <w:szCs w:val="21"/>
              </w:rPr>
            </w:pPr>
            <w:r>
              <w:rPr>
                <w:rFonts w:hint="eastAsia"/>
                <w:szCs w:val="21"/>
              </w:rPr>
              <w:t xml:space="preserve">接地故障重合闸时间</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10</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0x8829</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自适应相间短路故障处理</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11</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0x882A</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自适应单相接地故障处理</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12</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0x882B</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接地故障确认时间定值</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13</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0x882C</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szCs w:val="21"/>
              </w:rPr>
              <w:t xml:space="preserve">Z</w:t>
            </w:r>
            <w:r>
              <w:rPr>
                <w:rFonts w:hint="eastAsia"/>
                <w:szCs w:val="21"/>
              </w:rPr>
              <w:t xml:space="preserve">时间定值</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14</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0x882D</w:t>
            </w:r>
            <w:r>
              <w:rPr>
                <w:rFonts w:eastAsia="宋体"/>
                <w:color w:val="000000"/>
                <w:szCs w:val="21"/>
              </w:rPr>
            </w:r>
            <w:r/>
          </w:p>
        </w:tc>
        <w:tc>
          <w:tcPr>
            <w:tcW w:w="2694" w:type="dxa"/>
            <w:vAlign w:val="top"/>
            <w:textDirection w:val="lrTb"/>
            <w:noWrap/>
          </w:tcPr>
          <w:p>
            <w:pPr>
              <w:pStyle w:val="1151"/>
              <w:jc w:val="center"/>
              <w:spacing w:line="276" w:lineRule="auto"/>
              <w:widowControl/>
              <w:rPr>
                <w:szCs w:val="21"/>
              </w:rPr>
            </w:pPr>
            <w:r>
              <w:rPr>
                <w:rFonts w:hint="eastAsia"/>
                <w:szCs w:val="21"/>
              </w:rPr>
              <w:t xml:space="preserve">常规保护</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p>
            <w:pPr>
              <w:pStyle w:val="1151"/>
              <w:jc w:val="center"/>
              <w:spacing w:line="276" w:lineRule="auto"/>
              <w:widowControl/>
              <w:rPr>
                <w:rFonts w:eastAsia="宋体"/>
                <w:szCs w:val="21"/>
              </w:rPr>
            </w:pPr>
            <w:r>
              <w:rPr>
                <w:rFonts w:hint="eastAsia" w:eastAsia="宋体"/>
                <w:szCs w:val="21"/>
              </w:rPr>
              <w:t xml:space="preserve">（0：为常规保护和集中式FA功能退出</w:t>
            </w:r>
            <w:r>
              <w:rPr>
                <w:rFonts w:eastAsia="宋体"/>
                <w:szCs w:val="21"/>
              </w:rPr>
            </w:r>
            <w:r/>
          </w:p>
          <w:p>
            <w:pPr>
              <w:pStyle w:val="1151"/>
              <w:jc w:val="center"/>
              <w:spacing w:line="276" w:lineRule="auto"/>
              <w:widowControl/>
              <w:rPr>
                <w:rFonts w:eastAsia="宋体"/>
                <w:szCs w:val="21"/>
                <w:highlight w:val="yellow"/>
              </w:rPr>
            </w:pPr>
            <w:r>
              <w:rPr>
                <w:rFonts w:hint="eastAsia" w:eastAsia="宋体"/>
                <w:szCs w:val="21"/>
              </w:rPr>
              <w:t xml:space="preserve">1：为常规保护和集中式FA功能投入）</w:t>
            </w: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15</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0x882E</w:t>
            </w:r>
            <w:r>
              <w:rPr>
                <w:rFonts w:eastAsia="宋体"/>
                <w:color w:val="000000"/>
                <w:szCs w:val="21"/>
              </w:rPr>
            </w:r>
            <w:r/>
          </w:p>
        </w:tc>
        <w:tc>
          <w:tcPr>
            <w:tcW w:w="2694" w:type="dxa"/>
            <w:vAlign w:val="top"/>
            <w:textDirection w:val="lrTb"/>
            <w:noWrap/>
          </w:tcPr>
          <w:p>
            <w:pPr>
              <w:pStyle w:val="1151"/>
              <w:jc w:val="center"/>
              <w:spacing w:line="276" w:lineRule="auto"/>
              <w:widowControl/>
              <w:rPr>
                <w:rFonts w:eastAsia="宋体"/>
                <w:szCs w:val="21"/>
              </w:rPr>
            </w:pPr>
            <w:r>
              <w:rPr>
                <w:rFonts w:hint="eastAsia" w:eastAsia="宋体"/>
                <w:szCs w:val="21"/>
              </w:rPr>
              <w:t xml:space="preserve">备用</w:t>
            </w:r>
            <w:r>
              <w:rPr>
                <w:rFonts w:eastAsia="宋体"/>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16</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0x882F</w:t>
            </w:r>
            <w:r>
              <w:rPr>
                <w:rFonts w:eastAsia="宋体"/>
                <w:color w:val="000000"/>
                <w:szCs w:val="21"/>
              </w:rPr>
            </w:r>
            <w:r/>
          </w:p>
        </w:tc>
        <w:tc>
          <w:tcPr>
            <w:tcW w:w="2694" w:type="dxa"/>
            <w:vAlign w:val="top"/>
            <w:textDirection w:val="lrTb"/>
            <w:noWrap/>
          </w:tcPr>
          <w:p>
            <w:pPr>
              <w:pStyle w:val="1151"/>
              <w:jc w:val="center"/>
              <w:spacing w:line="276" w:lineRule="auto"/>
              <w:widowControl/>
              <w:rPr>
                <w:szCs w:val="21"/>
              </w:rPr>
            </w:pPr>
            <w:r>
              <w:rPr>
                <w:szCs w:val="21"/>
              </w:rPr>
              <w:t xml:space="preserve">备用</w:t>
            </w:r>
            <w:r>
              <w:rPr>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17</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0x8830</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rFonts w:hint="eastAsia"/>
                <w:szCs w:val="21"/>
              </w:rPr>
              <w:t xml:space="preserve">对时切换长延时</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hint="eastAsia" w:eastAsia="宋体"/>
                <w:szCs w:val="21"/>
              </w:rPr>
              <w:t xml:space="preserve">无符号短整型（</w:t>
            </w:r>
            <w:r>
              <w:rPr>
                <w:rFonts w:eastAsia="宋体"/>
                <w:szCs w:val="21"/>
              </w:rPr>
              <w:t xml:space="preserve">h</w:t>
            </w:r>
            <w:r>
              <w:rPr>
                <w:rFonts w:hint="eastAsia" w:eastAsia="宋体"/>
                <w:szCs w:val="21"/>
              </w:rPr>
              <w:t xml:space="preserve">）</w:t>
            </w: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18</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0x8831</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19</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0x8832</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20</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0x8833</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21</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0x8834</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22</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0x8835</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23</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0x8836</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24</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0x8837</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25</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0x8838</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26</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0x8839</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27</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0x883A</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28</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0x883B</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29</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0x883C</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30</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0x883D</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31</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0x883E</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32</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0x883F</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highlight w:val="yellow"/>
              </w:rPr>
            </w:pPr>
            <w:r>
              <w:rPr>
                <w:szCs w:val="21"/>
                <w:highlight w:val="yellow"/>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33</w:t>
            </w:r>
            <w:r>
              <w:rPr>
                <w:szCs w:val="21"/>
              </w:rPr>
            </w:r>
            <w:r/>
          </w:p>
        </w:tc>
        <w:tc>
          <w:tcPr>
            <w:tcW w:w="1417" w:type="dxa"/>
            <w:vAlign w:val="top"/>
            <w:textDirection w:val="lrTb"/>
            <w:noWrap w:val="false"/>
          </w:tcPr>
          <w:p>
            <w:pPr>
              <w:pStyle w:val="1151"/>
              <w:jc w:val="center"/>
              <w:spacing w:line="276" w:lineRule="auto"/>
              <w:widowControl/>
              <w:rPr>
                <w:rFonts w:eastAsia="宋体"/>
                <w:szCs w:val="21"/>
              </w:rPr>
            </w:pPr>
            <w:r>
              <w:rPr>
                <w:rFonts w:eastAsia="宋体"/>
                <w:szCs w:val="21"/>
              </w:rPr>
              <w:t xml:space="preserve">0x8840</w:t>
            </w:r>
            <w:r>
              <w:rPr>
                <w:rFonts w:eastAsia="宋体"/>
                <w:szCs w:val="21"/>
              </w:rPr>
            </w:r>
            <w:r/>
          </w:p>
        </w:tc>
        <w:tc>
          <w:tcPr>
            <w:tcW w:w="2694" w:type="dxa"/>
            <w:vAlign w:val="top"/>
            <w:textDirection w:val="lrTb"/>
            <w:noWrap/>
          </w:tcPr>
          <w:p>
            <w:pPr>
              <w:pStyle w:val="1151"/>
              <w:jc w:val="center"/>
              <w:spacing w:line="276" w:lineRule="auto"/>
              <w:widowControl/>
              <w:rPr>
                <w:szCs w:val="21"/>
              </w:rPr>
            </w:pPr>
            <w:r>
              <w:rPr>
                <w:rFonts w:hint="eastAsia"/>
                <w:szCs w:val="21"/>
              </w:rPr>
              <w:t xml:space="preserve">备用</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eastAsia="宋体"/>
                <w:szCs w:val="21"/>
              </w:rPr>
            </w:r>
            <w:r/>
          </w:p>
        </w:tc>
        <w:tc>
          <w:tcPr>
            <w:tcW w:w="1134" w:type="dxa"/>
            <w:vAlign w:val="top"/>
            <w:vMerge w:val="restart"/>
            <w:textDirection w:val="lrTb"/>
            <w:noWrap w:val="false"/>
          </w:tcPr>
          <w:p>
            <w:pPr>
              <w:pStyle w:val="1151"/>
              <w:jc w:val="center"/>
              <w:spacing w:line="276" w:lineRule="auto"/>
              <w:widowControl/>
              <w:rPr>
                <w:szCs w:val="21"/>
              </w:rPr>
            </w:pPr>
            <w:r>
              <w:rPr>
                <w:szCs w:val="21"/>
              </w:rPr>
              <w:t xml:space="preserve">第1路开关动作参数8</w:t>
            </w:r>
            <w:r>
              <w:rPr>
                <w:rFonts w:hint="eastAsia"/>
                <w:szCs w:val="21"/>
              </w:rPr>
              <w:t xml:space="preserve">4</w:t>
            </w:r>
            <w:r>
              <w:rPr>
                <w:szCs w:val="21"/>
              </w:rPr>
              <w:t xml:space="preserve">个</w:t>
            </w: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34</w:t>
            </w:r>
            <w:r>
              <w:rPr>
                <w:szCs w:val="21"/>
              </w:rPr>
            </w:r>
            <w:r/>
          </w:p>
        </w:tc>
        <w:tc>
          <w:tcPr>
            <w:tcW w:w="1417" w:type="dxa"/>
            <w:vAlign w:val="top"/>
            <w:textDirection w:val="lrTb"/>
            <w:noWrap w:val="false"/>
          </w:tcPr>
          <w:p>
            <w:pPr>
              <w:pStyle w:val="1151"/>
              <w:jc w:val="center"/>
              <w:spacing w:line="276" w:lineRule="auto"/>
              <w:widowControl/>
              <w:rPr>
                <w:rFonts w:eastAsia="宋体"/>
                <w:szCs w:val="21"/>
              </w:rPr>
            </w:pPr>
            <w:r>
              <w:rPr>
                <w:rFonts w:eastAsia="宋体"/>
                <w:szCs w:val="21"/>
              </w:rPr>
              <w:t xml:space="preserve">0x8841</w:t>
            </w:r>
            <w:r>
              <w:rPr>
                <w:rFonts w:eastAsia="宋体"/>
                <w:szCs w:val="21"/>
              </w:rPr>
            </w:r>
            <w:r/>
          </w:p>
        </w:tc>
        <w:tc>
          <w:tcPr>
            <w:tcW w:w="2694" w:type="dxa"/>
            <w:vAlign w:val="top"/>
            <w:textDirection w:val="lrTb"/>
            <w:noWrap/>
          </w:tcPr>
          <w:p>
            <w:pPr>
              <w:pStyle w:val="1151"/>
              <w:jc w:val="center"/>
              <w:spacing w:line="276" w:lineRule="auto"/>
              <w:widowControl/>
              <w:rPr>
                <w:szCs w:val="21"/>
              </w:rPr>
            </w:pPr>
            <w:r>
              <w:rPr>
                <w:szCs w:val="21"/>
              </w:rPr>
              <w:t xml:space="preserve">过流Ⅰ段出口</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35</w:t>
            </w:r>
            <w:r>
              <w:rPr>
                <w:szCs w:val="21"/>
              </w:rPr>
            </w:r>
            <w:r/>
          </w:p>
        </w:tc>
        <w:tc>
          <w:tcPr>
            <w:tcW w:w="1417" w:type="dxa"/>
            <w:vAlign w:val="top"/>
            <w:textDirection w:val="lrTb"/>
            <w:noWrap w:val="false"/>
          </w:tcPr>
          <w:p>
            <w:pPr>
              <w:pStyle w:val="1151"/>
              <w:jc w:val="center"/>
              <w:spacing w:line="276" w:lineRule="auto"/>
              <w:widowControl/>
              <w:rPr>
                <w:rFonts w:eastAsia="宋体"/>
                <w:szCs w:val="21"/>
              </w:rPr>
            </w:pPr>
            <w:r>
              <w:rPr>
                <w:rFonts w:eastAsia="宋体"/>
                <w:szCs w:val="21"/>
              </w:rPr>
              <w:t xml:space="preserve">0x8842</w:t>
            </w:r>
            <w:r>
              <w:rPr>
                <w:rFonts w:eastAsia="宋体"/>
                <w:szCs w:val="21"/>
              </w:rPr>
            </w:r>
            <w:r/>
          </w:p>
        </w:tc>
        <w:tc>
          <w:tcPr>
            <w:tcW w:w="2694" w:type="dxa"/>
            <w:vAlign w:val="top"/>
            <w:textDirection w:val="lrTb"/>
            <w:noWrap/>
          </w:tcPr>
          <w:p>
            <w:pPr>
              <w:pStyle w:val="1151"/>
              <w:jc w:val="center"/>
              <w:spacing w:line="276" w:lineRule="auto"/>
              <w:widowControl/>
              <w:rPr>
                <w:szCs w:val="21"/>
              </w:rPr>
            </w:pPr>
            <w:r>
              <w:rPr>
                <w:szCs w:val="21"/>
              </w:rPr>
              <w:t xml:space="preserve">过流Ⅰ段定值</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A</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36</w:t>
            </w:r>
            <w:r>
              <w:rPr>
                <w:szCs w:val="21"/>
              </w:rPr>
            </w:r>
            <w:r/>
          </w:p>
        </w:tc>
        <w:tc>
          <w:tcPr>
            <w:tcW w:w="1417" w:type="dxa"/>
            <w:vAlign w:val="top"/>
            <w:textDirection w:val="lrTb"/>
            <w:noWrap w:val="false"/>
          </w:tcPr>
          <w:p>
            <w:pPr>
              <w:pStyle w:val="1151"/>
              <w:jc w:val="center"/>
              <w:spacing w:line="276" w:lineRule="auto"/>
              <w:widowControl/>
              <w:rPr>
                <w:rFonts w:eastAsia="宋体"/>
                <w:szCs w:val="21"/>
              </w:rPr>
            </w:pPr>
            <w:r>
              <w:rPr>
                <w:rFonts w:eastAsia="宋体"/>
                <w:szCs w:val="21"/>
              </w:rPr>
              <w:t xml:space="preserve">0x8843</w:t>
            </w:r>
            <w:r>
              <w:rPr>
                <w:rFonts w:eastAsia="宋体"/>
                <w:szCs w:val="21"/>
              </w:rPr>
            </w:r>
            <w:r/>
          </w:p>
        </w:tc>
        <w:tc>
          <w:tcPr>
            <w:tcW w:w="2694" w:type="dxa"/>
            <w:vAlign w:val="top"/>
            <w:textDirection w:val="lrTb"/>
            <w:noWrap/>
          </w:tcPr>
          <w:p>
            <w:pPr>
              <w:pStyle w:val="1151"/>
              <w:jc w:val="center"/>
              <w:spacing w:line="276" w:lineRule="auto"/>
              <w:widowControl/>
              <w:rPr>
                <w:szCs w:val="21"/>
              </w:rPr>
            </w:pPr>
            <w:r>
              <w:rPr>
                <w:szCs w:val="21"/>
              </w:rPr>
              <w:t xml:space="preserve">过流Ⅰ段时间</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37</w:t>
            </w:r>
            <w:r>
              <w:rPr>
                <w:szCs w:val="21"/>
              </w:rPr>
            </w:r>
            <w:r/>
          </w:p>
        </w:tc>
        <w:tc>
          <w:tcPr>
            <w:tcW w:w="1417" w:type="dxa"/>
            <w:vAlign w:val="top"/>
            <w:textDirection w:val="lrTb"/>
            <w:noWrap w:val="false"/>
          </w:tcPr>
          <w:p>
            <w:pPr>
              <w:pStyle w:val="1151"/>
              <w:jc w:val="center"/>
              <w:spacing w:line="276" w:lineRule="auto"/>
              <w:widowControl/>
              <w:rPr>
                <w:rFonts w:eastAsia="宋体"/>
                <w:szCs w:val="21"/>
              </w:rPr>
            </w:pPr>
            <w:r>
              <w:rPr>
                <w:rFonts w:eastAsia="宋体"/>
                <w:szCs w:val="21"/>
              </w:rPr>
              <w:t xml:space="preserve">0x8844</w:t>
            </w:r>
            <w:r>
              <w:rPr>
                <w:rFonts w:eastAsia="宋体"/>
                <w:szCs w:val="21"/>
              </w:rPr>
            </w:r>
            <w:r/>
          </w:p>
        </w:tc>
        <w:tc>
          <w:tcPr>
            <w:tcW w:w="2694" w:type="dxa"/>
            <w:vAlign w:val="top"/>
            <w:textDirection w:val="lrTb"/>
            <w:noWrap/>
          </w:tcPr>
          <w:p>
            <w:pPr>
              <w:pStyle w:val="1151"/>
              <w:jc w:val="center"/>
              <w:spacing w:line="276" w:lineRule="auto"/>
              <w:widowControl/>
              <w:rPr>
                <w:szCs w:val="21"/>
              </w:rPr>
            </w:pPr>
            <w:r>
              <w:rPr>
                <w:szCs w:val="21"/>
              </w:rPr>
              <w:t xml:space="preserve">过流Ⅱ段出口</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38</w:t>
            </w:r>
            <w:r>
              <w:rPr>
                <w:szCs w:val="21"/>
              </w:rPr>
            </w:r>
            <w:r/>
          </w:p>
        </w:tc>
        <w:tc>
          <w:tcPr>
            <w:tcW w:w="1417" w:type="dxa"/>
            <w:vAlign w:val="top"/>
            <w:textDirection w:val="lrTb"/>
            <w:noWrap w:val="false"/>
          </w:tcPr>
          <w:p>
            <w:pPr>
              <w:pStyle w:val="1151"/>
              <w:jc w:val="center"/>
              <w:spacing w:line="276" w:lineRule="auto"/>
              <w:widowControl/>
              <w:rPr>
                <w:rFonts w:eastAsia="宋体"/>
                <w:szCs w:val="21"/>
              </w:rPr>
            </w:pPr>
            <w:r>
              <w:rPr>
                <w:rFonts w:eastAsia="宋体"/>
                <w:szCs w:val="21"/>
              </w:rPr>
              <w:t xml:space="preserve">0x8845</w:t>
            </w:r>
            <w:r>
              <w:rPr>
                <w:rFonts w:eastAsia="宋体"/>
                <w:szCs w:val="21"/>
              </w:rPr>
            </w:r>
            <w:r/>
          </w:p>
        </w:tc>
        <w:tc>
          <w:tcPr>
            <w:tcW w:w="2694" w:type="dxa"/>
            <w:vAlign w:val="top"/>
            <w:textDirection w:val="lrTb"/>
            <w:noWrap/>
          </w:tcPr>
          <w:p>
            <w:pPr>
              <w:pStyle w:val="1151"/>
              <w:jc w:val="center"/>
              <w:spacing w:line="276" w:lineRule="auto"/>
              <w:widowControl/>
              <w:rPr>
                <w:szCs w:val="21"/>
              </w:rPr>
            </w:pPr>
            <w:r>
              <w:rPr>
                <w:szCs w:val="21"/>
              </w:rPr>
              <w:t xml:space="preserve">过流Ⅱ段定值</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A</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39</w:t>
            </w:r>
            <w:r>
              <w:rPr>
                <w:szCs w:val="21"/>
              </w:rPr>
            </w:r>
            <w:r/>
          </w:p>
        </w:tc>
        <w:tc>
          <w:tcPr>
            <w:tcW w:w="1417" w:type="dxa"/>
            <w:vAlign w:val="top"/>
            <w:textDirection w:val="lrTb"/>
            <w:noWrap w:val="false"/>
          </w:tcPr>
          <w:p>
            <w:pPr>
              <w:pStyle w:val="1151"/>
              <w:jc w:val="center"/>
              <w:spacing w:line="276" w:lineRule="auto"/>
              <w:widowControl/>
              <w:rPr>
                <w:rFonts w:eastAsia="宋体"/>
                <w:szCs w:val="21"/>
              </w:rPr>
            </w:pPr>
            <w:r>
              <w:rPr>
                <w:rFonts w:eastAsia="宋体"/>
                <w:szCs w:val="21"/>
              </w:rPr>
              <w:t xml:space="preserve">0x8846</w:t>
            </w:r>
            <w:r>
              <w:rPr>
                <w:rFonts w:eastAsia="宋体"/>
                <w:szCs w:val="21"/>
              </w:rPr>
            </w:r>
            <w:r/>
          </w:p>
        </w:tc>
        <w:tc>
          <w:tcPr>
            <w:tcW w:w="2694" w:type="dxa"/>
            <w:vAlign w:val="top"/>
            <w:textDirection w:val="lrTb"/>
            <w:noWrap/>
          </w:tcPr>
          <w:p>
            <w:pPr>
              <w:pStyle w:val="1151"/>
              <w:jc w:val="center"/>
              <w:spacing w:line="276" w:lineRule="auto"/>
              <w:widowControl/>
              <w:rPr>
                <w:szCs w:val="21"/>
              </w:rPr>
            </w:pPr>
            <w:r>
              <w:rPr>
                <w:szCs w:val="21"/>
              </w:rPr>
              <w:t xml:space="preserve">过流Ⅱ段时间</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40</w:t>
            </w:r>
            <w:r>
              <w:rPr>
                <w:szCs w:val="21"/>
              </w:rPr>
            </w:r>
            <w:r/>
          </w:p>
        </w:tc>
        <w:tc>
          <w:tcPr>
            <w:tcW w:w="1417" w:type="dxa"/>
            <w:vAlign w:val="top"/>
            <w:textDirection w:val="lrTb"/>
            <w:noWrap w:val="false"/>
          </w:tcPr>
          <w:p>
            <w:pPr>
              <w:pStyle w:val="1151"/>
              <w:jc w:val="center"/>
              <w:spacing w:line="276" w:lineRule="auto"/>
              <w:widowControl/>
              <w:rPr>
                <w:rFonts w:eastAsia="宋体"/>
                <w:szCs w:val="21"/>
              </w:rPr>
            </w:pPr>
            <w:r>
              <w:rPr>
                <w:rFonts w:eastAsia="宋体"/>
                <w:szCs w:val="21"/>
              </w:rPr>
              <w:t xml:space="preserve">0x8847</w:t>
            </w:r>
            <w:r>
              <w:rPr>
                <w:rFonts w:eastAsia="宋体"/>
                <w:szCs w:val="21"/>
              </w:rPr>
            </w:r>
            <w:r/>
          </w:p>
        </w:tc>
        <w:tc>
          <w:tcPr>
            <w:tcW w:w="2694" w:type="dxa"/>
            <w:vAlign w:val="top"/>
            <w:textDirection w:val="lrTb"/>
            <w:noWrap/>
          </w:tcPr>
          <w:p>
            <w:pPr>
              <w:pStyle w:val="1151"/>
              <w:jc w:val="center"/>
              <w:spacing w:line="276" w:lineRule="auto"/>
              <w:widowControl/>
              <w:rPr>
                <w:szCs w:val="21"/>
              </w:rPr>
            </w:pPr>
            <w:r>
              <w:rPr>
                <w:szCs w:val="21"/>
              </w:rPr>
              <w:t xml:space="preserve">零序过流</w:t>
            </w:r>
            <w:r>
              <w:rPr>
                <w:color w:val="000000"/>
                <w:szCs w:val="21"/>
              </w:rPr>
              <w:t xml:space="preserve">I段</w:t>
            </w:r>
            <w:r>
              <w:rPr>
                <w:szCs w:val="21"/>
              </w:rPr>
              <w:t xml:space="preserve">出口</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41</w:t>
            </w:r>
            <w:r>
              <w:rPr>
                <w:szCs w:val="21"/>
              </w:rPr>
            </w:r>
            <w:r/>
          </w:p>
        </w:tc>
        <w:tc>
          <w:tcPr>
            <w:tcW w:w="1417" w:type="dxa"/>
            <w:vAlign w:val="top"/>
            <w:textDirection w:val="lrTb"/>
            <w:noWrap w:val="false"/>
          </w:tcPr>
          <w:p>
            <w:pPr>
              <w:pStyle w:val="1151"/>
              <w:jc w:val="center"/>
              <w:spacing w:line="276" w:lineRule="auto"/>
              <w:widowControl/>
              <w:rPr>
                <w:rFonts w:eastAsia="宋体"/>
                <w:szCs w:val="21"/>
              </w:rPr>
            </w:pPr>
            <w:r>
              <w:rPr>
                <w:rFonts w:eastAsia="宋体"/>
                <w:szCs w:val="21"/>
              </w:rPr>
              <w:t xml:space="preserve">0x8848</w:t>
            </w:r>
            <w:r>
              <w:rPr>
                <w:rFonts w:eastAsia="宋体"/>
                <w:szCs w:val="21"/>
              </w:rPr>
            </w:r>
            <w:r/>
          </w:p>
        </w:tc>
        <w:tc>
          <w:tcPr>
            <w:tcW w:w="2694" w:type="dxa"/>
            <w:vAlign w:val="top"/>
            <w:textDirection w:val="lrTb"/>
            <w:noWrap/>
          </w:tcPr>
          <w:p>
            <w:pPr>
              <w:pStyle w:val="1151"/>
              <w:jc w:val="center"/>
              <w:spacing w:line="276" w:lineRule="auto"/>
              <w:widowControl/>
              <w:rPr>
                <w:szCs w:val="21"/>
              </w:rPr>
            </w:pPr>
            <w:r>
              <w:rPr>
                <w:szCs w:val="21"/>
              </w:rPr>
              <w:t xml:space="preserve">零序过流</w:t>
            </w:r>
            <w:r>
              <w:rPr>
                <w:color w:val="000000"/>
                <w:szCs w:val="21"/>
              </w:rPr>
              <w:t xml:space="preserve">I段</w:t>
            </w:r>
            <w:r>
              <w:rPr>
                <w:szCs w:val="21"/>
              </w:rPr>
              <w:t xml:space="preserve">定值</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A</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42</w:t>
            </w:r>
            <w:r>
              <w:rPr>
                <w:szCs w:val="21"/>
              </w:rPr>
            </w:r>
            <w:r/>
          </w:p>
        </w:tc>
        <w:tc>
          <w:tcPr>
            <w:tcW w:w="1417" w:type="dxa"/>
            <w:vAlign w:val="top"/>
            <w:textDirection w:val="lrTb"/>
            <w:noWrap w:val="false"/>
          </w:tcPr>
          <w:p>
            <w:pPr>
              <w:pStyle w:val="1151"/>
              <w:jc w:val="center"/>
              <w:spacing w:line="276" w:lineRule="auto"/>
              <w:widowControl/>
              <w:rPr>
                <w:rFonts w:eastAsia="宋体"/>
                <w:szCs w:val="21"/>
              </w:rPr>
            </w:pPr>
            <w:r>
              <w:rPr>
                <w:rFonts w:eastAsia="宋体"/>
                <w:szCs w:val="21"/>
              </w:rPr>
              <w:t xml:space="preserve">0x8849</w:t>
            </w:r>
            <w:r>
              <w:rPr>
                <w:rFonts w:eastAsia="宋体"/>
                <w:szCs w:val="21"/>
              </w:rPr>
            </w:r>
            <w:r/>
          </w:p>
        </w:tc>
        <w:tc>
          <w:tcPr>
            <w:tcW w:w="2694" w:type="dxa"/>
            <w:vAlign w:val="top"/>
            <w:textDirection w:val="lrTb"/>
            <w:noWrap/>
          </w:tcPr>
          <w:p>
            <w:pPr>
              <w:pStyle w:val="1151"/>
              <w:jc w:val="center"/>
              <w:spacing w:line="276" w:lineRule="auto"/>
              <w:widowControl/>
              <w:rPr>
                <w:szCs w:val="21"/>
              </w:rPr>
            </w:pPr>
            <w:r>
              <w:rPr>
                <w:szCs w:val="21"/>
              </w:rPr>
              <w:t xml:space="preserve">零序过流</w:t>
            </w:r>
            <w:r>
              <w:rPr>
                <w:color w:val="000000"/>
                <w:szCs w:val="21"/>
              </w:rPr>
              <w:t xml:space="preserve">I段</w:t>
            </w:r>
            <w:r>
              <w:rPr>
                <w:szCs w:val="21"/>
              </w:rPr>
              <w:t xml:space="preserve">时间</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4</w:t>
            </w:r>
            <w:r>
              <w:rPr>
                <w:szCs w:val="21"/>
              </w:rPr>
              <w:t xml:space="preserve">3</w:t>
            </w:r>
            <w:r>
              <w:rPr>
                <w:szCs w:val="21"/>
              </w:rPr>
            </w:r>
            <w:r/>
          </w:p>
        </w:tc>
        <w:tc>
          <w:tcPr>
            <w:tcW w:w="1417" w:type="dxa"/>
            <w:vAlign w:val="top"/>
            <w:textDirection w:val="lrTb"/>
            <w:noWrap w:val="false"/>
          </w:tcPr>
          <w:p>
            <w:pPr>
              <w:pStyle w:val="1151"/>
              <w:jc w:val="center"/>
              <w:spacing w:line="276" w:lineRule="auto"/>
              <w:widowControl/>
              <w:rPr>
                <w:rFonts w:eastAsia="宋体"/>
                <w:szCs w:val="21"/>
              </w:rPr>
            </w:pPr>
            <w:r>
              <w:rPr>
                <w:rFonts w:eastAsia="宋体"/>
                <w:szCs w:val="21"/>
              </w:rPr>
              <w:t xml:space="preserve">0x884A</w:t>
            </w:r>
            <w:r>
              <w:rPr>
                <w:rFonts w:eastAsia="宋体"/>
                <w:szCs w:val="21"/>
              </w:rPr>
            </w:r>
            <w:r/>
          </w:p>
        </w:tc>
        <w:tc>
          <w:tcPr>
            <w:tcW w:w="2694" w:type="dxa"/>
            <w:vAlign w:val="top"/>
            <w:textDirection w:val="lrTb"/>
            <w:noWrap/>
          </w:tcPr>
          <w:p>
            <w:pPr>
              <w:pStyle w:val="1151"/>
              <w:jc w:val="center"/>
              <w:spacing w:line="276" w:lineRule="auto"/>
              <w:widowControl/>
              <w:rPr>
                <w:szCs w:val="21"/>
              </w:rPr>
            </w:pPr>
            <w:r>
              <w:rPr>
                <w:rFonts w:hint="eastAsia"/>
                <w:szCs w:val="21"/>
              </w:rPr>
              <w:t xml:space="preserve">短路故障告警</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4</w:t>
            </w:r>
            <w:r>
              <w:rPr>
                <w:szCs w:val="21"/>
              </w:rPr>
              <w:t xml:space="preserve">4</w:t>
            </w:r>
            <w:r>
              <w:rPr>
                <w:szCs w:val="21"/>
              </w:rPr>
            </w:r>
            <w:r/>
          </w:p>
        </w:tc>
        <w:tc>
          <w:tcPr>
            <w:tcW w:w="1417" w:type="dxa"/>
            <w:vAlign w:val="center"/>
            <w:textDirection w:val="lrTb"/>
            <w:noWrap w:val="false"/>
          </w:tcPr>
          <w:p>
            <w:pPr>
              <w:pStyle w:val="1151"/>
              <w:jc w:val="center"/>
              <w:spacing w:line="276" w:lineRule="auto"/>
              <w:widowControl/>
              <w:rPr>
                <w:rFonts w:eastAsia="宋体"/>
                <w:szCs w:val="21"/>
              </w:rPr>
            </w:pPr>
            <w:r>
              <w:rPr>
                <w:rFonts w:eastAsia="宋体"/>
                <w:szCs w:val="21"/>
              </w:rPr>
              <w:t xml:space="preserve">0x884B</w:t>
            </w:r>
            <w:r>
              <w:rPr>
                <w:rFonts w:eastAsia="宋体"/>
                <w:szCs w:val="21"/>
              </w:rPr>
            </w:r>
            <w:r/>
          </w:p>
        </w:tc>
        <w:tc>
          <w:tcPr>
            <w:tcW w:w="2694" w:type="dxa"/>
            <w:vAlign w:val="top"/>
            <w:textDirection w:val="lrTb"/>
            <w:noWrap/>
          </w:tcPr>
          <w:p>
            <w:pPr>
              <w:pStyle w:val="1151"/>
              <w:jc w:val="center"/>
              <w:spacing w:line="276" w:lineRule="auto"/>
              <w:widowControl/>
              <w:rPr>
                <w:szCs w:val="21"/>
              </w:rPr>
            </w:pPr>
            <w:r>
              <w:rPr>
                <w:rFonts w:hint="eastAsia"/>
                <w:szCs w:val="21"/>
              </w:rPr>
              <w:t xml:space="preserve">短路故障电流定值</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A</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4</w:t>
            </w:r>
            <w:r>
              <w:rPr>
                <w:szCs w:val="21"/>
              </w:rPr>
              <w:t xml:space="preserve">5</w:t>
            </w:r>
            <w:r>
              <w:rPr>
                <w:szCs w:val="21"/>
              </w:rPr>
            </w:r>
            <w:r/>
          </w:p>
        </w:tc>
        <w:tc>
          <w:tcPr>
            <w:tcW w:w="1417" w:type="dxa"/>
            <w:vAlign w:val="center"/>
            <w:textDirection w:val="lrTb"/>
            <w:noWrap w:val="false"/>
          </w:tcPr>
          <w:p>
            <w:pPr>
              <w:pStyle w:val="1151"/>
              <w:jc w:val="center"/>
              <w:spacing w:line="276" w:lineRule="auto"/>
              <w:widowControl/>
              <w:rPr>
                <w:rFonts w:eastAsia="宋体"/>
                <w:szCs w:val="21"/>
              </w:rPr>
            </w:pPr>
            <w:r>
              <w:rPr>
                <w:rFonts w:eastAsia="宋体"/>
                <w:szCs w:val="21"/>
              </w:rPr>
              <w:t xml:space="preserve">0x884C</w:t>
            </w:r>
            <w:r>
              <w:rPr>
                <w:rFonts w:eastAsia="宋体"/>
                <w:szCs w:val="21"/>
              </w:rPr>
            </w:r>
            <w:r/>
          </w:p>
        </w:tc>
        <w:tc>
          <w:tcPr>
            <w:tcW w:w="2694" w:type="dxa"/>
            <w:vAlign w:val="top"/>
            <w:textDirection w:val="lrTb"/>
            <w:noWrap/>
          </w:tcPr>
          <w:p>
            <w:pPr>
              <w:pStyle w:val="1151"/>
              <w:jc w:val="center"/>
              <w:spacing w:line="276" w:lineRule="auto"/>
              <w:widowControl/>
              <w:rPr>
                <w:szCs w:val="21"/>
              </w:rPr>
            </w:pPr>
            <w:r>
              <w:rPr>
                <w:rFonts w:hint="eastAsia"/>
                <w:szCs w:val="21"/>
              </w:rPr>
              <w:t xml:space="preserve">短路故障告警时间</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4</w:t>
            </w:r>
            <w:r>
              <w:rPr>
                <w:szCs w:val="21"/>
              </w:rPr>
              <w:t xml:space="preserve">6</w:t>
            </w:r>
            <w:r>
              <w:rPr>
                <w:szCs w:val="21"/>
              </w:rPr>
            </w:r>
            <w:r/>
          </w:p>
        </w:tc>
        <w:tc>
          <w:tcPr>
            <w:tcW w:w="1417" w:type="dxa"/>
            <w:vAlign w:val="center"/>
            <w:textDirection w:val="lrTb"/>
            <w:noWrap w:val="false"/>
          </w:tcPr>
          <w:p>
            <w:pPr>
              <w:pStyle w:val="1151"/>
              <w:jc w:val="center"/>
              <w:spacing w:line="276" w:lineRule="auto"/>
              <w:widowControl/>
              <w:rPr>
                <w:rFonts w:eastAsia="宋体"/>
                <w:szCs w:val="21"/>
              </w:rPr>
            </w:pPr>
            <w:r>
              <w:rPr>
                <w:rFonts w:eastAsia="宋体"/>
                <w:szCs w:val="21"/>
              </w:rPr>
              <w:t xml:space="preserve">0x884D</w:t>
            </w:r>
            <w:r>
              <w:rPr>
                <w:rFonts w:eastAsia="宋体"/>
                <w:szCs w:val="21"/>
              </w:rPr>
            </w:r>
            <w:r/>
          </w:p>
        </w:tc>
        <w:tc>
          <w:tcPr>
            <w:tcW w:w="2694" w:type="dxa"/>
            <w:vAlign w:val="center"/>
            <w:textDirection w:val="lrTb"/>
            <w:noWrap/>
          </w:tcPr>
          <w:p>
            <w:pPr>
              <w:pStyle w:val="1151"/>
              <w:jc w:val="center"/>
              <w:spacing w:line="276" w:lineRule="auto"/>
              <w:widowControl/>
              <w:rPr>
                <w:szCs w:val="21"/>
              </w:rPr>
            </w:pPr>
            <w:r>
              <w:rPr>
                <w:rFonts w:hint="eastAsia"/>
                <w:szCs w:val="21"/>
              </w:rPr>
              <w:t xml:space="preserve">零流告警</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4</w:t>
            </w:r>
            <w:r>
              <w:rPr>
                <w:szCs w:val="21"/>
              </w:rPr>
              <w:t xml:space="preserve">7</w:t>
            </w:r>
            <w:r>
              <w:rPr>
                <w:szCs w:val="21"/>
              </w:rPr>
            </w:r>
            <w:r/>
          </w:p>
        </w:tc>
        <w:tc>
          <w:tcPr>
            <w:tcW w:w="1417" w:type="dxa"/>
            <w:vAlign w:val="center"/>
            <w:textDirection w:val="lrTb"/>
            <w:noWrap w:val="false"/>
          </w:tcPr>
          <w:p>
            <w:pPr>
              <w:pStyle w:val="1151"/>
              <w:jc w:val="center"/>
              <w:spacing w:line="276" w:lineRule="auto"/>
              <w:widowControl/>
              <w:rPr>
                <w:rFonts w:eastAsia="宋体"/>
                <w:szCs w:val="21"/>
              </w:rPr>
            </w:pPr>
            <w:r>
              <w:rPr>
                <w:rFonts w:eastAsia="宋体"/>
                <w:szCs w:val="21"/>
              </w:rPr>
              <w:t xml:space="preserve">0x884E</w:t>
            </w:r>
            <w:r>
              <w:rPr>
                <w:rFonts w:eastAsia="宋体"/>
                <w:szCs w:val="21"/>
              </w:rPr>
            </w:r>
            <w:r/>
          </w:p>
        </w:tc>
        <w:tc>
          <w:tcPr>
            <w:tcW w:w="2694" w:type="dxa"/>
            <w:vAlign w:val="center"/>
            <w:textDirection w:val="lrTb"/>
            <w:noWrap/>
          </w:tcPr>
          <w:p>
            <w:pPr>
              <w:pStyle w:val="1151"/>
              <w:jc w:val="center"/>
              <w:spacing w:line="276" w:lineRule="auto"/>
              <w:widowControl/>
              <w:rPr>
                <w:szCs w:val="21"/>
              </w:rPr>
            </w:pPr>
            <w:r>
              <w:rPr>
                <w:rFonts w:hint="eastAsia"/>
                <w:szCs w:val="21"/>
              </w:rPr>
              <w:t xml:space="preserve">零流告警定值</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A</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4</w:t>
            </w:r>
            <w:r>
              <w:rPr>
                <w:szCs w:val="21"/>
              </w:rPr>
              <w:t xml:space="preserve">8</w:t>
            </w:r>
            <w:r>
              <w:rPr>
                <w:szCs w:val="21"/>
              </w:rPr>
            </w:r>
            <w:r/>
          </w:p>
        </w:tc>
        <w:tc>
          <w:tcPr>
            <w:tcW w:w="1417" w:type="dxa"/>
            <w:vAlign w:val="center"/>
            <w:textDirection w:val="lrTb"/>
            <w:noWrap w:val="false"/>
          </w:tcPr>
          <w:p>
            <w:pPr>
              <w:pStyle w:val="1151"/>
              <w:jc w:val="center"/>
              <w:spacing w:line="276" w:lineRule="auto"/>
              <w:widowControl/>
              <w:rPr>
                <w:rFonts w:eastAsia="宋体"/>
                <w:szCs w:val="21"/>
              </w:rPr>
            </w:pPr>
            <w:r>
              <w:rPr>
                <w:rFonts w:eastAsia="宋体"/>
                <w:szCs w:val="21"/>
              </w:rPr>
              <w:t xml:space="preserve">0x884F</w:t>
            </w:r>
            <w:r>
              <w:rPr>
                <w:rFonts w:eastAsia="宋体"/>
                <w:szCs w:val="21"/>
              </w:rPr>
            </w:r>
            <w:r/>
          </w:p>
        </w:tc>
        <w:tc>
          <w:tcPr>
            <w:tcW w:w="2694" w:type="dxa"/>
            <w:vAlign w:val="center"/>
            <w:textDirection w:val="lrTb"/>
            <w:noWrap/>
          </w:tcPr>
          <w:p>
            <w:pPr>
              <w:pStyle w:val="1151"/>
              <w:jc w:val="center"/>
              <w:spacing w:line="276" w:lineRule="auto"/>
              <w:widowControl/>
              <w:rPr>
                <w:szCs w:val="21"/>
              </w:rPr>
            </w:pPr>
            <w:r>
              <w:rPr>
                <w:rFonts w:hint="eastAsia"/>
                <w:szCs w:val="21"/>
              </w:rPr>
              <w:t xml:space="preserve">零流告警时间</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4</w:t>
            </w:r>
            <w:r>
              <w:rPr>
                <w:szCs w:val="21"/>
              </w:rPr>
              <w:t xml:space="preserve">9</w:t>
            </w:r>
            <w:r>
              <w:rPr>
                <w:szCs w:val="21"/>
              </w:rPr>
            </w:r>
            <w:r/>
          </w:p>
        </w:tc>
        <w:tc>
          <w:tcPr>
            <w:tcW w:w="1417" w:type="dxa"/>
            <w:vAlign w:val="center"/>
            <w:textDirection w:val="lrTb"/>
            <w:noWrap w:val="false"/>
          </w:tcPr>
          <w:p>
            <w:pPr>
              <w:pStyle w:val="1151"/>
              <w:jc w:val="center"/>
              <w:spacing w:line="276" w:lineRule="auto"/>
              <w:widowControl/>
              <w:rPr>
                <w:rFonts w:eastAsia="宋体"/>
                <w:szCs w:val="21"/>
              </w:rPr>
            </w:pPr>
            <w:r>
              <w:rPr>
                <w:rFonts w:eastAsia="宋体"/>
                <w:szCs w:val="21"/>
              </w:rPr>
              <w:t xml:space="preserve">0x8850</w:t>
            </w:r>
            <w:r>
              <w:rPr>
                <w:rFonts w:eastAsia="宋体"/>
                <w:szCs w:val="21"/>
              </w:rPr>
            </w:r>
            <w:r/>
          </w:p>
        </w:tc>
        <w:tc>
          <w:tcPr>
            <w:tcW w:w="2694" w:type="dxa"/>
            <w:vAlign w:val="center"/>
            <w:textDirection w:val="lrTb"/>
            <w:noWrap/>
          </w:tcPr>
          <w:p>
            <w:pPr>
              <w:pStyle w:val="1151"/>
              <w:jc w:val="center"/>
              <w:spacing w:line="276" w:lineRule="auto"/>
              <w:widowControl/>
              <w:rPr>
                <w:szCs w:val="21"/>
              </w:rPr>
            </w:pPr>
            <w:r>
              <w:rPr>
                <w:rFonts w:hint="eastAsia"/>
                <w:szCs w:val="21"/>
              </w:rPr>
              <w:t xml:space="preserve">小电流接地告警</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5</w:t>
            </w:r>
            <w:r>
              <w:rPr>
                <w:szCs w:val="21"/>
              </w:rPr>
              <w:t xml:space="preserve">0</w:t>
            </w:r>
            <w:r>
              <w:rPr>
                <w:szCs w:val="21"/>
              </w:rPr>
            </w:r>
            <w:r/>
          </w:p>
        </w:tc>
        <w:tc>
          <w:tcPr>
            <w:tcW w:w="1417" w:type="dxa"/>
            <w:vAlign w:val="center"/>
            <w:textDirection w:val="lrTb"/>
            <w:noWrap w:val="false"/>
          </w:tcPr>
          <w:p>
            <w:pPr>
              <w:pStyle w:val="1151"/>
              <w:jc w:val="center"/>
              <w:spacing w:line="276" w:lineRule="auto"/>
              <w:widowControl/>
              <w:rPr>
                <w:rFonts w:eastAsia="宋体"/>
                <w:szCs w:val="21"/>
              </w:rPr>
            </w:pPr>
            <w:r>
              <w:rPr>
                <w:rFonts w:eastAsia="宋体"/>
                <w:szCs w:val="21"/>
              </w:rPr>
              <w:t xml:space="preserve">0x8851</w:t>
            </w:r>
            <w:r>
              <w:rPr>
                <w:rFonts w:eastAsia="宋体"/>
                <w:szCs w:val="21"/>
              </w:rPr>
            </w:r>
            <w:r/>
          </w:p>
        </w:tc>
        <w:tc>
          <w:tcPr>
            <w:tcW w:w="2694" w:type="dxa"/>
            <w:vAlign w:val="center"/>
            <w:textDirection w:val="lrTb"/>
            <w:noWrap/>
          </w:tcPr>
          <w:p>
            <w:pPr>
              <w:pStyle w:val="1151"/>
              <w:jc w:val="center"/>
              <w:spacing w:line="276" w:lineRule="auto"/>
              <w:widowControl/>
              <w:rPr>
                <w:szCs w:val="21"/>
              </w:rPr>
            </w:pPr>
            <w:r>
              <w:rPr>
                <w:rFonts w:hint="eastAsia"/>
                <w:szCs w:val="21"/>
              </w:rPr>
              <w:t xml:space="preserve">小电流接地故障确认时间</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5</w:t>
            </w:r>
            <w:r>
              <w:rPr>
                <w:szCs w:val="21"/>
              </w:rPr>
              <w:t xml:space="preserve">1</w:t>
            </w:r>
            <w:r>
              <w:rPr>
                <w:szCs w:val="21"/>
              </w:rPr>
            </w:r>
            <w:r/>
          </w:p>
        </w:tc>
        <w:tc>
          <w:tcPr>
            <w:tcW w:w="1417" w:type="dxa"/>
            <w:vAlign w:val="center"/>
            <w:textDirection w:val="lrTb"/>
            <w:noWrap w:val="false"/>
          </w:tcPr>
          <w:p>
            <w:pPr>
              <w:pStyle w:val="1151"/>
              <w:jc w:val="center"/>
              <w:spacing w:line="276" w:lineRule="auto"/>
              <w:widowControl/>
              <w:rPr>
                <w:rFonts w:eastAsia="宋体"/>
                <w:szCs w:val="21"/>
              </w:rPr>
            </w:pPr>
            <w:r>
              <w:rPr>
                <w:rFonts w:eastAsia="宋体"/>
                <w:szCs w:val="21"/>
              </w:rPr>
              <w:t xml:space="preserve">0x8852</w:t>
            </w:r>
            <w:r>
              <w:rPr>
                <w:rFonts w:eastAsia="宋体"/>
                <w:szCs w:val="21"/>
              </w:rPr>
            </w:r>
            <w:r/>
          </w:p>
        </w:tc>
        <w:tc>
          <w:tcPr>
            <w:tcW w:w="2694" w:type="dxa"/>
            <w:vAlign w:val="center"/>
            <w:textDirection w:val="lrTb"/>
            <w:noWrap/>
          </w:tcPr>
          <w:p>
            <w:pPr>
              <w:pStyle w:val="1151"/>
              <w:jc w:val="center"/>
              <w:spacing w:line="276" w:lineRule="auto"/>
              <w:widowControl/>
              <w:rPr>
                <w:szCs w:val="21"/>
              </w:rPr>
            </w:pPr>
            <w:r>
              <w:rPr>
                <w:rFonts w:hint="eastAsia"/>
                <w:szCs w:val="21"/>
              </w:rPr>
              <w:t xml:space="preserve">事故总判小电流接地告警</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52</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0x8853</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rFonts w:hint="eastAsia"/>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53</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0x8854</w:t>
            </w:r>
            <w:r>
              <w:rPr>
                <w:rFonts w:eastAsia="宋体"/>
                <w:color w:val="000000"/>
                <w:szCs w:val="21"/>
              </w:rPr>
            </w:r>
            <w:r/>
          </w:p>
        </w:tc>
        <w:tc>
          <w:tcPr>
            <w:tcW w:w="2694" w:type="dxa"/>
            <w:vAlign w:val="center"/>
            <w:textDirection w:val="lrTb"/>
            <w:noWrap/>
          </w:tcPr>
          <w:p>
            <w:pPr>
              <w:pStyle w:val="1151"/>
              <w:jc w:val="center"/>
              <w:spacing w:line="276" w:lineRule="auto"/>
              <w:widowControl/>
              <w:rPr>
                <w:color w:val="000000"/>
                <w:szCs w:val="21"/>
              </w:rPr>
            </w:pPr>
            <w:r>
              <w:rPr>
                <w:rFonts w:hint="eastAsia"/>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54</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0x8855</w:t>
            </w:r>
            <w:r>
              <w:rPr>
                <w:rFonts w:eastAsia="宋体"/>
                <w:color w:val="000000"/>
                <w:szCs w:val="21"/>
              </w:rPr>
            </w:r>
            <w:r/>
          </w:p>
        </w:tc>
        <w:tc>
          <w:tcPr>
            <w:tcW w:w="2694" w:type="dxa"/>
            <w:vAlign w:val="center"/>
            <w:textDirection w:val="lrTb"/>
            <w:noWrap/>
          </w:tcPr>
          <w:p>
            <w:pPr>
              <w:pStyle w:val="1151"/>
              <w:jc w:val="center"/>
              <w:spacing w:line="276" w:lineRule="auto"/>
              <w:widowControl/>
              <w:rPr>
                <w:color w:val="000000"/>
                <w:szCs w:val="21"/>
              </w:rPr>
            </w:pPr>
            <w:r>
              <w:rPr>
                <w:rFonts w:hint="eastAsia"/>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55</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0x8856</w:t>
            </w:r>
            <w:r>
              <w:rPr>
                <w:rFonts w:eastAsia="宋体"/>
                <w:color w:val="000000"/>
                <w:szCs w:val="21"/>
              </w:rPr>
            </w:r>
            <w:r/>
          </w:p>
        </w:tc>
        <w:tc>
          <w:tcPr>
            <w:tcW w:w="2694" w:type="dxa"/>
            <w:vAlign w:val="center"/>
            <w:textDirection w:val="lrTb"/>
            <w:noWrap/>
          </w:tcPr>
          <w:p>
            <w:pPr>
              <w:pStyle w:val="1151"/>
              <w:jc w:val="center"/>
              <w:spacing w:line="276" w:lineRule="auto"/>
              <w:widowControl/>
              <w:rPr>
                <w:color w:val="000000"/>
                <w:szCs w:val="21"/>
              </w:rPr>
            </w:pPr>
            <w:r>
              <w:rPr>
                <w:rFonts w:hint="eastAsia"/>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56</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0x8857</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过流III段出口</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57</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0x8858</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过流III段定值</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A</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5</w:t>
            </w:r>
            <w:r>
              <w:rPr>
                <w:szCs w:val="21"/>
              </w:rPr>
              <w:t xml:space="preserve">8</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0x8859</w:t>
            </w:r>
            <w:r>
              <w:rPr>
                <w:rFonts w:eastAsia="宋体"/>
                <w:color w:val="000000"/>
                <w:szCs w:val="21"/>
              </w:rPr>
            </w:r>
            <w:r/>
          </w:p>
        </w:tc>
        <w:tc>
          <w:tcPr>
            <w:tcW w:w="2694" w:type="dxa"/>
            <w:vAlign w:val="top"/>
            <w:textDirection w:val="lrTb"/>
            <w:noWrap/>
          </w:tcPr>
          <w:p>
            <w:pPr>
              <w:pStyle w:val="1151"/>
              <w:jc w:val="center"/>
              <w:spacing w:line="276" w:lineRule="auto"/>
              <w:widowControl/>
              <w:rPr>
                <w:szCs w:val="21"/>
              </w:rPr>
            </w:pPr>
            <w:r>
              <w:rPr>
                <w:color w:val="000000"/>
                <w:szCs w:val="21"/>
              </w:rPr>
              <w:t xml:space="preserve">过流III段时间</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59</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0x885A</w:t>
            </w:r>
            <w:r>
              <w:rPr>
                <w:rFonts w:eastAsia="宋体"/>
                <w:color w:val="000000"/>
                <w:szCs w:val="21"/>
              </w:rPr>
            </w:r>
            <w:r/>
          </w:p>
        </w:tc>
        <w:tc>
          <w:tcPr>
            <w:tcW w:w="2694" w:type="dxa"/>
            <w:vAlign w:val="top"/>
            <w:textDirection w:val="lrTb"/>
            <w:noWrap/>
          </w:tcPr>
          <w:p>
            <w:pPr>
              <w:pStyle w:val="1151"/>
              <w:jc w:val="center"/>
              <w:spacing w:line="276" w:lineRule="auto"/>
              <w:widowControl/>
              <w:rPr>
                <w:color w:val="000000"/>
                <w:szCs w:val="21"/>
              </w:rPr>
            </w:pPr>
            <w:r>
              <w:rPr>
                <w:color w:val="000000"/>
                <w:szCs w:val="21"/>
              </w:rPr>
              <w:t xml:space="preserve">零序过流II段出口</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60</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0x885B</w:t>
            </w:r>
            <w:r>
              <w:rPr>
                <w:rFonts w:eastAsia="宋体"/>
                <w:color w:val="000000"/>
                <w:szCs w:val="21"/>
              </w:rPr>
            </w:r>
            <w:r/>
          </w:p>
        </w:tc>
        <w:tc>
          <w:tcPr>
            <w:tcW w:w="2694" w:type="dxa"/>
            <w:vAlign w:val="top"/>
            <w:textDirection w:val="lrTb"/>
            <w:noWrap/>
          </w:tcPr>
          <w:p>
            <w:pPr>
              <w:pStyle w:val="1151"/>
              <w:jc w:val="center"/>
              <w:spacing w:line="276" w:lineRule="auto"/>
              <w:widowControl/>
              <w:rPr>
                <w:szCs w:val="21"/>
              </w:rPr>
            </w:pPr>
            <w:r>
              <w:rPr>
                <w:color w:val="000000"/>
                <w:szCs w:val="21"/>
              </w:rPr>
              <w:t xml:space="preserve">零序过流II段定值</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A</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61</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0x885C</w:t>
            </w:r>
            <w:r>
              <w:rPr>
                <w:rFonts w:eastAsia="宋体"/>
                <w:color w:val="000000"/>
                <w:szCs w:val="21"/>
              </w:rPr>
            </w:r>
            <w:r/>
          </w:p>
        </w:tc>
        <w:tc>
          <w:tcPr>
            <w:tcW w:w="2694" w:type="dxa"/>
            <w:vAlign w:val="top"/>
            <w:textDirection w:val="lrTb"/>
            <w:noWrap/>
          </w:tcPr>
          <w:p>
            <w:pPr>
              <w:pStyle w:val="1151"/>
              <w:jc w:val="center"/>
              <w:spacing w:line="276" w:lineRule="auto"/>
              <w:widowControl/>
              <w:rPr>
                <w:szCs w:val="21"/>
              </w:rPr>
            </w:pPr>
            <w:r>
              <w:rPr>
                <w:color w:val="000000"/>
                <w:szCs w:val="21"/>
              </w:rPr>
              <w:t xml:space="preserve">零序过流II段时间</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62</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0x885D</w:t>
            </w:r>
            <w:r>
              <w:rPr>
                <w:rFonts w:eastAsia="宋体"/>
                <w:color w:val="000000"/>
                <w:szCs w:val="21"/>
              </w:rPr>
            </w:r>
            <w:r/>
          </w:p>
        </w:tc>
        <w:tc>
          <w:tcPr>
            <w:tcW w:w="2694" w:type="dxa"/>
            <w:vAlign w:val="top"/>
            <w:textDirection w:val="lrTb"/>
            <w:noWrap/>
          </w:tcPr>
          <w:p>
            <w:pPr>
              <w:pStyle w:val="1151"/>
              <w:jc w:val="center"/>
              <w:spacing w:line="276" w:lineRule="auto"/>
              <w:widowControl/>
              <w:rPr>
                <w:szCs w:val="21"/>
              </w:rPr>
            </w:pPr>
            <w:r>
              <w:rPr>
                <w:rFonts w:hint="eastAsia"/>
                <w:color w:val="000000"/>
                <w:szCs w:val="21"/>
              </w:rPr>
              <w:t xml:space="preserve">过流加速保护</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63</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0x885E</w:t>
            </w:r>
            <w:r>
              <w:rPr>
                <w:rFonts w:eastAsia="宋体"/>
                <w:color w:val="000000"/>
                <w:szCs w:val="21"/>
              </w:rPr>
            </w:r>
            <w:r/>
          </w:p>
        </w:tc>
        <w:tc>
          <w:tcPr>
            <w:tcW w:w="2694" w:type="dxa"/>
            <w:vAlign w:val="top"/>
            <w:textDirection w:val="lrTb"/>
            <w:noWrap/>
          </w:tcPr>
          <w:p>
            <w:pPr>
              <w:pStyle w:val="1151"/>
              <w:jc w:val="center"/>
              <w:spacing w:line="276" w:lineRule="auto"/>
              <w:widowControl/>
              <w:rPr>
                <w:szCs w:val="21"/>
              </w:rPr>
            </w:pPr>
            <w:r>
              <w:rPr>
                <w:rFonts w:hint="eastAsia"/>
                <w:color w:val="000000"/>
                <w:szCs w:val="21"/>
              </w:rPr>
              <w:t xml:space="preserve">过流加速保护定值</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A</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64</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0x885F</w:t>
            </w:r>
            <w:r>
              <w:rPr>
                <w:rFonts w:eastAsia="宋体"/>
                <w:color w:val="000000"/>
                <w:szCs w:val="21"/>
              </w:rPr>
            </w:r>
            <w:r/>
          </w:p>
        </w:tc>
        <w:tc>
          <w:tcPr>
            <w:tcW w:w="2694" w:type="dxa"/>
            <w:vAlign w:val="top"/>
            <w:textDirection w:val="lrTb"/>
            <w:noWrap/>
          </w:tcPr>
          <w:p>
            <w:pPr>
              <w:pStyle w:val="1151"/>
              <w:jc w:val="center"/>
              <w:spacing w:line="276" w:lineRule="auto"/>
              <w:widowControl/>
              <w:rPr>
                <w:szCs w:val="21"/>
              </w:rPr>
            </w:pPr>
            <w:r>
              <w:rPr>
                <w:rFonts w:hint="eastAsia"/>
                <w:szCs w:val="21"/>
              </w:rPr>
              <w:t xml:space="preserve">零流加速保护</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65</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0x8860</w:t>
            </w:r>
            <w:r>
              <w:rPr>
                <w:rFonts w:eastAsia="宋体"/>
                <w:color w:val="000000"/>
                <w:szCs w:val="21"/>
              </w:rPr>
            </w:r>
            <w:r/>
          </w:p>
        </w:tc>
        <w:tc>
          <w:tcPr>
            <w:tcW w:w="2694" w:type="dxa"/>
            <w:vAlign w:val="top"/>
            <w:textDirection w:val="lrTb"/>
            <w:noWrap/>
          </w:tcPr>
          <w:p>
            <w:pPr>
              <w:pStyle w:val="1151"/>
              <w:jc w:val="center"/>
              <w:spacing w:line="276" w:lineRule="auto"/>
              <w:widowControl/>
              <w:rPr>
                <w:szCs w:val="21"/>
              </w:rPr>
            </w:pPr>
            <w:r>
              <w:rPr>
                <w:color w:val="000000"/>
                <w:szCs w:val="21"/>
              </w:rPr>
              <w:t xml:space="preserve">零序过流</w:t>
            </w:r>
            <w:r>
              <w:rPr>
                <w:rFonts w:hint="eastAsia"/>
                <w:color w:val="000000"/>
                <w:szCs w:val="21"/>
              </w:rPr>
              <w:t xml:space="preserve">加速定值</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66</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0x8861</w:t>
            </w:r>
            <w:r>
              <w:rPr>
                <w:rFonts w:eastAsia="宋体"/>
                <w:color w:val="000000"/>
                <w:szCs w:val="21"/>
              </w:rPr>
            </w:r>
            <w:r/>
          </w:p>
        </w:tc>
        <w:tc>
          <w:tcPr>
            <w:tcW w:w="2694" w:type="dxa"/>
            <w:vAlign w:val="top"/>
            <w:textDirection w:val="lrTb"/>
            <w:noWrap/>
          </w:tcPr>
          <w:p>
            <w:pPr>
              <w:pStyle w:val="1151"/>
              <w:jc w:val="center"/>
              <w:spacing w:line="276" w:lineRule="auto"/>
              <w:widowControl/>
              <w:rPr>
                <w:szCs w:val="21"/>
              </w:rPr>
            </w:pPr>
            <w:r>
              <w:rPr>
                <w:color w:val="000000"/>
                <w:szCs w:val="21"/>
              </w:rPr>
              <w:t xml:space="preserve">遮断电流闭锁</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67</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0x8862</w:t>
            </w:r>
            <w:r>
              <w:rPr>
                <w:rFonts w:eastAsia="宋体"/>
                <w:color w:val="000000"/>
                <w:szCs w:val="21"/>
              </w:rPr>
            </w:r>
            <w:r/>
          </w:p>
        </w:tc>
        <w:tc>
          <w:tcPr>
            <w:tcW w:w="2694" w:type="dxa"/>
            <w:vAlign w:val="top"/>
            <w:textDirection w:val="lrTb"/>
            <w:noWrap/>
          </w:tcPr>
          <w:p>
            <w:pPr>
              <w:pStyle w:val="1151"/>
              <w:jc w:val="center"/>
              <w:spacing w:line="276" w:lineRule="auto"/>
              <w:widowControl/>
              <w:rPr>
                <w:szCs w:val="21"/>
              </w:rPr>
            </w:pPr>
            <w:r>
              <w:rPr>
                <w:color w:val="000000"/>
                <w:szCs w:val="21"/>
              </w:rPr>
              <w:t xml:space="preserve">遮断电流闭锁定值</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68</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0x8863</w:t>
            </w:r>
            <w:r>
              <w:rPr>
                <w:rFonts w:eastAsia="宋体"/>
                <w:color w:val="000000"/>
                <w:szCs w:val="21"/>
              </w:rPr>
            </w:r>
            <w:r/>
          </w:p>
        </w:tc>
        <w:tc>
          <w:tcPr>
            <w:tcW w:w="2694" w:type="dxa"/>
            <w:vAlign w:val="top"/>
            <w:textDirection w:val="lrTb"/>
            <w:noWrap/>
          </w:tcPr>
          <w:p>
            <w:pPr>
              <w:pStyle w:val="1151"/>
              <w:jc w:val="center"/>
              <w:spacing w:line="276" w:lineRule="auto"/>
              <w:widowControl/>
              <w:rPr>
                <w:szCs w:val="21"/>
              </w:rPr>
            </w:pPr>
            <w:r>
              <w:rPr>
                <w:color w:val="000000"/>
                <w:szCs w:val="21"/>
              </w:rPr>
              <w:t xml:space="preserve">重合闸投退</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69</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0x8864</w:t>
            </w:r>
            <w:r>
              <w:rPr>
                <w:rFonts w:eastAsia="宋体"/>
                <w:color w:val="000000"/>
                <w:szCs w:val="21"/>
              </w:rPr>
            </w:r>
            <w:r/>
          </w:p>
        </w:tc>
        <w:tc>
          <w:tcPr>
            <w:tcW w:w="2694" w:type="dxa"/>
            <w:vAlign w:val="top"/>
            <w:textDirection w:val="lrTb"/>
            <w:noWrap/>
          </w:tcPr>
          <w:p>
            <w:pPr>
              <w:pStyle w:val="1151"/>
              <w:jc w:val="center"/>
              <w:spacing w:line="276" w:lineRule="auto"/>
              <w:widowControl/>
              <w:rPr>
                <w:szCs w:val="21"/>
              </w:rPr>
            </w:pPr>
            <w:r>
              <w:rPr>
                <w:color w:val="000000"/>
                <w:szCs w:val="21"/>
              </w:rPr>
              <w:t xml:space="preserve">重合闸次数</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无符号短整型</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70</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0x8865</w:t>
            </w:r>
            <w:r>
              <w:rPr>
                <w:rFonts w:eastAsia="宋体"/>
                <w:color w:val="000000"/>
                <w:szCs w:val="21"/>
              </w:rPr>
            </w:r>
            <w:r/>
          </w:p>
        </w:tc>
        <w:tc>
          <w:tcPr>
            <w:tcW w:w="2694" w:type="dxa"/>
            <w:vAlign w:val="top"/>
            <w:textDirection w:val="lrTb"/>
            <w:noWrap/>
          </w:tcPr>
          <w:p>
            <w:pPr>
              <w:pStyle w:val="1151"/>
              <w:jc w:val="center"/>
              <w:spacing w:line="276" w:lineRule="auto"/>
              <w:widowControl/>
              <w:rPr>
                <w:szCs w:val="21"/>
              </w:rPr>
            </w:pPr>
            <w:r>
              <w:rPr>
                <w:color w:val="000000"/>
                <w:szCs w:val="21"/>
              </w:rPr>
              <w:t xml:space="preserve">第一次重合时间</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71</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0x8866</w:t>
            </w:r>
            <w:r>
              <w:rPr>
                <w:rFonts w:eastAsia="宋体"/>
                <w:color w:val="000000"/>
                <w:szCs w:val="21"/>
              </w:rPr>
            </w:r>
            <w:r/>
          </w:p>
        </w:tc>
        <w:tc>
          <w:tcPr>
            <w:tcW w:w="2694" w:type="dxa"/>
            <w:vAlign w:val="top"/>
            <w:textDirection w:val="lrTb"/>
            <w:noWrap/>
          </w:tcPr>
          <w:p>
            <w:pPr>
              <w:pStyle w:val="1151"/>
              <w:jc w:val="center"/>
              <w:spacing w:line="276" w:lineRule="auto"/>
              <w:widowControl/>
              <w:rPr>
                <w:szCs w:val="21"/>
                <w:highlight w:val="yellow"/>
              </w:rPr>
            </w:pPr>
            <w:r>
              <w:rPr>
                <w:color w:val="000000"/>
                <w:szCs w:val="21"/>
              </w:rPr>
              <w:t xml:space="preserve">第二次重合时间</w:t>
            </w:r>
            <w:r>
              <w:rPr>
                <w:szCs w:val="21"/>
                <w:highlight w:val="yellow"/>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72</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0x8867</w:t>
            </w:r>
            <w:r>
              <w:rPr>
                <w:rFonts w:eastAsia="宋体"/>
                <w:color w:val="000000"/>
                <w:szCs w:val="21"/>
              </w:rPr>
            </w:r>
            <w:r/>
          </w:p>
        </w:tc>
        <w:tc>
          <w:tcPr>
            <w:tcW w:w="2694" w:type="dxa"/>
            <w:vAlign w:val="top"/>
            <w:textDirection w:val="lrTb"/>
            <w:noWrap/>
          </w:tcPr>
          <w:p>
            <w:pPr>
              <w:pStyle w:val="1151"/>
              <w:ind w:left="-2"/>
              <w:jc w:val="center"/>
              <w:spacing w:line="276" w:lineRule="auto"/>
              <w:rPr>
                <w:color w:val="000000"/>
                <w:szCs w:val="21"/>
              </w:rPr>
            </w:pPr>
            <w:r>
              <w:rPr>
                <w:color w:val="000000"/>
                <w:szCs w:val="21"/>
              </w:rPr>
              <w:t xml:space="preserve">第三次重合时间</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73</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0x8868</w:t>
            </w:r>
            <w:r>
              <w:rPr>
                <w:rFonts w:eastAsia="宋体"/>
                <w:color w:val="000000"/>
                <w:szCs w:val="21"/>
              </w:rPr>
            </w:r>
            <w:r/>
          </w:p>
        </w:tc>
        <w:tc>
          <w:tcPr>
            <w:tcW w:w="2694" w:type="dxa"/>
            <w:vAlign w:val="top"/>
            <w:textDirection w:val="lrTb"/>
            <w:noWrap/>
          </w:tcPr>
          <w:p>
            <w:pPr>
              <w:pStyle w:val="1151"/>
              <w:jc w:val="center"/>
              <w:spacing w:line="276" w:lineRule="auto"/>
              <w:rPr>
                <w:color w:val="000000"/>
                <w:szCs w:val="21"/>
              </w:rPr>
            </w:pPr>
            <w:r>
              <w:rPr>
                <w:color w:val="000000"/>
                <w:szCs w:val="21"/>
              </w:rPr>
              <w:t xml:space="preserve">大电流闭锁重合投退</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hint="eastAsia" w:eastAsia="宋体"/>
                <w:szCs w:val="21"/>
              </w:rPr>
              <w:t xml:space="preserve">布尔</w:t>
            </w: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74</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0x8869</w:t>
            </w:r>
            <w:r>
              <w:rPr>
                <w:rFonts w:eastAsia="宋体"/>
                <w:color w:val="000000"/>
                <w:szCs w:val="21"/>
              </w:rPr>
            </w:r>
            <w:r/>
          </w:p>
        </w:tc>
        <w:tc>
          <w:tcPr>
            <w:tcW w:w="2694" w:type="dxa"/>
            <w:vAlign w:val="top"/>
            <w:textDirection w:val="lrTb"/>
            <w:noWrap/>
          </w:tcPr>
          <w:p>
            <w:pPr>
              <w:pStyle w:val="1151"/>
              <w:jc w:val="center"/>
              <w:spacing w:line="276" w:lineRule="auto"/>
              <w:rPr>
                <w:color w:val="000000"/>
                <w:szCs w:val="21"/>
              </w:rPr>
            </w:pPr>
            <w:r>
              <w:rPr>
                <w:color w:val="000000"/>
                <w:szCs w:val="21"/>
              </w:rPr>
              <w:t xml:space="preserve">大电流闭锁重合定值</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7</w:t>
            </w:r>
            <w:r>
              <w:rPr>
                <w:szCs w:val="21"/>
              </w:rPr>
              <w:t xml:space="preserve">5</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0x886A</w:t>
            </w:r>
            <w:r>
              <w:rPr>
                <w:rFonts w:eastAsia="宋体"/>
                <w:color w:val="000000"/>
                <w:szCs w:val="21"/>
              </w:rPr>
            </w:r>
            <w:r/>
          </w:p>
        </w:tc>
        <w:tc>
          <w:tcPr>
            <w:tcW w:w="2694" w:type="dxa"/>
            <w:vAlign w:val="top"/>
            <w:textDirection w:val="lrTb"/>
            <w:noWrap/>
          </w:tcPr>
          <w:p>
            <w:pPr>
              <w:pStyle w:val="1151"/>
              <w:jc w:val="center"/>
              <w:spacing w:line="276" w:lineRule="auto"/>
              <w:rPr>
                <w:color w:val="000000"/>
                <w:szCs w:val="21"/>
              </w:rPr>
            </w:pPr>
            <w:r>
              <w:rPr>
                <w:color w:val="000000"/>
                <w:szCs w:val="21"/>
              </w:rPr>
              <w:t xml:space="preserve">重合闸整组复归时间</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7</w:t>
            </w:r>
            <w:r>
              <w:rPr>
                <w:szCs w:val="21"/>
              </w:rPr>
              <w:t xml:space="preserve">6</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0x886B</w:t>
            </w:r>
            <w:r>
              <w:rPr>
                <w:rFonts w:eastAsia="宋体"/>
                <w:color w:val="000000"/>
                <w:szCs w:val="21"/>
              </w:rPr>
            </w:r>
            <w:r/>
          </w:p>
        </w:tc>
        <w:tc>
          <w:tcPr>
            <w:tcW w:w="2694" w:type="dxa"/>
            <w:vAlign w:val="top"/>
            <w:textDirection w:val="lrTb"/>
            <w:noWrap/>
          </w:tcPr>
          <w:p>
            <w:pPr>
              <w:pStyle w:val="1151"/>
              <w:jc w:val="center"/>
              <w:spacing w:line="276" w:lineRule="auto"/>
              <w:rPr>
                <w:color w:val="000000"/>
                <w:szCs w:val="21"/>
              </w:rPr>
            </w:pPr>
            <w:r>
              <w:rPr>
                <w:szCs w:val="21"/>
              </w:rPr>
              <w:t xml:space="preserve">重合闸闭锁时间</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77</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0x886C</w:t>
            </w:r>
            <w:r>
              <w:rPr>
                <w:rFonts w:eastAsia="宋体"/>
                <w:color w:val="000000"/>
                <w:szCs w:val="21"/>
              </w:rPr>
            </w:r>
            <w:r/>
          </w:p>
        </w:tc>
        <w:tc>
          <w:tcPr>
            <w:tcW w:w="2694" w:type="dxa"/>
            <w:vAlign w:val="top"/>
            <w:textDirection w:val="lrTb"/>
            <w:noWrap/>
          </w:tcPr>
          <w:p>
            <w:pPr>
              <w:pStyle w:val="1151"/>
              <w:jc w:val="center"/>
              <w:spacing w:line="276" w:lineRule="auto"/>
              <w:rPr>
                <w:color w:val="000000"/>
                <w:szCs w:val="21"/>
              </w:rPr>
            </w:pPr>
            <w:r>
              <w:rPr>
                <w:rFonts w:hint="eastAsia"/>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78</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0x886D</w:t>
            </w:r>
            <w:r>
              <w:rPr>
                <w:rFonts w:eastAsia="宋体"/>
                <w:color w:val="000000"/>
                <w:szCs w:val="21"/>
              </w:rPr>
            </w:r>
            <w:r/>
          </w:p>
        </w:tc>
        <w:tc>
          <w:tcPr>
            <w:tcW w:w="2694" w:type="dxa"/>
            <w:vAlign w:val="center"/>
            <w:textDirection w:val="lrTb"/>
            <w:noWrap/>
          </w:tcPr>
          <w:p>
            <w:pPr>
              <w:pStyle w:val="1151"/>
              <w:jc w:val="center"/>
              <w:spacing w:line="276" w:lineRule="auto"/>
              <w:rPr>
                <w:color w:val="000000"/>
                <w:szCs w:val="21"/>
              </w:rPr>
            </w:pPr>
            <w:r>
              <w:rPr>
                <w:rFonts w:hint="eastAsia"/>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79</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0x886E</w:t>
            </w:r>
            <w:r>
              <w:rPr>
                <w:rFonts w:eastAsia="宋体"/>
                <w:color w:val="000000"/>
                <w:szCs w:val="21"/>
              </w:rPr>
            </w:r>
            <w:r/>
          </w:p>
        </w:tc>
        <w:tc>
          <w:tcPr>
            <w:tcW w:w="2694" w:type="dxa"/>
            <w:vAlign w:val="center"/>
            <w:textDirection w:val="lrTb"/>
            <w:noWrap/>
          </w:tcPr>
          <w:p>
            <w:pPr>
              <w:pStyle w:val="1151"/>
              <w:jc w:val="center"/>
              <w:spacing w:line="276" w:lineRule="auto"/>
              <w:rPr>
                <w:color w:val="000000"/>
                <w:szCs w:val="21"/>
              </w:rPr>
            </w:pPr>
            <w:r>
              <w:rPr>
                <w:rFonts w:hint="eastAsia"/>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8</w:t>
            </w:r>
            <w:r>
              <w:rPr>
                <w:szCs w:val="21"/>
              </w:rPr>
              <w:t xml:space="preserve">0</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0x886F</w:t>
            </w:r>
            <w:r>
              <w:rPr>
                <w:rFonts w:eastAsia="宋体"/>
                <w:color w:val="000000"/>
                <w:szCs w:val="21"/>
              </w:rPr>
            </w:r>
            <w:r/>
          </w:p>
        </w:tc>
        <w:tc>
          <w:tcPr>
            <w:tcW w:w="2694" w:type="dxa"/>
            <w:vAlign w:val="center"/>
            <w:textDirection w:val="lrTb"/>
            <w:noWrap/>
          </w:tcPr>
          <w:p>
            <w:pPr>
              <w:pStyle w:val="1151"/>
              <w:jc w:val="center"/>
              <w:spacing w:line="276" w:lineRule="auto"/>
              <w:rPr>
                <w:color w:val="000000"/>
                <w:szCs w:val="21"/>
              </w:rPr>
            </w:pPr>
            <w:r>
              <w:rPr>
                <w:rFonts w:hint="eastAsia"/>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8</w:t>
            </w:r>
            <w:r>
              <w:rPr>
                <w:szCs w:val="21"/>
              </w:rPr>
              <w:t xml:space="preserve">1</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0x8870</w:t>
            </w:r>
            <w:r>
              <w:rPr>
                <w:rFonts w:eastAsia="宋体"/>
                <w:color w:val="000000"/>
                <w:szCs w:val="21"/>
              </w:rPr>
            </w:r>
            <w:r/>
          </w:p>
        </w:tc>
        <w:tc>
          <w:tcPr>
            <w:tcW w:w="2694" w:type="dxa"/>
            <w:vAlign w:val="top"/>
            <w:textDirection w:val="lrTb"/>
            <w:noWrap/>
          </w:tcPr>
          <w:p>
            <w:pPr>
              <w:pStyle w:val="1151"/>
              <w:jc w:val="center"/>
              <w:spacing w:line="276" w:lineRule="auto"/>
              <w:rPr>
                <w:color w:val="000000"/>
                <w:szCs w:val="21"/>
              </w:rPr>
            </w:pPr>
            <w:r>
              <w:rPr>
                <w:rFonts w:hint="eastAsia"/>
                <w:szCs w:val="21"/>
              </w:rPr>
              <w:t xml:space="preserve">二次谐波闭锁系数</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无符号短整型（</w:t>
            </w:r>
            <w:r>
              <w:rPr>
                <w:rFonts w:eastAsia="宋体"/>
                <w:szCs w:val="21"/>
              </w:rPr>
              <w:t xml:space="preserve">%</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8</w:t>
            </w:r>
            <w:r>
              <w:rPr>
                <w:szCs w:val="21"/>
              </w:rPr>
              <w:t xml:space="preserve">2</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0x8871</w:t>
            </w:r>
            <w:r>
              <w:rPr>
                <w:rFonts w:eastAsia="宋体"/>
                <w:color w:val="000000"/>
                <w:szCs w:val="21"/>
              </w:rPr>
            </w:r>
            <w:r/>
          </w:p>
        </w:tc>
        <w:tc>
          <w:tcPr>
            <w:tcW w:w="2694" w:type="dxa"/>
            <w:vAlign w:val="top"/>
            <w:textDirection w:val="lrTb"/>
            <w:noWrap/>
          </w:tcPr>
          <w:p>
            <w:pPr>
              <w:pStyle w:val="1151"/>
              <w:jc w:val="center"/>
              <w:spacing w:line="276" w:lineRule="auto"/>
              <w:rPr>
                <w:color w:val="000000"/>
                <w:szCs w:val="21"/>
              </w:rPr>
            </w:pPr>
            <w:r>
              <w:rPr>
                <w:rFonts w:hint="eastAsia"/>
                <w:szCs w:val="21"/>
              </w:rPr>
              <w:t xml:space="preserve">励磁电流闭锁</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8</w:t>
            </w:r>
            <w:r>
              <w:rPr>
                <w:szCs w:val="21"/>
              </w:rPr>
              <w:t xml:space="preserve">3</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0x8872</w:t>
            </w:r>
            <w:r>
              <w:rPr>
                <w:rFonts w:eastAsia="宋体"/>
                <w:color w:val="000000"/>
                <w:szCs w:val="21"/>
              </w:rPr>
            </w:r>
            <w:r/>
          </w:p>
        </w:tc>
        <w:tc>
          <w:tcPr>
            <w:tcW w:w="2694" w:type="dxa"/>
            <w:vAlign w:val="center"/>
            <w:textDirection w:val="lrTb"/>
            <w:noWrap/>
          </w:tcPr>
          <w:p>
            <w:pPr>
              <w:pStyle w:val="1151"/>
              <w:jc w:val="center"/>
              <w:spacing w:line="276" w:lineRule="auto"/>
              <w:rPr>
                <w:color w:val="000000"/>
                <w:szCs w:val="21"/>
              </w:rPr>
            </w:pPr>
            <w:r>
              <w:rPr>
                <w:rFonts w:hint="eastAsia"/>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8</w:t>
            </w:r>
            <w:r>
              <w:rPr>
                <w:szCs w:val="21"/>
              </w:rPr>
              <w:t xml:space="preserve">4</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0x8873</w:t>
            </w:r>
            <w:r>
              <w:rPr>
                <w:rFonts w:eastAsia="宋体"/>
                <w:color w:val="000000"/>
                <w:szCs w:val="21"/>
              </w:rPr>
            </w:r>
            <w:r/>
          </w:p>
        </w:tc>
        <w:tc>
          <w:tcPr>
            <w:tcW w:w="2694" w:type="dxa"/>
            <w:vAlign w:val="center"/>
            <w:textDirection w:val="lrTb"/>
            <w:noWrap/>
          </w:tcPr>
          <w:p>
            <w:pPr>
              <w:pStyle w:val="1151"/>
              <w:jc w:val="center"/>
              <w:spacing w:line="276" w:lineRule="auto"/>
              <w:rPr>
                <w:color w:val="000000"/>
                <w:szCs w:val="21"/>
              </w:rPr>
            </w:pPr>
            <w:r>
              <w:rPr>
                <w:rFonts w:hint="eastAsia"/>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8</w:t>
            </w:r>
            <w:r>
              <w:rPr>
                <w:szCs w:val="21"/>
              </w:rPr>
              <w:t xml:space="preserve">5</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0x8874</w:t>
            </w:r>
            <w:r>
              <w:rPr>
                <w:rFonts w:eastAsia="宋体"/>
                <w:color w:val="000000"/>
                <w:szCs w:val="21"/>
              </w:rPr>
            </w:r>
            <w:r/>
          </w:p>
        </w:tc>
        <w:tc>
          <w:tcPr>
            <w:tcW w:w="2694" w:type="dxa"/>
            <w:vAlign w:val="center"/>
            <w:textDirection w:val="lrTb"/>
            <w:noWrap/>
          </w:tcPr>
          <w:p>
            <w:pPr>
              <w:pStyle w:val="1151"/>
              <w:jc w:val="center"/>
              <w:spacing w:line="276" w:lineRule="auto"/>
              <w:rPr>
                <w:color w:val="000000"/>
                <w:szCs w:val="21"/>
              </w:rPr>
            </w:pPr>
            <w:r>
              <w:rPr>
                <w:rFonts w:hint="eastAsia"/>
                <w:color w:val="000000"/>
                <w:szCs w:val="21"/>
              </w:rPr>
              <w:t xml:space="preserve">备用</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8</w:t>
            </w:r>
            <w:r>
              <w:rPr>
                <w:szCs w:val="21"/>
              </w:rPr>
              <w:t xml:space="preserve">6</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0x8875</w:t>
            </w:r>
            <w:r>
              <w:rPr>
                <w:rFonts w:eastAsia="宋体"/>
                <w:color w:val="000000"/>
                <w:szCs w:val="21"/>
              </w:rPr>
            </w:r>
            <w:r/>
          </w:p>
        </w:tc>
        <w:tc>
          <w:tcPr>
            <w:tcW w:w="2694" w:type="dxa"/>
            <w:vAlign w:val="center"/>
            <w:textDirection w:val="lrTb"/>
            <w:noWrap/>
          </w:tcPr>
          <w:p>
            <w:pPr>
              <w:pStyle w:val="1151"/>
              <w:jc w:val="center"/>
              <w:spacing w:line="276" w:lineRule="auto"/>
              <w:rPr>
                <w:color w:val="000000"/>
                <w:szCs w:val="21"/>
              </w:rPr>
            </w:pPr>
            <w:r>
              <w:rPr>
                <w:rFonts w:hint="eastAsia" w:ascii="宋体" w:hAnsi="宋体"/>
                <w:szCs w:val="21"/>
              </w:rPr>
              <w:t xml:space="preserve">加速段保护开放时间</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8</w:t>
            </w:r>
            <w:r>
              <w:rPr>
                <w:szCs w:val="21"/>
              </w:rPr>
              <w:t xml:space="preserve">7</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0x8876</w:t>
            </w:r>
            <w:r>
              <w:rPr>
                <w:rFonts w:eastAsia="宋体"/>
                <w:color w:val="000000"/>
                <w:szCs w:val="21"/>
              </w:rPr>
            </w:r>
            <w:r/>
          </w:p>
        </w:tc>
        <w:tc>
          <w:tcPr>
            <w:tcW w:w="2694" w:type="dxa"/>
            <w:vAlign w:val="center"/>
            <w:textDirection w:val="lrTb"/>
            <w:noWrap/>
          </w:tcPr>
          <w:p>
            <w:pPr>
              <w:pStyle w:val="1151"/>
              <w:jc w:val="center"/>
              <w:spacing w:line="276" w:lineRule="auto"/>
              <w:rPr>
                <w:color w:val="000000"/>
                <w:szCs w:val="21"/>
              </w:rPr>
            </w:pPr>
            <w:r>
              <w:rPr>
                <w:rFonts w:hint="eastAsia" w:ascii="宋体" w:hAnsi="宋体"/>
                <w:szCs w:val="21"/>
              </w:rPr>
              <w:t xml:space="preserve">重合闸检有压</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8</w:t>
            </w:r>
            <w:r>
              <w:rPr>
                <w:szCs w:val="21"/>
              </w:rPr>
              <w:t xml:space="preserve">8</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szCs w:val="21"/>
              </w:rPr>
              <w:t xml:space="preserve">0x8877</w:t>
            </w:r>
            <w:r>
              <w:rPr>
                <w:rFonts w:eastAsia="宋体"/>
                <w:color w:val="000000"/>
                <w:szCs w:val="21"/>
              </w:rPr>
            </w:r>
            <w:r/>
          </w:p>
        </w:tc>
        <w:tc>
          <w:tcPr>
            <w:tcW w:w="2694" w:type="dxa"/>
            <w:vAlign w:val="center"/>
            <w:textDirection w:val="lrTb"/>
            <w:noWrap/>
          </w:tcPr>
          <w:p>
            <w:pPr>
              <w:pStyle w:val="1151"/>
              <w:jc w:val="center"/>
              <w:spacing w:line="276" w:lineRule="auto"/>
              <w:rPr>
                <w:color w:val="000000"/>
                <w:szCs w:val="21"/>
              </w:rPr>
            </w:pPr>
            <w:r>
              <w:rPr>
                <w:rFonts w:hint="eastAsia" w:ascii="宋体" w:hAnsi="宋体"/>
                <w:szCs w:val="21"/>
              </w:rPr>
              <w:t xml:space="preserve">重合闸检有压等待时间</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89</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0x8878</w:t>
            </w:r>
            <w:r>
              <w:rPr>
                <w:rFonts w:eastAsia="宋体"/>
                <w:color w:val="000000"/>
                <w:szCs w:val="21"/>
              </w:rPr>
            </w:r>
            <w:r/>
          </w:p>
        </w:tc>
        <w:tc>
          <w:tcPr>
            <w:tcW w:w="2694" w:type="dxa"/>
            <w:vAlign w:val="center"/>
            <w:textDirection w:val="lrTb"/>
            <w:noWrap/>
          </w:tcPr>
          <w:p>
            <w:pPr>
              <w:pStyle w:val="1151"/>
              <w:jc w:val="center"/>
              <w:spacing w:line="276" w:lineRule="auto"/>
              <w:rPr>
                <w:szCs w:val="21"/>
              </w:rPr>
            </w:pPr>
            <w:r>
              <w:rPr>
                <w:rFonts w:hint="eastAsia" w:ascii="宋体" w:hAnsi="宋体"/>
                <w:szCs w:val="21"/>
              </w:rPr>
              <w:t xml:space="preserve">连续分闸时间</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90</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0x8879</w:t>
            </w:r>
            <w:r>
              <w:rPr>
                <w:rFonts w:eastAsia="宋体"/>
                <w:color w:val="000000"/>
                <w:szCs w:val="21"/>
              </w:rPr>
            </w:r>
            <w:r/>
          </w:p>
        </w:tc>
        <w:tc>
          <w:tcPr>
            <w:tcW w:w="2694" w:type="dxa"/>
            <w:vAlign w:val="center"/>
            <w:textDirection w:val="lrTb"/>
            <w:noWrap/>
          </w:tcPr>
          <w:p>
            <w:pPr>
              <w:pStyle w:val="1151"/>
              <w:jc w:val="center"/>
              <w:spacing w:line="276" w:lineRule="auto"/>
              <w:rPr>
                <w:szCs w:val="21"/>
              </w:rPr>
            </w:pPr>
            <w:r>
              <w:rPr>
                <w:rFonts w:hint="eastAsia" w:ascii="宋体" w:hAnsi="宋体"/>
                <w:szCs w:val="21"/>
              </w:rPr>
              <w:t xml:space="preserve">分闸次数</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无符号短整型</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91</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0x887A</w:t>
            </w:r>
            <w:r>
              <w:rPr>
                <w:rFonts w:eastAsia="宋体"/>
                <w:color w:val="000000"/>
                <w:szCs w:val="21"/>
              </w:rPr>
            </w:r>
            <w:r/>
          </w:p>
        </w:tc>
        <w:tc>
          <w:tcPr>
            <w:tcW w:w="2694" w:type="dxa"/>
            <w:vAlign w:val="center"/>
            <w:textDirection w:val="lrTb"/>
            <w:noWrap/>
          </w:tcPr>
          <w:p>
            <w:pPr>
              <w:pStyle w:val="1151"/>
              <w:jc w:val="center"/>
              <w:spacing w:line="276" w:lineRule="auto"/>
              <w:rPr>
                <w:color w:val="000000"/>
                <w:szCs w:val="21"/>
              </w:rPr>
            </w:pPr>
            <w:r>
              <w:rPr>
                <w:rFonts w:hint="eastAsia" w:ascii="宋体" w:hAnsi="宋体"/>
                <w:szCs w:val="21"/>
              </w:rPr>
              <w:t xml:space="preserve">零压加速保护</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92</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0x887B</w:t>
            </w:r>
            <w:r>
              <w:rPr>
                <w:rFonts w:eastAsia="宋体"/>
                <w:color w:val="000000"/>
                <w:szCs w:val="21"/>
              </w:rPr>
            </w:r>
            <w:r/>
          </w:p>
        </w:tc>
        <w:tc>
          <w:tcPr>
            <w:tcW w:w="2694" w:type="dxa"/>
            <w:vAlign w:val="center"/>
            <w:textDirection w:val="lrTb"/>
            <w:noWrap/>
          </w:tcPr>
          <w:p>
            <w:pPr>
              <w:pStyle w:val="1151"/>
              <w:jc w:val="center"/>
              <w:spacing w:line="276" w:lineRule="auto"/>
              <w:rPr>
                <w:color w:val="000000"/>
                <w:szCs w:val="21"/>
              </w:rPr>
            </w:pPr>
            <w:r>
              <w:rPr>
                <w:rFonts w:hint="eastAsia" w:ascii="宋体" w:hAnsi="宋体"/>
                <w:szCs w:val="21"/>
              </w:rPr>
              <w:t xml:space="preserve">零序电压加速定值</w:t>
            </w:r>
            <w:r>
              <w:rPr>
                <w:color w:val="000000"/>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V</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93</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0x887C</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ascii="宋体" w:hAnsi="宋体"/>
                <w:szCs w:val="21"/>
              </w:rPr>
              <w:t xml:space="preserve">小电流接地保护跳闸</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94</w:t>
            </w:r>
            <w:r>
              <w:rPr>
                <w:szCs w:val="21"/>
              </w:rPr>
            </w:r>
            <w:r/>
          </w:p>
        </w:tc>
        <w:tc>
          <w:tcPr>
            <w:tcW w:w="1417" w:type="dxa"/>
            <w:vAlign w:val="center"/>
            <w:textDirection w:val="lrTb"/>
            <w:noWrap w:val="false"/>
          </w:tcPr>
          <w:p>
            <w:pPr>
              <w:pStyle w:val="1151"/>
              <w:jc w:val="center"/>
              <w:spacing w:line="276" w:lineRule="auto"/>
              <w:widowControl/>
              <w:rPr>
                <w:rFonts w:eastAsia="宋体"/>
                <w:color w:val="000000"/>
                <w:szCs w:val="21"/>
              </w:rPr>
            </w:pPr>
            <w:r>
              <w:rPr>
                <w:rFonts w:eastAsia="宋体"/>
                <w:szCs w:val="21"/>
              </w:rPr>
              <w:t xml:space="preserve">0x887D</w:t>
            </w:r>
            <w:r>
              <w:rPr>
                <w:rFonts w:eastAsia="宋体"/>
                <w:color w:val="000000"/>
                <w:szCs w:val="21"/>
              </w:rPr>
            </w:r>
            <w:r/>
          </w:p>
        </w:tc>
        <w:tc>
          <w:tcPr>
            <w:tcW w:w="2694" w:type="dxa"/>
            <w:vAlign w:val="top"/>
            <w:textDirection w:val="lrTb"/>
            <w:noWrap/>
          </w:tcPr>
          <w:p>
            <w:pPr>
              <w:pStyle w:val="1151"/>
              <w:ind w:firstLine="21"/>
              <w:jc w:val="center"/>
              <w:spacing w:line="276" w:lineRule="auto"/>
              <w:rPr>
                <w:szCs w:val="21"/>
              </w:rPr>
            </w:pPr>
            <w:r>
              <w:rPr>
                <w:rFonts w:hint="eastAsia" w:ascii="宋体" w:hAnsi="宋体"/>
                <w:szCs w:val="21"/>
              </w:rPr>
              <w:t xml:space="preserve">小电流接地故障跳闸时间</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95</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0x887E</w:t>
            </w:r>
            <w:r>
              <w:rPr>
                <w:rFonts w:eastAsia="宋体"/>
                <w:color w:val="000000"/>
                <w:szCs w:val="21"/>
              </w:rPr>
            </w:r>
            <w:r/>
          </w:p>
        </w:tc>
        <w:tc>
          <w:tcPr>
            <w:tcW w:w="2694" w:type="dxa"/>
            <w:vAlign w:val="center"/>
            <w:textDirection w:val="lrTb"/>
            <w:noWrap/>
          </w:tcPr>
          <w:p>
            <w:pPr>
              <w:pStyle w:val="1151"/>
              <w:jc w:val="center"/>
              <w:spacing w:line="276" w:lineRule="auto"/>
              <w:rPr>
                <w:szCs w:val="21"/>
              </w:rPr>
            </w:pPr>
            <w:r>
              <w:rPr>
                <w:rFonts w:hint="eastAsia"/>
                <w:szCs w:val="21"/>
              </w:rPr>
              <w:t xml:space="preserve">分布式FA隔离功能</w:t>
            </w:r>
            <w:r>
              <w:rPr>
                <w:szCs w:val="21"/>
              </w:rPr>
            </w:r>
            <w:r/>
          </w:p>
        </w:tc>
        <w:tc>
          <w:tcPr>
            <w:tcW w:w="2573" w:type="dxa"/>
            <w:vAlign w:val="center"/>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96</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0x887F</w:t>
            </w:r>
            <w:r>
              <w:rPr>
                <w:rFonts w:eastAsia="宋体"/>
                <w:color w:val="000000"/>
                <w:szCs w:val="21"/>
              </w:rPr>
            </w:r>
            <w:r/>
          </w:p>
        </w:tc>
        <w:tc>
          <w:tcPr>
            <w:tcW w:w="2694" w:type="dxa"/>
            <w:vAlign w:val="center"/>
            <w:textDirection w:val="lrTb"/>
            <w:noWrap/>
          </w:tcPr>
          <w:p>
            <w:pPr>
              <w:pStyle w:val="1151"/>
              <w:jc w:val="center"/>
              <w:spacing w:line="276" w:lineRule="auto"/>
              <w:rPr>
                <w:szCs w:val="21"/>
              </w:rPr>
            </w:pPr>
            <w:r>
              <w:rPr>
                <w:rFonts w:hint="eastAsia"/>
                <w:szCs w:val="21"/>
              </w:rPr>
              <w:t xml:space="preserve">分布式</w:t>
            </w:r>
            <w:r>
              <w:rPr>
                <w:szCs w:val="21"/>
              </w:rPr>
              <w:t xml:space="preserve">FA</w:t>
            </w:r>
            <w:r>
              <w:rPr>
                <w:rFonts w:hint="eastAsia"/>
                <w:szCs w:val="21"/>
              </w:rPr>
              <w:t xml:space="preserve">隔离跳闸延时</w:t>
            </w:r>
            <w:r>
              <w:rPr>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97</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0x8880</w:t>
            </w:r>
            <w:r>
              <w:rPr>
                <w:rFonts w:eastAsia="宋体"/>
                <w:color w:val="000000"/>
                <w:szCs w:val="21"/>
              </w:rPr>
            </w:r>
            <w:r/>
          </w:p>
        </w:tc>
        <w:tc>
          <w:tcPr>
            <w:tcW w:w="2694" w:type="dxa"/>
            <w:vAlign w:val="center"/>
            <w:textDirection w:val="lrTb"/>
            <w:noWrap/>
          </w:tcPr>
          <w:p>
            <w:pPr>
              <w:pStyle w:val="1151"/>
              <w:jc w:val="center"/>
              <w:spacing w:line="276" w:lineRule="auto"/>
              <w:rPr>
                <w:szCs w:val="21"/>
              </w:rPr>
            </w:pPr>
            <w:r>
              <w:rPr>
                <w:rFonts w:hint="eastAsia"/>
                <w:szCs w:val="21"/>
              </w:rPr>
              <w:t xml:space="preserve">分布式</w:t>
            </w:r>
            <w:r>
              <w:rPr>
                <w:szCs w:val="21"/>
              </w:rPr>
              <w:t xml:space="preserve">FA</w:t>
            </w:r>
            <w:r>
              <w:rPr>
                <w:rFonts w:hint="eastAsia"/>
                <w:szCs w:val="21"/>
              </w:rPr>
              <w:t xml:space="preserve">过流定值</w:t>
            </w:r>
            <w:r>
              <w:rPr>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hint="eastAsia" w:eastAsia="宋体"/>
                <w:szCs w:val="21"/>
              </w:rPr>
              <w:t xml:space="preserve">单精度浮点数（</w:t>
            </w:r>
            <w:r>
              <w:rPr>
                <w:rFonts w:eastAsia="宋体"/>
                <w:szCs w:val="21"/>
              </w:rPr>
              <w:t xml:space="preserve">A</w:t>
            </w:r>
            <w:r>
              <w:rPr>
                <w:rFonts w:hint="eastAsia" w:eastAsia="宋体"/>
                <w:szCs w:val="21"/>
              </w:rPr>
              <w:t xml:space="preserve">）</w:t>
            </w: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98</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0x8881</w:t>
            </w:r>
            <w:r>
              <w:rPr>
                <w:rFonts w:eastAsia="宋体"/>
                <w:color w:val="000000"/>
                <w:szCs w:val="21"/>
              </w:rPr>
            </w:r>
            <w:r/>
          </w:p>
        </w:tc>
        <w:tc>
          <w:tcPr>
            <w:tcW w:w="2694" w:type="dxa"/>
            <w:vAlign w:val="center"/>
            <w:textDirection w:val="lrTb"/>
            <w:noWrap/>
          </w:tcPr>
          <w:p>
            <w:pPr>
              <w:pStyle w:val="1151"/>
              <w:jc w:val="center"/>
              <w:spacing w:line="276" w:lineRule="auto"/>
              <w:rPr>
                <w:szCs w:val="21"/>
              </w:rPr>
            </w:pPr>
            <w:r>
              <w:rPr>
                <w:rFonts w:hint="eastAsia"/>
                <w:szCs w:val="21"/>
              </w:rPr>
              <w:t xml:space="preserve">分布式</w:t>
            </w:r>
            <w:r>
              <w:rPr>
                <w:szCs w:val="21"/>
              </w:rPr>
              <w:t xml:space="preserve">FA</w:t>
            </w:r>
            <w:r>
              <w:rPr>
                <w:rFonts w:hint="eastAsia"/>
                <w:szCs w:val="21"/>
              </w:rPr>
              <w:t xml:space="preserve">过流时间</w:t>
            </w:r>
            <w:r>
              <w:rPr>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99</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0x8882</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分布式</w:t>
            </w:r>
            <w:r>
              <w:rPr>
                <w:szCs w:val="21"/>
              </w:rPr>
              <w:t xml:space="preserve">FA</w:t>
            </w:r>
            <w:r>
              <w:rPr>
                <w:rFonts w:hint="eastAsia"/>
                <w:szCs w:val="21"/>
              </w:rPr>
              <w:t xml:space="preserve">零序过流定值</w:t>
            </w:r>
            <w:r>
              <w:rPr>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hint="eastAsia" w:eastAsia="宋体"/>
                <w:szCs w:val="21"/>
              </w:rPr>
              <w:t xml:space="preserve">单精度浮点数（</w:t>
            </w:r>
            <w:r>
              <w:rPr>
                <w:rFonts w:eastAsia="宋体"/>
                <w:szCs w:val="21"/>
              </w:rPr>
              <w:t xml:space="preserve">A</w:t>
            </w:r>
            <w:r>
              <w:rPr>
                <w:rFonts w:hint="eastAsia" w:eastAsia="宋体"/>
                <w:szCs w:val="21"/>
              </w:rPr>
              <w:t xml:space="preserve">）</w:t>
            </w: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100</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0x8883</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分布式</w:t>
            </w:r>
            <w:r>
              <w:rPr>
                <w:szCs w:val="21"/>
              </w:rPr>
              <w:t xml:space="preserve">FA</w:t>
            </w:r>
            <w:r>
              <w:rPr>
                <w:rFonts w:hint="eastAsia"/>
                <w:szCs w:val="21"/>
              </w:rPr>
              <w:t xml:space="preserve">零序过流时间</w:t>
            </w:r>
            <w:r>
              <w:rPr>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1</w:t>
            </w:r>
            <w:r>
              <w:rPr>
                <w:szCs w:val="21"/>
              </w:rPr>
              <w:t xml:space="preserve">01</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0x8884</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分布式FA恢复功能</w:t>
            </w:r>
            <w:r>
              <w:rPr>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hint="eastAsia" w:eastAsia="宋体"/>
                <w:szCs w:val="21"/>
              </w:rPr>
              <w:t xml:space="preserve">布尔</w:t>
            </w: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1</w:t>
            </w:r>
            <w:r>
              <w:rPr>
                <w:szCs w:val="21"/>
              </w:rPr>
              <w:t xml:space="preserve">02</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0x8885</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联络自投充电延时</w:t>
            </w:r>
            <w:r>
              <w:rPr>
                <w:szCs w:val="21"/>
              </w:rPr>
            </w:r>
            <w:r/>
          </w:p>
        </w:tc>
        <w:tc>
          <w:tcPr>
            <w:tcW w:w="2573" w:type="dxa"/>
            <w:vAlign w:val="top"/>
            <w:textDirection w:val="lrTb"/>
            <w:noWrap w:val="false"/>
          </w:tcPr>
          <w:p>
            <w:pPr>
              <w:pStyle w:val="1151"/>
              <w:jc w:val="center"/>
              <w:spacing w:line="276" w:lineRule="auto"/>
              <w:widowControl/>
              <w:rPr>
                <w:rFonts w:eastAsia="宋体"/>
                <w:szCs w:val="21"/>
                <w:highlight w:val="yellow"/>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1</w:t>
            </w:r>
            <w:r>
              <w:rPr>
                <w:szCs w:val="21"/>
              </w:rPr>
              <w:t xml:space="preserve">03</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0x8886</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联络自投合闸延时</w:t>
            </w:r>
            <w:r>
              <w:rPr>
                <w:szCs w:val="21"/>
              </w:rPr>
            </w:r>
            <w:r/>
          </w:p>
        </w:tc>
        <w:tc>
          <w:tcPr>
            <w:tcW w:w="2573" w:type="dxa"/>
            <w:vAlign w:val="top"/>
            <w:textDirection w:val="lrTb"/>
            <w:noWrap w:val="false"/>
          </w:tcPr>
          <w:p>
            <w:pPr>
              <w:pStyle w:val="1151"/>
              <w:jc w:val="center"/>
              <w:spacing w:line="276" w:lineRule="auto"/>
              <w:widowControl/>
              <w:rPr>
                <w:rFonts w:eastAsia="宋体"/>
                <w:szCs w:val="21"/>
                <w:highlight w:val="yellow"/>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1</w:t>
            </w:r>
            <w:r>
              <w:rPr>
                <w:szCs w:val="21"/>
              </w:rPr>
              <w:t xml:space="preserve">04</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0x8887</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过载预判</w:t>
            </w:r>
            <w:r>
              <w:rPr>
                <w:szCs w:val="21"/>
              </w:rPr>
            </w:r>
            <w:r/>
          </w:p>
        </w:tc>
        <w:tc>
          <w:tcPr>
            <w:tcW w:w="2573" w:type="dxa"/>
            <w:vAlign w:val="top"/>
            <w:textDirection w:val="lrTb"/>
            <w:noWrap w:val="false"/>
          </w:tcPr>
          <w:p>
            <w:pPr>
              <w:pStyle w:val="1151"/>
              <w:jc w:val="center"/>
              <w:spacing w:line="276" w:lineRule="auto"/>
              <w:widowControl/>
              <w:rPr>
                <w:rFonts w:eastAsia="宋体"/>
                <w:szCs w:val="21"/>
                <w:highlight w:val="yellow"/>
              </w:rPr>
            </w:pPr>
            <w:r>
              <w:rPr>
                <w:rFonts w:hint="eastAsia" w:eastAsia="宋体"/>
                <w:szCs w:val="21"/>
              </w:rPr>
              <w:t xml:space="preserve">布尔</w:t>
            </w: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1</w:t>
            </w:r>
            <w:r>
              <w:rPr>
                <w:szCs w:val="21"/>
              </w:rPr>
              <w:t xml:space="preserve">05</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0x8888</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检线路有压</w:t>
            </w:r>
            <w:r>
              <w:rPr>
                <w:szCs w:val="21"/>
              </w:rPr>
            </w:r>
            <w:r/>
          </w:p>
        </w:tc>
        <w:tc>
          <w:tcPr>
            <w:tcW w:w="2573" w:type="dxa"/>
            <w:vAlign w:val="top"/>
            <w:textDirection w:val="lrTb"/>
            <w:noWrap w:val="false"/>
          </w:tcPr>
          <w:p>
            <w:pPr>
              <w:pStyle w:val="1151"/>
              <w:jc w:val="center"/>
              <w:spacing w:line="276" w:lineRule="auto"/>
              <w:widowControl/>
              <w:rPr>
                <w:rFonts w:eastAsia="宋体"/>
                <w:szCs w:val="21"/>
                <w:highlight w:val="yellow"/>
              </w:rPr>
            </w:pPr>
            <w:r>
              <w:rPr>
                <w:rFonts w:hint="eastAsia" w:eastAsia="宋体"/>
                <w:szCs w:val="21"/>
              </w:rPr>
              <w:t xml:space="preserve">布尔</w:t>
            </w: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1</w:t>
            </w:r>
            <w:r>
              <w:rPr>
                <w:szCs w:val="21"/>
              </w:rPr>
              <w:t xml:space="preserve">06</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0x8889</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有压定值</w:t>
            </w:r>
            <w:r>
              <w:rPr>
                <w:szCs w:val="21"/>
              </w:rPr>
            </w:r>
            <w:r/>
          </w:p>
        </w:tc>
        <w:tc>
          <w:tcPr>
            <w:tcW w:w="2573" w:type="dxa"/>
            <w:vAlign w:val="top"/>
            <w:textDirection w:val="lrTb"/>
            <w:noWrap w:val="false"/>
          </w:tcPr>
          <w:p>
            <w:pPr>
              <w:pStyle w:val="1151"/>
              <w:jc w:val="center"/>
              <w:spacing w:line="276" w:lineRule="auto"/>
              <w:widowControl/>
              <w:rPr>
                <w:rFonts w:eastAsia="宋体"/>
                <w:szCs w:val="21"/>
                <w:highlight w:val="yellow"/>
              </w:rPr>
            </w:pPr>
            <w:r>
              <w:rPr>
                <w:rFonts w:hint="eastAsia" w:eastAsia="宋体"/>
                <w:szCs w:val="21"/>
              </w:rPr>
              <w:t xml:space="preserve">单精度浮点数（</w:t>
            </w:r>
            <w:r>
              <w:rPr>
                <w:rFonts w:eastAsia="宋体"/>
                <w:szCs w:val="21"/>
              </w:rPr>
              <w:t xml:space="preserve">V</w:t>
            </w:r>
            <w:r>
              <w:rPr>
                <w:rFonts w:hint="eastAsia" w:eastAsia="宋体"/>
                <w:szCs w:val="21"/>
              </w:rPr>
              <w:t xml:space="preserve">）</w:t>
            </w: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1</w:t>
            </w:r>
            <w:r>
              <w:rPr>
                <w:szCs w:val="21"/>
              </w:rPr>
              <w:t xml:space="preserve">07</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0x888A</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无压定值</w:t>
            </w:r>
            <w:r>
              <w:rPr>
                <w:szCs w:val="21"/>
              </w:rPr>
            </w:r>
            <w:r/>
          </w:p>
        </w:tc>
        <w:tc>
          <w:tcPr>
            <w:tcW w:w="2573" w:type="dxa"/>
            <w:vAlign w:val="top"/>
            <w:textDirection w:val="lrTb"/>
            <w:noWrap w:val="false"/>
          </w:tcPr>
          <w:p>
            <w:pPr>
              <w:pStyle w:val="1151"/>
              <w:jc w:val="center"/>
              <w:spacing w:line="276" w:lineRule="auto"/>
              <w:widowControl/>
              <w:rPr>
                <w:rFonts w:eastAsia="宋体"/>
                <w:szCs w:val="21"/>
                <w:highlight w:val="yellow"/>
              </w:rPr>
            </w:pPr>
            <w:r>
              <w:rPr>
                <w:rFonts w:hint="eastAsia" w:eastAsia="宋体"/>
                <w:szCs w:val="21"/>
              </w:rPr>
              <w:t xml:space="preserve">单精度浮点数（</w:t>
            </w:r>
            <w:r>
              <w:rPr>
                <w:rFonts w:eastAsia="宋体"/>
                <w:szCs w:val="21"/>
              </w:rPr>
              <w:t xml:space="preserve">V</w:t>
            </w:r>
            <w:r>
              <w:rPr>
                <w:rFonts w:hint="eastAsia" w:eastAsia="宋体"/>
                <w:szCs w:val="21"/>
              </w:rPr>
              <w:t xml:space="preserve">）</w:t>
            </w:r>
            <w:r>
              <w:rPr>
                <w:rFonts w:eastAsia="宋体"/>
                <w:szCs w:val="21"/>
                <w:highlight w:val="yellow"/>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1</w:t>
            </w:r>
            <w:r>
              <w:rPr>
                <w:szCs w:val="21"/>
              </w:rPr>
              <w:t xml:space="preserve">08</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0x888</w:t>
            </w:r>
            <w:r>
              <w:rPr>
                <w:rFonts w:hint="eastAsia" w:eastAsia="宋体"/>
                <w:color w:val="000000"/>
                <w:szCs w:val="21"/>
              </w:rPr>
              <w:t xml:space="preserve">B</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首开关失压保护</w:t>
            </w:r>
            <w:r>
              <w:rPr>
                <w:szCs w:val="21"/>
              </w:rPr>
            </w:r>
            <w:r/>
          </w:p>
        </w:tc>
        <w:tc>
          <w:tcPr>
            <w:tcW w:w="2573" w:type="dxa"/>
            <w:vAlign w:val="top"/>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1</w:t>
            </w:r>
            <w:r>
              <w:rPr>
                <w:szCs w:val="21"/>
              </w:rPr>
              <w:t xml:space="preserve">09</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0x888C</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首开关失压跳闸延时</w:t>
            </w:r>
            <w:r>
              <w:rPr>
                <w:szCs w:val="21"/>
              </w:rPr>
            </w:r>
            <w:r/>
          </w:p>
        </w:tc>
        <w:tc>
          <w:tcPr>
            <w:tcW w:w="2573" w:type="dxa"/>
            <w:vAlign w:val="top"/>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1</w:t>
            </w:r>
            <w:r>
              <w:rPr>
                <w:szCs w:val="21"/>
              </w:rPr>
              <w:t xml:space="preserve">10</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hint="eastAsia" w:eastAsia="宋体"/>
                <w:color w:val="000000"/>
                <w:szCs w:val="21"/>
              </w:rPr>
              <w:t xml:space="preserve">0</w:t>
            </w:r>
            <w:r>
              <w:rPr>
                <w:rFonts w:eastAsia="宋体"/>
                <w:color w:val="000000"/>
                <w:szCs w:val="21"/>
              </w:rPr>
              <w:t xml:space="preserve">x888D</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失压经过流闭锁</w:t>
            </w:r>
            <w:r>
              <w:rPr>
                <w:szCs w:val="21"/>
              </w:rPr>
            </w:r>
            <w:r/>
          </w:p>
        </w:tc>
        <w:tc>
          <w:tcPr>
            <w:tcW w:w="2573" w:type="dxa"/>
            <w:vAlign w:val="top"/>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1</w:t>
            </w:r>
            <w:r>
              <w:rPr>
                <w:szCs w:val="21"/>
              </w:rPr>
              <w:t xml:space="preserve">11</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hint="eastAsia" w:eastAsia="宋体"/>
                <w:color w:val="000000"/>
                <w:szCs w:val="21"/>
              </w:rPr>
              <w:t xml:space="preserve">0</w:t>
            </w:r>
            <w:r>
              <w:rPr>
                <w:rFonts w:eastAsia="宋体"/>
                <w:color w:val="000000"/>
                <w:szCs w:val="21"/>
              </w:rPr>
              <w:t xml:space="preserve">x888E</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过流闭锁记忆时间</w:t>
            </w:r>
            <w:r>
              <w:rPr>
                <w:szCs w:val="21"/>
              </w:rPr>
            </w:r>
            <w:r/>
          </w:p>
        </w:tc>
        <w:tc>
          <w:tcPr>
            <w:tcW w:w="2573" w:type="dxa"/>
            <w:vAlign w:val="top"/>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1</w:t>
            </w:r>
            <w:r>
              <w:rPr>
                <w:szCs w:val="21"/>
              </w:rPr>
              <w:t xml:space="preserve">12</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hint="eastAsia" w:eastAsia="宋体"/>
                <w:color w:val="000000"/>
                <w:szCs w:val="21"/>
              </w:rPr>
              <w:t xml:space="preserve">0</w:t>
            </w:r>
            <w:r>
              <w:rPr>
                <w:rFonts w:eastAsia="宋体"/>
                <w:color w:val="000000"/>
                <w:szCs w:val="21"/>
              </w:rPr>
              <w:t xml:space="preserve">x888F</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失灵保护</w:t>
            </w:r>
            <w:r>
              <w:rPr>
                <w:szCs w:val="21"/>
              </w:rPr>
            </w:r>
            <w:r/>
          </w:p>
        </w:tc>
        <w:tc>
          <w:tcPr>
            <w:tcW w:w="2573" w:type="dxa"/>
            <w:vAlign w:val="top"/>
            <w:textDirection w:val="lrTb"/>
            <w:noWrap w:val="false"/>
          </w:tcPr>
          <w:p>
            <w:pPr>
              <w:pStyle w:val="1151"/>
              <w:jc w:val="center"/>
              <w:spacing w:line="276" w:lineRule="auto"/>
              <w:widowControl/>
              <w:rPr>
                <w:rFonts w:eastAsia="宋体"/>
                <w:szCs w:val="21"/>
              </w:rPr>
            </w:pPr>
            <w:r>
              <w:rPr>
                <w:rFonts w:hint="eastAsia" w:eastAsia="宋体"/>
                <w:szCs w:val="21"/>
              </w:rPr>
              <w:t xml:space="preserve">布尔</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1</w:t>
            </w:r>
            <w:r>
              <w:rPr>
                <w:szCs w:val="21"/>
              </w:rPr>
              <w:t xml:space="preserve">13</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hint="eastAsia" w:eastAsia="宋体"/>
                <w:color w:val="000000"/>
                <w:szCs w:val="21"/>
              </w:rPr>
              <w:t xml:space="preserve">0</w:t>
            </w:r>
            <w:r>
              <w:rPr>
                <w:rFonts w:eastAsia="宋体"/>
                <w:color w:val="000000"/>
                <w:szCs w:val="21"/>
              </w:rPr>
              <w:t xml:space="preserve">x8890</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失灵判断延时</w:t>
            </w:r>
            <w:r>
              <w:rPr>
                <w:szCs w:val="21"/>
              </w:rPr>
            </w:r>
            <w:r/>
          </w:p>
        </w:tc>
        <w:tc>
          <w:tcPr>
            <w:tcW w:w="2573" w:type="dxa"/>
            <w:vAlign w:val="top"/>
            <w:textDirection w:val="lrTb"/>
            <w:noWrap w:val="false"/>
          </w:tcPr>
          <w:p>
            <w:pPr>
              <w:pStyle w:val="1151"/>
              <w:jc w:val="center"/>
              <w:spacing w:line="276" w:lineRule="auto"/>
              <w:widowControl/>
              <w:rPr>
                <w:rFonts w:eastAsia="宋体"/>
                <w:szCs w:val="21"/>
              </w:rPr>
            </w:pPr>
            <w:r>
              <w:rPr>
                <w:rFonts w:hint="eastAsia" w:eastAsia="宋体"/>
                <w:szCs w:val="21"/>
              </w:rPr>
              <w:t xml:space="preserve">单精度浮点数（</w:t>
            </w:r>
            <w:r>
              <w:rPr>
                <w:rFonts w:eastAsia="宋体"/>
                <w:szCs w:val="21"/>
              </w:rPr>
              <w:t xml:space="preserve">s</w:t>
            </w:r>
            <w:r>
              <w:rPr>
                <w:rFonts w:hint="eastAsia" w:eastAsia="宋体"/>
                <w:szCs w:val="21"/>
              </w:rPr>
              <w:t xml:space="preserve">）</w:t>
            </w: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1</w:t>
            </w:r>
            <w:r>
              <w:rPr>
                <w:szCs w:val="21"/>
              </w:rPr>
              <w:t xml:space="preserve">14</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hint="eastAsia" w:eastAsia="宋体"/>
                <w:color w:val="000000"/>
                <w:szCs w:val="21"/>
              </w:rPr>
              <w:t xml:space="preserve">0</w:t>
            </w:r>
            <w:r>
              <w:rPr>
                <w:rFonts w:eastAsia="宋体"/>
                <w:color w:val="000000"/>
                <w:szCs w:val="21"/>
              </w:rPr>
              <w:t xml:space="preserve">x8891</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备用</w:t>
            </w:r>
            <w:r>
              <w:rPr>
                <w:szCs w:val="21"/>
              </w:rPr>
            </w:r>
            <w:r/>
          </w:p>
        </w:tc>
        <w:tc>
          <w:tcPr>
            <w:tcW w:w="2573" w:type="dxa"/>
            <w:vAlign w:val="top"/>
            <w:textDirection w:val="lrTb"/>
            <w:noWrap w:val="false"/>
          </w:tcPr>
          <w:p>
            <w:pPr>
              <w:pStyle w:val="1151"/>
              <w:jc w:val="center"/>
              <w:spacing w:line="276" w:lineRule="auto"/>
              <w:widowControl/>
              <w:rPr>
                <w:rFonts w:eastAsia="宋体"/>
                <w:szCs w:val="21"/>
              </w:rPr>
            </w:pP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1</w:t>
            </w:r>
            <w:r>
              <w:rPr>
                <w:szCs w:val="21"/>
              </w:rPr>
              <w:t xml:space="preserve">15</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hint="eastAsia" w:eastAsia="宋体"/>
                <w:color w:val="000000"/>
                <w:szCs w:val="21"/>
              </w:rPr>
              <w:t xml:space="preserve">0</w:t>
            </w:r>
            <w:r>
              <w:rPr>
                <w:rFonts w:eastAsia="宋体"/>
                <w:color w:val="000000"/>
                <w:szCs w:val="21"/>
              </w:rPr>
              <w:t xml:space="preserve">x8892</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备用</w:t>
            </w:r>
            <w:r>
              <w:rPr>
                <w:szCs w:val="21"/>
              </w:rPr>
            </w:r>
            <w:r/>
          </w:p>
        </w:tc>
        <w:tc>
          <w:tcPr>
            <w:tcW w:w="2573" w:type="dxa"/>
            <w:vAlign w:val="top"/>
            <w:textDirection w:val="lrTb"/>
            <w:noWrap w:val="false"/>
          </w:tcPr>
          <w:p>
            <w:pPr>
              <w:pStyle w:val="1151"/>
              <w:jc w:val="center"/>
              <w:spacing w:line="276" w:lineRule="auto"/>
              <w:widowControl/>
              <w:rPr>
                <w:rFonts w:eastAsia="宋体"/>
                <w:szCs w:val="21"/>
              </w:rPr>
            </w:pP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1</w:t>
            </w:r>
            <w:r>
              <w:rPr>
                <w:szCs w:val="21"/>
              </w:rPr>
              <w:t xml:space="preserve">16</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hint="eastAsia" w:eastAsia="宋体"/>
                <w:color w:val="000000"/>
                <w:szCs w:val="21"/>
              </w:rPr>
              <w:t xml:space="preserve">0</w:t>
            </w:r>
            <w:r>
              <w:rPr>
                <w:rFonts w:eastAsia="宋体"/>
                <w:color w:val="000000"/>
                <w:szCs w:val="21"/>
              </w:rPr>
              <w:t xml:space="preserve">x8893</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备用</w:t>
            </w:r>
            <w:r>
              <w:rPr>
                <w:szCs w:val="21"/>
              </w:rPr>
            </w:r>
            <w:r/>
          </w:p>
        </w:tc>
        <w:tc>
          <w:tcPr>
            <w:tcW w:w="2573" w:type="dxa"/>
            <w:vAlign w:val="top"/>
            <w:textDirection w:val="lrTb"/>
            <w:noWrap w:val="false"/>
          </w:tcPr>
          <w:p>
            <w:pPr>
              <w:pStyle w:val="1151"/>
              <w:jc w:val="center"/>
              <w:spacing w:line="276" w:lineRule="auto"/>
              <w:widowControl/>
              <w:rPr>
                <w:rFonts w:eastAsia="宋体"/>
                <w:szCs w:val="21"/>
              </w:rPr>
            </w:pP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rFonts w:hint="eastAsia"/>
                <w:szCs w:val="21"/>
              </w:rPr>
              <w:t xml:space="preserve">1</w:t>
            </w:r>
            <w:r>
              <w:rPr>
                <w:szCs w:val="21"/>
              </w:rPr>
              <w:t xml:space="preserve">17</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hint="eastAsia" w:eastAsia="宋体"/>
                <w:color w:val="000000"/>
                <w:szCs w:val="21"/>
              </w:rPr>
              <w:t xml:space="preserve">0</w:t>
            </w:r>
            <w:r>
              <w:rPr>
                <w:rFonts w:eastAsia="宋体"/>
                <w:color w:val="000000"/>
                <w:szCs w:val="21"/>
              </w:rPr>
              <w:t xml:space="preserve">x8894</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rFonts w:hint="eastAsia"/>
                <w:szCs w:val="21"/>
              </w:rPr>
              <w:t xml:space="preserve">备用</w:t>
            </w:r>
            <w:r>
              <w:rPr>
                <w:szCs w:val="21"/>
              </w:rPr>
            </w:r>
            <w:r/>
          </w:p>
        </w:tc>
        <w:tc>
          <w:tcPr>
            <w:tcW w:w="2573" w:type="dxa"/>
            <w:vAlign w:val="top"/>
            <w:textDirection w:val="lrTb"/>
            <w:noWrap w:val="false"/>
          </w:tcPr>
          <w:p>
            <w:pPr>
              <w:pStyle w:val="1151"/>
              <w:jc w:val="center"/>
              <w:spacing w:line="276" w:lineRule="auto"/>
              <w:widowControl/>
              <w:rPr>
                <w:rFonts w:eastAsia="宋体"/>
                <w:szCs w:val="21"/>
              </w:rPr>
            </w:pPr>
            <w:r>
              <w:rPr>
                <w:rFonts w:eastAsia="宋体"/>
                <w:szCs w:val="21"/>
              </w:rPr>
            </w:r>
            <w:r/>
          </w:p>
        </w:tc>
        <w:tc>
          <w:tcPr>
            <w:tcW w:w="1134" w:type="dxa"/>
            <w:vAlign w:val="top"/>
            <w:vMerge w:val="continue"/>
            <w:textDirection w:val="lrTb"/>
            <w:noWrap w:val="false"/>
          </w:tcPr>
          <w:p>
            <w:pPr>
              <w:pStyle w:val="1151"/>
              <w:jc w:val="center"/>
              <w:spacing w:line="276" w:lineRule="auto"/>
              <w:widowControl/>
              <w:rPr>
                <w:szCs w:val="21"/>
              </w:rPr>
            </w:pPr>
            <w:r>
              <w:rPr>
                <w:szCs w:val="21"/>
              </w:rPr>
            </w:r>
            <w:r/>
          </w:p>
        </w:tc>
      </w:tr>
      <w:tr>
        <w:trPr>
          <w:trHeight w:val="113"/>
        </w:trPr>
        <w:tc>
          <w:tcPr>
            <w:tcW w:w="846" w:type="dxa"/>
            <w:vAlign w:val="center"/>
            <w:textDirection w:val="lrTb"/>
            <w:noWrap/>
          </w:tcPr>
          <w:p>
            <w:pPr>
              <w:pStyle w:val="1151"/>
              <w:jc w:val="center"/>
              <w:spacing w:line="276" w:lineRule="auto"/>
              <w:widowControl/>
              <w:rPr>
                <w:szCs w:val="21"/>
              </w:rPr>
            </w:pPr>
            <w:r>
              <w:rPr>
                <w:szCs w:val="21"/>
              </w:rPr>
              <w:t xml:space="preserve">…</w:t>
            </w:r>
            <w:r>
              <w:rPr>
                <w:szCs w:val="21"/>
              </w:rPr>
            </w:r>
            <w:r/>
          </w:p>
        </w:tc>
        <w:tc>
          <w:tcPr>
            <w:tcW w:w="1417" w:type="dxa"/>
            <w:vAlign w:val="top"/>
            <w:textDirection w:val="lrTb"/>
            <w:noWrap w:val="false"/>
          </w:tcPr>
          <w:p>
            <w:pPr>
              <w:pStyle w:val="1151"/>
              <w:jc w:val="center"/>
              <w:spacing w:line="276" w:lineRule="auto"/>
              <w:widowControl/>
              <w:rPr>
                <w:rFonts w:eastAsia="宋体"/>
                <w:color w:val="000000"/>
                <w:szCs w:val="21"/>
              </w:rPr>
            </w:pPr>
            <w:r>
              <w:rPr>
                <w:rFonts w:eastAsia="宋体"/>
                <w:color w:val="000000"/>
                <w:szCs w:val="21"/>
              </w:rPr>
              <w:t xml:space="preserve">…</w:t>
            </w:r>
            <w:r>
              <w:rPr>
                <w:rFonts w:eastAsia="宋体"/>
                <w:color w:val="000000"/>
                <w:szCs w:val="21"/>
              </w:rPr>
            </w:r>
            <w:r/>
          </w:p>
        </w:tc>
        <w:tc>
          <w:tcPr>
            <w:tcW w:w="2694" w:type="dxa"/>
            <w:vAlign w:val="top"/>
            <w:textDirection w:val="lrTb"/>
            <w:noWrap/>
          </w:tcPr>
          <w:p>
            <w:pPr>
              <w:pStyle w:val="1151"/>
              <w:jc w:val="center"/>
              <w:spacing w:line="276" w:lineRule="auto"/>
              <w:rPr>
                <w:szCs w:val="21"/>
              </w:rPr>
            </w:pPr>
            <w:r>
              <w:rPr>
                <w:szCs w:val="21"/>
              </w:rPr>
              <w:t xml:space="preserve">…</w:t>
            </w:r>
            <w:r>
              <w:rPr>
                <w:szCs w:val="21"/>
              </w:rPr>
            </w:r>
            <w:r/>
          </w:p>
        </w:tc>
        <w:tc>
          <w:tcPr>
            <w:tcW w:w="2573" w:type="dxa"/>
            <w:vAlign w:val="center"/>
            <w:textDirection w:val="lrTb"/>
            <w:noWrap w:val="false"/>
          </w:tcPr>
          <w:p>
            <w:pPr>
              <w:pStyle w:val="1151"/>
              <w:jc w:val="center"/>
              <w:spacing w:line="276" w:lineRule="auto"/>
              <w:widowControl/>
              <w:rPr>
                <w:rFonts w:eastAsia="宋体"/>
                <w:szCs w:val="21"/>
                <w:highlight w:val="yellow"/>
              </w:rPr>
            </w:pPr>
            <w:r>
              <w:rPr>
                <w:rFonts w:eastAsia="宋体"/>
                <w:szCs w:val="21"/>
              </w:rPr>
              <w:t xml:space="preserve">…</w:t>
            </w:r>
            <w:r>
              <w:rPr>
                <w:rFonts w:eastAsia="宋体"/>
                <w:szCs w:val="21"/>
                <w:highlight w:val="yellow"/>
              </w:rPr>
            </w:r>
            <w:r/>
          </w:p>
        </w:tc>
        <w:tc>
          <w:tcPr>
            <w:tcW w:w="1134" w:type="dxa"/>
            <w:vAlign w:val="top"/>
            <w:textDirection w:val="lrTb"/>
            <w:noWrap w:val="false"/>
          </w:tcPr>
          <w:p>
            <w:pPr>
              <w:pStyle w:val="1151"/>
              <w:jc w:val="center"/>
              <w:spacing w:line="276" w:lineRule="auto"/>
              <w:widowControl/>
              <w:rPr>
                <w:szCs w:val="21"/>
              </w:rPr>
            </w:pPr>
            <w:r>
              <w:rPr>
                <w:szCs w:val="21"/>
              </w:rPr>
              <w:t xml:space="preserve">第N路开关</w:t>
            </w:r>
            <w:r>
              <w:rPr>
                <w:szCs w:val="21"/>
              </w:rPr>
            </w:r>
            <w:r/>
          </w:p>
        </w:tc>
      </w:tr>
    </w:tbl>
    <w:p>
      <w:pPr>
        <w:pStyle w:val="1151"/>
        <w:spacing w:line="312" w:lineRule="exact"/>
        <w:rPr>
          <w:szCs w:val="21"/>
        </w:rPr>
      </w:pPr>
      <w:r>
        <w:rPr>
          <w:szCs w:val="21"/>
        </w:rPr>
      </w:r>
      <w:r/>
    </w:p>
    <w:p>
      <w:pPr>
        <w:pStyle w:val="1151"/>
        <w:spacing w:line="312" w:lineRule="exact"/>
        <w:rPr>
          <w:szCs w:val="21"/>
        </w:rPr>
      </w:pPr>
      <w:r>
        <w:rPr>
          <w:szCs w:val="21"/>
        </w:rPr>
      </w:r>
      <w:r/>
    </w:p>
    <w:p>
      <w:pPr>
        <w:pStyle w:val="1151"/>
        <w:jc w:val="left"/>
        <w:widowControl/>
        <w:rPr>
          <w:rFonts w:ascii="黑体" w:hAnsi="黑体" w:eastAsia="黑体"/>
          <w:color w:val="000000"/>
        </w:rPr>
      </w:pPr>
      <w:r>
        <w:rPr>
          <w:rFonts w:ascii="黑体" w:hAnsi="黑体" w:eastAsia="黑体"/>
          <w:color w:val="000000"/>
        </w:rPr>
        <w:br w:type="page" w:clear="all"/>
      </w:r>
      <w:r>
        <w:rPr>
          <w:rFonts w:ascii="黑体" w:hAnsi="黑体" w:eastAsia="黑体"/>
          <w:color w:val="000000"/>
        </w:rPr>
      </w:r>
      <w:r/>
    </w:p>
    <w:p>
      <w:pPr>
        <w:pStyle w:val="1165"/>
        <w:ind w:hanging="1260"/>
        <w:jc w:val="both"/>
        <w:spacing w:before="156" w:line="276" w:lineRule="auto"/>
        <w:rPr>
          <w:rFonts w:ascii="黑体" w:hAnsi="黑体" w:eastAsia="黑体"/>
          <w:color w:val="000000"/>
          <w:sz w:val="21"/>
          <w:szCs w:val="24"/>
        </w:rPr>
        <w:outlineLvl w:val="0"/>
      </w:pPr>
      <w:r/>
      <w:bookmarkStart w:id="459" w:name="_Toc19865"/>
      <w:r/>
      <w:bookmarkStart w:id="460" w:name="_Toc20318"/>
      <w:r/>
      <w:bookmarkStart w:id="461" w:name="_Toc544"/>
      <w:r/>
      <w:bookmarkStart w:id="462" w:name="_Toc55057898"/>
      <w:r>
        <w:rPr>
          <w:rFonts w:hint="eastAsia" w:ascii="黑体" w:hAnsi="黑体" w:eastAsia="黑体"/>
          <w:color w:val="000000"/>
          <w:sz w:val="21"/>
          <w:szCs w:val="24"/>
        </w:rPr>
        <w:t xml:space="preserve">附录</w:t>
      </w:r>
      <w:r>
        <w:rPr>
          <w:rFonts w:ascii="黑体" w:hAnsi="黑体" w:eastAsia="黑体"/>
          <w:color w:val="000000"/>
          <w:sz w:val="21"/>
          <w:szCs w:val="24"/>
        </w:rPr>
        <w:t xml:space="preserve">L </w:t>
      </w:r>
      <w:r>
        <w:rPr>
          <w:rFonts w:hint="eastAsia" w:ascii="黑体" w:hAnsi="黑体" w:eastAsia="黑体"/>
          <w:color w:val="000000"/>
          <w:sz w:val="21"/>
          <w:szCs w:val="24"/>
        </w:rPr>
        <w:t xml:space="preserve">故障告警及常规保护</w:t>
      </w:r>
      <w:bookmarkEnd w:id="459"/>
      <w:r/>
      <w:bookmarkEnd w:id="460"/>
      <w:r/>
      <w:bookmarkEnd w:id="461"/>
      <w:r/>
      <w:bookmarkEnd w:id="462"/>
      <w:r>
        <w:rPr>
          <w:rFonts w:ascii="黑体" w:hAnsi="黑体" w:eastAsia="黑体"/>
          <w:color w:val="000000"/>
          <w:sz w:val="21"/>
          <w:szCs w:val="24"/>
        </w:rPr>
      </w:r>
      <w:r/>
    </w:p>
    <w:p>
      <w:pPr>
        <w:pStyle w:val="1249"/>
        <w:ind w:left="0" w:firstLine="0"/>
        <w:spacing w:line="300" w:lineRule="auto"/>
        <w:rPr>
          <w:szCs w:val="21"/>
        </w:rPr>
        <w:outlineLvl w:val="2"/>
      </w:pPr>
      <w:r>
        <w:rPr>
          <w:rFonts w:hint="eastAsia"/>
          <w:szCs w:val="21"/>
        </w:rPr>
        <w:t xml:space="preserve">L</w:t>
      </w:r>
      <w:r>
        <w:rPr>
          <w:szCs w:val="21"/>
        </w:rPr>
        <w:t xml:space="preserve">.1 短路故障告警</w:t>
      </w:r>
      <w:r>
        <w:rPr>
          <w:szCs w:val="21"/>
        </w:rPr>
      </w:r>
      <w:r/>
    </w:p>
    <w:p>
      <w:pPr>
        <w:pStyle w:val="1151"/>
        <w:ind w:firstLine="480"/>
        <w:rPr>
          <w:szCs w:val="21"/>
        </w:rPr>
      </w:pPr>
      <w:r>
        <w:rPr>
          <w:rFonts w:hint="eastAsia"/>
          <w:szCs w:val="21"/>
        </w:rPr>
        <w:t xml:space="preserve">[短路故障告警]投入时，最大相电流（</w:t>
      </w:r>
      <w:r>
        <w:rPr>
          <w:szCs w:val="21"/>
        </w:rPr>
        <w:t xml:space="preserve">Imax</w:t>
      </w:r>
      <w:r>
        <w:rPr>
          <w:rFonts w:hint="eastAsia"/>
          <w:szCs w:val="21"/>
        </w:rPr>
        <w:t xml:space="preserve">）大于[短路故障电流定值]，经[短路故障告警时</w:t>
      </w:r>
      <w:r>
        <w:rPr>
          <w:szCs w:val="21"/>
        </w:rPr>
        <w:t xml:space="preserve">间</w:t>
      </w:r>
      <w:r>
        <w:rPr>
          <w:rFonts w:hint="eastAsia"/>
          <w:szCs w:val="21"/>
        </w:rPr>
        <w:t xml:space="preserve">]</w:t>
      </w:r>
      <w:r>
        <w:rPr>
          <w:szCs w:val="21"/>
        </w:rPr>
        <w:t xml:space="preserve">后，发出</w:t>
      </w:r>
      <w:r>
        <w:rPr>
          <w:rFonts w:hint="eastAsia"/>
          <w:szCs w:val="21"/>
        </w:rPr>
        <w:t xml:space="preserve">短路故障</w:t>
      </w:r>
      <w:r>
        <w:rPr>
          <w:szCs w:val="21"/>
        </w:rPr>
        <w:t xml:space="preserve">告警</w:t>
      </w:r>
      <w:r>
        <w:rPr>
          <w:rFonts w:hint="eastAsia"/>
          <w:szCs w:val="21"/>
        </w:rPr>
        <w:t xml:space="preserve">。</w:t>
      </w:r>
      <w:r>
        <w:rPr>
          <w:szCs w:val="21"/>
        </w:rPr>
      </w:r>
      <w:r/>
    </w:p>
    <w:p>
      <w:pPr>
        <w:pStyle w:val="1151"/>
        <w:jc w:val="center"/>
        <w:rPr>
          <w:szCs w:val="21"/>
        </w:rPr>
      </w:pPr>
      <w:r>
        <mc:AlternateContent>
          <mc:Choice Requires="wpg">
            <w:drawing>
              <wp:inline xmlns:wp="http://schemas.openxmlformats.org/drawingml/2006/wordprocessingDrawing" distT="0" distB="0" distL="0" distR="0">
                <wp:extent cx="5181435" cy="761865"/>
                <wp:effectExtent l="0" t="0" r="0" b="0"/>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5181435" cy="761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408.0pt;height:60.0pt;mso-wrap-distance-left:0.0pt;mso-wrap-distance-top:0.0pt;mso-wrap-distance-right:0.0pt;mso-wrap-distance-bottom:0.0pt;" stroked="f">
                <v:path textboxrect="0,0,0,0"/>
                <v:imagedata r:id="rId185" o:title=""/>
              </v:shape>
            </w:pict>
          </mc:Fallback>
        </mc:AlternateContent>
      </w:r>
      <w:r>
        <w:rPr>
          <w:rFonts w:hint="eastAsia"/>
          <w:szCs w:val="21"/>
        </w:rPr>
        <w:t xml:space="preserve">图 L</w:t>
      </w:r>
      <w:r>
        <w:rPr>
          <w:szCs w:val="21"/>
        </w:rPr>
        <w:t xml:space="preserve">-1 </w:t>
      </w:r>
      <w:r>
        <w:rPr>
          <w:rFonts w:hint="eastAsia"/>
          <w:szCs w:val="21"/>
        </w:rPr>
        <w:t xml:space="preserve">短路故障</w:t>
      </w:r>
      <w:r>
        <w:rPr>
          <w:szCs w:val="21"/>
        </w:rPr>
        <w:t xml:space="preserve">告警逻辑图</w:t>
      </w:r>
      <w:r>
        <w:rPr>
          <w:szCs w:val="21"/>
        </w:rPr>
      </w:r>
      <w:r/>
    </w:p>
    <w:p>
      <w:pPr>
        <w:pStyle w:val="1151"/>
        <w:numPr>
          <w:ilvl w:val="0"/>
          <w:numId w:val="0"/>
        </w:numPr>
        <w:spacing w:line="300" w:lineRule="auto"/>
        <w:rPr>
          <w:szCs w:val="21"/>
        </w:rPr>
        <w:outlineLvl w:val="2"/>
      </w:pPr>
      <w:r>
        <w:rPr>
          <w:rFonts w:hint="eastAsia"/>
          <w:szCs w:val="21"/>
        </w:rPr>
        <w:t xml:space="preserve">L</w:t>
      </w:r>
      <w:r>
        <w:rPr>
          <w:szCs w:val="21"/>
        </w:rPr>
        <w:t xml:space="preserve">.2 零流告警</w:t>
      </w:r>
      <w:r>
        <w:rPr>
          <w:szCs w:val="21"/>
        </w:rPr>
      </w:r>
      <w:r/>
    </w:p>
    <w:p>
      <w:pPr>
        <w:pStyle w:val="1151"/>
        <w:ind w:firstLine="480"/>
        <w:rPr>
          <w:szCs w:val="21"/>
        </w:rPr>
      </w:pPr>
      <w:r>
        <w:rPr>
          <w:rFonts w:hint="eastAsia"/>
          <w:szCs w:val="21"/>
        </w:rPr>
        <w:t xml:space="preserve">[零流</w:t>
      </w:r>
      <w:r>
        <w:rPr>
          <w:szCs w:val="21"/>
        </w:rPr>
        <w:t xml:space="preserve">告警</w:t>
      </w:r>
      <w:r>
        <w:rPr>
          <w:rFonts w:hint="eastAsia"/>
          <w:szCs w:val="21"/>
        </w:rPr>
        <w:t xml:space="preserve">]</w:t>
      </w:r>
      <w:r>
        <w:rPr>
          <w:szCs w:val="21"/>
        </w:rPr>
        <w:t xml:space="preserve">投入</w:t>
      </w:r>
      <w:r>
        <w:rPr>
          <w:rFonts w:hint="eastAsia"/>
          <w:szCs w:val="21"/>
        </w:rPr>
        <w:t xml:space="preserve">时</w:t>
      </w:r>
      <w:r>
        <w:rPr>
          <w:szCs w:val="21"/>
        </w:rPr>
        <w:t xml:space="preserve">，</w:t>
      </w:r>
      <w:r>
        <w:rPr>
          <w:rFonts w:hint="eastAsia"/>
          <w:szCs w:val="21"/>
        </w:rPr>
        <w:t xml:space="preserve">外接零序</w:t>
      </w:r>
      <w:r>
        <w:rPr>
          <w:szCs w:val="21"/>
        </w:rPr>
        <w:t xml:space="preserve">电流（</w:t>
      </w:r>
      <w:r>
        <w:rPr>
          <w:rFonts w:hint="eastAsia"/>
          <w:szCs w:val="21"/>
        </w:rPr>
        <w:t xml:space="preserve">3</w:t>
      </w:r>
      <w:r>
        <w:rPr>
          <w:szCs w:val="21"/>
        </w:rPr>
        <w:t xml:space="preserve">I</w:t>
      </w:r>
      <w:r>
        <w:rPr>
          <w:rFonts w:hint="eastAsia"/>
          <w:szCs w:val="21"/>
        </w:rPr>
        <w:t xml:space="preserve">0</w:t>
      </w:r>
      <w:r>
        <w:rPr>
          <w:szCs w:val="21"/>
        </w:rPr>
        <w:t xml:space="preserve">）大于</w:t>
      </w:r>
      <w:r>
        <w:rPr>
          <w:rFonts w:hint="eastAsia"/>
          <w:szCs w:val="21"/>
        </w:rPr>
        <w:t xml:space="preserve">[零流告警定值]</w:t>
      </w:r>
      <w:r>
        <w:rPr>
          <w:szCs w:val="21"/>
        </w:rPr>
        <w:t xml:space="preserve">，经过</w:t>
      </w:r>
      <w:r>
        <w:rPr>
          <w:rFonts w:hint="eastAsia"/>
          <w:szCs w:val="21"/>
        </w:rPr>
        <w:t xml:space="preserve">[零</w:t>
      </w:r>
      <w:r>
        <w:rPr>
          <w:szCs w:val="21"/>
        </w:rPr>
        <w:t xml:space="preserve">流</w:t>
      </w:r>
      <w:r>
        <w:rPr>
          <w:rFonts w:hint="eastAsia"/>
          <w:szCs w:val="21"/>
        </w:rPr>
        <w:t xml:space="preserve">告警</w:t>
      </w:r>
      <w:r>
        <w:rPr>
          <w:szCs w:val="21"/>
        </w:rPr>
        <w:t xml:space="preserve">时间</w:t>
      </w:r>
      <w:r>
        <w:rPr>
          <w:rFonts w:hint="eastAsia"/>
          <w:szCs w:val="21"/>
        </w:rPr>
        <w:t xml:space="preserve">]</w:t>
      </w:r>
      <w:r>
        <w:rPr>
          <w:szCs w:val="21"/>
        </w:rPr>
        <w:t xml:space="preserve">后，发出</w:t>
      </w:r>
      <w:r>
        <w:rPr>
          <w:rFonts w:hint="eastAsia"/>
          <w:szCs w:val="21"/>
        </w:rPr>
        <w:t xml:space="preserve">零</w:t>
      </w:r>
      <w:r>
        <w:rPr>
          <w:szCs w:val="21"/>
        </w:rPr>
        <w:t xml:space="preserve">流告警</w:t>
      </w:r>
      <w:r>
        <w:rPr>
          <w:rFonts w:hint="eastAsia"/>
          <w:szCs w:val="21"/>
        </w:rPr>
        <w:t xml:space="preserve">。</w:t>
      </w:r>
      <w:r>
        <w:rPr>
          <w:szCs w:val="21"/>
        </w:rPr>
      </w:r>
      <w:r/>
    </w:p>
    <w:p>
      <w:pPr>
        <w:pStyle w:val="1151"/>
        <w:jc w:val="center"/>
      </w:pPr>
      <w:r>
        <mc:AlternateContent>
          <mc:Choice Requires="wpg">
            <w:drawing>
              <wp:inline xmlns:wp="http://schemas.openxmlformats.org/drawingml/2006/wordprocessingDrawing" distT="0" distB="0" distL="0" distR="0">
                <wp:extent cx="4724476" cy="761865"/>
                <wp:effectExtent l="0" t="0" r="0" b="0"/>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4724476" cy="761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372.0pt;height:60.0pt;mso-wrap-distance-left:0.0pt;mso-wrap-distance-top:0.0pt;mso-wrap-distance-right:0.0pt;mso-wrap-distance-bottom:0.0pt;" stroked="f">
                <v:path textboxrect="0,0,0,0"/>
                <v:imagedata r:id="rId186" o:title=""/>
              </v:shape>
            </w:pict>
          </mc:Fallback>
        </mc:AlternateContent>
      </w:r>
      <w:r/>
    </w:p>
    <w:p>
      <w:pPr>
        <w:pStyle w:val="1151"/>
        <w:jc w:val="center"/>
        <w:rPr>
          <w:szCs w:val="21"/>
        </w:rPr>
      </w:pPr>
      <w:r>
        <w:rPr>
          <w:rFonts w:hint="eastAsia"/>
          <w:szCs w:val="21"/>
        </w:rPr>
        <w:t xml:space="preserve">图 L</w:t>
      </w:r>
      <w:r>
        <w:rPr>
          <w:szCs w:val="21"/>
        </w:rPr>
        <w:t xml:space="preserve">-2 零流告警逻辑图</w:t>
      </w:r>
      <w:r>
        <w:rPr>
          <w:szCs w:val="21"/>
        </w:rPr>
      </w:r>
      <w:r/>
    </w:p>
    <w:p>
      <w:pPr>
        <w:pStyle w:val="1151"/>
        <w:numPr>
          <w:ilvl w:val="0"/>
          <w:numId w:val="0"/>
        </w:numPr>
        <w:spacing w:line="300" w:lineRule="auto"/>
        <w:rPr>
          <w:szCs w:val="21"/>
        </w:rPr>
        <w:outlineLvl w:val="2"/>
      </w:pPr>
      <w:r>
        <w:rPr>
          <w:rFonts w:hint="eastAsia"/>
          <w:szCs w:val="21"/>
        </w:rPr>
        <w:t xml:space="preserve">L</w:t>
      </w:r>
      <w:r>
        <w:rPr>
          <w:szCs w:val="21"/>
        </w:rPr>
        <w:t xml:space="preserve">.3 小电流接地故障告警</w:t>
      </w:r>
      <w:r>
        <w:rPr>
          <w:szCs w:val="21"/>
        </w:rPr>
      </w:r>
      <w:r/>
    </w:p>
    <w:p>
      <w:pPr>
        <w:pStyle w:val="1151"/>
        <w:ind w:firstLine="480"/>
        <w:rPr>
          <w:szCs w:val="21"/>
        </w:rPr>
      </w:pPr>
      <w:r>
        <w:rPr>
          <w:szCs w:val="21"/>
        </w:rPr>
        <w:t xml:space="preserve">[小电流接地告警]投入时，</w:t>
      </w:r>
      <w:r>
        <w:rPr>
          <w:rFonts w:hint="eastAsia" w:hAnsi="宋体"/>
          <w:szCs w:val="21"/>
        </w:rPr>
        <w:t xml:space="preserve">检测到开关下游出现单相接地故障</w:t>
      </w:r>
      <w:r>
        <w:rPr>
          <w:szCs w:val="21"/>
        </w:rPr>
        <w:t xml:space="preserve">，</w:t>
      </w:r>
      <w:r>
        <w:rPr>
          <w:rFonts w:hint="eastAsia"/>
          <w:szCs w:val="21"/>
        </w:rPr>
        <w:t xml:space="preserve">经[小电流接地故障确认时间]，</w:t>
      </w:r>
      <w:r>
        <w:rPr>
          <w:szCs w:val="21"/>
        </w:rPr>
        <w:t xml:space="preserve">发出小电流接地故障告警。</w:t>
      </w:r>
      <w:r>
        <w:rPr>
          <w:szCs w:val="21"/>
        </w:rPr>
      </w:r>
      <w:r/>
    </w:p>
    <w:p>
      <w:pPr>
        <w:pStyle w:val="1151"/>
        <w:ind w:firstLine="480"/>
        <w:rPr>
          <w:szCs w:val="21"/>
        </w:rPr>
      </w:pPr>
      <w:r>
        <w:rPr>
          <w:szCs w:val="21"/>
        </w:rPr>
        <w:t xml:space="preserve">设置[事故总判小电流接地告警]控制字，设置为0时，小电流接地告警不触发事故总信号；设置为1时，小电流接地告警触发事故总信号。</w:t>
      </w:r>
      <w:r>
        <w:rPr>
          <w:szCs w:val="21"/>
        </w:rPr>
      </w:r>
      <w:r/>
    </w:p>
    <w:p>
      <w:pPr>
        <w:pStyle w:val="1151"/>
        <w:jc w:val="center"/>
        <w:rPr>
          <w:szCs w:val="21"/>
        </w:rPr>
      </w:pPr>
      <w:r>
        <w:rPr>
          <w:szCs w:val="21"/>
        </w:rPr>
        <mc:AlternateContent>
          <mc:Choice Requires="wpg">
            <w:drawing>
              <wp:inline xmlns:wp="http://schemas.openxmlformats.org/drawingml/2006/wordprocessingDrawing" distT="0" distB="0" distL="0" distR="0">
                <wp:extent cx="5286286" cy="1447978"/>
                <wp:effectExtent l="0" t="0" r="0" b="0"/>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5286286" cy="14479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416.2pt;height:114.0pt;mso-wrap-distance-left:0.0pt;mso-wrap-distance-top:0.0pt;mso-wrap-distance-right:0.0pt;mso-wrap-distance-bottom:0.0pt;" stroked="f">
                <v:path textboxrect="0,0,0,0"/>
                <v:imagedata r:id="rId187" o:title=""/>
              </v:shape>
            </w:pict>
          </mc:Fallback>
        </mc:AlternateContent>
      </w:r>
      <w:r>
        <w:rPr>
          <w:szCs w:val="21"/>
        </w:rPr>
      </w:r>
      <w:r/>
    </w:p>
    <w:p>
      <w:pPr>
        <w:pStyle w:val="1151"/>
        <w:jc w:val="center"/>
        <w:rPr>
          <w:szCs w:val="21"/>
        </w:rPr>
      </w:pPr>
      <w:r>
        <w:rPr>
          <w:rFonts w:hint="eastAsia"/>
          <w:szCs w:val="21"/>
        </w:rPr>
        <w:t xml:space="preserve">图 L</w:t>
      </w:r>
      <w:r>
        <w:rPr>
          <w:szCs w:val="21"/>
        </w:rPr>
        <w:t xml:space="preserve">-</w:t>
      </w:r>
      <w:r>
        <w:rPr>
          <w:rFonts w:hint="eastAsia"/>
          <w:szCs w:val="21"/>
        </w:rPr>
        <w:t xml:space="preserve">3</w:t>
      </w:r>
      <w:r>
        <w:rPr>
          <w:szCs w:val="21"/>
        </w:rPr>
        <w:t xml:space="preserve">小电流接地告警逻辑图</w:t>
      </w:r>
      <w:r>
        <w:rPr>
          <w:szCs w:val="21"/>
        </w:rPr>
      </w:r>
      <w:r/>
    </w:p>
    <w:p>
      <w:pPr>
        <w:pStyle w:val="1240"/>
        <w:numPr>
          <w:ilvl w:val="0"/>
          <w:numId w:val="0"/>
        </w:numPr>
        <w:spacing w:line="500" w:lineRule="exact"/>
        <w:rPr>
          <w:rFonts w:ascii="Times New Roman"/>
        </w:rPr>
        <w:outlineLvl w:val="2"/>
      </w:pPr>
      <w:r>
        <w:rPr>
          <w:rFonts w:hint="eastAsia" w:ascii="Times New Roman"/>
        </w:rPr>
        <w:t xml:space="preserve">L</w:t>
      </w:r>
      <w:r>
        <w:rPr>
          <w:rFonts w:ascii="Times New Roman"/>
        </w:rPr>
        <w:t xml:space="preserve">.</w:t>
      </w:r>
      <w:r>
        <w:rPr>
          <w:rFonts w:hint="eastAsia" w:ascii="Times New Roman"/>
        </w:rPr>
        <w:t xml:space="preserve">4过流Ⅰ段</w:t>
      </w:r>
      <w:r>
        <w:rPr>
          <w:rFonts w:ascii="Times New Roman"/>
        </w:rPr>
      </w:r>
      <w:r/>
    </w:p>
    <w:p>
      <w:pPr>
        <w:pStyle w:val="1201"/>
        <w:numPr>
          <w:ilvl w:val="0"/>
          <w:numId w:val="81"/>
        </w:numPr>
        <w:spacing w:line="500" w:lineRule="exact"/>
        <w:widowControl w:val="off"/>
        <w:tabs>
          <w:tab w:val="center" w:pos="4201" w:leader="none"/>
          <w:tab w:val="right" w:pos="9298" w:leader="dot"/>
        </w:tabs>
        <w:rPr>
          <w:rFonts w:hAnsi="宋体" w:cs="宋体"/>
          <w:szCs w:val="21"/>
        </w:rPr>
      </w:pPr>
      <w:r>
        <w:rPr>
          <w:rFonts w:hint="eastAsia" w:hAnsi="宋体" w:cs="宋体"/>
          <w:szCs w:val="21"/>
        </w:rPr>
        <w:t xml:space="preserve">防励磁涌流误动（二次谐波闭锁）</w:t>
      </w:r>
      <w:r>
        <w:rPr>
          <w:rFonts w:hAnsi="宋体" w:cs="宋体"/>
          <w:szCs w:val="21"/>
        </w:rPr>
      </w:r>
      <w:r/>
    </w:p>
    <w:p>
      <w:pPr>
        <w:pStyle w:val="1201"/>
        <w:tabs>
          <w:tab w:val="center" w:pos="4201" w:leader="none"/>
          <w:tab w:val="right" w:pos="9298" w:leader="dot"/>
        </w:tabs>
        <w:rPr>
          <w:rFonts w:hAnsi="宋体" w:cs="宋体"/>
          <w:szCs w:val="21"/>
        </w:rPr>
      </w:pPr>
      <w:r>
        <w:rPr>
          <w:rFonts w:hint="eastAsia" w:hAnsi="宋体" w:cs="宋体"/>
          <w:szCs w:val="21"/>
        </w:rPr>
        <w:t xml:space="preserve">励磁涌流闭锁功能采用二次谐波制动原理，利用相电流中的二次谐波作为励磁涌流闭锁的判据。动作方程如下：</w:t>
      </w:r>
      <w:r>
        <w:rPr>
          <w:rFonts w:hAnsi="宋体" w:cs="宋体"/>
          <w:szCs w:val="21"/>
        </w:rPr>
      </w:r>
      <w:r/>
    </w:p>
    <w:p>
      <w:pPr>
        <w:pStyle w:val="1201"/>
        <w:ind w:firstLine="0"/>
        <w:jc w:val="center"/>
        <w:spacing w:line="500" w:lineRule="exact"/>
        <w:tabs>
          <w:tab w:val="center" w:pos="4201" w:leader="none"/>
          <w:tab w:val="right" w:pos="9298" w:leader="dot"/>
        </w:tabs>
        <w:rPr>
          <w:rFonts w:hAnsi="宋体" w:cs="宋体"/>
          <w:szCs w:val="21"/>
        </w:rPr>
      </w:pPr>
      <w:r>
        <w:rPr>
          <w:rFonts w:hint="eastAsia" w:hAnsi="宋体" w:cs="宋体"/>
          <w:szCs w:val="21"/>
        </w:rPr>
        <w:t xml:space="preserve">Id2 &gt;Kxb·Id</w:t>
      </w:r>
      <w:r>
        <w:rPr>
          <w:rFonts w:hAnsi="宋体" w:cs="宋体"/>
          <w:szCs w:val="21"/>
        </w:rPr>
      </w:r>
      <w:r/>
    </w:p>
    <w:p>
      <w:pPr>
        <w:pStyle w:val="1151"/>
        <w:ind w:firstLine="420"/>
        <w:spacing w:before="156" w:after="156"/>
        <w:rPr>
          <w:szCs w:val="21"/>
          <w:shd w:val="clear" w:color="auto" w:fill="ffffff"/>
        </w:rPr>
      </w:pPr>
      <w:r>
        <w:rPr>
          <w:rFonts w:hint="eastAsia" w:hAnsi="宋体" w:cs="宋体"/>
          <w:szCs w:val="21"/>
        </w:rPr>
        <w:t xml:space="preserve">其中Id2为相电流中的二次谐波，Id为对应相电流中的基波电流，Kxb为二次谐波制动系数。三相电流中只要任一相过流满足上述条件，则闭锁过流保护。</w:t>
      </w:r>
      <w:r>
        <w:rPr>
          <w:szCs w:val="21"/>
          <w:shd w:val="clear" w:color="auto" w:fill="ffffff"/>
        </w:rPr>
      </w:r>
      <w:r/>
    </w:p>
    <w:p>
      <w:pPr>
        <w:pStyle w:val="1151"/>
        <w:ind w:firstLine="420"/>
        <w:rPr>
          <w:rFonts w:ascii="宋体" w:hAnsi="宋体"/>
          <w:szCs w:val="21"/>
        </w:rPr>
      </w:pPr>
      <w:r>
        <w:rPr>
          <w:rFonts w:hint="eastAsia" w:ascii="宋体" w:hAnsi="宋体"/>
          <w:szCs w:val="21"/>
        </w:rPr>
        <w:t xml:space="preserve">在[过流</w:t>
      </w:r>
      <w:r>
        <w:rPr>
          <w:rFonts w:ascii="宋体" w:hAnsi="宋体"/>
          <w:szCs w:val="21"/>
        </w:rPr>
        <w:t xml:space="preserve">I段</w:t>
      </w:r>
      <w:r>
        <w:rPr>
          <w:rFonts w:hint="eastAsia" w:ascii="宋体" w:hAnsi="宋体"/>
          <w:szCs w:val="21"/>
        </w:rPr>
        <w:t xml:space="preserve">出口]</w:t>
      </w:r>
      <w:r>
        <w:rPr>
          <w:rFonts w:ascii="宋体" w:hAnsi="宋体"/>
          <w:szCs w:val="21"/>
        </w:rPr>
        <w:t xml:space="preserve">投入条件下，当过流I段起动，且最大相电流（Imax）大于</w:t>
      </w:r>
      <w:r>
        <w:rPr>
          <w:rFonts w:hint="eastAsia" w:ascii="宋体" w:hAnsi="宋体"/>
          <w:szCs w:val="21"/>
        </w:rPr>
        <w:t xml:space="preserve">[</w:t>
      </w:r>
      <w:r>
        <w:rPr>
          <w:rFonts w:ascii="宋体" w:hAnsi="宋体"/>
          <w:szCs w:val="21"/>
        </w:rPr>
        <w:t xml:space="preserve">过流I段定值</w:t>
      </w:r>
      <w:r>
        <w:rPr>
          <w:rFonts w:hint="eastAsia" w:ascii="宋体" w:hAnsi="宋体"/>
          <w:szCs w:val="21"/>
        </w:rPr>
        <w:t xml:space="preserve">]、无励磁涌流闭锁，</w:t>
      </w:r>
      <w:r>
        <w:rPr>
          <w:rFonts w:ascii="宋体" w:hAnsi="宋体"/>
          <w:szCs w:val="21"/>
        </w:rPr>
        <w:t xml:space="preserve">经</w:t>
      </w:r>
      <w:r>
        <w:rPr>
          <w:rFonts w:hint="eastAsia" w:ascii="宋体" w:hAnsi="宋体"/>
          <w:szCs w:val="21"/>
        </w:rPr>
        <w:t xml:space="preserve">[</w:t>
      </w:r>
      <w:r>
        <w:rPr>
          <w:rFonts w:ascii="宋体" w:hAnsi="宋体"/>
          <w:szCs w:val="21"/>
        </w:rPr>
        <w:t xml:space="preserve">过流I段时间</w:t>
      </w:r>
      <w:r>
        <w:rPr>
          <w:rFonts w:hint="eastAsia" w:ascii="宋体" w:hAnsi="宋体"/>
          <w:szCs w:val="21"/>
        </w:rPr>
        <w:t xml:space="preserve">]</w:t>
      </w:r>
      <w:r>
        <w:rPr>
          <w:rFonts w:ascii="宋体" w:hAnsi="宋体"/>
          <w:szCs w:val="21"/>
        </w:rPr>
        <w:t xml:space="preserve">后，跳闸出口。</w:t>
      </w:r>
      <w:r>
        <w:rPr>
          <w:rFonts w:ascii="宋体" w:hAnsi="宋体"/>
          <w:szCs w:val="21"/>
        </w:rPr>
      </w:r>
      <w:r/>
    </w:p>
    <w:p>
      <w:pPr>
        <w:pStyle w:val="1201"/>
        <w:ind w:firstLine="0"/>
        <w:jc w:val="center"/>
        <w:spacing w:line="300" w:lineRule="auto"/>
        <w:tabs>
          <w:tab w:val="center" w:pos="4201" w:leader="none"/>
          <w:tab w:val="right" w:pos="9298" w:leader="dot"/>
        </w:tabs>
        <w:rPr>
          <w:rFonts w:ascii="黑体" w:hAnsi="黑体" w:eastAsia="黑体" w:cs="宋体"/>
          <w:szCs w:val="21"/>
        </w:rPr>
      </w:pPr>
      <w:r>
        <w:rPr>
          <w:szCs w:val="21"/>
        </w:rPr>
        <mc:AlternateContent>
          <mc:Choice Requires="wpg">
            <w:drawing>
              <wp:inline xmlns:wp="http://schemas.openxmlformats.org/drawingml/2006/wordprocessingDrawing" distT="0" distB="0" distL="0" distR="0">
                <wp:extent cx="5257991" cy="2114169"/>
                <wp:effectExtent l="0" t="0" r="0" b="0"/>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5257991" cy="21141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414.0pt;height:166.5pt;mso-wrap-distance-left:0.0pt;mso-wrap-distance-top:0.0pt;mso-wrap-distance-right:0.0pt;mso-wrap-distance-bottom:0.0pt;" stroked="f">
                <v:path textboxrect="0,0,0,0"/>
                <v:imagedata r:id="rId188" o:title=""/>
              </v:shape>
            </w:pict>
          </mc:Fallback>
        </mc:AlternateContent>
      </w:r>
      <w:r>
        <w:rPr>
          <w:rFonts w:ascii="黑体" w:hAnsi="黑体" w:eastAsia="黑体" w:cs="宋体"/>
          <w:szCs w:val="21"/>
        </w:rPr>
      </w:r>
      <w:r/>
    </w:p>
    <w:p>
      <w:pPr>
        <w:pStyle w:val="1201"/>
        <w:ind w:firstLine="0"/>
        <w:jc w:val="center"/>
        <w:spacing w:line="300" w:lineRule="auto"/>
        <w:tabs>
          <w:tab w:val="center" w:pos="4201" w:leader="none"/>
          <w:tab w:val="right" w:pos="9298" w:leader="dot"/>
        </w:tabs>
        <w:rPr>
          <w:rFonts w:ascii="黑体" w:hAnsi="黑体" w:eastAsia="黑体" w:cs="宋体"/>
          <w:szCs w:val="21"/>
        </w:rPr>
      </w:pPr>
      <w:r>
        <w:rPr>
          <w:rFonts w:ascii="黑体" w:hAnsi="黑体" w:eastAsia="黑体" w:cs="宋体"/>
          <w:szCs w:val="21"/>
        </w:rPr>
        <w:t xml:space="preserve">图</w:t>
      </w:r>
      <w:r>
        <w:rPr>
          <w:rFonts w:hint="eastAsia" w:ascii="黑体" w:hAnsi="黑体" w:eastAsia="黑体" w:cs="宋体"/>
          <w:szCs w:val="21"/>
        </w:rPr>
        <w:t xml:space="preserve">L</w:t>
      </w:r>
      <w:r>
        <w:rPr>
          <w:rFonts w:ascii="黑体" w:hAnsi="黑体" w:eastAsia="黑体" w:cs="宋体"/>
          <w:szCs w:val="21"/>
        </w:rPr>
        <w:t xml:space="preserve">-</w:t>
      </w:r>
      <w:r>
        <w:rPr>
          <w:rFonts w:hint="eastAsia" w:ascii="黑体" w:hAnsi="黑体" w:eastAsia="黑体" w:cs="宋体"/>
          <w:szCs w:val="21"/>
        </w:rPr>
        <w:t xml:space="preserve">4过流</w:t>
      </w:r>
      <w:r>
        <w:rPr>
          <w:rFonts w:ascii="黑体" w:hAnsi="黑体" w:eastAsia="黑体" w:cs="宋体"/>
          <w:szCs w:val="21"/>
        </w:rPr>
        <w:t xml:space="preserve">I段逻辑图</w:t>
      </w:r>
      <w:r>
        <w:rPr>
          <w:rFonts w:ascii="黑体" w:hAnsi="黑体" w:eastAsia="黑体" w:cs="宋体"/>
          <w:szCs w:val="21"/>
        </w:rPr>
      </w:r>
      <w:r/>
    </w:p>
    <w:p>
      <w:pPr>
        <w:pStyle w:val="1151"/>
        <w:ind w:firstLine="420"/>
        <w:rPr>
          <w:rFonts w:ascii="宋体" w:hAnsi="宋体"/>
          <w:szCs w:val="21"/>
        </w:rPr>
      </w:pPr>
      <w:r>
        <w:rPr>
          <w:rFonts w:hint="eastAsia" w:ascii="宋体" w:hAnsi="宋体"/>
          <w:szCs w:val="21"/>
        </w:rPr>
        <w:t xml:space="preserve">过流Ⅱ段、Ⅲ段逻辑无二次谐波闭锁逻辑，其他逻辑和过流Ⅰ段一致。</w:t>
      </w:r>
      <w:r>
        <w:rPr>
          <w:rFonts w:ascii="宋体" w:hAnsi="宋体"/>
          <w:szCs w:val="21"/>
        </w:rPr>
      </w:r>
      <w:r/>
    </w:p>
    <w:p>
      <w:pPr>
        <w:pStyle w:val="1240"/>
        <w:numPr>
          <w:ilvl w:val="0"/>
          <w:numId w:val="0"/>
        </w:numPr>
        <w:spacing w:line="500" w:lineRule="exact"/>
        <w:rPr>
          <w:rFonts w:ascii="Times New Roman"/>
        </w:rPr>
        <w:outlineLvl w:val="2"/>
      </w:pPr>
      <w:r>
        <w:rPr>
          <w:rFonts w:hint="eastAsia" w:ascii="Times New Roman"/>
        </w:rPr>
        <w:t xml:space="preserve">L</w:t>
      </w:r>
      <w:r>
        <w:rPr>
          <w:rFonts w:ascii="Times New Roman"/>
        </w:rPr>
        <w:t xml:space="preserve">.</w:t>
      </w:r>
      <w:r>
        <w:rPr>
          <w:rFonts w:hint="eastAsia" w:ascii="Times New Roman"/>
        </w:rPr>
        <w:t xml:space="preserve">5零序过流Ⅰ段</w:t>
      </w:r>
      <w:r>
        <w:rPr>
          <w:rFonts w:ascii="Times New Roman"/>
        </w:rPr>
      </w:r>
      <w:r/>
    </w:p>
    <w:p>
      <w:pPr>
        <w:pStyle w:val="1151"/>
        <w:ind w:firstLine="420"/>
        <w:rPr>
          <w:rFonts w:ascii="宋体" w:hAnsi="宋体"/>
          <w:szCs w:val="21"/>
        </w:rPr>
      </w:pPr>
      <w:r>
        <w:rPr>
          <w:rFonts w:hint="eastAsia" w:ascii="宋体" w:hAnsi="宋体"/>
          <w:szCs w:val="21"/>
        </w:rPr>
        <w:t xml:space="preserve">在[零序过流Ⅰ段出口]投入条件下，当零序过流Ⅰ段起动，且外接零序电流（3I</w:t>
      </w:r>
      <w:r>
        <w:rPr>
          <w:rFonts w:hint="eastAsia" w:ascii="宋体" w:hAnsi="宋体"/>
          <w:szCs w:val="21"/>
          <w:vertAlign w:val="subscript"/>
        </w:rPr>
        <w:t xml:space="preserve">0</w:t>
      </w:r>
      <w:r>
        <w:rPr>
          <w:rFonts w:hint="eastAsia" w:ascii="宋体" w:hAnsi="宋体"/>
          <w:szCs w:val="21"/>
        </w:rPr>
        <w:t xml:space="preserve">）</w:t>
      </w:r>
      <w:r>
        <w:rPr>
          <w:rFonts w:ascii="宋体" w:hAnsi="宋体"/>
          <w:szCs w:val="21"/>
        </w:rPr>
        <w:t xml:space="preserve">大于</w:t>
      </w:r>
      <w:r>
        <w:rPr>
          <w:rFonts w:hint="eastAsia" w:ascii="宋体" w:hAnsi="宋体"/>
          <w:szCs w:val="21"/>
        </w:rPr>
        <w:t xml:space="preserve">[</w:t>
      </w:r>
      <w:r>
        <w:rPr>
          <w:rFonts w:ascii="宋体" w:hAnsi="宋体"/>
          <w:szCs w:val="21"/>
        </w:rPr>
        <w:t xml:space="preserve">零序过流</w:t>
      </w:r>
      <w:r>
        <w:rPr>
          <w:rFonts w:hint="eastAsia" w:ascii="宋体" w:hAnsi="宋体"/>
          <w:szCs w:val="21"/>
        </w:rPr>
        <w:t xml:space="preserve">Ⅰ段</w:t>
      </w:r>
      <w:r>
        <w:rPr>
          <w:rFonts w:ascii="宋体" w:hAnsi="宋体"/>
          <w:szCs w:val="21"/>
        </w:rPr>
        <w:t xml:space="preserve">定值</w:t>
      </w:r>
      <w:r>
        <w:rPr>
          <w:rFonts w:hint="eastAsia" w:ascii="宋体" w:hAnsi="宋体"/>
          <w:szCs w:val="21"/>
        </w:rPr>
        <w:t xml:space="preserve">]</w:t>
      </w:r>
      <w:r>
        <w:rPr>
          <w:rFonts w:ascii="宋体" w:hAnsi="宋体"/>
          <w:szCs w:val="21"/>
        </w:rPr>
        <w:t xml:space="preserve">，经</w:t>
      </w:r>
      <w:r>
        <w:rPr>
          <w:rFonts w:hint="eastAsia" w:ascii="宋体" w:hAnsi="宋体"/>
          <w:szCs w:val="21"/>
        </w:rPr>
        <w:t xml:space="preserve">[</w:t>
      </w:r>
      <w:r>
        <w:rPr>
          <w:rFonts w:ascii="宋体" w:hAnsi="宋体"/>
          <w:szCs w:val="21"/>
        </w:rPr>
        <w:t xml:space="preserve">零序过流</w:t>
      </w:r>
      <w:r>
        <w:rPr>
          <w:rFonts w:hint="eastAsia" w:ascii="宋体" w:hAnsi="宋体"/>
          <w:szCs w:val="21"/>
        </w:rPr>
        <w:t xml:space="preserve">Ⅰ段</w:t>
      </w:r>
      <w:r>
        <w:rPr>
          <w:rFonts w:ascii="宋体" w:hAnsi="宋体"/>
          <w:szCs w:val="21"/>
        </w:rPr>
        <w:t xml:space="preserve">时间</w:t>
      </w:r>
      <w:r>
        <w:rPr>
          <w:rFonts w:hint="eastAsia" w:ascii="宋体" w:hAnsi="宋体"/>
          <w:szCs w:val="21"/>
        </w:rPr>
        <w:t xml:space="preserve">]</w:t>
      </w:r>
      <w:r>
        <w:rPr>
          <w:rFonts w:ascii="宋体" w:hAnsi="宋体"/>
          <w:szCs w:val="21"/>
        </w:rPr>
        <w:t xml:space="preserve">后，跳闸出口。</w:t>
      </w:r>
      <w:r>
        <w:rPr>
          <w:rFonts w:ascii="宋体" w:hAnsi="宋体"/>
          <w:szCs w:val="21"/>
        </w:rPr>
      </w:r>
      <w:r/>
    </w:p>
    <w:p>
      <w:pPr>
        <w:pStyle w:val="1201"/>
        <w:ind w:firstLine="0"/>
        <w:jc w:val="center"/>
        <w:tabs>
          <w:tab w:val="center" w:pos="4201" w:leader="none"/>
          <w:tab w:val="right" w:pos="9298" w:leader="dot"/>
        </w:tabs>
        <w:rPr>
          <w:szCs w:val="21"/>
        </w:rPr>
      </w:pPr>
      <w:r>
        <w:rPr>
          <w:szCs w:val="21"/>
        </w:rPr>
      </w:r>
      <w:r/>
    </w:p>
    <w:p>
      <w:pPr>
        <w:pStyle w:val="1201"/>
        <w:ind w:firstLine="0"/>
        <w:jc w:val="center"/>
        <w:tabs>
          <w:tab w:val="center" w:pos="4201" w:leader="none"/>
          <w:tab w:val="right" w:pos="9298" w:leader="dot"/>
        </w:tabs>
        <w:rPr>
          <w:rFonts w:hAnsi="宋体"/>
          <w:szCs w:val="21"/>
        </w:rPr>
      </w:pPr>
      <w:r>
        <w:rPr>
          <w:szCs w:val="21"/>
        </w:rPr>
        <w:object w:dxaOrig="14350" w:dyaOrig="337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414.0pt;height:99.0pt;mso-wrap-distance-left:0.0pt;mso-wrap-distance-top:0.0pt;mso-wrap-distance-right:0.0pt;mso-wrap-distance-bottom:0.0pt;" filled="f" stroked="f">
            <v:path textboxrect="0,0,0,0"/>
            <v:imagedata r:id="rId189" o:title=""/>
          </v:shape>
          <o:OLEObject DrawAspect="Content" r:id="rId190" ObjectID="_152504178" ProgID="" ShapeID="_x0000_i178" Type="Embed"/>
        </w:object>
      </w:r>
      <w:r>
        <w:rPr>
          <w:rFonts w:hAnsi="宋体"/>
          <w:szCs w:val="21"/>
        </w:rPr>
      </w:r>
      <w:r/>
    </w:p>
    <w:p>
      <w:pPr>
        <w:pStyle w:val="1151"/>
        <w:jc w:val="center"/>
        <w:spacing w:line="300" w:lineRule="auto"/>
        <w:rPr>
          <w:rFonts w:ascii="黑体" w:hAnsi="黑体" w:eastAsia="黑体" w:cs="宋体"/>
          <w:szCs w:val="21"/>
        </w:rPr>
      </w:pPr>
      <w:r>
        <w:rPr>
          <w:rFonts w:ascii="黑体" w:hAnsi="黑体" w:eastAsia="黑体" w:cs="宋体"/>
          <w:szCs w:val="21"/>
        </w:rPr>
        <w:t xml:space="preserve">图</w:t>
      </w:r>
      <w:r>
        <w:rPr>
          <w:rFonts w:hint="eastAsia" w:ascii="黑体" w:hAnsi="黑体" w:eastAsia="黑体" w:cs="宋体"/>
          <w:szCs w:val="21"/>
        </w:rPr>
        <w:t xml:space="preserve">L</w:t>
      </w:r>
      <w:r>
        <w:rPr>
          <w:rFonts w:ascii="黑体" w:hAnsi="黑体" w:eastAsia="黑体" w:cs="宋体"/>
          <w:szCs w:val="21"/>
        </w:rPr>
        <w:t xml:space="preserve">-</w:t>
      </w:r>
      <w:r>
        <w:rPr>
          <w:rFonts w:hint="eastAsia" w:ascii="黑体" w:hAnsi="黑体" w:eastAsia="黑体" w:cs="宋体"/>
          <w:szCs w:val="21"/>
        </w:rPr>
        <w:t xml:space="preserve">5零序过流逻辑图</w:t>
      </w:r>
      <w:r>
        <w:rPr>
          <w:rFonts w:ascii="黑体" w:hAnsi="黑体" w:eastAsia="黑体" w:cs="宋体"/>
          <w:szCs w:val="21"/>
        </w:rPr>
      </w:r>
      <w:r/>
    </w:p>
    <w:p>
      <w:pPr>
        <w:pStyle w:val="1201"/>
        <w:tabs>
          <w:tab w:val="center" w:pos="4201" w:leader="none"/>
          <w:tab w:val="right" w:pos="9298" w:leader="dot"/>
        </w:tabs>
        <w:rPr>
          <w:rFonts w:hAnsi="宋体"/>
          <w:szCs w:val="21"/>
        </w:rPr>
      </w:pPr>
      <w:r>
        <w:rPr>
          <w:rFonts w:hint="eastAsia" w:hAnsi="宋体"/>
          <w:szCs w:val="21"/>
        </w:rPr>
        <w:t xml:space="preserve">零序过流Ⅱ段逻辑和零序过流Ⅰ段逻辑一致。</w:t>
      </w:r>
      <w:r>
        <w:rPr>
          <w:rFonts w:hAnsi="宋体"/>
          <w:szCs w:val="21"/>
        </w:rPr>
      </w:r>
      <w:r/>
    </w:p>
    <w:p>
      <w:pPr>
        <w:pStyle w:val="1240"/>
        <w:numPr>
          <w:ilvl w:val="0"/>
          <w:numId w:val="0"/>
        </w:numPr>
        <w:spacing w:line="500" w:lineRule="exact"/>
        <w:rPr>
          <w:rFonts w:ascii="Times New Roman"/>
        </w:rPr>
        <w:outlineLvl w:val="2"/>
      </w:pPr>
      <w:r>
        <w:rPr>
          <w:rFonts w:hint="eastAsia" w:ascii="Times New Roman"/>
        </w:rPr>
        <w:t xml:space="preserve">L</w:t>
      </w:r>
      <w:r>
        <w:rPr>
          <w:rFonts w:ascii="Times New Roman"/>
        </w:rPr>
        <w:t xml:space="preserve">.</w:t>
      </w:r>
      <w:r>
        <w:rPr>
          <w:rFonts w:hint="eastAsia" w:ascii="Times New Roman"/>
        </w:rPr>
        <w:t xml:space="preserve">6小电流接地保护</w:t>
      </w:r>
      <w:r>
        <w:rPr>
          <w:rFonts w:ascii="Times New Roman"/>
        </w:rPr>
      </w:r>
      <w:r/>
    </w:p>
    <w:p>
      <w:pPr>
        <w:pStyle w:val="1151"/>
        <w:ind w:firstLine="420"/>
        <w:rPr>
          <w:rFonts w:hAnsi="宋体"/>
          <w:szCs w:val="21"/>
        </w:rPr>
      </w:pPr>
      <w:r>
        <w:rPr>
          <w:rFonts w:hint="eastAsia" w:hAnsi="宋体"/>
          <w:szCs w:val="21"/>
        </w:rPr>
        <w:t xml:space="preserve">[小电流接地保护跳闸]投入时，检测到开关下游出现单相接地故障，经[小电流接地故障跳闸时间</w:t>
      </w:r>
      <w:r>
        <w:rPr>
          <w:rFonts w:hAnsi="宋体"/>
          <w:szCs w:val="21"/>
        </w:rPr>
        <w:t xml:space="preserve">]</w:t>
      </w:r>
      <w:r>
        <w:rPr>
          <w:rFonts w:hint="eastAsia" w:hAnsi="宋体"/>
          <w:szCs w:val="21"/>
        </w:rPr>
        <w:t xml:space="preserve">跳闸出口。</w:t>
      </w:r>
      <w:r>
        <w:rPr>
          <w:rFonts w:hAnsi="宋体"/>
          <w:szCs w:val="21"/>
        </w:rPr>
      </w:r>
      <w:r/>
    </w:p>
    <w:p>
      <w:pPr>
        <w:pStyle w:val="1201"/>
        <w:ind w:firstLine="0"/>
        <w:jc w:val="center"/>
        <w:tabs>
          <w:tab w:val="center" w:pos="4201" w:leader="none"/>
          <w:tab w:val="right" w:pos="9298" w:leader="dot"/>
        </w:tabs>
        <w:rPr>
          <w:rFonts w:hAnsi="宋体"/>
          <w:szCs w:val="21"/>
        </w:rPr>
      </w:pPr>
      <w:r>
        <w:rPr>
          <w:szCs w:val="21"/>
        </w:rPr>
        <mc:AlternateContent>
          <mc:Choice Requires="wpg">
            <w:drawing>
              <wp:inline xmlns:wp="http://schemas.openxmlformats.org/drawingml/2006/wordprocessingDrawing" distT="0" distB="0" distL="0" distR="0">
                <wp:extent cx="5267414" cy="1143211"/>
                <wp:effectExtent l="0" t="0" r="0" b="0"/>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5267414" cy="1143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414.8pt;height:90.0pt;mso-wrap-distance-left:0.0pt;mso-wrap-distance-top:0.0pt;mso-wrap-distance-right:0.0pt;mso-wrap-distance-bottom:0.0pt;" stroked="f">
                <v:path textboxrect="0,0,0,0"/>
                <v:imagedata r:id="rId191" o:title=""/>
              </v:shape>
            </w:pict>
          </mc:Fallback>
        </mc:AlternateContent>
      </w:r>
      <w:r>
        <w:rPr>
          <w:rFonts w:hAnsi="宋体"/>
          <w:szCs w:val="21"/>
        </w:rPr>
      </w:r>
      <w:r/>
    </w:p>
    <w:p>
      <w:pPr>
        <w:pStyle w:val="1151"/>
        <w:jc w:val="center"/>
        <w:spacing w:line="300" w:lineRule="auto"/>
        <w:rPr>
          <w:rFonts w:ascii="黑体" w:hAnsi="黑体" w:eastAsia="黑体" w:cs="宋体"/>
          <w:szCs w:val="21"/>
        </w:rPr>
      </w:pPr>
      <w:r>
        <w:rPr>
          <w:rFonts w:ascii="黑体" w:hAnsi="黑体" w:eastAsia="黑体" w:cs="宋体"/>
          <w:szCs w:val="21"/>
        </w:rPr>
        <w:t xml:space="preserve">图</w:t>
      </w:r>
      <w:r>
        <w:rPr>
          <w:rFonts w:hint="eastAsia" w:ascii="黑体" w:hAnsi="黑体" w:eastAsia="黑体" w:cs="宋体"/>
          <w:szCs w:val="21"/>
        </w:rPr>
        <w:t xml:space="preserve">L</w:t>
      </w:r>
      <w:r>
        <w:rPr>
          <w:rFonts w:ascii="黑体" w:hAnsi="黑体" w:eastAsia="黑体" w:cs="宋体"/>
          <w:szCs w:val="21"/>
        </w:rPr>
        <w:t xml:space="preserve">-</w:t>
      </w:r>
      <w:r>
        <w:rPr>
          <w:rFonts w:hint="eastAsia" w:ascii="黑体" w:hAnsi="黑体" w:eastAsia="黑体" w:cs="宋体"/>
          <w:szCs w:val="21"/>
        </w:rPr>
        <w:t xml:space="preserve">6小电流接地保护逻辑图</w:t>
      </w:r>
      <w:r>
        <w:rPr>
          <w:rFonts w:ascii="黑体" w:hAnsi="黑体" w:eastAsia="黑体" w:cs="宋体"/>
          <w:szCs w:val="21"/>
        </w:rPr>
      </w:r>
      <w:r/>
    </w:p>
    <w:p>
      <w:pPr>
        <w:pStyle w:val="1240"/>
        <w:numPr>
          <w:ilvl w:val="0"/>
          <w:numId w:val="0"/>
        </w:numPr>
        <w:spacing w:line="500" w:lineRule="exact"/>
        <w:rPr>
          <w:rFonts w:ascii="Times New Roman"/>
        </w:rPr>
        <w:outlineLvl w:val="2"/>
      </w:pPr>
      <w:r>
        <w:rPr>
          <w:rFonts w:hint="eastAsia" w:ascii="Times New Roman"/>
        </w:rPr>
        <w:t xml:space="preserve">L</w:t>
      </w:r>
      <w:r>
        <w:rPr>
          <w:rFonts w:ascii="Times New Roman"/>
        </w:rPr>
        <w:t xml:space="preserve">.</w:t>
      </w:r>
      <w:r>
        <w:rPr>
          <w:rFonts w:hint="eastAsia" w:ascii="Times New Roman"/>
        </w:rPr>
        <w:t xml:space="preserve">7重合闸</w:t>
      </w:r>
      <w:r>
        <w:rPr>
          <w:rFonts w:ascii="Times New Roman"/>
        </w:rPr>
      </w:r>
      <w:r/>
    </w:p>
    <w:p>
      <w:pPr>
        <w:pStyle w:val="1201"/>
        <w:spacing w:line="360" w:lineRule="atLeast"/>
        <w:tabs>
          <w:tab w:val="center" w:pos="4201" w:leader="none"/>
          <w:tab w:val="right" w:pos="9298" w:leader="dot"/>
        </w:tabs>
        <w:rPr>
          <w:rFonts w:hAnsi="宋体"/>
          <w:szCs w:val="21"/>
        </w:rPr>
      </w:pPr>
      <w:r>
        <w:rPr>
          <w:rFonts w:hint="eastAsia" w:hAnsi="宋体"/>
          <w:szCs w:val="21"/>
        </w:rPr>
        <w:t xml:space="preserve">当开关在合位、重合闸功能投入、保护未起动，且没有闭锁重合闸相关信号状态输入</w:t>
      </w:r>
      <w:r>
        <w:rPr>
          <w:rFonts w:hAnsi="宋体"/>
          <w:szCs w:val="21"/>
        </w:rPr>
        <w:t xml:space="preserve">(</w:t>
      </w:r>
      <w:r>
        <w:rPr>
          <w:rFonts w:hint="eastAsia" w:hAnsi="宋体"/>
          <w:szCs w:val="21"/>
        </w:rPr>
        <w:t xml:space="preserve">包括大电流闭锁重合闸、人工跳闸、弹簧未储能等</w:t>
      </w:r>
      <w:r>
        <w:rPr>
          <w:rFonts w:hAnsi="宋体"/>
          <w:szCs w:val="21"/>
        </w:rPr>
        <w:t xml:space="preserve">)</w:t>
      </w:r>
      <w:r>
        <w:rPr>
          <w:rFonts w:hint="eastAsia" w:hAnsi="宋体"/>
          <w:szCs w:val="21"/>
        </w:rPr>
        <w:t xml:space="preserve">，重合闸功能经</w:t>
      </w:r>
      <w:r>
        <w:rPr>
          <w:rFonts w:hAnsi="宋体"/>
          <w:szCs w:val="21"/>
        </w:rPr>
        <w:t xml:space="preserve">[</w:t>
      </w:r>
      <w:r>
        <w:rPr>
          <w:rFonts w:hint="eastAsia" w:hAnsi="宋体"/>
          <w:szCs w:val="21"/>
        </w:rPr>
        <w:t xml:space="preserve">重合闸充电时间</w:t>
      </w:r>
      <w:r>
        <w:rPr>
          <w:rFonts w:hAnsi="宋体"/>
          <w:szCs w:val="21"/>
        </w:rPr>
        <w:t xml:space="preserve">]</w:t>
      </w:r>
      <w:r>
        <w:rPr>
          <w:rFonts w:hint="eastAsia" w:hAnsi="宋体"/>
          <w:szCs w:val="21"/>
        </w:rPr>
        <w:t xml:space="preserve">延时充电，</w:t>
      </w:r>
      <w:r>
        <w:rPr>
          <w:rFonts w:hAnsi="宋体"/>
          <w:szCs w:val="21"/>
        </w:rPr>
        <w:t xml:space="preserve">[</w:t>
      </w:r>
      <w:r>
        <w:rPr>
          <w:rFonts w:hint="eastAsia" w:hAnsi="宋体"/>
          <w:szCs w:val="21"/>
        </w:rPr>
        <w:t xml:space="preserve">重合闸充电时间</w:t>
      </w:r>
      <w:r>
        <w:rPr>
          <w:rFonts w:hAnsi="宋体"/>
          <w:szCs w:val="21"/>
        </w:rPr>
        <w:t xml:space="preserve">]</w:t>
      </w:r>
      <w:r>
        <w:rPr>
          <w:rFonts w:hint="eastAsia" w:hAnsi="宋体"/>
          <w:szCs w:val="21"/>
        </w:rPr>
        <w:t xml:space="preserve">与</w:t>
      </w:r>
      <w:r>
        <w:rPr>
          <w:rFonts w:hAnsi="宋体"/>
          <w:szCs w:val="21"/>
        </w:rPr>
        <w:t xml:space="preserve">[</w:t>
      </w:r>
      <w:r>
        <w:rPr>
          <w:rFonts w:hint="eastAsia" w:hAnsi="宋体"/>
          <w:szCs w:val="21"/>
        </w:rPr>
        <w:t xml:space="preserve">重合闸复归时间</w:t>
      </w:r>
      <w:r>
        <w:rPr>
          <w:rFonts w:hAnsi="宋体"/>
          <w:szCs w:val="21"/>
        </w:rPr>
        <w:t xml:space="preserve">]</w:t>
      </w:r>
      <w:r>
        <w:rPr>
          <w:rFonts w:hint="eastAsia" w:hAnsi="宋体"/>
          <w:szCs w:val="21"/>
        </w:rPr>
        <w:t xml:space="preserve">一致，不单独整定。</w:t>
      </w:r>
      <w:r>
        <w:rPr>
          <w:rFonts w:hAnsi="宋体"/>
          <w:szCs w:val="21"/>
        </w:rPr>
      </w:r>
      <w:r/>
    </w:p>
    <w:p>
      <w:pPr>
        <w:pStyle w:val="1201"/>
        <w:tabs>
          <w:tab w:val="center" w:pos="4201" w:leader="none"/>
          <w:tab w:val="right" w:pos="9298" w:leader="dot"/>
        </w:tabs>
        <w:rPr>
          <w:rFonts w:hAnsi="宋体"/>
          <w:szCs w:val="21"/>
        </w:rPr>
      </w:pPr>
      <w:r>
        <w:rPr>
          <w:rFonts w:hint="eastAsia" w:hAnsi="宋体"/>
          <w:szCs w:val="21"/>
        </w:rPr>
        <w:t xml:space="preserve">在重合闸充电状态下，若保护跳闸，开关因跳开而三相无流，经第</w:t>
      </w:r>
      <w:r>
        <w:rPr>
          <w:rFonts w:hAnsi="宋体"/>
          <w:szCs w:val="21"/>
        </w:rPr>
        <w:t xml:space="preserve">N</w:t>
      </w:r>
      <w:r>
        <w:rPr>
          <w:rFonts w:hint="eastAsia" w:hAnsi="宋体"/>
          <w:szCs w:val="21"/>
        </w:rPr>
        <w:t xml:space="preserve">次重合闸时间延时后，重合闸动作出口合闸开关；若合于永久故障，重合闸动作后再</w:t>
      </w:r>
      <w:r>
        <w:rPr>
          <w:rFonts w:hAnsi="宋体"/>
          <w:szCs w:val="21"/>
        </w:rPr>
        <w:t xml:space="preserve">[</w:t>
      </w:r>
      <w:r>
        <w:rPr>
          <w:rFonts w:hint="eastAsia" w:hAnsi="宋体"/>
          <w:szCs w:val="21"/>
        </w:rPr>
        <w:t xml:space="preserve">闭锁重合闸</w:t>
      </w:r>
      <w:r>
        <w:rPr>
          <w:rFonts w:hAnsi="宋体"/>
          <w:szCs w:val="21"/>
        </w:rPr>
        <w:t xml:space="preserve">]</w:t>
      </w:r>
      <w:r>
        <w:rPr>
          <w:rFonts w:hint="eastAsia" w:hAnsi="宋体"/>
          <w:szCs w:val="21"/>
        </w:rPr>
        <w:t xml:space="preserve">延时内保护跳闸，则重合闸放电，不再合闸。</w:t>
      </w:r>
      <w:r>
        <w:rPr>
          <w:rFonts w:hAnsi="宋体"/>
          <w:szCs w:val="21"/>
        </w:rPr>
      </w:r>
      <w:r/>
    </w:p>
    <w:p>
      <w:pPr>
        <w:pStyle w:val="1201"/>
        <w:spacing w:line="360" w:lineRule="atLeast"/>
        <w:tabs>
          <w:tab w:val="center" w:pos="4201" w:leader="none"/>
          <w:tab w:val="right" w:pos="9298" w:leader="dot"/>
        </w:tabs>
        <w:rPr>
          <w:rFonts w:hAnsi="宋体"/>
          <w:szCs w:val="21"/>
        </w:rPr>
      </w:pPr>
      <w:r>
        <w:rPr>
          <w:rFonts w:hint="eastAsia" w:hAnsi="宋体"/>
          <w:szCs w:val="21"/>
        </w:rPr>
        <w:t xml:space="preserve">在重合闸充电状态下，若开关偷跳（非保护跳闸）、遥控分闸、手动分闸，不应起动重合闸。</w:t>
      </w:r>
      <w:r>
        <w:rPr>
          <w:rFonts w:hAnsi="宋体"/>
          <w:szCs w:val="21"/>
        </w:rPr>
      </w:r>
      <w:r/>
    </w:p>
    <w:p>
      <w:pPr>
        <w:pStyle w:val="1201"/>
        <w:ind w:firstLine="0"/>
        <w:jc w:val="center"/>
        <w:tabs>
          <w:tab w:val="center" w:pos="4201" w:leader="none"/>
          <w:tab w:val="right" w:pos="9298" w:leader="dot"/>
        </w:tabs>
        <w:rPr>
          <w:szCs w:val="21"/>
        </w:rPr>
      </w:pPr>
      <w:r>
        <w:rPr>
          <w:szCs w:val="21"/>
        </w:rPr>
      </w:r>
      <w:r/>
    </w:p>
    <w:p>
      <w:pPr>
        <w:pStyle w:val="1201"/>
        <w:ind w:firstLine="0"/>
        <w:jc w:val="center"/>
        <w:tabs>
          <w:tab w:val="center" w:pos="4201" w:leader="none"/>
          <w:tab w:val="right" w:pos="9298" w:leader="dot"/>
        </w:tabs>
        <w:rPr>
          <w:rFonts w:hAnsi="宋体"/>
          <w:szCs w:val="21"/>
        </w:rPr>
      </w:pPr>
      <w:r>
        <w:rPr>
          <w:szCs w:val="21"/>
        </w:rPr>
        <mc:AlternateContent>
          <mc:Choice Requires="wpg">
            <w:drawing>
              <wp:inline xmlns:wp="http://schemas.openxmlformats.org/drawingml/2006/wordprocessingDrawing" distT="0" distB="0" distL="0" distR="0">
                <wp:extent cx="5272189" cy="3723615"/>
                <wp:effectExtent l="0" t="0" r="0" b="0"/>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5272189" cy="3723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415.1pt;height:293.2pt;mso-wrap-distance-left:0.0pt;mso-wrap-distance-top:0.0pt;mso-wrap-distance-right:0.0pt;mso-wrap-distance-bottom:0.0pt;" stroked="f">
                <v:path textboxrect="0,0,0,0"/>
                <v:imagedata r:id="rId192" o:title=""/>
              </v:shape>
            </w:pict>
          </mc:Fallback>
        </mc:AlternateContent>
      </w:r>
      <w:r>
        <w:rPr>
          <w:rFonts w:hAnsi="宋体"/>
          <w:szCs w:val="21"/>
        </w:rPr>
      </w:r>
      <w:r/>
    </w:p>
    <w:p>
      <w:pPr>
        <w:pStyle w:val="1151"/>
        <w:jc w:val="center"/>
        <w:spacing w:line="300" w:lineRule="auto"/>
        <w:rPr>
          <w:rFonts w:ascii="黑体" w:hAnsi="黑体" w:eastAsia="黑体" w:cs="宋体"/>
          <w:szCs w:val="21"/>
        </w:rPr>
      </w:pPr>
      <w:r>
        <w:rPr>
          <w:rFonts w:ascii="黑体" w:hAnsi="黑体" w:eastAsia="黑体" w:cs="宋体"/>
          <w:szCs w:val="21"/>
        </w:rPr>
        <w:t xml:space="preserve">图</w:t>
      </w:r>
      <w:r>
        <w:rPr>
          <w:rFonts w:hint="eastAsia" w:ascii="黑体" w:hAnsi="黑体" w:eastAsia="黑体" w:cs="宋体"/>
          <w:szCs w:val="21"/>
        </w:rPr>
        <w:t xml:space="preserve">L</w:t>
      </w:r>
      <w:r>
        <w:rPr>
          <w:rFonts w:ascii="黑体" w:hAnsi="黑体" w:eastAsia="黑体" w:cs="宋体"/>
          <w:szCs w:val="21"/>
        </w:rPr>
        <w:t xml:space="preserve">-</w:t>
      </w:r>
      <w:r>
        <w:rPr>
          <w:rFonts w:hint="eastAsia" w:ascii="黑体" w:hAnsi="黑体" w:eastAsia="黑体" w:cs="宋体"/>
          <w:szCs w:val="21"/>
        </w:rPr>
        <w:t xml:space="preserve">7重合闸逻辑图</w:t>
      </w:r>
      <w:r>
        <w:rPr>
          <w:rFonts w:ascii="黑体" w:hAnsi="黑体" w:eastAsia="黑体" w:cs="宋体"/>
          <w:szCs w:val="21"/>
        </w:rPr>
      </w:r>
      <w:r/>
    </w:p>
    <w:p>
      <w:pPr>
        <w:pStyle w:val="1201"/>
        <w:ind w:firstLine="0"/>
        <w:tabs>
          <w:tab w:val="center" w:pos="4201" w:leader="none"/>
          <w:tab w:val="right" w:pos="9298" w:leader="dot"/>
        </w:tabs>
        <w:rPr>
          <w:rFonts w:hAnsi="宋体"/>
          <w:szCs w:val="21"/>
        </w:rPr>
      </w:pPr>
      <w:r>
        <w:rPr>
          <w:szCs w:val="21"/>
        </w:rPr>
        <mc:AlternateContent>
          <mc:Choice Requires="wpg">
            <w:drawing>
              <wp:inline xmlns:wp="http://schemas.openxmlformats.org/drawingml/2006/wordprocessingDrawing" distT="0" distB="0" distL="0" distR="0">
                <wp:extent cx="5972442" cy="1543355"/>
                <wp:effectExtent l="0" t="0" r="0" b="0"/>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5972442" cy="1543355"/>
                        </a:xfrm>
                        <a:prstGeom prst="rect">
                          <a:avLst/>
                        </a:prstGeom>
                        <a:noFill/>
                        <a:ln>
                          <a:noFill/>
                          <a:beve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470.3pt;height:121.5pt;mso-wrap-distance-left:0.0pt;mso-wrap-distance-top:0.0pt;mso-wrap-distance-right:0.0pt;mso-wrap-distance-bottom:0.0pt;" stroked="f">
                <v:path textboxrect="0,0,0,0"/>
                <v:imagedata r:id="rId193" o:title=""/>
              </v:shape>
            </w:pict>
          </mc:Fallback>
        </mc:AlternateContent>
      </w:r>
      <w:r>
        <w:rPr>
          <w:rFonts w:hAnsi="宋体"/>
          <w:szCs w:val="21"/>
        </w:rPr>
      </w:r>
      <w:r/>
    </w:p>
    <w:p>
      <w:pPr>
        <w:pStyle w:val="1151"/>
        <w:jc w:val="center"/>
        <w:spacing w:line="300" w:lineRule="auto"/>
        <w:rPr>
          <w:rFonts w:ascii="黑体" w:hAnsi="黑体" w:eastAsia="黑体" w:cs="宋体"/>
          <w:szCs w:val="21"/>
        </w:rPr>
      </w:pPr>
      <w:r>
        <w:rPr>
          <w:rFonts w:ascii="黑体" w:hAnsi="黑体" w:eastAsia="黑体" w:cs="宋体"/>
          <w:szCs w:val="21"/>
        </w:rPr>
        <w:t xml:space="preserve">图</w:t>
      </w:r>
      <w:r>
        <w:rPr>
          <w:rFonts w:hint="eastAsia" w:ascii="黑体" w:hAnsi="黑体" w:eastAsia="黑体" w:cs="宋体"/>
          <w:szCs w:val="21"/>
        </w:rPr>
        <w:t xml:space="preserve">L</w:t>
      </w:r>
      <w:r>
        <w:rPr>
          <w:rFonts w:ascii="黑体" w:hAnsi="黑体" w:eastAsia="黑体" w:cs="宋体"/>
          <w:szCs w:val="21"/>
        </w:rPr>
        <w:t xml:space="preserve">-</w:t>
      </w:r>
      <w:r>
        <w:rPr>
          <w:rFonts w:hint="eastAsia" w:ascii="黑体" w:hAnsi="黑体" w:eastAsia="黑体" w:cs="宋体"/>
          <w:szCs w:val="21"/>
        </w:rPr>
        <w:t xml:space="preserve">8重合闸时序图</w:t>
      </w:r>
      <w:r>
        <w:rPr>
          <w:rFonts w:ascii="黑体" w:hAnsi="黑体" w:eastAsia="黑体" w:cs="宋体"/>
          <w:szCs w:val="21"/>
        </w:rPr>
      </w:r>
      <w:r/>
    </w:p>
    <w:p>
      <w:pPr>
        <w:pStyle w:val="1151"/>
        <w:ind w:firstLine="420"/>
        <w:rPr>
          <w:szCs w:val="21"/>
        </w:rPr>
      </w:pPr>
      <w:r>
        <w:rPr>
          <w:rFonts w:hint="eastAsia"/>
          <w:szCs w:val="21"/>
        </w:rPr>
        <w:t xml:space="preserve">重合闸时序图中仅第一次重合闸时体现出重合闸检有压逻辑，第二第三次逻辑和第一次类似不再画出。</w:t>
      </w:r>
      <w:r>
        <w:rPr>
          <w:szCs w:val="21"/>
        </w:rPr>
      </w:r>
      <w:r/>
    </w:p>
    <w:p>
      <w:pPr>
        <w:pStyle w:val="1151"/>
        <w:ind w:firstLine="420"/>
        <w:rPr>
          <w:szCs w:val="21"/>
        </w:rPr>
      </w:pPr>
      <w:r>
        <w:rPr>
          <w:szCs w:val="21"/>
        </w:rPr>
        <w:t xml:space="preserve">重合闸充电时间：满足充电条件，经[重合闸充电时间]后，重合闸充电，一次充电可以满足最多3次重合闸动作（动作次数可整定）</w:t>
      </w:r>
      <w:r>
        <w:rPr>
          <w:rFonts w:hint="eastAsia"/>
          <w:szCs w:val="21"/>
        </w:rPr>
        <w:t xml:space="preserve">，和[重合闸复归时间</w:t>
      </w:r>
      <w:r>
        <w:rPr>
          <w:szCs w:val="21"/>
        </w:rPr>
        <w:t xml:space="preserve">]</w:t>
      </w:r>
      <w:r>
        <w:rPr>
          <w:rFonts w:hint="eastAsia"/>
          <w:szCs w:val="21"/>
        </w:rPr>
        <w:t xml:space="preserve">一致，不单独整定</w:t>
      </w:r>
      <w:r>
        <w:rPr>
          <w:szCs w:val="21"/>
        </w:rPr>
        <w:t xml:space="preserve">。</w:t>
      </w:r>
      <w:r>
        <w:rPr>
          <w:szCs w:val="21"/>
        </w:rPr>
      </w:r>
      <w:r/>
    </w:p>
    <w:p>
      <w:pPr>
        <w:pStyle w:val="1151"/>
        <w:ind w:firstLine="420"/>
        <w:rPr>
          <w:szCs w:val="21"/>
        </w:rPr>
      </w:pPr>
      <w:r>
        <w:rPr>
          <w:rFonts w:hint="eastAsia"/>
          <w:szCs w:val="21"/>
        </w:rPr>
        <w:t xml:space="preserve">重合闸复归时间：从重合闸合闸动作开始计时，如果有新的重合闸动作发生，则计时重新开始，经重合闸复归时间后，重合闸整组复归，重合闸逻辑结束，可以进行新一轮多次重合闸动作。</w:t>
      </w:r>
      <w:r>
        <w:rPr>
          <w:szCs w:val="21"/>
        </w:rPr>
      </w:r>
      <w:r/>
    </w:p>
    <w:p>
      <w:pPr>
        <w:pStyle w:val="1151"/>
        <w:ind w:firstLine="420"/>
        <w:rPr>
          <w:strike/>
          <w:szCs w:val="21"/>
        </w:rPr>
      </w:pPr>
      <w:r>
        <w:rPr>
          <w:szCs w:val="21"/>
        </w:rPr>
        <w:t xml:space="preserve">重合闸闭锁时间：</w:t>
      </w:r>
      <w:r>
        <w:rPr>
          <w:rFonts w:hint="eastAsia"/>
          <w:szCs w:val="21"/>
        </w:rPr>
        <w:t xml:space="preserve">重合闸合闸后[重合闸闭锁时间</w:t>
      </w:r>
      <w:r>
        <w:rPr>
          <w:szCs w:val="21"/>
        </w:rPr>
        <w:t xml:space="preserve">]</w:t>
      </w:r>
      <w:r>
        <w:rPr>
          <w:rFonts w:hint="eastAsia"/>
          <w:szCs w:val="21"/>
        </w:rPr>
        <w:t xml:space="preserve">内，如果发生保护跳闸，则闭锁重合闸，重合闸放电，重合闸不再继续进行。</w:t>
      </w:r>
      <w:r>
        <w:rPr>
          <w:strike/>
          <w:szCs w:val="21"/>
        </w:rPr>
      </w:r>
      <w:r/>
    </w:p>
    <w:p>
      <w:pPr>
        <w:pStyle w:val="1151"/>
        <w:ind w:firstLine="420"/>
        <w:rPr>
          <w:szCs w:val="21"/>
        </w:rPr>
      </w:pPr>
      <w:r>
        <w:rPr>
          <w:szCs w:val="21"/>
        </w:rPr>
        <w:t xml:space="preserve">重合闸检有压等待时间：[重合闸检有压]投入，在[重合闸检有压等待时间]内检测到单侧有压，才允许经[重合闸时间]后重合闸出口；在[重合闸检有压等待时间]内未检测到单侧有压，</w:t>
      </w:r>
      <w:r>
        <w:rPr>
          <w:rFonts w:hint="eastAsia"/>
          <w:szCs w:val="21"/>
        </w:rPr>
        <w:t xml:space="preserve">重合闸放电，重合闸不再继续进行</w:t>
      </w:r>
      <w:r>
        <w:rPr>
          <w:szCs w:val="21"/>
        </w:rPr>
        <w:t xml:space="preserve">。</w:t>
      </w:r>
      <w:r>
        <w:rPr>
          <w:szCs w:val="21"/>
        </w:rPr>
      </w:r>
      <w:r/>
    </w:p>
    <w:p>
      <w:pPr>
        <w:pStyle w:val="1151"/>
        <w:ind w:firstLine="420"/>
        <w:rPr>
          <w:rFonts w:ascii="宋体" w:hAnsi="宋体"/>
          <w:szCs w:val="21"/>
        </w:rPr>
      </w:pPr>
      <w:r>
        <w:rPr>
          <w:rFonts w:ascii="宋体" w:hAnsi="宋体"/>
          <w:szCs w:val="21"/>
        </w:rPr>
      </w:r>
      <w:r/>
    </w:p>
    <w:p>
      <w:pPr>
        <w:pStyle w:val="1240"/>
        <w:numPr>
          <w:ilvl w:val="0"/>
          <w:numId w:val="0"/>
        </w:numPr>
        <w:spacing w:line="500" w:lineRule="exact"/>
        <w:rPr>
          <w:rFonts w:ascii="Times New Roman"/>
        </w:rPr>
        <w:outlineLvl w:val="2"/>
      </w:pPr>
      <w:r>
        <w:rPr>
          <w:rFonts w:hint="eastAsia" w:ascii="Times New Roman"/>
        </w:rPr>
        <w:t xml:space="preserve">L</w:t>
      </w:r>
      <w:r>
        <w:rPr>
          <w:rFonts w:ascii="Times New Roman"/>
        </w:rPr>
        <w:t xml:space="preserve">.</w:t>
      </w:r>
      <w:r>
        <w:rPr>
          <w:rFonts w:hint="eastAsia" w:ascii="Times New Roman"/>
        </w:rPr>
        <w:t xml:space="preserve">8加速保护</w:t>
      </w:r>
      <w:r>
        <w:rPr>
          <w:rFonts w:ascii="Times New Roman"/>
        </w:rPr>
      </w:r>
      <w:r/>
    </w:p>
    <w:p>
      <w:pPr>
        <w:pStyle w:val="1151"/>
        <w:ind w:firstLine="420"/>
        <w:rPr>
          <w:rFonts w:ascii="宋体" w:hAnsi="宋体"/>
          <w:szCs w:val="21"/>
        </w:rPr>
      </w:pPr>
      <w:r>
        <w:rPr>
          <w:rFonts w:hint="eastAsia" w:ascii="宋体" w:hAnsi="宋体"/>
          <w:szCs w:val="21"/>
        </w:rPr>
        <w:t xml:space="preserve">在手动合闸或重合闸动作后[加速段保护开放时间]内，开放加速保护，如果加速保护动作，则闭锁重合闸。</w:t>
      </w:r>
      <w:r>
        <w:rPr>
          <w:rFonts w:ascii="宋体" w:hAnsi="宋体"/>
          <w:szCs w:val="21"/>
        </w:rPr>
      </w:r>
      <w:r/>
    </w:p>
    <w:p>
      <w:pPr>
        <w:pStyle w:val="1201"/>
        <w:ind w:firstLine="0"/>
        <w:jc w:val="center"/>
        <w:tabs>
          <w:tab w:val="center" w:pos="4201" w:leader="none"/>
          <w:tab w:val="right" w:pos="9298" w:leader="dot"/>
        </w:tabs>
        <w:rPr>
          <w:szCs w:val="21"/>
        </w:rPr>
      </w:pPr>
      <w:r>
        <w:rPr>
          <w:szCs w:val="21"/>
        </w:rPr>
        <mc:AlternateContent>
          <mc:Choice Requires="wpg">
            <w:drawing>
              <wp:inline xmlns:wp="http://schemas.openxmlformats.org/drawingml/2006/wordprocessingDrawing" distT="0" distB="0" distL="0" distR="0">
                <wp:extent cx="5269116" cy="2854833"/>
                <wp:effectExtent l="0" t="0" r="0" b="0"/>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5269115" cy="28548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414.9pt;height:224.8pt;mso-wrap-distance-left:0.0pt;mso-wrap-distance-top:0.0pt;mso-wrap-distance-right:0.0pt;mso-wrap-distance-bottom:0.0pt;" stroked="f">
                <v:path textboxrect="0,0,0,0"/>
                <v:imagedata r:id="rId194" o:title=""/>
              </v:shape>
            </w:pict>
          </mc:Fallback>
        </mc:AlternateContent>
      </w:r>
      <w:r>
        <w:rPr>
          <w:szCs w:val="21"/>
        </w:rPr>
      </w:r>
      <w:r/>
    </w:p>
    <w:p>
      <w:pPr>
        <w:pStyle w:val="1201"/>
        <w:ind w:firstLine="0"/>
        <w:jc w:val="center"/>
        <w:tabs>
          <w:tab w:val="center" w:pos="4201" w:leader="none"/>
          <w:tab w:val="right" w:pos="9298" w:leader="dot"/>
        </w:tabs>
        <w:rPr>
          <w:rFonts w:hAnsi="宋体"/>
          <w:szCs w:val="21"/>
        </w:rPr>
      </w:pPr>
      <w:r>
        <w:rPr>
          <w:rFonts w:ascii="黑体" w:hAnsi="黑体" w:eastAsia="黑体" w:cs="宋体"/>
          <w:szCs w:val="21"/>
        </w:rPr>
        <w:t xml:space="preserve">图</w:t>
      </w:r>
      <w:r>
        <w:rPr>
          <w:rFonts w:hint="eastAsia" w:ascii="黑体" w:hAnsi="黑体" w:eastAsia="黑体" w:cs="宋体"/>
          <w:szCs w:val="21"/>
        </w:rPr>
        <w:t xml:space="preserve">L</w:t>
      </w:r>
      <w:r>
        <w:rPr>
          <w:rFonts w:ascii="黑体" w:hAnsi="黑体" w:eastAsia="黑体" w:cs="宋体"/>
          <w:szCs w:val="21"/>
        </w:rPr>
        <w:t xml:space="preserve">-</w:t>
      </w:r>
      <w:r>
        <w:rPr>
          <w:rFonts w:hint="eastAsia" w:ascii="黑体" w:hAnsi="黑体" w:eastAsia="黑体" w:cs="宋体"/>
          <w:szCs w:val="21"/>
        </w:rPr>
        <w:t xml:space="preserve">9</w:t>
      </w:r>
      <w:r>
        <w:rPr>
          <w:rFonts w:ascii="黑体" w:hAnsi="黑体" w:eastAsia="黑体" w:cs="宋体"/>
          <w:szCs w:val="21"/>
        </w:rPr>
        <w:t xml:space="preserve">加速保护逻辑框图</w:t>
      </w:r>
      <w:r>
        <w:rPr>
          <w:rFonts w:hAnsi="宋体"/>
          <w:szCs w:val="21"/>
        </w:rPr>
      </w:r>
      <w:r/>
    </w:p>
    <w:p>
      <w:pPr>
        <w:pStyle w:val="1151"/>
        <w:jc w:val="left"/>
        <w:widowControl/>
        <w:rPr>
          <w:szCs w:val="21"/>
        </w:rPr>
      </w:pPr>
      <w:r>
        <w:rPr>
          <w:szCs w:val="21"/>
        </w:rPr>
      </w:r>
      <w:r/>
    </w:p>
    <w:p>
      <w:pPr>
        <w:pStyle w:val="1196"/>
        <w:numPr>
          <w:ilvl w:val="0"/>
          <w:numId w:val="0"/>
        </w:numPr>
        <w:jc w:val="both"/>
        <w:widowControl w:val="off"/>
        <w:tabs>
          <w:tab w:val="left" w:pos="780" w:leader="none"/>
        </w:tabs>
        <w:rPr>
          <w:rFonts w:hint="eastAsia" w:ascii="宋体" w:hAnsi="宋体" w:cs="宋体"/>
          <w:color w:val="000000"/>
          <w:sz w:val="36"/>
          <w:lang w:eastAsia="zh-CN"/>
        </w:rPr>
      </w:pPr>
      <w:r>
        <w:rPr>
          <w:rFonts w:hint="eastAsia" w:ascii="宋体" w:hAnsi="宋体" w:cs="宋体"/>
          <w:color w:val="000000"/>
          <w:sz w:val="36"/>
          <w:lang w:eastAsia="zh-CN"/>
        </w:rPr>
      </w:r>
      <w:r/>
    </w:p>
    <w:p>
      <w:pPr>
        <w:pStyle w:val="1210"/>
        <w:ind w:firstLine="0"/>
        <w:rPr>
          <w:rFonts w:hint="eastAsia" w:ascii="宋体" w:hAnsi="宋体" w:cs="宋体"/>
          <w:color w:val="000000"/>
        </w:rPr>
      </w:pPr>
      <w:r>
        <w:rPr>
          <w:rFonts w:hint="eastAsia" w:ascii="宋体" w:hAnsi="宋体" w:cs="宋体"/>
          <w:color w:val="000000"/>
        </w:rPr>
      </w:r>
      <w:r/>
    </w:p>
    <w:p>
      <w:pPr>
        <w:pStyle w:val="1210"/>
        <w:ind w:firstLine="0"/>
        <w:rPr>
          <w:rFonts w:hint="eastAsia" w:ascii="宋体" w:hAnsi="宋体" w:cs="宋体"/>
          <w:color w:val="000000"/>
        </w:rPr>
      </w:pPr>
      <w:r>
        <w:rPr>
          <w:rFonts w:hint="eastAsia" w:ascii="宋体" w:hAnsi="宋体" w:cs="宋体"/>
          <w:color w:val="000000"/>
        </w:rPr>
      </w:r>
      <w:r/>
    </w:p>
    <w:p>
      <w:pPr>
        <w:pStyle w:val="1210"/>
        <w:ind w:firstLine="0"/>
        <w:rPr>
          <w:rFonts w:hint="eastAsia" w:ascii="宋体" w:hAnsi="宋体" w:cs="宋体"/>
          <w:color w:val="000000"/>
        </w:rPr>
      </w:pPr>
      <w:r>
        <w:rPr>
          <w:rFonts w:hint="eastAsia" w:ascii="宋体" w:hAnsi="宋体" w:cs="宋体"/>
          <w:color w:val="000000"/>
        </w:rPr>
      </w:r>
      <w:r/>
    </w:p>
    <w:p>
      <w:pPr>
        <w:pStyle w:val="1210"/>
        <w:ind w:firstLine="0"/>
        <w:rPr>
          <w:rFonts w:hint="eastAsia" w:ascii="宋体" w:hAnsi="宋体" w:cs="宋体"/>
          <w:color w:val="000000"/>
        </w:rPr>
      </w:pPr>
      <w:r>
        <w:rPr>
          <w:rFonts w:hint="eastAsia" w:ascii="宋体" w:hAnsi="宋体" w:cs="宋体"/>
          <w:color w:val="000000"/>
        </w:rPr>
      </w:r>
      <w:r/>
    </w:p>
    <w:p>
      <w:pPr>
        <w:pStyle w:val="1210"/>
        <w:ind w:firstLine="0"/>
        <w:rPr>
          <w:rFonts w:hint="eastAsia" w:ascii="宋体" w:hAnsi="宋体" w:cs="宋体"/>
          <w:color w:val="000000"/>
        </w:rPr>
      </w:pPr>
      <w:r>
        <w:rPr>
          <w:rFonts w:hint="eastAsia" w:ascii="宋体" w:hAnsi="宋体" w:cs="宋体"/>
          <w:color w:val="000000"/>
        </w:rPr>
      </w:r>
      <w:r/>
    </w:p>
    <w:p>
      <w:pPr>
        <w:pStyle w:val="1210"/>
        <w:ind w:firstLine="0"/>
        <w:rPr>
          <w:rFonts w:hint="eastAsia" w:ascii="宋体" w:hAnsi="宋体" w:cs="宋体"/>
          <w:color w:val="000000"/>
        </w:rPr>
      </w:pPr>
      <w:r>
        <w:rPr>
          <w:rFonts w:hint="eastAsia" w:ascii="宋体" w:hAnsi="宋体" w:cs="宋体"/>
          <w:color w:val="000000"/>
        </w:rPr>
      </w:r>
      <w:r/>
    </w:p>
    <w:p>
      <w:pPr>
        <w:pStyle w:val="1210"/>
        <w:ind w:firstLine="0"/>
        <w:rPr>
          <w:rFonts w:hint="eastAsia" w:ascii="宋体" w:hAnsi="宋体" w:cs="宋体"/>
          <w:color w:val="000000"/>
        </w:rPr>
      </w:pPr>
      <w:r>
        <w:rPr>
          <w:rFonts w:hint="eastAsia" w:ascii="宋体" w:hAnsi="宋体" w:cs="宋体"/>
          <w:color w:val="000000"/>
        </w:rPr>
      </w:r>
      <w:r/>
    </w:p>
    <w:p>
      <w:pPr>
        <w:pStyle w:val="1210"/>
        <w:ind w:firstLine="0"/>
        <w:rPr>
          <w:rFonts w:hint="eastAsia" w:ascii="宋体" w:hAnsi="宋体" w:cs="宋体"/>
          <w:color w:val="000000"/>
        </w:rPr>
      </w:pPr>
      <w:r>
        <w:rPr>
          <w:rFonts w:hint="eastAsia" w:ascii="宋体" w:hAnsi="宋体" w:cs="宋体"/>
          <w:color w:val="000000"/>
        </w:rPr>
      </w:r>
      <w:r/>
    </w:p>
    <w:p>
      <w:pPr>
        <w:pStyle w:val="1210"/>
        <w:ind w:firstLine="0"/>
        <w:rPr>
          <w:rFonts w:hint="eastAsia" w:ascii="宋体" w:hAnsi="宋体" w:cs="宋体"/>
          <w:color w:val="000000"/>
        </w:rPr>
      </w:pPr>
      <w:r>
        <w:rPr>
          <w:rFonts w:hint="eastAsia" w:ascii="宋体" w:hAnsi="宋体" w:cs="宋体"/>
          <w:color w:val="000000"/>
        </w:rPr>
      </w:r>
      <w:r/>
    </w:p>
    <w:p>
      <w:pPr>
        <w:pStyle w:val="1210"/>
        <w:ind w:firstLine="0"/>
        <w:rPr>
          <w:rFonts w:hint="eastAsia" w:ascii="宋体" w:hAnsi="宋体" w:cs="宋体"/>
          <w:color w:val="000000"/>
        </w:rPr>
      </w:pPr>
      <w:r>
        <w:rPr>
          <w:rFonts w:hint="eastAsia" w:ascii="宋体" w:hAnsi="宋体" w:cs="宋体"/>
          <w:color w:val="000000"/>
        </w:rPr>
      </w:r>
      <w:r/>
    </w:p>
    <w:p>
      <w:pPr>
        <w:pStyle w:val="1210"/>
        <w:ind w:firstLine="0"/>
        <w:rPr>
          <w:rFonts w:ascii="宋体" w:hAnsi="宋体" w:eastAsia="宋体" w:cs="宋体"/>
          <w:color w:val="000000"/>
          <w:sz w:val="36"/>
          <w:szCs w:val="36"/>
          <w:lang w:val="en-US" w:eastAsia="zh-CN"/>
        </w:rPr>
      </w:pPr>
      <w:r>
        <w:rPr>
          <w:rFonts w:hint="eastAsia" w:ascii="宋体" w:hAnsi="宋体" w:cs="宋体"/>
          <w:color w:val="000000"/>
          <w:sz w:val="36"/>
          <w:szCs w:val="36"/>
          <w:lang w:eastAsia="zh-CN"/>
        </w:rPr>
        <w:t xml:space="preserve">附件</w:t>
      </w:r>
      <w:r>
        <w:rPr>
          <w:rFonts w:hint="eastAsia" w:ascii="宋体" w:hAnsi="宋体" w:cs="宋体"/>
          <w:color w:val="000000"/>
          <w:sz w:val="36"/>
          <w:szCs w:val="36"/>
          <w:lang w:val="en-US" w:eastAsia="zh-CN"/>
        </w:rPr>
        <w:t xml:space="preserve">2：</w:t>
      </w:r>
      <w:r>
        <w:rPr>
          <w:rFonts w:ascii="宋体" w:hAnsi="宋体" w:eastAsia="宋体" w:cs="宋体"/>
          <w:color w:val="000000"/>
          <w:sz w:val="36"/>
          <w:szCs w:val="36"/>
          <w:lang w:val="en-US" w:eastAsia="zh-CN"/>
        </w:rPr>
      </w:r>
      <w:r/>
    </w:p>
    <w:p>
      <w:pPr>
        <w:pStyle w:val="1151"/>
        <w:ind w:firstLine="261"/>
        <w:jc w:val="center"/>
        <w:spacing w:line="360" w:lineRule="auto"/>
        <w:rPr>
          <w:b/>
          <w:sz w:val="52"/>
        </w:rPr>
      </w:pPr>
      <w:r>
        <w:rPr>
          <w:b/>
          <w:sz w:val="52"/>
        </w:rPr>
      </w:r>
      <w:r/>
    </w:p>
    <w:p>
      <w:pPr>
        <w:pStyle w:val="1151"/>
        <w:jc w:val="both"/>
        <w:spacing w:line="360" w:lineRule="auto"/>
        <w:rPr>
          <w:b/>
          <w:sz w:val="48"/>
          <w:szCs w:val="48"/>
          <w:u w:val="single"/>
        </w:rPr>
      </w:pPr>
      <w:r>
        <w:rPr>
          <w:b/>
          <w:sz w:val="48"/>
          <w:szCs w:val="48"/>
          <w:u w:val="single"/>
        </w:rPr>
      </w:r>
      <w:r/>
    </w:p>
    <w:p>
      <w:pPr>
        <w:pStyle w:val="1151"/>
        <w:jc w:val="center"/>
        <w:rPr>
          <w:b/>
          <w:sz w:val="48"/>
          <w:szCs w:val="48"/>
          <w:u w:val="single"/>
        </w:rPr>
      </w:pPr>
      <w:r>
        <w:rPr>
          <w:rFonts w:hint="eastAsia"/>
          <w:b/>
          <w:sz w:val="48"/>
          <w:szCs w:val="48"/>
          <w:u w:val="single"/>
        </w:rPr>
        <w:t xml:space="preserve">一二次融合标准化环网箱,AC10kV,630A,SF</w:t>
      </w:r>
      <w:r>
        <w:rPr>
          <w:rFonts w:hint="eastAsia"/>
          <w:b/>
          <w:sz w:val="48"/>
          <w:szCs w:val="48"/>
          <w:u w:val="single"/>
          <w:vertAlign w:val="subscript"/>
        </w:rPr>
        <w:t xml:space="preserve">6</w:t>
      </w:r>
      <w:r>
        <w:rPr>
          <w:rFonts w:hint="eastAsia"/>
          <w:b/>
          <w:sz w:val="48"/>
          <w:szCs w:val="48"/>
          <w:u w:val="single"/>
        </w:rPr>
        <w:t xml:space="preserve">,二进四出</w:t>
      </w:r>
      <w:r>
        <w:rPr>
          <w:b/>
          <w:sz w:val="48"/>
          <w:szCs w:val="48"/>
          <w:u w:val="single"/>
        </w:rPr>
        <w:t xml:space="preserve">。</w:t>
      </w:r>
      <w:r>
        <w:rPr>
          <w:rFonts w:hint="eastAsia"/>
          <w:b/>
          <w:sz w:val="48"/>
          <w:szCs w:val="48"/>
          <w:u w:val="single"/>
        </w:rPr>
        <w:t xml:space="preserve">标准化,2进,4出,SF</w:t>
      </w:r>
      <w:r>
        <w:rPr>
          <w:rFonts w:hint="eastAsia"/>
          <w:b/>
          <w:sz w:val="48"/>
          <w:szCs w:val="48"/>
          <w:u w:val="single"/>
          <w:vertAlign w:val="subscript"/>
        </w:rPr>
        <w:t xml:space="preserve">6</w:t>
      </w:r>
      <w:r>
        <w:rPr>
          <w:rFonts w:hint="eastAsia"/>
          <w:b/>
          <w:sz w:val="48"/>
          <w:szCs w:val="48"/>
          <w:u w:val="single"/>
        </w:rPr>
        <w:t xml:space="preserve">绝缘,集中式DTU,进出线断路器,不锈钢外壳</w:t>
      </w:r>
      <w:r>
        <w:rPr>
          <w:b/>
          <w:sz w:val="48"/>
          <w:szCs w:val="48"/>
          <w:u w:val="single"/>
        </w:rPr>
      </w:r>
      <w:r/>
    </w:p>
    <w:p>
      <w:pPr>
        <w:pStyle w:val="1151"/>
        <w:spacing w:line="360" w:lineRule="auto"/>
        <w:rPr>
          <w:rFonts w:eastAsia="方正小标宋简体"/>
          <w:sz w:val="72"/>
          <w:szCs w:val="72"/>
        </w:rPr>
      </w:pPr>
      <w:r>
        <w:rPr>
          <w:rFonts w:eastAsia="方正小标宋简体"/>
          <w:sz w:val="72"/>
          <w:szCs w:val="72"/>
        </w:rPr>
      </w:r>
      <w:r/>
    </w:p>
    <w:p>
      <w:pPr>
        <w:pStyle w:val="1151"/>
        <w:jc w:val="center"/>
        <w:spacing w:line="360" w:lineRule="auto"/>
        <w:rPr>
          <w:b/>
          <w:sz w:val="36"/>
          <w:szCs w:val="36"/>
        </w:rPr>
      </w:pPr>
      <w:r>
        <w:rPr>
          <w:b/>
          <w:sz w:val="36"/>
          <w:szCs w:val="36"/>
        </w:rPr>
      </w:r>
      <w:r/>
    </w:p>
    <w:p>
      <w:pPr>
        <w:pStyle w:val="1151"/>
        <w:jc w:val="center"/>
        <w:rPr>
          <w:b/>
          <w:sz w:val="48"/>
          <w:szCs w:val="48"/>
          <w:u w:val="single"/>
        </w:rPr>
      </w:pPr>
      <w:r>
        <w:rPr>
          <w:b/>
          <w:sz w:val="48"/>
          <w:szCs w:val="48"/>
          <w:u w:val="single"/>
        </w:rPr>
        <w:t xml:space="preserve">技术规范书</w:t>
      </w:r>
      <w:r>
        <w:rPr>
          <w:b/>
          <w:sz w:val="48"/>
          <w:szCs w:val="48"/>
          <w:u w:val="single"/>
        </w:rPr>
      </w:r>
      <w:r/>
    </w:p>
    <w:p>
      <w:pPr>
        <w:pStyle w:val="1151"/>
        <w:jc w:val="center"/>
        <w:rPr>
          <w:b/>
          <w:sz w:val="48"/>
          <w:szCs w:val="48"/>
          <w:u w:val="single"/>
        </w:rPr>
      </w:pPr>
      <w:r>
        <w:rPr>
          <w:rFonts w:hint="eastAsia" w:ascii="宋体" w:hAnsi="宋体"/>
          <w:b/>
          <w:sz w:val="48"/>
          <w:szCs w:val="48"/>
        </w:rPr>
        <w:t xml:space="preserve">(专用部分)</w:t>
      </w:r>
      <w:r>
        <w:rPr>
          <w:b/>
          <w:sz w:val="48"/>
          <w:szCs w:val="48"/>
          <w:u w:val="single"/>
        </w:rPr>
      </w:r>
      <w:r/>
    </w:p>
    <w:p>
      <w:pPr>
        <w:pStyle w:val="1151"/>
        <w:jc w:val="center"/>
        <w:spacing w:line="360" w:lineRule="auto"/>
        <w:rPr>
          <w:b/>
          <w:sz w:val="36"/>
          <w:szCs w:val="36"/>
        </w:rPr>
      </w:pPr>
      <w:r>
        <w:rPr>
          <w:b/>
          <w:sz w:val="36"/>
          <w:szCs w:val="36"/>
        </w:rPr>
      </w:r>
      <w:r/>
    </w:p>
    <w:p>
      <w:pPr>
        <w:pStyle w:val="1151"/>
        <w:jc w:val="center"/>
        <w:spacing w:line="360" w:lineRule="auto"/>
        <w:rPr>
          <w:b/>
          <w:sz w:val="36"/>
          <w:szCs w:val="36"/>
        </w:rPr>
      </w:pPr>
      <w:r>
        <w:rPr>
          <w:b/>
          <w:sz w:val="36"/>
          <w:szCs w:val="36"/>
        </w:rPr>
      </w:r>
      <w:r/>
    </w:p>
    <w:p>
      <w:pPr>
        <w:pStyle w:val="1151"/>
        <w:jc w:val="center"/>
        <w:spacing w:line="360" w:lineRule="auto"/>
        <w:rPr>
          <w:b/>
          <w:sz w:val="36"/>
          <w:szCs w:val="36"/>
        </w:rPr>
      </w:pPr>
      <w:r>
        <w:rPr>
          <w:b/>
          <w:sz w:val="36"/>
          <w:szCs w:val="36"/>
        </w:rPr>
      </w:r>
      <w:r/>
    </w:p>
    <w:p>
      <w:pPr>
        <w:pStyle w:val="1151"/>
        <w:jc w:val="center"/>
        <w:spacing w:line="360" w:lineRule="auto"/>
        <w:rPr>
          <w:b/>
          <w:sz w:val="36"/>
          <w:szCs w:val="36"/>
        </w:rPr>
      </w:pPr>
      <w:r>
        <w:rPr>
          <w:b/>
          <w:sz w:val="36"/>
          <w:szCs w:val="36"/>
        </w:rPr>
      </w:r>
      <w:r/>
    </w:p>
    <w:p>
      <w:pPr>
        <w:pStyle w:val="1151"/>
        <w:jc w:val="both"/>
        <w:spacing w:line="360" w:lineRule="auto"/>
        <w:rPr>
          <w:b/>
          <w:sz w:val="36"/>
          <w:szCs w:val="36"/>
        </w:rPr>
      </w:pPr>
      <w:r>
        <w:rPr>
          <w:b/>
          <w:sz w:val="36"/>
          <w:szCs w:val="36"/>
        </w:rPr>
      </w:r>
      <w:r/>
    </w:p>
    <w:p>
      <w:pPr>
        <w:pStyle w:val="1151"/>
        <w:jc w:val="center"/>
        <w:spacing w:line="360" w:lineRule="auto"/>
        <w:rPr>
          <w:b/>
          <w:sz w:val="36"/>
          <w:szCs w:val="36"/>
        </w:rPr>
      </w:pPr>
      <w:r>
        <w:rPr>
          <w:b/>
          <w:sz w:val="36"/>
          <w:szCs w:val="36"/>
        </w:rPr>
      </w:r>
      <w:r/>
    </w:p>
    <w:p>
      <w:pPr>
        <w:pStyle w:val="1151"/>
        <w:jc w:val="center"/>
        <w:spacing w:line="360" w:lineRule="auto"/>
        <w:rPr>
          <w:b/>
          <w:sz w:val="36"/>
          <w:szCs w:val="36"/>
        </w:rPr>
      </w:pPr>
      <w:r>
        <w:rPr>
          <w:b/>
          <w:sz w:val="36"/>
          <w:szCs w:val="36"/>
        </w:rPr>
      </w:r>
      <w:r/>
    </w:p>
    <w:p>
      <w:pPr>
        <w:pStyle w:val="1151"/>
        <w:jc w:val="center"/>
        <w:spacing w:line="360" w:lineRule="auto"/>
        <w:rPr>
          <w:b/>
          <w:sz w:val="36"/>
          <w:szCs w:val="36"/>
        </w:rPr>
      </w:pPr>
      <w:r>
        <w:rPr>
          <w:b/>
          <w:sz w:val="36"/>
          <w:szCs w:val="36"/>
        </w:rPr>
      </w:r>
      <w:r/>
    </w:p>
    <w:p>
      <w:pPr>
        <w:pStyle w:val="1151"/>
        <w:jc w:val="center"/>
        <w:spacing w:line="360" w:lineRule="auto"/>
        <w:rPr>
          <w:b/>
          <w:sz w:val="36"/>
          <w:szCs w:val="36"/>
        </w:rPr>
      </w:pPr>
      <w:r>
        <w:rPr>
          <w:b/>
          <w:sz w:val="36"/>
          <w:szCs w:val="36"/>
        </w:rPr>
        <w:t xml:space="preserve">202</w:t>
      </w:r>
      <w:r>
        <w:rPr>
          <w:rFonts w:hint="eastAsia"/>
          <w:b/>
          <w:sz w:val="36"/>
          <w:szCs w:val="36"/>
        </w:rPr>
        <w:t xml:space="preserve">5</w:t>
      </w:r>
      <w:r>
        <w:rPr>
          <w:b/>
          <w:sz w:val="36"/>
          <w:szCs w:val="36"/>
        </w:rPr>
        <w:t xml:space="preserve">年</w:t>
      </w:r>
      <w:r>
        <w:rPr>
          <w:rFonts w:hint="eastAsia"/>
          <w:b/>
          <w:sz w:val="36"/>
          <w:szCs w:val="36"/>
        </w:rPr>
        <w:t xml:space="preserve">6</w:t>
      </w:r>
      <w:r>
        <w:rPr>
          <w:b/>
          <w:sz w:val="36"/>
          <w:szCs w:val="36"/>
        </w:rPr>
        <w:t xml:space="preserve">月</w:t>
      </w:r>
      <w:r>
        <w:rPr>
          <w:b/>
          <w:sz w:val="36"/>
          <w:szCs w:val="36"/>
        </w:rPr>
        <w:br w:type="page" w:clear="all"/>
      </w:r>
      <w:r>
        <w:rPr>
          <w:b/>
          <w:sz w:val="36"/>
          <w:szCs w:val="36"/>
        </w:rPr>
      </w:r>
      <w:r/>
    </w:p>
    <w:p>
      <w:pPr>
        <w:pStyle w:val="1151"/>
        <w:jc w:val="center"/>
        <w:spacing w:line="360" w:lineRule="auto"/>
        <w:rPr>
          <w:b/>
          <w:sz w:val="36"/>
          <w:szCs w:val="36"/>
        </w:rPr>
      </w:pPr>
      <w:r>
        <w:rPr>
          <w:b/>
          <w:sz w:val="36"/>
          <w:szCs w:val="36"/>
        </w:rPr>
        <w:t xml:space="preserve">目录</w:t>
      </w:r>
      <w:r>
        <w:rPr>
          <w:b/>
          <w:sz w:val="36"/>
          <w:szCs w:val="36"/>
        </w:rPr>
      </w:r>
      <w:r/>
    </w:p>
    <w:p>
      <w:pPr>
        <w:pStyle w:val="1236"/>
        <w:jc w:val="center"/>
        <w:rPr>
          <w:rFonts w:ascii="Times New Roman" w:hAnsi="Times New Roman" w:cs="Times New Roman"/>
          <w:color w:val="000000"/>
        </w:rPr>
      </w:pPr>
      <w:r>
        <w:rPr>
          <w:rFonts w:ascii="Times New Roman" w:hAnsi="Times New Roman" w:cs="Times New Roman"/>
          <w:color w:val="000000"/>
        </w:rPr>
      </w:r>
      <w:r/>
    </w:p>
    <w:p>
      <w:pPr>
        <w:pStyle w:val="1182"/>
        <w:tabs>
          <w:tab w:val="right" w:pos="8306" w:leader="dot"/>
        </w:tabs>
      </w:pPr>
      <w:r>
        <w:fldChar w:fldCharType="begin"/>
      </w:r>
      <w:r>
        <w:instrText xml:space="preserve"> TOC \o "1-1" \h \z \u </w:instrText>
      </w:r>
      <w:r>
        <w:fldChar w:fldCharType="separate"/>
      </w:r>
      <w:r>
        <w:fldChar w:fldCharType="begin"/>
      </w:r>
      <w:r>
        <w:instrText xml:space="preserve"> HYPERLINK \l "_Toc1569" </w:instrText>
      </w:r>
      <w:r>
        <w:fldChar w:fldCharType="separate"/>
      </w:r>
      <w:r>
        <w:t xml:space="preserve">第2部分：专用技术规范</w:t>
      </w:r>
      <w:r>
        <w:tab/>
      </w:r>
      <w:r>
        <w:fldChar w:fldCharType="begin"/>
      </w:r>
      <w:r>
        <w:instrText xml:space="preserve"> PAGEREF _Toc1569 </w:instrText>
      </w:r>
      <w:r>
        <w:fldChar w:fldCharType="separate"/>
      </w:r>
      <w:r>
        <w:t xml:space="preserve">190</w:t>
      </w:r>
      <w:r>
        <w:fldChar w:fldCharType="end"/>
      </w:r>
      <w:r>
        <w:fldChar w:fldCharType="end"/>
      </w:r>
      <w:r/>
    </w:p>
    <w:p>
      <w:pPr>
        <w:pStyle w:val="1182"/>
        <w:tabs>
          <w:tab w:val="right" w:pos="8306" w:leader="dot"/>
        </w:tabs>
      </w:pPr>
      <w:r>
        <w:fldChar w:fldCharType="begin"/>
      </w:r>
      <w:r>
        <w:instrText xml:space="preserve"> HYPERLINK \l "_Toc25987" </w:instrText>
      </w:r>
      <w:r>
        <w:fldChar w:fldCharType="separate"/>
      </w:r>
      <w:r>
        <w:t xml:space="preserve">1　标准技术参数</w:t>
      </w:r>
      <w:r>
        <w:tab/>
      </w:r>
      <w:r>
        <w:fldChar w:fldCharType="begin"/>
      </w:r>
      <w:r>
        <w:instrText xml:space="preserve"> PAGEREF _Toc25987 </w:instrText>
      </w:r>
      <w:r>
        <w:fldChar w:fldCharType="separate"/>
      </w:r>
      <w:r>
        <w:t xml:space="preserve">190</w:t>
      </w:r>
      <w:r>
        <w:fldChar w:fldCharType="end"/>
      </w:r>
      <w:r>
        <w:fldChar w:fldCharType="end"/>
      </w:r>
      <w:r/>
    </w:p>
    <w:p>
      <w:pPr>
        <w:pStyle w:val="1182"/>
        <w:tabs>
          <w:tab w:val="right" w:pos="8306" w:leader="dot"/>
        </w:tabs>
      </w:pPr>
      <w:r>
        <w:fldChar w:fldCharType="begin"/>
      </w:r>
      <w:r>
        <w:instrText xml:space="preserve"> HYPERLINK \l "_Toc1278" </w:instrText>
      </w:r>
      <w:r>
        <w:fldChar w:fldCharType="separate"/>
      </w:r>
      <w:r>
        <w:rPr>
          <w:rFonts w:hint="eastAsia"/>
        </w:rPr>
        <w:t xml:space="preserve">2</w:t>
      </w:r>
      <w:r>
        <w:t xml:space="preserve">　</w:t>
      </w:r>
      <w:r>
        <w:rPr>
          <w:rFonts w:hint="eastAsia"/>
        </w:rPr>
        <w:t xml:space="preserve">技术参数选择项专用表</w:t>
      </w:r>
      <w:r>
        <w:tab/>
      </w:r>
      <w:r>
        <w:fldChar w:fldCharType="begin"/>
      </w:r>
      <w:r>
        <w:instrText xml:space="preserve"> PAGEREF _Toc1278 </w:instrText>
      </w:r>
      <w:r>
        <w:fldChar w:fldCharType="separate"/>
      </w:r>
      <w:r>
        <w:t xml:space="preserve">196</w:t>
      </w:r>
      <w:r>
        <w:fldChar w:fldCharType="end"/>
      </w:r>
      <w:r>
        <w:fldChar w:fldCharType="end"/>
      </w:r>
      <w:r/>
    </w:p>
    <w:p>
      <w:pPr>
        <w:pStyle w:val="1182"/>
        <w:tabs>
          <w:tab w:val="right" w:pos="8306" w:leader="dot"/>
        </w:tabs>
      </w:pPr>
      <w:r>
        <w:fldChar w:fldCharType="begin"/>
      </w:r>
      <w:r>
        <w:instrText xml:space="preserve"> HYPERLINK \l "_Toc7548" </w:instrText>
      </w:r>
      <w:r>
        <w:fldChar w:fldCharType="separate"/>
      </w:r>
      <w:r>
        <w:rPr>
          <w:rFonts w:hint="eastAsia"/>
        </w:rPr>
        <w:t xml:space="preserve">3</w:t>
      </w:r>
      <w:r>
        <w:t xml:space="preserve">　组件材料配置表</w:t>
      </w:r>
      <w:r>
        <w:tab/>
      </w:r>
      <w:r>
        <w:fldChar w:fldCharType="begin"/>
      </w:r>
      <w:r>
        <w:instrText xml:space="preserve"> PAGEREF _Toc7548 </w:instrText>
      </w:r>
      <w:r>
        <w:fldChar w:fldCharType="separate"/>
      </w:r>
      <w:r>
        <w:t xml:space="preserve">197</w:t>
      </w:r>
      <w:r>
        <w:fldChar w:fldCharType="end"/>
      </w:r>
      <w:r>
        <w:fldChar w:fldCharType="end"/>
      </w:r>
      <w:r/>
    </w:p>
    <w:p>
      <w:pPr>
        <w:pStyle w:val="1182"/>
        <w:tabs>
          <w:tab w:val="right" w:pos="8306" w:leader="dot"/>
        </w:tabs>
      </w:pPr>
      <w:r>
        <w:fldChar w:fldCharType="begin"/>
      </w:r>
      <w:r>
        <w:instrText xml:space="preserve"> HYPERLINK \l "_Toc20128" </w:instrText>
      </w:r>
      <w:r>
        <w:fldChar w:fldCharType="separate"/>
      </w:r>
      <w:r>
        <w:rPr>
          <w:rFonts w:hint="eastAsia"/>
        </w:rPr>
        <w:t xml:space="preserve">4</w:t>
      </w:r>
      <w:r>
        <w:t xml:space="preserve">　使用环境条件表</w:t>
      </w:r>
      <w:r>
        <w:tab/>
      </w:r>
      <w:r>
        <w:fldChar w:fldCharType="begin"/>
      </w:r>
      <w:r>
        <w:instrText xml:space="preserve"> PAGEREF _Toc20128 </w:instrText>
      </w:r>
      <w:r>
        <w:fldChar w:fldCharType="separate"/>
      </w:r>
      <w:r>
        <w:t xml:space="preserve">199</w:t>
      </w:r>
      <w:r>
        <w:fldChar w:fldCharType="end"/>
      </w:r>
      <w:r>
        <w:fldChar w:fldCharType="end"/>
      </w:r>
      <w:r/>
    </w:p>
    <w:p>
      <w:pPr>
        <w:pStyle w:val="1182"/>
        <w:tabs>
          <w:tab w:val="right" w:pos="8306" w:leader="dot"/>
        </w:tabs>
      </w:pPr>
      <w:r>
        <w:fldChar w:fldCharType="begin"/>
      </w:r>
      <w:r>
        <w:instrText xml:space="preserve"> HYPERLINK \l "_Toc16145" </w:instrText>
      </w:r>
      <w:r>
        <w:fldChar w:fldCharType="separate"/>
      </w:r>
      <w:r>
        <w:rPr>
          <w:rFonts w:hint="eastAsia"/>
        </w:rPr>
        <w:t xml:space="preserve">5</w:t>
      </w:r>
      <w:r>
        <w:rPr>
          <w:rFonts w:hAnsi="黑体"/>
        </w:rPr>
        <w:t xml:space="preserve">　</w:t>
      </w:r>
      <w:r>
        <w:rPr>
          <w:rFonts w:hint="eastAsia"/>
        </w:rPr>
        <w:t xml:space="preserve">DTU的</w:t>
      </w:r>
      <w:r>
        <w:rPr>
          <w:rFonts w:hAnsi="黑体"/>
        </w:rPr>
        <w:t xml:space="preserve">图纸资料提交单位及其接收单位</w:t>
      </w:r>
      <w:r>
        <w:tab/>
      </w:r>
      <w:r>
        <w:fldChar w:fldCharType="begin"/>
      </w:r>
      <w:r>
        <w:instrText xml:space="preserve"> PAGEREF _Toc16145 </w:instrText>
      </w:r>
      <w:r>
        <w:fldChar w:fldCharType="separate"/>
      </w:r>
      <w:r>
        <w:t xml:space="preserve">199</w:t>
      </w:r>
      <w:r>
        <w:fldChar w:fldCharType="end"/>
      </w:r>
      <w:r>
        <w:fldChar w:fldCharType="end"/>
      </w:r>
      <w:r/>
    </w:p>
    <w:p>
      <w:pPr>
        <w:pStyle w:val="1182"/>
        <w:tabs>
          <w:tab w:val="right" w:pos="8306" w:leader="dot"/>
        </w:tabs>
      </w:pPr>
      <w:r>
        <w:fldChar w:fldCharType="begin"/>
      </w:r>
      <w:r>
        <w:instrText xml:space="preserve"> HYPERLINK \l "_Toc18388" </w:instrText>
      </w:r>
      <w:r>
        <w:fldChar w:fldCharType="separate"/>
      </w:r>
      <w:r>
        <w:rPr>
          <w:rFonts w:hint="eastAsia"/>
        </w:rPr>
        <w:t xml:space="preserve">6</w:t>
      </w:r>
      <w:r>
        <w:t xml:space="preserve">　附图</w:t>
      </w:r>
      <w:r>
        <w:tab/>
      </w:r>
      <w:r>
        <w:fldChar w:fldCharType="begin"/>
      </w:r>
      <w:r>
        <w:instrText xml:space="preserve"> PAGEREF _Toc18388 </w:instrText>
      </w:r>
      <w:r>
        <w:fldChar w:fldCharType="separate"/>
      </w:r>
      <w:r>
        <w:t xml:space="preserve">200</w:t>
      </w:r>
      <w:r>
        <w:fldChar w:fldCharType="end"/>
      </w:r>
      <w:r>
        <w:fldChar w:fldCharType="end"/>
      </w:r>
      <w:r/>
    </w:p>
    <w:p>
      <w:pPr>
        <w:pStyle w:val="1237"/>
        <w:jc w:val="both"/>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fldChar w:fldCharType="end"/>
      </w:r>
      <w:r/>
    </w:p>
    <w:p>
      <w:pPr>
        <w:pStyle w:val="1151"/>
        <w:jc w:val="left"/>
        <w:widowControl/>
        <w:rPr>
          <w:szCs w:val="21"/>
        </w:rPr>
      </w:pPr>
      <w:r>
        <w:rPr>
          <w:szCs w:val="21"/>
        </w:rPr>
      </w:r>
      <w:r/>
    </w:p>
    <w:p>
      <w:pPr>
        <w:pStyle w:val="1185"/>
        <w:rPr>
          <w:rFonts w:ascii="Times New Roman" w:hAnsi="Times New Roman"/>
          <w:szCs w:val="21"/>
        </w:rPr>
      </w:pPr>
      <w:r/>
      <w:bookmarkStart w:id="463" w:name="_Toc1569"/>
      <w:r/>
      <w:bookmarkStart w:id="464" w:name="_Toc8311"/>
      <w:r>
        <w:rPr>
          <w:rFonts w:ascii="Times New Roman" w:hAnsi="Times New Roman"/>
        </w:rPr>
        <w:t xml:space="preserve">第2部分：专用技术规范</w:t>
      </w:r>
      <w:bookmarkEnd w:id="463"/>
      <w:r/>
      <w:bookmarkEnd w:id="464"/>
      <w:r>
        <w:rPr>
          <w:rFonts w:ascii="Times New Roman" w:hAnsi="Times New Roman"/>
          <w:szCs w:val="21"/>
        </w:rPr>
      </w:r>
      <w:r/>
    </w:p>
    <w:p>
      <w:pPr>
        <w:pStyle w:val="1238"/>
        <w:rPr>
          <w:rFonts w:ascii="Times New Roman"/>
        </w:rPr>
        <w:outlineLvl w:val="0"/>
      </w:pPr>
      <w:r/>
      <w:bookmarkStart w:id="465" w:name="_Toc25987"/>
      <w:r/>
      <w:bookmarkStart w:id="466" w:name="_Toc26931"/>
      <w:r/>
      <w:bookmarkStart w:id="467" w:name="_Toc357152520"/>
      <w:r>
        <w:rPr>
          <w:rFonts w:ascii="Times New Roman"/>
        </w:rPr>
        <w:t xml:space="preserve">1　标准技术参数</w:t>
      </w:r>
      <w:bookmarkEnd w:id="465"/>
      <w:r/>
      <w:bookmarkEnd w:id="466"/>
      <w:r/>
      <w:bookmarkEnd w:id="467"/>
      <w:r>
        <w:rPr>
          <w:rFonts w:ascii="Times New Roman"/>
        </w:rPr>
      </w:r>
      <w:r/>
    </w:p>
    <w:p>
      <w:pPr>
        <w:pStyle w:val="1151"/>
        <w:ind w:firstLine="420"/>
        <w:spacing w:line="312" w:lineRule="exact"/>
        <w:rPr>
          <w:szCs w:val="21"/>
        </w:rPr>
      </w:pPr>
      <w:r/>
      <w:bookmarkStart w:id="468" w:name="_Toc357152521"/>
      <w:r>
        <w:rPr>
          <w:szCs w:val="21"/>
        </w:rPr>
        <w:t xml:space="preserve">技术参数特性表是国家电网公司对采购设备的基础技术参数要求。12kV环网</w:t>
      </w:r>
      <w:r>
        <w:rPr>
          <w:rFonts w:hint="eastAsia"/>
          <w:szCs w:val="21"/>
        </w:rPr>
        <w:t xml:space="preserve">箱</w:t>
      </w:r>
      <w:r>
        <w:rPr>
          <w:szCs w:val="21"/>
        </w:rPr>
        <w:t xml:space="preserve">技术参数特性见表1。物资应满足Q/GDW的要求。</w:t>
      </w:r>
      <w:r>
        <w:rPr>
          <w:szCs w:val="21"/>
        </w:rPr>
      </w:r>
      <w:r/>
    </w:p>
    <w:p>
      <w:pPr>
        <w:pStyle w:val="1239"/>
        <w:ind w:firstLine="480"/>
        <w:tabs>
          <w:tab w:val="center" w:pos="4706" w:leader="none"/>
          <w:tab w:val="right" w:pos="9214" w:leader="none"/>
        </w:tabs>
        <w:rPr>
          <w:rFonts w:ascii="Times New Roman"/>
        </w:rPr>
      </w:pPr>
      <w:r>
        <w:rPr>
          <w:rFonts w:ascii="Times New Roman"/>
        </w:rPr>
        <w:t xml:space="preserve">表1　</w:t>
      </w:r>
      <w:r>
        <w:rPr>
          <w:rFonts w:ascii="Times New Roman"/>
          <w:spacing w:val="30"/>
        </w:rPr>
        <w:t xml:space="preserve">技术参数特性</w:t>
      </w:r>
      <w:r>
        <w:rPr>
          <w:rFonts w:ascii="Times New Roman"/>
        </w:rPr>
        <w:t xml:space="preserve">表</w:t>
      </w:r>
      <w:r>
        <w:rPr>
          <w:rFonts w:ascii="Times New Roman"/>
        </w:rPr>
      </w:r>
      <w:r/>
    </w:p>
    <w:tbl>
      <w:tblPr>
        <w:tblW w:w="9381"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1371"/>
        <w:gridCol w:w="735"/>
        <w:gridCol w:w="2572"/>
        <w:gridCol w:w="992"/>
        <w:gridCol w:w="2835"/>
        <w:gridCol w:w="28"/>
      </w:tblGrid>
      <w:tr>
        <w:trPr>
          <w:cantSplit/>
          <w:gridAfter w:val="1"/>
        </w:trPr>
        <w:tc>
          <w:tcPr>
            <w:tcW w:w="848"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序号</w:t>
            </w:r>
            <w:r>
              <w:rPr>
                <w:sz w:val="18"/>
                <w:szCs w:val="18"/>
                <w:highlight w:val="none"/>
              </w:rPr>
            </w:r>
            <w:r/>
          </w:p>
        </w:tc>
        <w:tc>
          <w:tcPr>
            <w:gridSpan w:val="3"/>
            <w:tcW w:w="4678"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名称</w:t>
            </w:r>
            <w:r>
              <w:rPr>
                <w:sz w:val="18"/>
                <w:szCs w:val="18"/>
                <w:highlight w:val="none"/>
              </w:rPr>
            </w:r>
            <w:r/>
          </w:p>
        </w:tc>
        <w:tc>
          <w:tcPr>
            <w:tcW w:w="992"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单位</w:t>
            </w:r>
            <w:r>
              <w:rPr>
                <w:sz w:val="18"/>
                <w:szCs w:val="18"/>
                <w:highlight w:val="none"/>
              </w:rPr>
            </w:r>
            <w:r/>
          </w:p>
        </w:tc>
        <w:tc>
          <w:tcPr>
            <w:tcW w:w="2835"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标准参数值</w:t>
            </w:r>
            <w:r>
              <w:rPr>
                <w:sz w:val="18"/>
                <w:szCs w:val="18"/>
                <w:highlight w:val="none"/>
              </w:rPr>
            </w:r>
            <w:r/>
          </w:p>
        </w:tc>
      </w:tr>
      <w:tr>
        <w:trPr>
          <w:cantSplit/>
          <w:gridAfter w:val="1"/>
        </w:trPr>
        <w:tc>
          <w:tcPr>
            <w:tcW w:w="848" w:type="dxa"/>
            <w:vAlign w:val="center"/>
            <w:textDirection w:val="lrTb"/>
            <w:noWrap w:val="false"/>
          </w:tcPr>
          <w:p>
            <w:pPr>
              <w:pStyle w:val="1151"/>
              <w:jc w:val="center"/>
              <w:spacing w:before="70" w:after="70"/>
              <w:rPr>
                <w:sz w:val="18"/>
                <w:szCs w:val="18"/>
                <w:highlight w:val="none"/>
              </w:rPr>
            </w:pPr>
            <w:r>
              <w:rPr>
                <w:rFonts w:hint="eastAsia"/>
                <w:sz w:val="18"/>
                <w:szCs w:val="18"/>
                <w:highlight w:val="none"/>
              </w:rPr>
              <w:t xml:space="preserve">一</w:t>
            </w:r>
            <w:r>
              <w:rPr>
                <w:sz w:val="18"/>
                <w:szCs w:val="18"/>
                <w:highlight w:val="none"/>
              </w:rPr>
            </w:r>
            <w:r/>
          </w:p>
        </w:tc>
        <w:tc>
          <w:tcPr>
            <w:gridSpan w:val="5"/>
            <w:tcW w:w="8505"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环网</w:t>
            </w:r>
            <w:r>
              <w:rPr>
                <w:rFonts w:hint="eastAsia"/>
                <w:sz w:val="18"/>
                <w:szCs w:val="18"/>
                <w:highlight w:val="none"/>
              </w:rPr>
              <w:t xml:space="preserve">柜</w:t>
            </w:r>
            <w:r>
              <w:rPr>
                <w:sz w:val="18"/>
                <w:szCs w:val="18"/>
                <w:highlight w:val="none"/>
              </w:rPr>
              <w:t xml:space="preserve">共用参数</w:t>
            </w:r>
            <w:r>
              <w:rPr>
                <w:sz w:val="18"/>
                <w:szCs w:val="18"/>
                <w:highlight w:val="none"/>
              </w:rPr>
            </w:r>
            <w:r/>
          </w:p>
        </w:tc>
      </w:tr>
      <w:tr>
        <w:trPr>
          <w:cantSplit/>
          <w:gridAfter w:val="1"/>
        </w:trPr>
        <w:tc>
          <w:tcPr>
            <w:tcW w:w="848"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1</w:t>
            </w:r>
            <w:r>
              <w:rPr>
                <w:sz w:val="18"/>
                <w:szCs w:val="18"/>
                <w:highlight w:val="none"/>
              </w:rPr>
            </w:r>
            <w:r/>
          </w:p>
        </w:tc>
        <w:tc>
          <w:tcPr>
            <w:gridSpan w:val="3"/>
            <w:tcW w:w="4678"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额定电压</w:t>
            </w:r>
            <w:r>
              <w:rPr>
                <w:sz w:val="18"/>
                <w:szCs w:val="18"/>
                <w:highlight w:val="none"/>
              </w:rPr>
            </w:r>
            <w:r/>
          </w:p>
        </w:tc>
        <w:tc>
          <w:tcPr>
            <w:tcW w:w="992"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kV</w:t>
            </w:r>
            <w:r>
              <w:rPr>
                <w:sz w:val="18"/>
                <w:szCs w:val="18"/>
                <w:highlight w:val="none"/>
              </w:rPr>
            </w:r>
            <w:r/>
          </w:p>
        </w:tc>
        <w:tc>
          <w:tcPr>
            <w:tcW w:w="2835"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12</w:t>
            </w:r>
            <w:r>
              <w:rPr>
                <w:sz w:val="18"/>
                <w:szCs w:val="18"/>
                <w:highlight w:val="none"/>
              </w:rPr>
            </w:r>
            <w:r/>
          </w:p>
        </w:tc>
      </w:tr>
      <w:tr>
        <w:trPr>
          <w:cantSplit/>
          <w:gridAfter w:val="1"/>
        </w:trPr>
        <w:tc>
          <w:tcPr>
            <w:tcW w:w="848"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2</w:t>
            </w:r>
            <w:r>
              <w:rPr>
                <w:sz w:val="18"/>
                <w:szCs w:val="18"/>
                <w:highlight w:val="none"/>
              </w:rPr>
            </w:r>
            <w:r/>
          </w:p>
        </w:tc>
        <w:tc>
          <w:tcPr>
            <w:gridSpan w:val="3"/>
            <w:tcW w:w="4678"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灭弧室类型</w:t>
            </w:r>
            <w:r>
              <w:rPr>
                <w:sz w:val="18"/>
                <w:szCs w:val="18"/>
                <w:highlight w:val="none"/>
              </w:rPr>
            </w:r>
            <w:r/>
          </w:p>
        </w:tc>
        <w:tc>
          <w:tcPr>
            <w:tcW w:w="992" w:type="dxa"/>
            <w:vAlign w:val="center"/>
            <w:textDirection w:val="lrTb"/>
            <w:noWrap w:val="false"/>
          </w:tcPr>
          <w:p>
            <w:pPr>
              <w:pStyle w:val="1151"/>
              <w:jc w:val="center"/>
              <w:keepNext/>
              <w:spacing w:before="70" w:after="70" w:line="240" w:lineRule="atLeast"/>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真空</w:t>
            </w:r>
            <w:r>
              <w:rPr>
                <w:rFonts w:hint="eastAsia"/>
                <w:sz w:val="18"/>
                <w:szCs w:val="18"/>
                <w:highlight w:val="none"/>
              </w:rPr>
              <w:t xml:space="preserve">，SF</w:t>
            </w:r>
            <w:r>
              <w:rPr>
                <w:rFonts w:hint="eastAsia"/>
                <w:sz w:val="18"/>
                <w:szCs w:val="18"/>
                <w:highlight w:val="none"/>
                <w:vertAlign w:val="subscript"/>
              </w:rPr>
              <w:t xml:space="preserve">6</w:t>
            </w:r>
            <w:r>
              <w:rPr>
                <w:sz w:val="18"/>
                <w:szCs w:val="18"/>
                <w:highlight w:val="none"/>
              </w:rPr>
            </w:r>
            <w:r/>
          </w:p>
        </w:tc>
      </w:tr>
      <w:tr>
        <w:trPr>
          <w:cantSplit/>
          <w:gridAfter w:val="1"/>
        </w:trPr>
        <w:tc>
          <w:tcPr>
            <w:tcW w:w="848"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3</w:t>
            </w:r>
            <w:r>
              <w:rPr>
                <w:sz w:val="18"/>
                <w:szCs w:val="18"/>
                <w:highlight w:val="none"/>
              </w:rPr>
            </w:r>
            <w:r/>
          </w:p>
        </w:tc>
        <w:tc>
          <w:tcPr>
            <w:gridSpan w:val="3"/>
            <w:tcW w:w="4678"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额定频率</w:t>
            </w:r>
            <w:r>
              <w:rPr>
                <w:sz w:val="18"/>
                <w:szCs w:val="18"/>
                <w:highlight w:val="none"/>
              </w:rPr>
            </w:r>
            <w:r/>
          </w:p>
        </w:tc>
        <w:tc>
          <w:tcPr>
            <w:tcW w:w="992"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Hz</w:t>
            </w:r>
            <w:r>
              <w:rPr>
                <w:sz w:val="18"/>
                <w:szCs w:val="18"/>
                <w:highlight w:val="none"/>
              </w:rPr>
            </w:r>
            <w:r/>
          </w:p>
        </w:tc>
        <w:tc>
          <w:tcPr>
            <w:tcW w:w="2835"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50</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rFonts w:hint="eastAsia"/>
                <w:sz w:val="18"/>
                <w:szCs w:val="18"/>
                <w:highlight w:val="none"/>
              </w:rPr>
              <w:t xml:space="preserve">4</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额定电流</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A</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630</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5</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温升试验电流</w:t>
            </w:r>
            <w:r>
              <w:rPr>
                <w:sz w:val="18"/>
                <w:szCs w:val="18"/>
                <w:highlight w:val="none"/>
              </w:rPr>
            </w:r>
            <w:r/>
          </w:p>
        </w:tc>
        <w:tc>
          <w:tcPr>
            <w:tcW w:w="992" w:type="dxa"/>
            <w:vAlign w:val="center"/>
            <w:textDirection w:val="lrTb"/>
            <w:noWrap w:val="false"/>
          </w:tcPr>
          <w:p>
            <w:pPr>
              <w:pStyle w:val="1151"/>
              <w:jc w:val="center"/>
              <w:spacing w:before="51" w:after="51"/>
              <w:rPr>
                <w:highlight w:val="none"/>
              </w:rPr>
            </w:pPr>
            <w:r>
              <w:rPr>
                <w:rFonts w:hint="eastAsia"/>
                <w:highlight w:val="none"/>
              </w:rPr>
              <w:t xml:space="preserve">A</w:t>
            </w:r>
            <w:r>
              <w:rPr>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1.1</w:t>
            </w:r>
            <w:r>
              <w:rPr>
                <w:i/>
                <w:sz w:val="18"/>
                <w:szCs w:val="18"/>
                <w:highlight w:val="none"/>
              </w:rPr>
              <w:t xml:space="preserve">I</w:t>
            </w:r>
            <w:r>
              <w:rPr>
                <w:sz w:val="18"/>
                <w:szCs w:val="18"/>
                <w:highlight w:val="none"/>
                <w:vertAlign w:val="subscript"/>
              </w:rPr>
              <w:t xml:space="preserve">r</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6</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额定工频1min耐受电压（相对地）</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kV</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42</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7</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额定雷电冲击耐受电压峰值（1.2/50μs，相对地）</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kV</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75</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8</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额定短路开断电流</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kA</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20</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9</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额定短路关合电流</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kA</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50</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10</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额定短时耐受电流</w:t>
            </w:r>
            <w:r>
              <w:rPr>
                <w:sz w:val="18"/>
                <w:szCs w:val="21"/>
                <w:highlight w:val="none"/>
              </w:rPr>
              <w:t xml:space="preserve">及持续时间</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kA/s</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20/3</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11</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额定峰值耐受电流</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kA</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50</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12</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燃弧持续时间</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s</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≥0.5</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13</w:t>
            </w:r>
            <w:r>
              <w:rPr>
                <w:sz w:val="18"/>
                <w:szCs w:val="18"/>
                <w:highlight w:val="none"/>
              </w:rPr>
            </w:r>
            <w:r/>
          </w:p>
        </w:tc>
        <w:tc>
          <w:tcPr>
            <w:gridSpan w:val="3"/>
            <w:tcW w:w="4678" w:type="dxa"/>
            <w:vAlign w:val="center"/>
            <w:textDirection w:val="lrTb"/>
            <w:noWrap w:val="false"/>
          </w:tcPr>
          <w:p>
            <w:pPr>
              <w:pStyle w:val="1151"/>
              <w:jc w:val="center"/>
              <w:spacing w:before="57" w:after="57"/>
              <w:rPr>
                <w:sz w:val="18"/>
                <w:szCs w:val="18"/>
                <w:highlight w:val="none"/>
              </w:rPr>
            </w:pPr>
            <w:r>
              <w:rPr>
                <w:rFonts w:hint="eastAsia"/>
                <w:sz w:val="18"/>
                <w:szCs w:val="21"/>
                <w:highlight w:val="none"/>
              </w:rPr>
              <w:t xml:space="preserve">额定有功负载条件下开断次数</w:t>
            </w:r>
            <w:r>
              <w:rPr>
                <w:sz w:val="18"/>
                <w:szCs w:val="18"/>
                <w:highlight w:val="none"/>
              </w:rPr>
            </w:r>
            <w:r/>
          </w:p>
        </w:tc>
        <w:tc>
          <w:tcPr>
            <w:tcW w:w="992" w:type="dxa"/>
            <w:vAlign w:val="center"/>
            <w:textDirection w:val="lrTb"/>
            <w:noWrap w:val="false"/>
          </w:tcPr>
          <w:p>
            <w:pPr>
              <w:pStyle w:val="1151"/>
              <w:jc w:val="center"/>
              <w:spacing w:before="57" w:after="57"/>
              <w:rPr>
                <w:sz w:val="18"/>
                <w:szCs w:val="18"/>
                <w:highlight w:val="none"/>
              </w:rPr>
            </w:pPr>
            <w:r>
              <w:rPr>
                <w:rFonts w:hint="eastAsia"/>
                <w:sz w:val="18"/>
                <w:szCs w:val="21"/>
                <w:highlight w:val="none"/>
              </w:rPr>
              <w:t xml:space="preserve">次</w:t>
            </w:r>
            <w:r>
              <w:rPr>
                <w:sz w:val="18"/>
                <w:szCs w:val="18"/>
                <w:highlight w:val="none"/>
              </w:rPr>
            </w:r>
            <w:r/>
          </w:p>
        </w:tc>
        <w:tc>
          <w:tcPr>
            <w:tcW w:w="2835" w:type="dxa"/>
            <w:vAlign w:val="center"/>
            <w:textDirection w:val="lrTb"/>
            <w:noWrap w:val="false"/>
          </w:tcPr>
          <w:p>
            <w:pPr>
              <w:pStyle w:val="1151"/>
              <w:jc w:val="center"/>
              <w:spacing w:before="57" w:after="57"/>
              <w:rPr>
                <w:sz w:val="18"/>
                <w:szCs w:val="18"/>
                <w:highlight w:val="none"/>
              </w:rPr>
            </w:pPr>
            <w:r>
              <w:rPr>
                <w:rFonts w:hint="eastAsia"/>
                <w:sz w:val="18"/>
                <w:szCs w:val="21"/>
                <w:highlight w:val="none"/>
              </w:rPr>
              <w:t xml:space="preserve">100</w:t>
            </w:r>
            <w:r>
              <w:rPr>
                <w:sz w:val="18"/>
                <w:szCs w:val="18"/>
                <w:highlight w:val="none"/>
              </w:rPr>
            </w:r>
            <w:r/>
          </w:p>
        </w:tc>
      </w:tr>
      <w:tr>
        <w:trPr>
          <w:cantSplit/>
          <w:gridAfter w:val="1"/>
        </w:trPr>
        <w:tc>
          <w:tcPr>
            <w:tcW w:w="848" w:type="dxa"/>
            <w:vAlign w:val="center"/>
            <w:textDirection w:val="lrTb"/>
            <w:noWrap w:val="false"/>
          </w:tcPr>
          <w:p>
            <w:pPr>
              <w:pStyle w:val="1151"/>
              <w:jc w:val="center"/>
              <w:spacing w:before="57" w:after="57"/>
              <w:rPr>
                <w:sz w:val="18"/>
                <w:szCs w:val="18"/>
                <w:highlight w:val="none"/>
              </w:rPr>
            </w:pPr>
            <w:r>
              <w:rPr>
                <w:rFonts w:hint="eastAsia"/>
                <w:sz w:val="18"/>
                <w:szCs w:val="21"/>
                <w:highlight w:val="none"/>
              </w:rPr>
              <w:t xml:space="preserve">14</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辅助和控制回路短时工频耐受电压</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kV</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2</w:t>
            </w:r>
            <w:r>
              <w:rPr>
                <w:sz w:val="18"/>
                <w:szCs w:val="18"/>
                <w:highlight w:val="none"/>
              </w:rPr>
            </w:r>
            <w:r/>
          </w:p>
        </w:tc>
      </w:tr>
      <w:tr>
        <w:trPr>
          <w:cantSplit/>
          <w:gridAfter w:val="1"/>
        </w:trPr>
        <w:tc>
          <w:tcPr>
            <w:tcW w:w="848" w:type="dxa"/>
            <w:vAlign w:val="center"/>
            <w:vMerge w:val="restart"/>
            <w:textDirection w:val="lrTb"/>
            <w:noWrap w:val="false"/>
          </w:tcPr>
          <w:p>
            <w:pPr>
              <w:pStyle w:val="1151"/>
              <w:jc w:val="center"/>
              <w:spacing w:before="51" w:after="51"/>
              <w:rPr>
                <w:sz w:val="18"/>
                <w:szCs w:val="18"/>
                <w:highlight w:val="none"/>
              </w:rPr>
            </w:pPr>
            <w:r>
              <w:rPr>
                <w:sz w:val="18"/>
                <w:szCs w:val="18"/>
                <w:highlight w:val="none"/>
              </w:rPr>
              <w:t xml:space="preserve">1</w:t>
            </w:r>
            <w:r>
              <w:rPr>
                <w:rFonts w:hint="eastAsia"/>
                <w:sz w:val="18"/>
                <w:szCs w:val="18"/>
                <w:highlight w:val="none"/>
              </w:rPr>
              <w:t xml:space="preserve">5</w:t>
            </w:r>
            <w:r>
              <w:rPr>
                <w:sz w:val="18"/>
                <w:szCs w:val="18"/>
                <w:highlight w:val="none"/>
              </w:rPr>
            </w:r>
            <w:r/>
          </w:p>
        </w:tc>
        <w:tc>
          <w:tcPr>
            <w:gridSpan w:val="2"/>
            <w:tcW w:w="2106" w:type="dxa"/>
            <w:vAlign w:val="center"/>
            <w:vMerge w:val="restart"/>
            <w:textDirection w:val="lrTb"/>
            <w:noWrap w:val="false"/>
          </w:tcPr>
          <w:p>
            <w:pPr>
              <w:pStyle w:val="1151"/>
              <w:jc w:val="center"/>
              <w:spacing w:before="51" w:after="51"/>
              <w:rPr>
                <w:sz w:val="18"/>
                <w:szCs w:val="18"/>
                <w:highlight w:val="none"/>
              </w:rPr>
            </w:pPr>
            <w:r>
              <w:rPr>
                <w:sz w:val="18"/>
                <w:szCs w:val="18"/>
                <w:highlight w:val="none"/>
              </w:rPr>
              <w:t xml:space="preserve">供电电源</w:t>
            </w:r>
            <w:r>
              <w:rPr>
                <w:sz w:val="18"/>
                <w:szCs w:val="18"/>
                <w:highlight w:val="none"/>
              </w:rPr>
            </w:r>
            <w:r/>
          </w:p>
        </w:tc>
        <w:tc>
          <w:tcPr>
            <w:tcW w:w="257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控制回路</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V</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DC</w:t>
            </w:r>
            <w:r>
              <w:rPr>
                <w:bCs/>
                <w:sz w:val="18"/>
                <w:szCs w:val="18"/>
                <w:highlight w:val="none"/>
              </w:rPr>
              <w:t xml:space="preserve">48</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spacing w:before="51" w:after="51"/>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spacing w:before="51" w:after="51"/>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辅助回路</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V</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DC48</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1</w:t>
            </w:r>
            <w:r>
              <w:rPr>
                <w:rFonts w:hint="eastAsia"/>
                <w:sz w:val="18"/>
                <w:szCs w:val="18"/>
                <w:highlight w:val="none"/>
              </w:rPr>
              <w:t xml:space="preserve">6</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使用寿命</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年</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≥40</w:t>
            </w:r>
            <w:r>
              <w:rPr>
                <w:sz w:val="18"/>
                <w:szCs w:val="18"/>
                <w:highlight w:val="none"/>
              </w:rPr>
            </w:r>
            <w:r/>
          </w:p>
        </w:tc>
      </w:tr>
      <w:tr>
        <w:trPr>
          <w:cantSplit/>
          <w:gridAfter w:val="1"/>
        </w:trPr>
        <w:tc>
          <w:tcPr>
            <w:tcW w:w="848" w:type="dxa"/>
            <w:vAlign w:val="center"/>
            <w:vMerge w:val="restart"/>
            <w:textDirection w:val="lrTb"/>
            <w:noWrap w:val="false"/>
          </w:tcPr>
          <w:p>
            <w:pPr>
              <w:pStyle w:val="1151"/>
              <w:jc w:val="center"/>
              <w:spacing w:before="51" w:after="51"/>
              <w:rPr>
                <w:sz w:val="18"/>
                <w:szCs w:val="18"/>
                <w:highlight w:val="none"/>
              </w:rPr>
            </w:pPr>
            <w:r>
              <w:rPr>
                <w:rFonts w:hint="eastAsia"/>
                <w:sz w:val="18"/>
                <w:szCs w:val="18"/>
                <w:highlight w:val="none"/>
              </w:rPr>
              <w:t xml:space="preserve">17</w:t>
            </w:r>
            <w:r>
              <w:rPr>
                <w:sz w:val="18"/>
                <w:szCs w:val="18"/>
                <w:highlight w:val="none"/>
              </w:rPr>
            </w:r>
            <w:r/>
          </w:p>
        </w:tc>
        <w:tc>
          <w:tcPr>
            <w:gridSpan w:val="2"/>
            <w:tcW w:w="2106" w:type="dxa"/>
            <w:vAlign w:val="center"/>
            <w:vMerge w:val="restart"/>
            <w:textDirection w:val="lrTb"/>
            <w:noWrap w:val="false"/>
          </w:tcPr>
          <w:p>
            <w:pPr>
              <w:pStyle w:val="1151"/>
              <w:jc w:val="center"/>
              <w:spacing w:before="51" w:after="51"/>
              <w:rPr>
                <w:sz w:val="18"/>
                <w:szCs w:val="18"/>
                <w:highlight w:val="none"/>
              </w:rPr>
            </w:pPr>
            <w:r>
              <w:rPr>
                <w:sz w:val="18"/>
                <w:szCs w:val="18"/>
                <w:highlight w:val="none"/>
              </w:rPr>
              <w:t xml:space="preserve">防护等级</w:t>
            </w:r>
            <w:r>
              <w:rPr>
                <w:sz w:val="18"/>
                <w:szCs w:val="18"/>
                <w:highlight w:val="none"/>
              </w:rPr>
            </w:r>
            <w:r/>
          </w:p>
        </w:tc>
        <w:tc>
          <w:tcPr>
            <w:tcW w:w="257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柜体外壳</w:t>
            </w:r>
            <w:r>
              <w:rPr>
                <w:sz w:val="18"/>
                <w:szCs w:val="18"/>
                <w:highlight w:val="none"/>
              </w:rPr>
            </w:r>
            <w:r/>
          </w:p>
        </w:tc>
        <w:tc>
          <w:tcPr>
            <w:tcW w:w="992" w:type="dxa"/>
            <w:vAlign w:val="center"/>
            <w:vMerge w:val="restart"/>
            <w:textDirection w:val="lrTb"/>
            <w:noWrap w:val="false"/>
          </w:tcPr>
          <w:p>
            <w:pPr>
              <w:pStyle w:val="1151"/>
              <w:jc w:val="center"/>
              <w:keepNext/>
              <w:spacing w:before="51" w:after="51" w:line="240" w:lineRule="atLeast"/>
              <w:rPr>
                <w:sz w:val="18"/>
                <w:szCs w:val="18"/>
                <w:highlight w:val="none"/>
              </w:rPr>
            </w:pPr>
            <w:r>
              <w:rPr>
                <w:sz w:val="18"/>
                <w:szCs w:val="18"/>
                <w:highlight w:val="none"/>
              </w:rPr>
            </w:r>
            <w:r/>
          </w:p>
        </w:tc>
        <w:tc>
          <w:tcPr>
            <w:tcW w:w="2835" w:type="dxa"/>
            <w:vAlign w:val="center"/>
            <w:vMerge w:val="restart"/>
            <w:textDirection w:val="lrTb"/>
            <w:noWrap w:val="false"/>
          </w:tcPr>
          <w:p>
            <w:pPr>
              <w:pStyle w:val="1151"/>
              <w:jc w:val="center"/>
              <w:spacing w:before="51" w:after="51"/>
              <w:rPr>
                <w:sz w:val="18"/>
                <w:szCs w:val="18"/>
                <w:highlight w:val="none"/>
              </w:rPr>
            </w:pPr>
            <w:r>
              <w:rPr>
                <w:sz w:val="18"/>
                <w:szCs w:val="18"/>
                <w:highlight w:val="none"/>
              </w:rPr>
              <w:t xml:space="preserve">IP4X</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spacing w:before="51" w:after="51"/>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spacing w:before="51" w:after="51"/>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隔室间</w:t>
            </w:r>
            <w:r>
              <w:rPr>
                <w:sz w:val="18"/>
                <w:szCs w:val="18"/>
                <w:highlight w:val="none"/>
              </w:rPr>
            </w:r>
            <w:r/>
          </w:p>
        </w:tc>
        <w:tc>
          <w:tcPr>
            <w:tcW w:w="992" w:type="dxa"/>
            <w:vAlign w:val="center"/>
            <w:vMerge w:val="continue"/>
            <w:textDirection w:val="lrTb"/>
            <w:noWrap w:val="false"/>
          </w:tcPr>
          <w:p>
            <w:pPr>
              <w:pStyle w:val="1151"/>
              <w:jc w:val="center"/>
              <w:keepNext/>
              <w:spacing w:before="51" w:after="51" w:line="240" w:lineRule="atLeast"/>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IP2X</w:t>
            </w:r>
            <w:r>
              <w:rPr>
                <w:sz w:val="18"/>
                <w:szCs w:val="18"/>
                <w:highlight w:val="none"/>
              </w:rPr>
            </w:r>
            <w:r/>
          </w:p>
        </w:tc>
      </w:tr>
      <w:tr>
        <w:trPr>
          <w:cantSplit/>
          <w:gridAfter w:val="1"/>
          <w:trHeight w:val="391"/>
        </w:trPr>
        <w:tc>
          <w:tcPr>
            <w:tcW w:w="848" w:type="dxa"/>
            <w:vAlign w:val="center"/>
            <w:textDirection w:val="lrTb"/>
            <w:noWrap w:val="false"/>
          </w:tcPr>
          <w:p>
            <w:pPr>
              <w:pStyle w:val="1151"/>
              <w:jc w:val="center"/>
              <w:spacing w:before="51" w:after="51"/>
              <w:rPr>
                <w:sz w:val="18"/>
                <w:szCs w:val="18"/>
                <w:highlight w:val="none"/>
              </w:rPr>
            </w:pPr>
            <w:r>
              <w:rPr>
                <w:rFonts w:hint="eastAsia"/>
                <w:sz w:val="18"/>
                <w:szCs w:val="18"/>
                <w:highlight w:val="none"/>
              </w:rPr>
              <w:t xml:space="preserve">18</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气体额定压力（20℃表压）</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MPa</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rFonts w:hint="eastAsia"/>
                <w:sz w:val="18"/>
                <w:szCs w:val="18"/>
                <w:highlight w:val="none"/>
              </w:rPr>
              <w:t xml:space="preserve">19</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气体年漏气率</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V/V</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0.1%</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rFonts w:hint="eastAsia"/>
                <w:sz w:val="18"/>
                <w:szCs w:val="18"/>
                <w:highlight w:val="none"/>
              </w:rPr>
              <w:t xml:space="preserve">20</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局部放电量</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pC</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整柜（1.1Ur）≤20pC</w:t>
            </w:r>
            <w:r>
              <w:rPr>
                <w:sz w:val="18"/>
                <w:szCs w:val="18"/>
                <w:highlight w:val="none"/>
              </w:rPr>
            </w:r>
            <w:r/>
          </w:p>
          <w:p>
            <w:pPr>
              <w:pStyle w:val="1151"/>
              <w:jc w:val="center"/>
              <w:spacing w:before="51" w:after="51"/>
              <w:rPr>
                <w:sz w:val="18"/>
                <w:szCs w:val="18"/>
                <w:highlight w:val="none"/>
              </w:rPr>
            </w:pPr>
            <w:r>
              <w:rPr>
                <w:sz w:val="18"/>
                <w:szCs w:val="18"/>
                <w:highlight w:val="none"/>
              </w:rPr>
              <w:t xml:space="preserve">单个绝缘件（1.1Ur）≤5pC</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rFonts w:hint="eastAsia"/>
                <w:sz w:val="18"/>
                <w:szCs w:val="18"/>
                <w:highlight w:val="none"/>
              </w:rPr>
              <w:t xml:space="preserve">二</w:t>
            </w:r>
            <w:r>
              <w:rPr>
                <w:sz w:val="18"/>
                <w:szCs w:val="18"/>
                <w:highlight w:val="none"/>
              </w:rPr>
            </w:r>
            <w:r/>
          </w:p>
        </w:tc>
        <w:tc>
          <w:tcPr>
            <w:gridSpan w:val="5"/>
            <w:tcW w:w="850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断路器参数</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1</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型号</w:t>
            </w:r>
            <w:r>
              <w:rPr>
                <w:sz w:val="18"/>
                <w:szCs w:val="18"/>
                <w:highlight w:val="none"/>
              </w:rPr>
            </w:r>
            <w:r/>
          </w:p>
        </w:tc>
        <w:tc>
          <w:tcPr>
            <w:tcW w:w="992" w:type="dxa"/>
            <w:vAlign w:val="center"/>
            <w:textDirection w:val="lrTb"/>
            <w:noWrap w:val="false"/>
          </w:tcPr>
          <w:p>
            <w:pPr>
              <w:pStyle w:val="1151"/>
              <w:jc w:val="center"/>
              <w:keepNext/>
              <w:spacing w:before="51" w:after="51" w:line="240" w:lineRule="atLeast"/>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2</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灭弧室类型</w:t>
            </w:r>
            <w:r>
              <w:rPr>
                <w:sz w:val="18"/>
                <w:szCs w:val="18"/>
                <w:highlight w:val="none"/>
              </w:rPr>
            </w:r>
            <w:r/>
          </w:p>
        </w:tc>
        <w:tc>
          <w:tcPr>
            <w:tcW w:w="992" w:type="dxa"/>
            <w:vAlign w:val="center"/>
            <w:textDirection w:val="lrTb"/>
            <w:noWrap w:val="false"/>
          </w:tcPr>
          <w:p>
            <w:pPr>
              <w:pStyle w:val="1151"/>
              <w:jc w:val="center"/>
              <w:keepNext/>
              <w:spacing w:before="51" w:after="51" w:line="240" w:lineRule="atLeast"/>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真空</w:t>
            </w:r>
            <w:r>
              <w:rPr>
                <w:rFonts w:hint="eastAsia"/>
                <w:sz w:val="18"/>
                <w:szCs w:val="18"/>
                <w:highlight w:val="none"/>
              </w:rPr>
              <w:t xml:space="preserve">，SF</w:t>
            </w:r>
            <w:r>
              <w:rPr>
                <w:rFonts w:hint="eastAsia"/>
                <w:sz w:val="18"/>
                <w:szCs w:val="18"/>
                <w:highlight w:val="none"/>
                <w:vertAlign w:val="subscript"/>
              </w:rPr>
              <w:t xml:space="preserve">6</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3</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额定电流</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A</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630</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4</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主回路电阻</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vMerge w:val="restart"/>
            <w:textDirection w:val="lrTb"/>
            <w:noWrap w:val="false"/>
          </w:tcPr>
          <w:p>
            <w:pPr>
              <w:pStyle w:val="1151"/>
              <w:jc w:val="center"/>
              <w:spacing w:before="51" w:after="51"/>
              <w:rPr>
                <w:sz w:val="18"/>
                <w:szCs w:val="18"/>
                <w:highlight w:val="none"/>
              </w:rPr>
            </w:pPr>
            <w:r>
              <w:rPr>
                <w:sz w:val="18"/>
                <w:szCs w:val="18"/>
                <w:highlight w:val="none"/>
              </w:rPr>
              <w:t xml:space="preserve">5</w:t>
            </w:r>
            <w:r>
              <w:rPr>
                <w:sz w:val="18"/>
                <w:szCs w:val="18"/>
                <w:highlight w:val="none"/>
              </w:rPr>
            </w:r>
            <w:r/>
          </w:p>
        </w:tc>
        <w:tc>
          <w:tcPr>
            <w:gridSpan w:val="2"/>
            <w:tcW w:w="2106" w:type="dxa"/>
            <w:vAlign w:val="center"/>
            <w:vMerge w:val="restart"/>
            <w:textDirection w:val="lrTb"/>
            <w:noWrap w:val="false"/>
          </w:tcPr>
          <w:p>
            <w:pPr>
              <w:pStyle w:val="1151"/>
              <w:jc w:val="center"/>
              <w:spacing w:before="51" w:after="51"/>
              <w:rPr>
                <w:sz w:val="18"/>
                <w:szCs w:val="18"/>
                <w:highlight w:val="none"/>
              </w:rPr>
            </w:pPr>
            <w:r>
              <w:rPr>
                <w:sz w:val="18"/>
                <w:szCs w:val="18"/>
                <w:highlight w:val="none"/>
              </w:rPr>
              <w:t xml:space="preserve">额定工频1min耐受电压</w:t>
            </w:r>
            <w:r>
              <w:rPr>
                <w:sz w:val="18"/>
                <w:szCs w:val="18"/>
                <w:highlight w:val="none"/>
              </w:rPr>
            </w:r>
            <w:r/>
          </w:p>
        </w:tc>
        <w:tc>
          <w:tcPr>
            <w:tcW w:w="257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断口</w:t>
            </w:r>
            <w:r>
              <w:rPr>
                <w:sz w:val="18"/>
                <w:szCs w:val="18"/>
                <w:highlight w:val="none"/>
              </w:rPr>
            </w:r>
            <w:r/>
          </w:p>
        </w:tc>
        <w:tc>
          <w:tcPr>
            <w:tcW w:w="992" w:type="dxa"/>
            <w:vAlign w:val="center"/>
            <w:vMerge w:val="restart"/>
            <w:textDirection w:val="lrTb"/>
            <w:noWrap w:val="false"/>
          </w:tcPr>
          <w:p>
            <w:pPr>
              <w:pStyle w:val="1151"/>
              <w:jc w:val="center"/>
              <w:spacing w:before="51" w:after="51"/>
              <w:rPr>
                <w:sz w:val="18"/>
                <w:szCs w:val="18"/>
                <w:highlight w:val="none"/>
              </w:rPr>
            </w:pPr>
            <w:r>
              <w:rPr>
                <w:sz w:val="18"/>
                <w:szCs w:val="18"/>
                <w:highlight w:val="none"/>
              </w:rPr>
              <w:t xml:space="preserve">kV</w:t>
            </w:r>
            <w:r>
              <w:rPr>
                <w:sz w:val="18"/>
                <w:szCs w:val="18"/>
                <w:highlight w:val="none"/>
              </w:rPr>
            </w:r>
            <w:r/>
          </w:p>
        </w:tc>
        <w:tc>
          <w:tcPr>
            <w:tcW w:w="2835" w:type="dxa"/>
            <w:vAlign w:val="center"/>
            <w:vMerge w:val="restart"/>
            <w:textDirection w:val="lrTb"/>
            <w:noWrap w:val="false"/>
          </w:tcPr>
          <w:p>
            <w:pPr>
              <w:pStyle w:val="1151"/>
              <w:jc w:val="center"/>
              <w:spacing w:before="51" w:after="51"/>
              <w:rPr>
                <w:sz w:val="18"/>
                <w:szCs w:val="18"/>
                <w:highlight w:val="none"/>
              </w:rPr>
            </w:pPr>
            <w:r>
              <w:rPr>
                <w:sz w:val="18"/>
                <w:szCs w:val="18"/>
                <w:highlight w:val="none"/>
              </w:rPr>
              <w:t xml:space="preserve">48</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spacing w:before="51" w:after="51"/>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spacing w:before="51" w:after="51"/>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对地</w:t>
            </w:r>
            <w:r>
              <w:rPr>
                <w:sz w:val="18"/>
                <w:szCs w:val="18"/>
                <w:highlight w:val="none"/>
              </w:rPr>
            </w:r>
            <w:r/>
          </w:p>
        </w:tc>
        <w:tc>
          <w:tcPr>
            <w:tcW w:w="992" w:type="dxa"/>
            <w:vAlign w:val="center"/>
            <w:vMerge w:val="continue"/>
            <w:textDirection w:val="lrTb"/>
            <w:noWrap w:val="false"/>
          </w:tcPr>
          <w:p>
            <w:pPr>
              <w:pStyle w:val="1151"/>
              <w:jc w:val="center"/>
              <w:keepNext/>
              <w:spacing w:before="51" w:after="51" w:line="240" w:lineRule="atLeast"/>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42</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spacing w:before="51" w:after="51"/>
              <w:rPr>
                <w:sz w:val="18"/>
                <w:szCs w:val="18"/>
                <w:highlight w:val="none"/>
              </w:rPr>
            </w:pPr>
            <w:r>
              <w:rPr>
                <w:sz w:val="18"/>
                <w:szCs w:val="18"/>
                <w:highlight w:val="none"/>
              </w:rPr>
            </w:r>
            <w:r/>
          </w:p>
        </w:tc>
        <w:tc>
          <w:tcPr>
            <w:gridSpan w:val="2"/>
            <w:tcW w:w="2106" w:type="dxa"/>
            <w:vAlign w:val="center"/>
            <w:vMerge w:val="restart"/>
            <w:textDirection w:val="lrTb"/>
            <w:noWrap w:val="false"/>
          </w:tcPr>
          <w:p>
            <w:pPr>
              <w:pStyle w:val="1151"/>
              <w:jc w:val="center"/>
              <w:spacing w:before="51" w:after="51"/>
              <w:rPr>
                <w:sz w:val="18"/>
                <w:szCs w:val="18"/>
                <w:highlight w:val="none"/>
              </w:rPr>
            </w:pPr>
            <w:r>
              <w:rPr>
                <w:sz w:val="18"/>
                <w:szCs w:val="18"/>
                <w:highlight w:val="none"/>
              </w:rPr>
              <w:t xml:space="preserve">额定雷电冲击耐受电压峰值（1.2/50μs）</w:t>
            </w:r>
            <w:r>
              <w:rPr>
                <w:sz w:val="18"/>
                <w:szCs w:val="18"/>
                <w:highlight w:val="none"/>
              </w:rPr>
            </w:r>
            <w:r/>
          </w:p>
        </w:tc>
        <w:tc>
          <w:tcPr>
            <w:tcW w:w="257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断口</w:t>
            </w:r>
            <w:r>
              <w:rPr>
                <w:sz w:val="18"/>
                <w:szCs w:val="18"/>
                <w:highlight w:val="none"/>
              </w:rPr>
            </w:r>
            <w:r/>
          </w:p>
        </w:tc>
        <w:tc>
          <w:tcPr>
            <w:tcW w:w="992" w:type="dxa"/>
            <w:vAlign w:val="center"/>
            <w:vMerge w:val="restart"/>
            <w:textDirection w:val="lrTb"/>
            <w:noWrap w:val="false"/>
          </w:tcPr>
          <w:p>
            <w:pPr>
              <w:pStyle w:val="1151"/>
              <w:jc w:val="center"/>
              <w:spacing w:before="51" w:after="51"/>
              <w:rPr>
                <w:sz w:val="18"/>
                <w:szCs w:val="18"/>
                <w:highlight w:val="none"/>
              </w:rPr>
            </w:pPr>
            <w:r>
              <w:rPr>
                <w:sz w:val="18"/>
                <w:szCs w:val="18"/>
                <w:highlight w:val="none"/>
              </w:rPr>
              <w:t xml:space="preserve">kV</w:t>
            </w:r>
            <w:r>
              <w:rPr>
                <w:sz w:val="18"/>
                <w:szCs w:val="18"/>
                <w:highlight w:val="none"/>
              </w:rPr>
            </w:r>
            <w:r/>
          </w:p>
        </w:tc>
        <w:tc>
          <w:tcPr>
            <w:tcW w:w="2835" w:type="dxa"/>
            <w:vAlign w:val="center"/>
            <w:vMerge w:val="restart"/>
            <w:textDirection w:val="lrTb"/>
            <w:noWrap w:val="false"/>
          </w:tcPr>
          <w:p>
            <w:pPr>
              <w:pStyle w:val="1151"/>
              <w:jc w:val="center"/>
              <w:spacing w:before="51" w:after="51"/>
              <w:rPr>
                <w:sz w:val="18"/>
                <w:szCs w:val="18"/>
                <w:highlight w:val="none"/>
              </w:rPr>
            </w:pPr>
            <w:r>
              <w:rPr>
                <w:sz w:val="18"/>
                <w:szCs w:val="18"/>
                <w:highlight w:val="none"/>
              </w:rPr>
              <w:t xml:space="preserve">85</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spacing w:before="51" w:after="51"/>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spacing w:before="51" w:after="51"/>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对地</w:t>
            </w:r>
            <w:r>
              <w:rPr>
                <w:sz w:val="18"/>
                <w:szCs w:val="18"/>
                <w:highlight w:val="none"/>
              </w:rPr>
            </w:r>
            <w:r/>
          </w:p>
        </w:tc>
        <w:tc>
          <w:tcPr>
            <w:tcW w:w="992" w:type="dxa"/>
            <w:vAlign w:val="center"/>
            <w:vMerge w:val="continue"/>
            <w:textDirection w:val="lrTb"/>
            <w:noWrap w:val="false"/>
          </w:tcPr>
          <w:p>
            <w:pPr>
              <w:pStyle w:val="1151"/>
              <w:jc w:val="center"/>
              <w:keepNext/>
              <w:spacing w:before="51" w:after="51" w:line="240" w:lineRule="atLeast"/>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75</w:t>
            </w:r>
            <w:r>
              <w:rPr>
                <w:sz w:val="18"/>
                <w:szCs w:val="18"/>
                <w:highlight w:val="none"/>
              </w:rPr>
            </w:r>
            <w:r/>
          </w:p>
        </w:tc>
      </w:tr>
      <w:tr>
        <w:trPr>
          <w:cantSplit/>
          <w:gridAfter w:val="1"/>
        </w:trPr>
        <w:tc>
          <w:tcPr>
            <w:tcW w:w="848" w:type="dxa"/>
            <w:vAlign w:val="center"/>
            <w:vMerge w:val="restart"/>
            <w:textDirection w:val="lrTb"/>
            <w:noWrap w:val="false"/>
          </w:tcPr>
          <w:p>
            <w:pPr>
              <w:pStyle w:val="1151"/>
              <w:jc w:val="center"/>
              <w:spacing w:before="51" w:after="51"/>
              <w:rPr>
                <w:sz w:val="18"/>
                <w:szCs w:val="18"/>
                <w:highlight w:val="none"/>
              </w:rPr>
            </w:pPr>
            <w:r>
              <w:rPr>
                <w:sz w:val="18"/>
                <w:szCs w:val="18"/>
                <w:highlight w:val="none"/>
              </w:rPr>
              <w:t xml:space="preserve">6</w:t>
            </w:r>
            <w:r>
              <w:rPr>
                <w:sz w:val="18"/>
                <w:szCs w:val="18"/>
                <w:highlight w:val="none"/>
              </w:rPr>
            </w:r>
            <w:r/>
          </w:p>
        </w:tc>
        <w:tc>
          <w:tcPr>
            <w:gridSpan w:val="2"/>
            <w:tcW w:w="2106" w:type="dxa"/>
            <w:vAlign w:val="center"/>
            <w:vMerge w:val="restart"/>
            <w:textDirection w:val="lrTb"/>
            <w:noWrap w:val="false"/>
          </w:tcPr>
          <w:p>
            <w:pPr>
              <w:pStyle w:val="1151"/>
              <w:jc w:val="center"/>
              <w:spacing w:before="51" w:after="51"/>
              <w:rPr>
                <w:sz w:val="18"/>
                <w:szCs w:val="18"/>
                <w:highlight w:val="none"/>
              </w:rPr>
            </w:pPr>
            <w:r>
              <w:rPr>
                <w:sz w:val="18"/>
                <w:szCs w:val="18"/>
                <w:highlight w:val="none"/>
              </w:rPr>
              <w:t xml:space="preserve">额定短路开断电流</w:t>
            </w:r>
            <w:r>
              <w:rPr>
                <w:sz w:val="18"/>
                <w:szCs w:val="18"/>
                <w:highlight w:val="none"/>
              </w:rPr>
            </w:r>
            <w:r/>
          </w:p>
        </w:tc>
        <w:tc>
          <w:tcPr>
            <w:tcW w:w="257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交流分量有效值</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kA</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20</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spacing w:before="51" w:after="51"/>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spacing w:before="51" w:after="51"/>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时间常数</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ms</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45</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spacing w:before="51" w:after="51"/>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spacing w:before="51" w:after="51"/>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开断次数</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次</w:t>
            </w: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≥30</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spacing w:before="51" w:after="51"/>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spacing w:before="51" w:after="51"/>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首相开断系数</w:t>
            </w:r>
            <w:r>
              <w:rPr>
                <w:sz w:val="18"/>
                <w:szCs w:val="18"/>
                <w:highlight w:val="none"/>
              </w:rPr>
            </w:r>
            <w:r/>
          </w:p>
        </w:tc>
        <w:tc>
          <w:tcPr>
            <w:tcW w:w="992" w:type="dxa"/>
            <w:vAlign w:val="center"/>
            <w:textDirection w:val="lrTb"/>
            <w:noWrap w:val="false"/>
          </w:tcPr>
          <w:p>
            <w:pPr>
              <w:pStyle w:val="1151"/>
              <w:jc w:val="center"/>
              <w:keepNext/>
              <w:spacing w:before="51" w:after="51" w:line="240" w:lineRule="atLeast"/>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1.5</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7</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额定短路关合电流</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kA</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50</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8</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额定短时耐受电流</w:t>
            </w:r>
            <w:r>
              <w:rPr>
                <w:sz w:val="18"/>
                <w:szCs w:val="21"/>
                <w:highlight w:val="none"/>
              </w:rPr>
              <w:t xml:space="preserve">及持续时间</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kA/s</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20/3</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9</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额定峰值耐受电流</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kA</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50</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10</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断路器开断时间</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ms</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≤60</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11</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断路器合闸弹跳时间</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ms</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≤2</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12</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断路器分闸时间</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ms</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≤40</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13</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断路器合闸时间</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ms</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≤60</w:t>
            </w:r>
            <w:r>
              <w:rPr>
                <w:sz w:val="18"/>
                <w:szCs w:val="18"/>
                <w:highlight w:val="none"/>
              </w:rPr>
            </w:r>
            <w:r/>
          </w:p>
        </w:tc>
      </w:tr>
      <w:tr>
        <w:trPr>
          <w:cantSplit/>
          <w:gridAfter w:val="1"/>
        </w:trPr>
        <w:tc>
          <w:tcPr>
            <w:tcW w:w="848"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14</w:t>
            </w:r>
            <w:r>
              <w:rPr>
                <w:sz w:val="18"/>
                <w:szCs w:val="18"/>
                <w:highlight w:val="none"/>
              </w:rPr>
            </w:r>
            <w:r/>
          </w:p>
        </w:tc>
        <w:tc>
          <w:tcPr>
            <w:gridSpan w:val="2"/>
            <w:tcW w:w="2106"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断路器分、合闸平均速度</w:t>
            </w:r>
            <w:r>
              <w:rPr>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分闸速度</w:t>
            </w:r>
            <w:r>
              <w:rPr>
                <w:sz w:val="18"/>
                <w:szCs w:val="18"/>
                <w:highlight w:val="none"/>
              </w:rPr>
            </w:r>
            <w:r/>
          </w:p>
        </w:tc>
        <w:tc>
          <w:tcPr>
            <w:tcW w:w="992"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m/s</w:t>
            </w:r>
            <w:r>
              <w:rPr>
                <w:sz w:val="18"/>
                <w:szCs w:val="18"/>
                <w:highlight w:val="none"/>
              </w:rPr>
            </w:r>
            <w:r/>
          </w:p>
        </w:tc>
        <w:tc>
          <w:tcPr>
            <w:tcW w:w="2835"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合闸速度</w:t>
            </w:r>
            <w:r>
              <w:rPr>
                <w:sz w:val="18"/>
                <w:szCs w:val="18"/>
                <w:highlight w:val="none"/>
              </w:rPr>
            </w:r>
            <w:r/>
          </w:p>
        </w:tc>
        <w:tc>
          <w:tcPr>
            <w:tcW w:w="992"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15</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机械寿命</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次</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w:t>
            </w:r>
            <w:r>
              <w:rPr>
                <w:rFonts w:hint="eastAsia"/>
                <w:sz w:val="18"/>
                <w:szCs w:val="18"/>
                <w:highlight w:val="none"/>
              </w:rPr>
              <w:t xml:space="preserve">10</w:t>
            </w:r>
            <w:r>
              <w:rPr>
                <w:sz w:val="18"/>
                <w:szCs w:val="18"/>
                <w:highlight w:val="none"/>
              </w:rPr>
              <w:t xml:space="preserve">000（真空），</w:t>
            </w:r>
            <w:r>
              <w:rPr>
                <w:sz w:val="18"/>
                <w:szCs w:val="18"/>
                <w:highlight w:val="none"/>
              </w:rPr>
            </w:r>
            <w:r/>
          </w:p>
          <w:p>
            <w:pPr>
              <w:pStyle w:val="1151"/>
              <w:jc w:val="center"/>
              <w:spacing w:before="60" w:after="60"/>
              <w:rPr>
                <w:sz w:val="18"/>
                <w:szCs w:val="18"/>
                <w:highlight w:val="none"/>
              </w:rPr>
            </w:pPr>
            <w:r>
              <w:rPr>
                <w:sz w:val="18"/>
                <w:szCs w:val="18"/>
                <w:highlight w:val="none"/>
              </w:rPr>
              <w:t xml:space="preserve">≥</w:t>
            </w:r>
            <w:r>
              <w:rPr>
                <w:rFonts w:hint="eastAsia"/>
                <w:sz w:val="18"/>
                <w:szCs w:val="18"/>
                <w:highlight w:val="none"/>
              </w:rPr>
              <w:t xml:space="preserve">5</w:t>
            </w:r>
            <w:r>
              <w:rPr>
                <w:sz w:val="18"/>
                <w:szCs w:val="18"/>
                <w:highlight w:val="none"/>
              </w:rPr>
              <w:t xml:space="preserve">000（SF</w:t>
            </w:r>
            <w:r>
              <w:rPr>
                <w:sz w:val="18"/>
                <w:szCs w:val="18"/>
                <w:highlight w:val="none"/>
                <w:vertAlign w:val="subscript"/>
              </w:rPr>
              <w:t xml:space="preserve">6</w:t>
            </w:r>
            <w:r>
              <w:rPr>
                <w:sz w:val="18"/>
                <w:szCs w:val="18"/>
                <w:highlight w:val="none"/>
              </w:rPr>
              <w:t xml:space="preserve">）</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16</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额定操作顺序</w:t>
            </w:r>
            <w:r>
              <w:rPr>
                <w:sz w:val="18"/>
                <w:szCs w:val="18"/>
                <w:highlight w:val="none"/>
              </w:rPr>
            </w:r>
            <w:r/>
          </w:p>
        </w:tc>
        <w:tc>
          <w:tcPr>
            <w:tcW w:w="992" w:type="dxa"/>
            <w:vAlign w:val="center"/>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O-0.3s-CO-180s-CO</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17</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辅助和控制回路短时工频耐受电压</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kV</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2</w:t>
            </w:r>
            <w:r>
              <w:rPr>
                <w:sz w:val="18"/>
                <w:szCs w:val="18"/>
                <w:highlight w:val="none"/>
              </w:rPr>
            </w:r>
            <w:r/>
          </w:p>
        </w:tc>
      </w:tr>
      <w:tr>
        <w:trPr>
          <w:cantSplit/>
          <w:gridAfter w:val="1"/>
        </w:trPr>
        <w:tc>
          <w:tcPr>
            <w:tcW w:w="848"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18</w:t>
            </w:r>
            <w:r>
              <w:rPr>
                <w:sz w:val="18"/>
                <w:szCs w:val="18"/>
                <w:highlight w:val="none"/>
              </w:rPr>
            </w:r>
            <w:r/>
          </w:p>
        </w:tc>
        <w:tc>
          <w:tcPr>
            <w:gridSpan w:val="2"/>
            <w:tcW w:w="2106"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异相接地故障开断试验</w:t>
            </w:r>
            <w:r>
              <w:rPr>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试验电流</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kA</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17.32</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试验电压</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kV</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12</w:t>
            </w:r>
            <w:r>
              <w:rPr>
                <w:sz w:val="18"/>
                <w:szCs w:val="18"/>
                <w:highlight w:val="none"/>
              </w:rPr>
            </w:r>
            <w:r/>
          </w:p>
        </w:tc>
      </w:tr>
      <w:tr>
        <w:trPr>
          <w:cantSplit/>
          <w:gridAfter w:val="1"/>
        </w:trPr>
        <w:tc>
          <w:tcPr>
            <w:tcW w:w="848"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19</w:t>
            </w:r>
            <w:r>
              <w:rPr>
                <w:sz w:val="18"/>
                <w:szCs w:val="18"/>
                <w:highlight w:val="none"/>
              </w:rPr>
            </w:r>
            <w:r/>
          </w:p>
        </w:tc>
        <w:tc>
          <w:tcPr>
            <w:gridSpan w:val="2"/>
            <w:tcW w:w="2106"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容性电流开合试验</w:t>
            </w:r>
            <w:r>
              <w:rPr>
                <w:sz w:val="18"/>
                <w:szCs w:val="18"/>
                <w:highlight w:val="none"/>
              </w:rPr>
              <w:br w:type="textWrapping" w:clear="all"/>
            </w:r>
            <w:r>
              <w:rPr>
                <w:sz w:val="18"/>
                <w:szCs w:val="18"/>
                <w:highlight w:val="none"/>
              </w:rPr>
              <w:t xml:space="preserve">（试验室）</w:t>
            </w:r>
            <w:r>
              <w:rPr>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试验电流</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A</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电缆：25</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试验电压</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kV</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1.4×12/</w:t>
            </w:r>
            <w:r>
              <w:rPr>
                <w:position w:val="-6"/>
                <w:highlight w:val="none"/>
              </w:rPr>
              <mc:AlternateContent>
                <mc:Choice Requires="wpg">
                  <w:drawing>
                    <wp:inline xmlns:wp="http://schemas.openxmlformats.org/drawingml/2006/wordprocessingDrawing" distT="0" distB="0" distL="0" distR="0">
                      <wp:extent cx="203410" cy="177889"/>
                      <wp:effectExtent l="0" t="0" r="0" b="0"/>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203410" cy="1778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16.0pt;height:14.0pt;mso-wrap-distance-left:0.0pt;mso-wrap-distance-top:0.0pt;mso-wrap-distance-right:0.0pt;mso-wrap-distance-bottom:0.0pt;" stroked="f">
                      <v:path textboxrect="0,0,0,0"/>
                      <v:imagedata r:id="rId195" o:title=""/>
                    </v:shape>
                  </w:pict>
                </mc:Fallback>
              </mc:AlternateConten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spacing w:before="60" w:after="60"/>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spacing w:before="60" w:after="60"/>
              <w:rPr>
                <w:sz w:val="18"/>
                <w:szCs w:val="18"/>
                <w:highlight w:val="none"/>
              </w:rPr>
            </w:pPr>
            <w:r>
              <w:rPr>
                <w:sz w:val="18"/>
                <w:szCs w:val="18"/>
                <w:highlight w:val="none"/>
              </w:rPr>
            </w:r>
            <w:r/>
          </w:p>
        </w:tc>
        <w:tc>
          <w:tcPr>
            <w:tcW w:w="2572" w:type="dxa"/>
            <w:vAlign w:val="center"/>
            <w:textDirection w:val="lrTb"/>
            <w:noWrap w:val="false"/>
          </w:tcPr>
          <w:p>
            <w:pPr>
              <w:pStyle w:val="1151"/>
              <w:ind w:firstLine="180"/>
              <w:jc w:val="center"/>
              <w:spacing w:before="60" w:after="60"/>
              <w:rPr>
                <w:sz w:val="18"/>
                <w:szCs w:val="18"/>
                <w:highlight w:val="none"/>
              </w:rPr>
            </w:pPr>
            <w:r>
              <w:rPr>
                <w:sz w:val="18"/>
                <w:szCs w:val="18"/>
                <w:highlight w:val="none"/>
              </w:rPr>
              <w:t xml:space="preserve">C2级：　</w:t>
            </w:r>
            <w:r>
              <w:rPr>
                <w:sz w:val="18"/>
                <w:szCs w:val="18"/>
                <w:highlight w:val="none"/>
              </w:rPr>
              <w:br w:type="textWrapping" w:clear="all"/>
            </w:r>
            <w:r>
              <w:rPr>
                <w:sz w:val="18"/>
                <w:szCs w:val="18"/>
                <w:highlight w:val="none"/>
              </w:rPr>
              <w:t xml:space="preserve">CC1：48×O；</w:t>
            </w:r>
            <w:r>
              <w:rPr>
                <w:sz w:val="18"/>
                <w:szCs w:val="18"/>
                <w:highlight w:val="none"/>
              </w:rPr>
              <w:br w:type="textWrapping" w:clear="all"/>
            </w:r>
            <w:r>
              <w:rPr>
                <w:sz w:val="18"/>
                <w:szCs w:val="18"/>
                <w:highlight w:val="none"/>
              </w:rPr>
              <w:t xml:space="preserve">CC2：24×O和24×CO；</w:t>
            </w:r>
            <w:r>
              <w:rPr>
                <w:sz w:val="18"/>
                <w:szCs w:val="18"/>
                <w:highlight w:val="none"/>
              </w:rPr>
            </w:r>
            <w:r/>
          </w:p>
        </w:tc>
        <w:tc>
          <w:tcPr>
            <w:tcW w:w="992" w:type="dxa"/>
            <w:vAlign w:val="center"/>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C2级</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rFonts w:hint="eastAsia"/>
                <w:sz w:val="18"/>
                <w:szCs w:val="18"/>
                <w:highlight w:val="none"/>
              </w:rPr>
              <w:t xml:space="preserve">三</w:t>
            </w:r>
            <w:r>
              <w:rPr>
                <w:sz w:val="18"/>
                <w:szCs w:val="18"/>
                <w:highlight w:val="none"/>
              </w:rPr>
            </w:r>
            <w:r/>
          </w:p>
        </w:tc>
        <w:tc>
          <w:tcPr>
            <w:gridSpan w:val="5"/>
            <w:tcW w:w="850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负荷开关参数（如有）</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rFonts w:hint="eastAsia"/>
                <w:sz w:val="18"/>
                <w:szCs w:val="18"/>
                <w:highlight w:val="none"/>
              </w:rPr>
              <w:t xml:space="preserve">1</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额定电流</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A</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630</w:t>
            </w:r>
            <w:r>
              <w:rPr>
                <w:sz w:val="18"/>
                <w:szCs w:val="18"/>
                <w:highlight w:val="none"/>
              </w:rPr>
            </w:r>
            <w:r/>
          </w:p>
        </w:tc>
      </w:tr>
      <w:tr>
        <w:trPr>
          <w:cantSplit/>
          <w:gridAfter w:val="1"/>
        </w:trPr>
        <w:tc>
          <w:tcPr>
            <w:tcW w:w="848" w:type="dxa"/>
            <w:vAlign w:val="center"/>
            <w:vMerge w:val="restart"/>
            <w:textDirection w:val="lrTb"/>
            <w:noWrap w:val="false"/>
          </w:tcPr>
          <w:p>
            <w:pPr>
              <w:pStyle w:val="1151"/>
              <w:jc w:val="center"/>
              <w:spacing w:before="51" w:after="51"/>
              <w:rPr>
                <w:b/>
                <w:bCs/>
                <w:sz w:val="18"/>
                <w:szCs w:val="18"/>
                <w:highlight w:val="none"/>
              </w:rPr>
            </w:pPr>
            <w:r>
              <w:rPr>
                <w:rFonts w:hint="eastAsia"/>
                <w:sz w:val="18"/>
                <w:szCs w:val="18"/>
                <w:highlight w:val="none"/>
              </w:rPr>
              <w:t xml:space="preserve">2</w:t>
            </w:r>
            <w:r>
              <w:rPr>
                <w:b/>
                <w:bCs/>
                <w:sz w:val="18"/>
                <w:szCs w:val="18"/>
                <w:highlight w:val="none"/>
              </w:rPr>
            </w:r>
            <w:r/>
          </w:p>
        </w:tc>
        <w:tc>
          <w:tcPr>
            <w:gridSpan w:val="2"/>
            <w:tcW w:w="2106" w:type="dxa"/>
            <w:vAlign w:val="center"/>
            <w:vMerge w:val="restart"/>
            <w:textDirection w:val="lrTb"/>
            <w:noWrap w:val="false"/>
          </w:tcPr>
          <w:p>
            <w:pPr>
              <w:pStyle w:val="1151"/>
              <w:jc w:val="center"/>
              <w:spacing w:before="60" w:after="60"/>
              <w:rPr>
                <w:b/>
                <w:bCs/>
                <w:sz w:val="18"/>
                <w:szCs w:val="18"/>
                <w:highlight w:val="none"/>
              </w:rPr>
            </w:pPr>
            <w:r>
              <w:rPr>
                <w:sz w:val="18"/>
                <w:szCs w:val="18"/>
                <w:highlight w:val="none"/>
              </w:rPr>
              <w:t xml:space="preserve">额定工频1min</w:t>
            </w:r>
            <w:r>
              <w:rPr>
                <w:sz w:val="18"/>
                <w:szCs w:val="18"/>
                <w:highlight w:val="none"/>
              </w:rPr>
              <w:br w:type="textWrapping" w:clear="all"/>
            </w:r>
            <w:r>
              <w:rPr>
                <w:sz w:val="18"/>
                <w:szCs w:val="18"/>
                <w:highlight w:val="none"/>
              </w:rPr>
              <w:t xml:space="preserve">耐受电压</w:t>
            </w:r>
            <w:r>
              <w:rPr>
                <w:b/>
                <w:bCs/>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断口</w:t>
            </w:r>
            <w:r>
              <w:rPr>
                <w:sz w:val="18"/>
                <w:szCs w:val="18"/>
                <w:highlight w:val="none"/>
              </w:rPr>
            </w:r>
            <w:r/>
          </w:p>
        </w:tc>
        <w:tc>
          <w:tcPr>
            <w:tcW w:w="992" w:type="dxa"/>
            <w:vAlign w:val="center"/>
            <w:vMerge w:val="restart"/>
            <w:textDirection w:val="lrTb"/>
            <w:noWrap w:val="false"/>
          </w:tcPr>
          <w:p>
            <w:pPr>
              <w:pStyle w:val="1151"/>
              <w:jc w:val="center"/>
              <w:spacing w:before="60" w:after="60"/>
              <w:rPr>
                <w:b/>
                <w:bCs/>
                <w:sz w:val="18"/>
                <w:szCs w:val="18"/>
                <w:highlight w:val="none"/>
              </w:rPr>
            </w:pPr>
            <w:r>
              <w:rPr>
                <w:sz w:val="18"/>
                <w:szCs w:val="18"/>
                <w:highlight w:val="none"/>
              </w:rPr>
              <w:t xml:space="preserve">kV</w:t>
            </w:r>
            <w:r>
              <w:rPr>
                <w:b/>
                <w:bCs/>
                <w:sz w:val="18"/>
                <w:szCs w:val="18"/>
                <w:highlight w:val="none"/>
              </w:rPr>
            </w:r>
            <w:r/>
          </w:p>
        </w:tc>
        <w:tc>
          <w:tcPr>
            <w:tcW w:w="2835" w:type="dxa"/>
            <w:vAlign w:val="center"/>
            <w:vMerge w:val="restart"/>
            <w:textDirection w:val="lrTb"/>
            <w:noWrap w:val="false"/>
          </w:tcPr>
          <w:p>
            <w:pPr>
              <w:pStyle w:val="1151"/>
              <w:jc w:val="center"/>
              <w:spacing w:before="60" w:after="60"/>
              <w:rPr>
                <w:sz w:val="18"/>
                <w:szCs w:val="18"/>
                <w:highlight w:val="none"/>
              </w:rPr>
            </w:pPr>
            <w:r>
              <w:rPr>
                <w:rFonts w:hint="eastAsia"/>
                <w:sz w:val="18"/>
                <w:szCs w:val="18"/>
                <w:highlight w:val="none"/>
              </w:rPr>
              <w:t xml:space="preserve">4</w:t>
            </w:r>
            <w:r>
              <w:rPr>
                <w:sz w:val="18"/>
                <w:szCs w:val="18"/>
                <w:highlight w:val="none"/>
              </w:rPr>
              <w:t xml:space="preserve">8</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spacing w:before="60" w:after="60"/>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spacing w:before="60" w:after="60"/>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对地</w:t>
            </w:r>
            <w:r>
              <w:rPr>
                <w:sz w:val="18"/>
                <w:szCs w:val="18"/>
                <w:highlight w:val="none"/>
              </w:rPr>
            </w:r>
            <w:r/>
          </w:p>
        </w:tc>
        <w:tc>
          <w:tcPr>
            <w:tcW w:w="992" w:type="dxa"/>
            <w:vAlign w:val="center"/>
            <w:vMerge w:val="continue"/>
            <w:textDirection w:val="lrTb"/>
            <w:noWrap w:val="false"/>
          </w:tcPr>
          <w:p>
            <w:pPr>
              <w:pStyle w:val="1151"/>
              <w:jc w:val="center"/>
              <w:spacing w:before="60" w:after="60"/>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42</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spacing w:before="60" w:after="60"/>
              <w:rPr>
                <w:sz w:val="18"/>
                <w:szCs w:val="18"/>
                <w:highlight w:val="none"/>
              </w:rPr>
            </w:pPr>
            <w:r>
              <w:rPr>
                <w:sz w:val="18"/>
                <w:szCs w:val="18"/>
                <w:highlight w:val="none"/>
              </w:rPr>
            </w:r>
            <w:r/>
          </w:p>
        </w:tc>
        <w:tc>
          <w:tcPr>
            <w:gridSpan w:val="2"/>
            <w:tcW w:w="2106" w:type="dxa"/>
            <w:vAlign w:val="center"/>
            <w:vMerge w:val="restart"/>
            <w:textDirection w:val="lrTb"/>
            <w:noWrap w:val="false"/>
          </w:tcPr>
          <w:p>
            <w:pPr>
              <w:pStyle w:val="1151"/>
              <w:jc w:val="center"/>
              <w:spacing w:before="60" w:after="60"/>
              <w:rPr>
                <w:b/>
                <w:bCs/>
                <w:sz w:val="18"/>
                <w:szCs w:val="18"/>
                <w:highlight w:val="none"/>
              </w:rPr>
            </w:pPr>
            <w:r>
              <w:rPr>
                <w:sz w:val="18"/>
                <w:szCs w:val="18"/>
                <w:highlight w:val="none"/>
              </w:rPr>
              <w:t xml:space="preserve">额定雷电冲击耐受电压</w:t>
            </w:r>
            <w:r>
              <w:rPr>
                <w:sz w:val="18"/>
                <w:szCs w:val="18"/>
                <w:highlight w:val="none"/>
              </w:rPr>
              <w:br w:type="textWrapping" w:clear="all"/>
            </w:r>
            <w:r>
              <w:rPr>
                <w:sz w:val="18"/>
                <w:szCs w:val="18"/>
                <w:highlight w:val="none"/>
              </w:rPr>
              <w:t xml:space="preserve">峰值（1.2/50μs）</w:t>
            </w:r>
            <w:r>
              <w:rPr>
                <w:b/>
                <w:bCs/>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断口</w:t>
            </w:r>
            <w:r>
              <w:rPr>
                <w:sz w:val="18"/>
                <w:szCs w:val="18"/>
                <w:highlight w:val="none"/>
              </w:rPr>
            </w:r>
            <w:r/>
          </w:p>
        </w:tc>
        <w:tc>
          <w:tcPr>
            <w:tcW w:w="992" w:type="dxa"/>
            <w:vAlign w:val="center"/>
            <w:vMerge w:val="restart"/>
            <w:textDirection w:val="lrTb"/>
            <w:noWrap w:val="false"/>
          </w:tcPr>
          <w:p>
            <w:pPr>
              <w:pStyle w:val="1151"/>
              <w:jc w:val="center"/>
              <w:spacing w:before="60" w:after="60"/>
              <w:rPr>
                <w:b/>
                <w:bCs/>
                <w:sz w:val="18"/>
                <w:szCs w:val="18"/>
                <w:highlight w:val="none"/>
              </w:rPr>
            </w:pPr>
            <w:r>
              <w:rPr>
                <w:sz w:val="18"/>
                <w:szCs w:val="18"/>
                <w:highlight w:val="none"/>
              </w:rPr>
              <w:t xml:space="preserve">kV</w:t>
            </w:r>
            <w:r>
              <w:rPr>
                <w:b/>
                <w:bCs/>
                <w:sz w:val="18"/>
                <w:szCs w:val="18"/>
                <w:highlight w:val="none"/>
              </w:rPr>
            </w:r>
            <w:r/>
          </w:p>
        </w:tc>
        <w:tc>
          <w:tcPr>
            <w:tcW w:w="2835" w:type="dxa"/>
            <w:vAlign w:val="center"/>
            <w:vMerge w:val="restart"/>
            <w:textDirection w:val="lrTb"/>
            <w:noWrap w:val="false"/>
          </w:tcPr>
          <w:p>
            <w:pPr>
              <w:pStyle w:val="1151"/>
              <w:jc w:val="center"/>
              <w:spacing w:before="60" w:after="60"/>
              <w:rPr>
                <w:sz w:val="18"/>
                <w:szCs w:val="18"/>
                <w:highlight w:val="none"/>
              </w:rPr>
            </w:pPr>
            <w:r>
              <w:rPr>
                <w:rFonts w:hint="eastAsia"/>
                <w:sz w:val="18"/>
                <w:szCs w:val="18"/>
                <w:highlight w:val="none"/>
              </w:rPr>
              <w:t xml:space="preserve">85</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spacing w:before="60" w:after="60"/>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spacing w:before="60" w:after="60"/>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对地</w:t>
            </w:r>
            <w:r>
              <w:rPr>
                <w:sz w:val="18"/>
                <w:szCs w:val="18"/>
                <w:highlight w:val="none"/>
              </w:rPr>
            </w:r>
            <w:r/>
          </w:p>
        </w:tc>
        <w:tc>
          <w:tcPr>
            <w:tcW w:w="992" w:type="dxa"/>
            <w:vAlign w:val="center"/>
            <w:vMerge w:val="continue"/>
            <w:textDirection w:val="lrTb"/>
            <w:noWrap w:val="false"/>
          </w:tcPr>
          <w:p>
            <w:pPr>
              <w:pStyle w:val="1151"/>
              <w:jc w:val="center"/>
              <w:spacing w:before="60" w:after="60"/>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7</w:t>
            </w:r>
            <w:r>
              <w:rPr>
                <w:sz w:val="18"/>
                <w:szCs w:val="18"/>
                <w:highlight w:val="none"/>
              </w:rPr>
              <w:t xml:space="preserve">5</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3</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额定短时耐受电流</w:t>
            </w:r>
            <w:r>
              <w:rPr>
                <w:rFonts w:hint="eastAsia"/>
                <w:sz w:val="18"/>
                <w:szCs w:val="21"/>
                <w:highlight w:val="none"/>
              </w:rPr>
              <w:t xml:space="preserve">及持续时间</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kA/s</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20/</w:t>
            </w:r>
            <w:r>
              <w:rPr>
                <w:sz w:val="18"/>
                <w:szCs w:val="18"/>
                <w:highlight w:val="none"/>
              </w:rPr>
              <w:t xml:space="preserve">3</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4</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额定峰值耐受电流</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kA</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50</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5</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机械寿命</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次</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w:t>
            </w:r>
            <w:r>
              <w:rPr>
                <w:rFonts w:hint="eastAsia"/>
                <w:sz w:val="18"/>
                <w:szCs w:val="18"/>
                <w:highlight w:val="none"/>
              </w:rPr>
              <w:t xml:space="preserve">10</w:t>
            </w:r>
            <w:r>
              <w:rPr>
                <w:sz w:val="18"/>
                <w:szCs w:val="18"/>
                <w:highlight w:val="none"/>
              </w:rPr>
              <w:t xml:space="preserve">000</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6</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额定电缆充电开断电流</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A</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w:t>
            </w:r>
            <w:r>
              <w:rPr>
                <w:rFonts w:hint="eastAsia"/>
                <w:sz w:val="18"/>
                <w:szCs w:val="18"/>
                <w:highlight w:val="none"/>
              </w:rPr>
              <w:t xml:space="preserve">10</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7</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投切空载变压器电感电流</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A</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15</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8</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额定有功负载条件下开断次数</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次</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100</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四</w:t>
            </w:r>
            <w:r>
              <w:rPr>
                <w:sz w:val="18"/>
                <w:szCs w:val="18"/>
                <w:highlight w:val="none"/>
              </w:rPr>
            </w:r>
            <w:r/>
          </w:p>
        </w:tc>
        <w:tc>
          <w:tcPr>
            <w:gridSpan w:val="5"/>
            <w:tcW w:w="850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隔离开关参数</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1</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额定电流</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A</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630</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2</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主回路电阻</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3</w:t>
            </w:r>
            <w:r>
              <w:rPr>
                <w:sz w:val="18"/>
                <w:szCs w:val="18"/>
                <w:highlight w:val="none"/>
              </w:rPr>
            </w:r>
            <w:r/>
          </w:p>
        </w:tc>
        <w:tc>
          <w:tcPr>
            <w:gridSpan w:val="2"/>
            <w:tcW w:w="2106"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额定工频1min耐受电压</w:t>
            </w:r>
            <w:r>
              <w:rPr>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断口</w:t>
            </w:r>
            <w:r>
              <w:rPr>
                <w:sz w:val="18"/>
                <w:szCs w:val="18"/>
                <w:highlight w:val="none"/>
              </w:rPr>
            </w:r>
            <w:r/>
          </w:p>
        </w:tc>
        <w:tc>
          <w:tcPr>
            <w:tcW w:w="992"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kV</w:t>
            </w:r>
            <w:r>
              <w:rPr>
                <w:sz w:val="18"/>
                <w:szCs w:val="18"/>
                <w:highlight w:val="none"/>
              </w:rPr>
            </w:r>
            <w:r/>
          </w:p>
        </w:tc>
        <w:tc>
          <w:tcPr>
            <w:tcW w:w="2835"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48</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对地</w:t>
            </w:r>
            <w:r>
              <w:rPr>
                <w:sz w:val="18"/>
                <w:szCs w:val="18"/>
                <w:highlight w:val="none"/>
              </w:rPr>
            </w:r>
            <w:r/>
          </w:p>
        </w:tc>
        <w:tc>
          <w:tcPr>
            <w:tcW w:w="992"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42</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2106"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额定雷电冲击耐受电压峰值（1.2/50μs）</w:t>
            </w:r>
            <w:r>
              <w:rPr>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断口</w:t>
            </w:r>
            <w:r>
              <w:rPr>
                <w:sz w:val="18"/>
                <w:szCs w:val="18"/>
                <w:highlight w:val="none"/>
              </w:rPr>
            </w:r>
            <w:r/>
          </w:p>
        </w:tc>
        <w:tc>
          <w:tcPr>
            <w:tcW w:w="992"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kV</w:t>
            </w:r>
            <w:r>
              <w:rPr>
                <w:sz w:val="18"/>
                <w:szCs w:val="18"/>
                <w:highlight w:val="none"/>
              </w:rPr>
            </w:r>
            <w:r/>
          </w:p>
        </w:tc>
        <w:tc>
          <w:tcPr>
            <w:tcW w:w="2835"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85</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对地</w:t>
            </w:r>
            <w:r>
              <w:rPr>
                <w:sz w:val="18"/>
                <w:szCs w:val="18"/>
                <w:highlight w:val="none"/>
              </w:rPr>
            </w:r>
            <w:r/>
          </w:p>
        </w:tc>
        <w:tc>
          <w:tcPr>
            <w:tcW w:w="992"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75</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4</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额定短时耐受电流</w:t>
            </w:r>
            <w:r>
              <w:rPr>
                <w:sz w:val="18"/>
                <w:szCs w:val="21"/>
                <w:highlight w:val="none"/>
              </w:rPr>
              <w:t xml:space="preserve">及持续时间</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kA/s</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20/3</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5</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额定峰值耐受电流</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kA</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50</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6</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机械寿命</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次</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≥3000</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五</w:t>
            </w:r>
            <w:r>
              <w:rPr>
                <w:sz w:val="18"/>
                <w:szCs w:val="18"/>
                <w:highlight w:val="none"/>
              </w:rPr>
            </w:r>
            <w:r/>
          </w:p>
        </w:tc>
        <w:tc>
          <w:tcPr>
            <w:gridSpan w:val="5"/>
            <w:tcW w:w="850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接地开关参数</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1</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额定短时耐受电流</w:t>
            </w:r>
            <w:r>
              <w:rPr>
                <w:sz w:val="18"/>
                <w:szCs w:val="21"/>
                <w:highlight w:val="none"/>
              </w:rPr>
              <w:t xml:space="preserve">及持续时间</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kA/s</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20/3</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2</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额定峰值耐受电流</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kA</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50</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3</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额定短路关合电流</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kA</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50</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4</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额定短路关合电流次数</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次</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≥2</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5</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机械寿命</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次</w:t>
            </w: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≥3000</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六</w:t>
            </w:r>
            <w:r>
              <w:rPr>
                <w:sz w:val="18"/>
                <w:szCs w:val="18"/>
                <w:highlight w:val="none"/>
              </w:rPr>
            </w:r>
            <w:r/>
          </w:p>
        </w:tc>
        <w:tc>
          <w:tcPr>
            <w:gridSpan w:val="5"/>
            <w:tcW w:w="850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电流互感器参数</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1</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型式或型号</w:t>
            </w:r>
            <w:r>
              <w:rPr>
                <w:sz w:val="18"/>
                <w:szCs w:val="18"/>
                <w:highlight w:val="none"/>
              </w:rPr>
            </w:r>
            <w:r/>
          </w:p>
        </w:tc>
        <w:tc>
          <w:tcPr>
            <w:tcW w:w="992" w:type="dxa"/>
            <w:vAlign w:val="center"/>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电磁式</w:t>
            </w:r>
            <w:r>
              <w:rPr>
                <w:sz w:val="18"/>
                <w:szCs w:val="18"/>
                <w:highlight w:val="none"/>
              </w:rPr>
            </w:r>
            <w:r/>
          </w:p>
        </w:tc>
      </w:tr>
      <w:tr>
        <w:trPr>
          <w:cantSplit/>
          <w:gridAfter w:val="1"/>
        </w:trPr>
        <w:tc>
          <w:tcPr>
            <w:tcW w:w="848"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2</w:t>
            </w:r>
            <w:r>
              <w:rPr>
                <w:sz w:val="18"/>
                <w:szCs w:val="18"/>
                <w:highlight w:val="none"/>
              </w:rPr>
            </w:r>
            <w:r/>
          </w:p>
        </w:tc>
        <w:tc>
          <w:tcPr>
            <w:gridSpan w:val="2"/>
            <w:tcW w:w="2106"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绕组</w:t>
            </w:r>
            <w:r>
              <w:rPr>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额定电流比</w:t>
            </w:r>
            <w:r>
              <w:rPr>
                <w:sz w:val="18"/>
                <w:szCs w:val="18"/>
                <w:highlight w:val="none"/>
              </w:rPr>
            </w:r>
            <w:r/>
          </w:p>
        </w:tc>
        <w:tc>
          <w:tcPr>
            <w:tcW w:w="992" w:type="dxa"/>
            <w:vAlign w:val="center"/>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（项目单位提供）</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额定负荷</w:t>
            </w:r>
            <w:r>
              <w:rPr>
                <w:sz w:val="18"/>
                <w:szCs w:val="18"/>
                <w:highlight w:val="none"/>
              </w:rPr>
            </w:r>
            <w:r/>
          </w:p>
        </w:tc>
        <w:tc>
          <w:tcPr>
            <w:tcW w:w="992" w:type="dxa"/>
            <w:vAlign w:val="center"/>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（项目单位提供）</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准确级</w:t>
            </w:r>
            <w:r>
              <w:rPr>
                <w:sz w:val="18"/>
                <w:szCs w:val="18"/>
                <w:highlight w:val="none"/>
              </w:rPr>
            </w:r>
            <w:r/>
          </w:p>
        </w:tc>
        <w:tc>
          <w:tcPr>
            <w:tcW w:w="992" w:type="dxa"/>
            <w:vAlign w:val="center"/>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（项目单位提供）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3</w:t>
            </w:r>
            <w:r>
              <w:rPr>
                <w:sz w:val="18"/>
                <w:szCs w:val="18"/>
                <w:highlight w:val="none"/>
              </w:rPr>
            </w:r>
            <w:r/>
          </w:p>
        </w:tc>
        <w:tc>
          <w:tcPr>
            <w:gridSpan w:val="3"/>
            <w:tcW w:w="4678" w:type="dxa"/>
            <w:vAlign w:val="center"/>
            <w:textDirection w:val="lrTb"/>
            <w:noWrap w:val="false"/>
          </w:tcPr>
          <w:p>
            <w:pPr>
              <w:pStyle w:val="1151"/>
              <w:jc w:val="center"/>
              <w:keepNext/>
              <w:spacing w:before="60" w:after="60" w:line="240" w:lineRule="atLeast"/>
              <w:rPr>
                <w:sz w:val="18"/>
                <w:szCs w:val="18"/>
                <w:highlight w:val="none"/>
              </w:rPr>
              <w:outlineLvl w:val="0"/>
            </w:pPr>
            <w:r/>
            <w:bookmarkStart w:id="469" w:name="_Toc55057901"/>
            <w:r/>
            <w:bookmarkStart w:id="470" w:name="_Toc23864"/>
            <w:r>
              <w:rPr>
                <w:sz w:val="18"/>
                <w:szCs w:val="18"/>
                <w:highlight w:val="none"/>
              </w:rPr>
              <w:t xml:space="preserve">型式或型号</w:t>
            </w:r>
            <w:bookmarkEnd w:id="469"/>
            <w:r/>
            <w:bookmarkEnd w:id="470"/>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低功率</w:t>
            </w:r>
            <w:r>
              <w:rPr>
                <w:sz w:val="18"/>
                <w:szCs w:val="18"/>
                <w:highlight w:val="none"/>
              </w:rPr>
            </w:r>
            <w:r/>
          </w:p>
        </w:tc>
      </w:tr>
      <w:tr>
        <w:trPr>
          <w:cantSplit/>
          <w:gridAfter w:val="1"/>
        </w:trPr>
        <w:tc>
          <w:tcPr>
            <w:tcW w:w="848" w:type="dxa"/>
            <w:vAlign w:val="center"/>
            <w:vMerge w:val="restart"/>
            <w:textDirection w:val="lrTb"/>
            <w:noWrap w:val="false"/>
          </w:tcPr>
          <w:p>
            <w:pPr>
              <w:pStyle w:val="1151"/>
              <w:jc w:val="center"/>
              <w:spacing w:before="60" w:after="60"/>
              <w:rPr>
                <w:sz w:val="18"/>
                <w:szCs w:val="18"/>
                <w:highlight w:val="none"/>
              </w:rPr>
            </w:pPr>
            <w:r>
              <w:rPr>
                <w:rFonts w:hint="eastAsia"/>
                <w:sz w:val="18"/>
                <w:szCs w:val="18"/>
                <w:highlight w:val="none"/>
              </w:rPr>
              <w:t xml:space="preserve">4</w:t>
            </w:r>
            <w:r>
              <w:rPr>
                <w:sz w:val="18"/>
                <w:szCs w:val="18"/>
                <w:highlight w:val="none"/>
              </w:rPr>
            </w:r>
            <w:r/>
          </w:p>
        </w:tc>
        <w:tc>
          <w:tcPr>
            <w:gridSpan w:val="2"/>
            <w:tcW w:w="2106"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绕组</w:t>
            </w:r>
            <w:r>
              <w:rPr>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额定电流比</w:t>
            </w:r>
            <w:r>
              <w:rPr>
                <w:sz w:val="18"/>
                <w:szCs w:val="18"/>
                <w:highlight w:val="none"/>
              </w:rPr>
            </w:r>
            <w:r/>
          </w:p>
        </w:tc>
        <w:tc>
          <w:tcPr>
            <w:tcW w:w="992" w:type="dxa"/>
            <w:vAlign w:val="center"/>
            <w:textDirection w:val="lrTb"/>
            <w:noWrap w:val="false"/>
          </w:tcPr>
          <w:p>
            <w:pPr>
              <w:pStyle w:val="1151"/>
              <w:jc w:val="center"/>
              <w:keepNext/>
              <w:spacing w:before="60" w:after="60" w:line="240" w:lineRule="atLeast"/>
              <w:rPr>
                <w:sz w:val="18"/>
                <w:szCs w:val="18"/>
                <w:highlight w:val="none"/>
              </w:rPr>
              <w:outlineLvl w:val="0"/>
            </w:pP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（项目单位提供）</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额定负荷</w:t>
            </w:r>
            <w:r>
              <w:rPr>
                <w:sz w:val="18"/>
                <w:szCs w:val="18"/>
                <w:highlight w:val="none"/>
              </w:rPr>
            </w:r>
            <w:r/>
          </w:p>
        </w:tc>
        <w:tc>
          <w:tcPr>
            <w:tcW w:w="992" w:type="dxa"/>
            <w:vAlign w:val="center"/>
            <w:textDirection w:val="lrTb"/>
            <w:noWrap w:val="false"/>
          </w:tcPr>
          <w:p>
            <w:pPr>
              <w:pStyle w:val="1151"/>
              <w:jc w:val="center"/>
              <w:keepNext/>
              <w:spacing w:before="60" w:after="60" w:line="240" w:lineRule="atLeast"/>
              <w:rPr>
                <w:sz w:val="18"/>
                <w:szCs w:val="18"/>
                <w:highlight w:val="none"/>
              </w:rPr>
              <w:outlineLvl w:val="0"/>
            </w:pP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（项目单位提供）</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准确级</w:t>
            </w:r>
            <w:r>
              <w:rPr>
                <w:sz w:val="18"/>
                <w:szCs w:val="18"/>
                <w:highlight w:val="none"/>
              </w:rPr>
            </w:r>
            <w:r/>
          </w:p>
        </w:tc>
        <w:tc>
          <w:tcPr>
            <w:tcW w:w="992" w:type="dxa"/>
            <w:vAlign w:val="center"/>
            <w:textDirection w:val="lrTb"/>
            <w:noWrap w:val="false"/>
          </w:tcPr>
          <w:p>
            <w:pPr>
              <w:pStyle w:val="1151"/>
              <w:jc w:val="center"/>
              <w:keepNext/>
              <w:spacing w:before="60" w:after="60" w:line="240" w:lineRule="atLeast"/>
              <w:rPr>
                <w:sz w:val="18"/>
                <w:szCs w:val="18"/>
                <w:highlight w:val="none"/>
              </w:rPr>
              <w:outlineLvl w:val="0"/>
            </w:pP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（项目单位提供）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七</w:t>
            </w:r>
            <w:r>
              <w:rPr>
                <w:sz w:val="18"/>
                <w:szCs w:val="18"/>
                <w:highlight w:val="none"/>
              </w:rPr>
            </w:r>
            <w:r/>
          </w:p>
        </w:tc>
        <w:tc>
          <w:tcPr>
            <w:gridSpan w:val="5"/>
            <w:tcW w:w="850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电压互感器及熔断器参数</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1</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型式或型号</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电磁式（三相五柱式）</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2</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额定电压比</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rFonts w:hint="eastAsia"/>
                <w:bCs/>
                <w:sz w:val="18"/>
                <w:szCs w:val="18"/>
                <w:highlight w:val="none"/>
              </w:rPr>
              <w:t xml:space="preserve">相电压（10kV/√3）/（0.1kV/√3）；零序电压（10kV/√3）/（0.1kV/3）；电源电压（10kV/√3）/（0.22kV/√3）</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3</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准确级</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相电压0.5级；零序电压3P级；</w:t>
            </w:r>
            <w:r>
              <w:rPr>
                <w:rFonts w:hint="eastAsia"/>
                <w:bCs/>
                <w:sz w:val="18"/>
                <w:szCs w:val="18"/>
                <w:highlight w:val="none"/>
              </w:rPr>
              <w:t xml:space="preserve">电源电压3级</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4</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接线级别</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VV/y</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5</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额定容量</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VA</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相电压30；零序电压50；电源电压3×300</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6</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三相不平衡度</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V</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1</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7</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低压绕组1min工频耐压</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kV</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2</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8</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额定电压因数</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1.2</w:t>
            </w:r>
            <w:r>
              <w:rPr>
                <w:sz w:val="18"/>
                <w:szCs w:val="18"/>
                <w:highlight w:val="none"/>
              </w:rPr>
              <w:t xml:space="preserve">倍连续，</w:t>
            </w:r>
            <w:r>
              <w:rPr>
                <w:rFonts w:hint="eastAsia"/>
                <w:sz w:val="18"/>
                <w:szCs w:val="18"/>
                <w:highlight w:val="none"/>
              </w:rPr>
              <w:t xml:space="preserve">1.9</w:t>
            </w:r>
            <w:r>
              <w:rPr>
                <w:sz w:val="18"/>
                <w:szCs w:val="18"/>
                <w:highlight w:val="none"/>
              </w:rPr>
              <w:t xml:space="preserve">倍8h</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9</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熔断器型式</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10</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熔断器的额定电流</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A</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11</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熔断器的额定短路开断电流</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kA</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八</w:t>
            </w:r>
            <w:r>
              <w:rPr>
                <w:sz w:val="18"/>
                <w:szCs w:val="18"/>
                <w:highlight w:val="none"/>
              </w:rPr>
            </w:r>
            <w:r/>
          </w:p>
        </w:tc>
        <w:tc>
          <w:tcPr>
            <w:gridSpan w:val="5"/>
            <w:tcW w:w="850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避雷器参数</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1</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型式</w:t>
            </w:r>
            <w:r>
              <w:rPr>
                <w:sz w:val="18"/>
                <w:szCs w:val="18"/>
                <w:highlight w:val="none"/>
              </w:rPr>
            </w:r>
            <w:r/>
          </w:p>
        </w:tc>
        <w:tc>
          <w:tcPr>
            <w:tcW w:w="992" w:type="dxa"/>
            <w:vAlign w:val="center"/>
            <w:textDirection w:val="lrTb"/>
            <w:noWrap w:val="false"/>
          </w:tcPr>
          <w:p>
            <w:pPr>
              <w:pStyle w:val="1151"/>
              <w:jc w:val="center"/>
              <w:keepNext/>
              <w:spacing w:before="52" w:after="52" w:line="240" w:lineRule="atLeast"/>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复合绝缘金属氧化物避雷器</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2</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额定电压</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kV</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17</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3</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持续运行电压</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kV</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13.6</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4</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标称放电电流</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kA</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5</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5</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陡波冲击电流下残压峰值（5kA，1/3μs）</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kV</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≤51.8</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6</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雷电冲击电流下残压峰值（5kA，8/20μs）</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kV</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45/50</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7</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操作冲击电流下残压峰值（250A，30/60μs）</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kV</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≤38.3</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8</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直流1mA参考电压</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kV</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≥24</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9</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75%直流1mA参考电压下的泄漏电流</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A</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10</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工频参考电压（有效值）</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kV</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≥16</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11</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工频参考电流（峰值）</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mA</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1</w:t>
            </w:r>
            <w:r>
              <w:rPr>
                <w:sz w:val="18"/>
                <w:szCs w:val="18"/>
                <w:highlight w:val="none"/>
              </w:rPr>
            </w:r>
            <w:r/>
          </w:p>
        </w:tc>
      </w:tr>
      <w:tr>
        <w:trPr>
          <w:cantSplit/>
          <w:gridAfter w:val="1"/>
        </w:trPr>
        <w:tc>
          <w:tcPr>
            <w:tcW w:w="848" w:type="dxa"/>
            <w:vAlign w:val="center"/>
            <w:vMerge w:val="restart"/>
            <w:textDirection w:val="lrTb"/>
            <w:noWrap w:val="false"/>
          </w:tcPr>
          <w:p>
            <w:pPr>
              <w:pStyle w:val="1151"/>
              <w:jc w:val="center"/>
              <w:spacing w:before="52" w:after="52"/>
              <w:rPr>
                <w:sz w:val="18"/>
                <w:szCs w:val="18"/>
                <w:highlight w:val="none"/>
              </w:rPr>
            </w:pPr>
            <w:r>
              <w:rPr>
                <w:sz w:val="18"/>
                <w:szCs w:val="18"/>
                <w:highlight w:val="none"/>
              </w:rPr>
              <w:t xml:space="preserve">12</w:t>
            </w:r>
            <w:r>
              <w:rPr>
                <w:sz w:val="18"/>
                <w:szCs w:val="18"/>
                <w:highlight w:val="none"/>
              </w:rPr>
            </w:r>
            <w:r/>
          </w:p>
        </w:tc>
        <w:tc>
          <w:tcPr>
            <w:gridSpan w:val="2"/>
            <w:tcW w:w="2106" w:type="dxa"/>
            <w:vAlign w:val="center"/>
            <w:vMerge w:val="restart"/>
            <w:textDirection w:val="lrTb"/>
            <w:noWrap w:val="false"/>
          </w:tcPr>
          <w:p>
            <w:pPr>
              <w:pStyle w:val="1151"/>
              <w:jc w:val="center"/>
              <w:spacing w:before="52" w:after="52"/>
              <w:rPr>
                <w:sz w:val="18"/>
                <w:szCs w:val="18"/>
                <w:highlight w:val="none"/>
              </w:rPr>
            </w:pPr>
            <w:r>
              <w:rPr>
                <w:sz w:val="18"/>
                <w:szCs w:val="18"/>
                <w:highlight w:val="none"/>
              </w:rPr>
              <w:t xml:space="preserve">持续电流</w:t>
            </w:r>
            <w:r>
              <w:rPr>
                <w:sz w:val="18"/>
                <w:szCs w:val="18"/>
                <w:highlight w:val="none"/>
              </w:rPr>
            </w:r>
            <w:r/>
          </w:p>
        </w:tc>
        <w:tc>
          <w:tcPr>
            <w:tcW w:w="257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全电流</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mA</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keepNext/>
              <w:spacing w:before="52" w:after="52" w:line="240" w:lineRule="atLeast"/>
              <w:rPr>
                <w:sz w:val="18"/>
                <w:szCs w:val="18"/>
                <w:highlight w:val="none"/>
              </w:rPr>
            </w:pPr>
            <w:r>
              <w:rPr>
                <w:sz w:val="18"/>
                <w:szCs w:val="18"/>
                <w:highlight w:val="none"/>
              </w:rPr>
            </w:r>
            <w:r/>
          </w:p>
        </w:tc>
        <w:tc>
          <w:tcPr>
            <w:gridSpan w:val="2"/>
            <w:tcW w:w="2106" w:type="dxa"/>
            <w:vAlign w:val="center"/>
            <w:vMerge w:val="continue"/>
            <w:textDirection w:val="lrTb"/>
            <w:noWrap w:val="false"/>
          </w:tcPr>
          <w:p>
            <w:pPr>
              <w:pStyle w:val="1151"/>
              <w:jc w:val="center"/>
              <w:keepNext/>
              <w:spacing w:before="52" w:after="52" w:line="240" w:lineRule="atLeast"/>
              <w:rPr>
                <w:sz w:val="18"/>
                <w:szCs w:val="18"/>
                <w:highlight w:val="none"/>
              </w:rPr>
            </w:pPr>
            <w:r>
              <w:rPr>
                <w:sz w:val="18"/>
                <w:szCs w:val="18"/>
                <w:highlight w:val="none"/>
              </w:rPr>
            </w:r>
            <w:r/>
          </w:p>
        </w:tc>
        <w:tc>
          <w:tcPr>
            <w:tcW w:w="257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阻性电流</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A</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13</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长持续时间冲击耐受电流</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A</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150（峰值）</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14</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4/10μs大冲击耐受电流</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kA</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65（峰值）</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九</w:t>
            </w:r>
            <w:r>
              <w:rPr>
                <w:sz w:val="18"/>
                <w:szCs w:val="18"/>
                <w:highlight w:val="none"/>
              </w:rPr>
            </w:r>
            <w:r/>
          </w:p>
        </w:tc>
        <w:tc>
          <w:tcPr>
            <w:gridSpan w:val="5"/>
            <w:tcW w:w="850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母线参数</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1</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材质</w:t>
            </w:r>
            <w:r>
              <w:rPr>
                <w:sz w:val="18"/>
                <w:szCs w:val="18"/>
                <w:highlight w:val="none"/>
              </w:rPr>
            </w:r>
            <w:r/>
          </w:p>
        </w:tc>
        <w:tc>
          <w:tcPr>
            <w:tcW w:w="992" w:type="dxa"/>
            <w:vAlign w:val="center"/>
            <w:textDirection w:val="lrTb"/>
            <w:noWrap w:val="false"/>
          </w:tcPr>
          <w:p>
            <w:pPr>
              <w:pStyle w:val="1151"/>
              <w:jc w:val="center"/>
              <w:keepNext/>
              <w:spacing w:before="52" w:after="52" w:line="240" w:lineRule="atLeast"/>
              <w:rPr>
                <w:sz w:val="18"/>
                <w:szCs w:val="18"/>
                <w:highlight w:val="none"/>
              </w:rPr>
            </w:pP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T2铜</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2</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额定电流</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A</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630</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3</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额定短时耐受电流</w:t>
            </w:r>
            <w:r>
              <w:rPr>
                <w:sz w:val="18"/>
                <w:szCs w:val="21"/>
                <w:highlight w:val="none"/>
              </w:rPr>
              <w:t xml:space="preserve">及持续时间</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kA/s</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20/3</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4</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额定峰值耐受电流</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kA</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50</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十</w:t>
            </w:r>
            <w:r>
              <w:rPr>
                <w:sz w:val="18"/>
                <w:szCs w:val="18"/>
                <w:highlight w:val="none"/>
              </w:rPr>
            </w:r>
            <w:r/>
          </w:p>
        </w:tc>
        <w:tc>
          <w:tcPr>
            <w:gridSpan w:val="5"/>
            <w:tcW w:w="8505" w:type="dxa"/>
            <w:vAlign w:val="center"/>
            <w:textDirection w:val="lrTb"/>
            <w:noWrap w:val="false"/>
          </w:tcPr>
          <w:p>
            <w:pPr>
              <w:pStyle w:val="1176"/>
              <w:jc w:val="center"/>
              <w:spacing w:before="156" w:after="156"/>
              <w:rPr>
                <w:highlight w:val="none"/>
              </w:rPr>
            </w:pPr>
            <w:r>
              <w:rPr>
                <w:rFonts w:hint="eastAsia"/>
                <w:szCs w:val="21"/>
                <w:highlight w:val="none"/>
              </w:rPr>
              <w:t xml:space="preserve">箱体要求</w:t>
            </w:r>
            <w:r>
              <w:rPr>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1</w:t>
            </w:r>
            <w:r>
              <w:rPr>
                <w:sz w:val="18"/>
                <w:szCs w:val="18"/>
                <w:highlight w:val="none"/>
              </w:rPr>
            </w:r>
            <w:r/>
          </w:p>
        </w:tc>
        <w:tc>
          <w:tcPr>
            <w:gridSpan w:val="3"/>
            <w:tcW w:w="4678" w:type="dxa"/>
            <w:vAlign w:val="center"/>
            <w:textDirection w:val="lrTb"/>
            <w:noWrap w:val="false"/>
          </w:tcPr>
          <w:p>
            <w:pPr>
              <w:pStyle w:val="1176"/>
              <w:jc w:val="center"/>
              <w:spacing w:before="156" w:after="156"/>
              <w:rPr>
                <w:highlight w:val="none"/>
              </w:rPr>
            </w:pPr>
            <w:r>
              <w:rPr>
                <w:rFonts w:hint="eastAsia"/>
                <w:highlight w:val="none"/>
              </w:rPr>
              <w:t xml:space="preserve">外形尺寸</w:t>
            </w:r>
            <w:r>
              <w:rPr>
                <w:highlight w:val="none"/>
              </w:rPr>
            </w:r>
            <w:r/>
          </w:p>
          <w:p>
            <w:pPr>
              <w:pStyle w:val="1176"/>
              <w:jc w:val="center"/>
              <w:spacing w:before="156" w:after="156"/>
              <w:rPr>
                <w:highlight w:val="none"/>
              </w:rPr>
            </w:pPr>
            <w:r>
              <w:rPr>
                <w:highlight w:val="none"/>
              </w:rPr>
              <w:t xml:space="preserve">（宽×深×高）</w:t>
            </w:r>
            <w:r>
              <w:rPr>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mm×mm×mm</w:t>
            </w:r>
            <w:r>
              <w:rPr>
                <w:sz w:val="18"/>
                <w:szCs w:val="18"/>
                <w:highlight w:val="none"/>
              </w:rPr>
            </w:r>
            <w:r/>
          </w:p>
        </w:tc>
        <w:tc>
          <w:tcPr>
            <w:tcW w:w="2835"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3200</w:t>
            </w:r>
            <w:r>
              <w:rPr>
                <w:sz w:val="18"/>
                <w:szCs w:val="18"/>
                <w:highlight w:val="none"/>
              </w:rPr>
              <w:t xml:space="preserve">×</w:t>
            </w:r>
            <w:r>
              <w:rPr>
                <w:rFonts w:hint="eastAsia"/>
                <w:sz w:val="18"/>
                <w:szCs w:val="18"/>
                <w:highlight w:val="none"/>
              </w:rPr>
              <w:t xml:space="preserve">11</w:t>
            </w:r>
            <w:r>
              <w:rPr>
                <w:sz w:val="18"/>
                <w:szCs w:val="18"/>
                <w:highlight w:val="none"/>
              </w:rPr>
              <w:t xml:space="preserve">50×</w:t>
            </w:r>
            <w:r>
              <w:rPr>
                <w:rFonts w:hint="eastAsia"/>
                <w:sz w:val="18"/>
                <w:szCs w:val="18"/>
                <w:highlight w:val="none"/>
              </w:rPr>
              <w:t xml:space="preserve">（≤2500）</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2</w:t>
            </w:r>
            <w:r>
              <w:rPr>
                <w:sz w:val="18"/>
                <w:szCs w:val="18"/>
                <w:highlight w:val="none"/>
              </w:rPr>
            </w:r>
            <w:r/>
          </w:p>
        </w:tc>
        <w:tc>
          <w:tcPr>
            <w:gridSpan w:val="3"/>
            <w:tcW w:w="4678" w:type="dxa"/>
            <w:vAlign w:val="center"/>
            <w:textDirection w:val="lrTb"/>
            <w:noWrap w:val="false"/>
          </w:tcPr>
          <w:p>
            <w:pPr>
              <w:pStyle w:val="1176"/>
              <w:jc w:val="center"/>
              <w:spacing w:before="156" w:after="156"/>
              <w:rPr>
                <w:highlight w:val="none"/>
              </w:rPr>
            </w:pPr>
            <w:r>
              <w:rPr>
                <w:rFonts w:hint="eastAsia"/>
                <w:highlight w:val="none"/>
              </w:rPr>
              <w:t xml:space="preserve">外壳材质</w:t>
            </w:r>
            <w:r>
              <w:rPr>
                <w:highlight w:val="none"/>
              </w:rPr>
            </w:r>
            <w:r/>
          </w:p>
        </w:tc>
        <w:tc>
          <w:tcPr>
            <w:tcW w:w="992" w:type="dxa"/>
            <w:vAlign w:val="center"/>
            <w:textDirection w:val="lrTb"/>
            <w:noWrap w:val="false"/>
          </w:tcPr>
          <w:p>
            <w:pPr>
              <w:pStyle w:val="1176"/>
              <w:spacing w:before="156" w:after="156"/>
              <w:rPr>
                <w:highlight w:val="none"/>
              </w:rPr>
            </w:pPr>
            <w:r>
              <w:rPr>
                <w:highlight w:val="none"/>
              </w:rPr>
            </w:r>
            <w:r/>
          </w:p>
        </w:tc>
        <w:tc>
          <w:tcPr>
            <w:tcW w:w="2835" w:type="dxa"/>
            <w:vAlign w:val="center"/>
            <w:textDirection w:val="lrTb"/>
            <w:noWrap w:val="false"/>
          </w:tcPr>
          <w:p>
            <w:pPr>
              <w:pStyle w:val="1257"/>
              <w:jc w:val="center"/>
              <w:spacing w:before="56" w:after="56"/>
              <w:rPr>
                <w:szCs w:val="18"/>
                <w:highlight w:val="none"/>
              </w:rPr>
            </w:pPr>
            <w:r>
              <w:rPr>
                <w:rFonts w:hint="eastAsia"/>
                <w:highlight w:val="none"/>
              </w:rPr>
              <w:t xml:space="preserve">（投标人提供）</w:t>
            </w:r>
            <w:r>
              <w:rPr>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3</w:t>
            </w:r>
            <w:r>
              <w:rPr>
                <w:sz w:val="18"/>
                <w:szCs w:val="18"/>
                <w:highlight w:val="none"/>
              </w:rPr>
            </w:r>
            <w:r/>
          </w:p>
        </w:tc>
        <w:tc>
          <w:tcPr>
            <w:gridSpan w:val="3"/>
            <w:tcW w:w="4678" w:type="dxa"/>
            <w:vAlign w:val="center"/>
            <w:textDirection w:val="lrTb"/>
            <w:noWrap w:val="false"/>
          </w:tcPr>
          <w:p>
            <w:pPr>
              <w:pStyle w:val="1176"/>
              <w:jc w:val="center"/>
              <w:spacing w:before="156" w:after="156"/>
              <w:rPr>
                <w:highlight w:val="none"/>
              </w:rPr>
            </w:pPr>
            <w:r>
              <w:rPr>
                <w:rFonts w:hint="eastAsia"/>
                <w:highlight w:val="none"/>
              </w:rPr>
              <w:t xml:space="preserve">防护等级</w:t>
            </w:r>
            <w:r>
              <w:rPr>
                <w:highlight w:val="none"/>
              </w:rPr>
            </w:r>
            <w:r/>
          </w:p>
        </w:tc>
        <w:tc>
          <w:tcPr>
            <w:tcW w:w="992" w:type="dxa"/>
            <w:vAlign w:val="center"/>
            <w:textDirection w:val="lrTb"/>
            <w:noWrap w:val="false"/>
          </w:tcPr>
          <w:p>
            <w:pPr>
              <w:pStyle w:val="1176"/>
              <w:spacing w:before="156" w:after="156"/>
              <w:rPr>
                <w:highlight w:val="none"/>
              </w:rPr>
            </w:pPr>
            <w:r>
              <w:rPr>
                <w:highlight w:val="none"/>
              </w:rPr>
            </w:r>
            <w:r/>
          </w:p>
        </w:tc>
        <w:tc>
          <w:tcPr>
            <w:tcW w:w="2835" w:type="dxa"/>
            <w:vAlign w:val="center"/>
            <w:textDirection w:val="lrTb"/>
            <w:noWrap w:val="false"/>
          </w:tcPr>
          <w:p>
            <w:pPr>
              <w:pStyle w:val="1257"/>
              <w:jc w:val="center"/>
              <w:spacing w:before="56" w:after="56"/>
              <w:rPr>
                <w:szCs w:val="18"/>
                <w:highlight w:val="none"/>
              </w:rPr>
            </w:pPr>
            <w:r>
              <w:rPr>
                <w:rFonts w:hint="eastAsia"/>
                <w:highlight w:val="none"/>
              </w:rPr>
              <w:t xml:space="preserve">IP43</w:t>
            </w:r>
            <w:r>
              <w:rPr>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4</w:t>
            </w:r>
            <w:r>
              <w:rPr>
                <w:sz w:val="18"/>
                <w:szCs w:val="18"/>
                <w:highlight w:val="none"/>
              </w:rPr>
            </w:r>
            <w:r/>
          </w:p>
        </w:tc>
        <w:tc>
          <w:tcPr>
            <w:gridSpan w:val="3"/>
            <w:tcW w:w="4678" w:type="dxa"/>
            <w:vAlign w:val="center"/>
            <w:textDirection w:val="lrTb"/>
            <w:noWrap w:val="false"/>
          </w:tcPr>
          <w:p>
            <w:pPr>
              <w:pStyle w:val="1176"/>
              <w:jc w:val="center"/>
              <w:spacing w:before="156" w:after="156"/>
              <w:rPr>
                <w:highlight w:val="none"/>
              </w:rPr>
            </w:pPr>
            <w:r>
              <w:rPr>
                <w:rFonts w:hint="eastAsia"/>
                <w:highlight w:val="none"/>
              </w:rPr>
              <w:t xml:space="preserve">材质厚度</w:t>
            </w:r>
            <w:r>
              <w:rPr>
                <w:highlight w:val="none"/>
              </w:rPr>
            </w:r>
            <w:r/>
          </w:p>
        </w:tc>
        <w:tc>
          <w:tcPr>
            <w:tcW w:w="992" w:type="dxa"/>
            <w:vAlign w:val="center"/>
            <w:textDirection w:val="lrTb"/>
            <w:noWrap w:val="false"/>
          </w:tcPr>
          <w:p>
            <w:pPr>
              <w:pStyle w:val="1176"/>
              <w:jc w:val="center"/>
              <w:spacing w:before="156" w:after="156"/>
              <w:rPr>
                <w:highlight w:val="none"/>
              </w:rPr>
            </w:pPr>
            <w:r>
              <w:rPr>
                <w:rFonts w:hint="eastAsia"/>
                <w:highlight w:val="none"/>
              </w:rPr>
              <w:t xml:space="preserve">mm</w:t>
            </w:r>
            <w:r>
              <w:rPr>
                <w:highlight w:val="none"/>
              </w:rPr>
            </w:r>
            <w:r/>
          </w:p>
        </w:tc>
        <w:tc>
          <w:tcPr>
            <w:tcW w:w="2835" w:type="dxa"/>
            <w:vAlign w:val="center"/>
            <w:textDirection w:val="lrTb"/>
            <w:noWrap w:val="false"/>
          </w:tcPr>
          <w:p>
            <w:pPr>
              <w:pStyle w:val="1176"/>
              <w:jc w:val="center"/>
              <w:spacing w:before="156" w:after="156"/>
              <w:rPr>
                <w:highlight w:val="none"/>
              </w:rPr>
            </w:pPr>
            <w:r>
              <w:rPr>
                <w:highlight w:val="none"/>
              </w:rPr>
              <w:t xml:space="preserve">≥2</w:t>
            </w:r>
            <w:r>
              <w:rPr>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十一</w:t>
            </w:r>
            <w:r>
              <w:rPr>
                <w:sz w:val="18"/>
                <w:szCs w:val="18"/>
                <w:highlight w:val="none"/>
              </w:rPr>
            </w:r>
            <w:r/>
          </w:p>
        </w:tc>
        <w:tc>
          <w:tcPr>
            <w:gridSpan w:val="5"/>
            <w:tcW w:w="8505" w:type="dxa"/>
            <w:vAlign w:val="center"/>
            <w:textDirection w:val="lrTb"/>
            <w:noWrap w:val="false"/>
          </w:tcPr>
          <w:p>
            <w:pPr>
              <w:pStyle w:val="1176"/>
              <w:jc w:val="center"/>
              <w:spacing w:before="156" w:after="156"/>
              <w:rPr>
                <w:highlight w:val="none"/>
              </w:rPr>
            </w:pPr>
            <w:r>
              <w:rPr>
                <w:highlight w:val="none"/>
              </w:rPr>
              <w:t xml:space="preserve">DTU</w:t>
            </w:r>
            <w:r>
              <w:rPr>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1</w:t>
            </w:r>
            <w:r>
              <w:rPr>
                <w:sz w:val="18"/>
                <w:szCs w:val="18"/>
                <w:highlight w:val="none"/>
              </w:rPr>
            </w:r>
            <w:r/>
          </w:p>
        </w:tc>
        <w:tc>
          <w:tcPr>
            <w:gridSpan w:val="3"/>
            <w:tcW w:w="4678" w:type="dxa"/>
            <w:vAlign w:val="center"/>
            <w:textDirection w:val="lrTb"/>
            <w:noWrap w:val="false"/>
          </w:tcPr>
          <w:p>
            <w:pPr>
              <w:pStyle w:val="1176"/>
              <w:jc w:val="center"/>
              <w:spacing w:before="156" w:after="156"/>
              <w:rPr>
                <w:highlight w:val="none"/>
              </w:rPr>
            </w:pPr>
            <w:r>
              <w:rPr>
                <w:rFonts w:hint="eastAsia"/>
                <w:highlight w:val="none"/>
              </w:rPr>
              <w:t xml:space="preserve">型式</w:t>
            </w:r>
            <w:r>
              <w:rPr>
                <w:highlight w:val="none"/>
              </w:rPr>
            </w:r>
            <w:r/>
          </w:p>
        </w:tc>
        <w:tc>
          <w:tcPr>
            <w:tcW w:w="992" w:type="dxa"/>
            <w:vAlign w:val="center"/>
            <w:textDirection w:val="lrTb"/>
            <w:noWrap w:val="false"/>
          </w:tcPr>
          <w:p>
            <w:pPr>
              <w:pStyle w:val="1176"/>
              <w:jc w:val="center"/>
              <w:spacing w:before="156" w:after="156"/>
              <w:rPr>
                <w:highlight w:val="none"/>
              </w:rPr>
            </w:pPr>
            <w:r>
              <w:rPr>
                <w:highlight w:val="none"/>
              </w:rPr>
            </w:r>
            <w:r/>
          </w:p>
        </w:tc>
        <w:tc>
          <w:tcPr>
            <w:tcW w:w="2835" w:type="dxa"/>
            <w:vAlign w:val="center"/>
            <w:textDirection w:val="lrTb"/>
            <w:noWrap w:val="false"/>
          </w:tcPr>
          <w:p>
            <w:pPr>
              <w:pStyle w:val="1176"/>
              <w:jc w:val="center"/>
              <w:spacing w:before="156" w:after="156"/>
              <w:rPr>
                <w:highlight w:val="none"/>
              </w:rPr>
            </w:pPr>
            <w:r>
              <w:rPr>
                <w:highlight w:val="none"/>
              </w:rPr>
              <w:t xml:space="preserve">集中式</w:t>
            </w:r>
            <w:r>
              <w:rPr>
                <w:highlight w:val="none"/>
              </w:rPr>
            </w:r>
            <w:r/>
          </w:p>
        </w:tc>
      </w:tr>
      <w:tr>
        <w:trPr>
          <w:trHeight w:val="540"/>
        </w:trPr>
        <w:tc>
          <w:tcPr>
            <w:tcMar>
              <w:left w:w="0" w:type="dxa"/>
              <w:right w:w="0" w:type="dxa"/>
            </w:tcMar>
            <w:tcW w:w="848" w:type="dxa"/>
            <w:vAlign w:val="center"/>
            <w:vMerge w:val="restart"/>
            <w:textDirection w:val="lrTb"/>
            <w:noWrap w:val="false"/>
          </w:tcPr>
          <w:p>
            <w:pPr>
              <w:pStyle w:val="1151"/>
              <w:jc w:val="center"/>
              <w:rPr>
                <w:sz w:val="18"/>
                <w:szCs w:val="18"/>
                <w:highlight w:val="none"/>
              </w:rPr>
            </w:pPr>
            <w:r>
              <w:rPr>
                <w:sz w:val="18"/>
                <w:szCs w:val="18"/>
                <w:highlight w:val="none"/>
              </w:rPr>
              <w:t xml:space="preserve">2</w:t>
            </w:r>
            <w:r>
              <w:rPr>
                <w:sz w:val="18"/>
                <w:szCs w:val="18"/>
                <w:highlight w:val="none"/>
              </w:rPr>
            </w:r>
            <w:r/>
          </w:p>
        </w:tc>
        <w:tc>
          <w:tcPr>
            <w:gridSpan w:val="2"/>
            <w:tcMar>
              <w:left w:w="0" w:type="dxa"/>
              <w:right w:w="0" w:type="dxa"/>
            </w:tcMar>
            <w:tcW w:w="2106" w:type="dxa"/>
            <w:vAlign w:val="center"/>
            <w:vMerge w:val="restart"/>
            <w:textDirection w:val="lrTb"/>
            <w:noWrap w:val="false"/>
          </w:tcPr>
          <w:p>
            <w:pPr>
              <w:pStyle w:val="1151"/>
              <w:jc w:val="center"/>
              <w:rPr>
                <w:rFonts w:hAnsi="宋体"/>
                <w:sz w:val="18"/>
                <w:szCs w:val="18"/>
                <w:highlight w:val="none"/>
              </w:rPr>
            </w:pPr>
            <w:r>
              <w:rPr>
                <w:rFonts w:hAnsi="宋体"/>
                <w:sz w:val="18"/>
                <w:szCs w:val="18"/>
                <w:highlight w:val="none"/>
              </w:rPr>
              <w:t xml:space="preserve">环境条件</w:t>
            </w:r>
            <w:r>
              <w:rPr>
                <w:rFonts w:hAnsi="宋体"/>
                <w:sz w:val="18"/>
                <w:szCs w:val="18"/>
                <w:highlight w:val="none"/>
              </w:rPr>
            </w:r>
            <w:r/>
          </w:p>
        </w:tc>
        <w:tc>
          <w:tcPr>
            <w:tcMar>
              <w:left w:w="0" w:type="dxa"/>
              <w:right w:w="0" w:type="dxa"/>
            </w:tcMar>
            <w:tcW w:w="2572" w:type="dxa"/>
            <w:vAlign w:val="center"/>
            <w:textDirection w:val="lrTb"/>
            <w:noWrap w:val="false"/>
          </w:tcPr>
          <w:p>
            <w:pPr>
              <w:pStyle w:val="1151"/>
              <w:jc w:val="center"/>
              <w:rPr>
                <w:rFonts w:hAnsi="宋体"/>
                <w:sz w:val="18"/>
                <w:szCs w:val="18"/>
                <w:highlight w:val="none"/>
              </w:rPr>
            </w:pPr>
            <w:r>
              <w:rPr>
                <w:rFonts w:hAnsi="宋体"/>
                <w:sz w:val="18"/>
                <w:szCs w:val="18"/>
                <w:highlight w:val="none"/>
              </w:rPr>
              <w:t xml:space="preserve">最</w:t>
            </w:r>
            <w:r>
              <w:rPr>
                <w:rFonts w:hint="eastAsia" w:hAnsi="宋体"/>
                <w:sz w:val="18"/>
                <w:szCs w:val="18"/>
                <w:highlight w:val="none"/>
              </w:rPr>
              <w:t xml:space="preserve">低</w:t>
            </w:r>
            <w:r>
              <w:rPr>
                <w:rFonts w:hAnsi="宋体"/>
                <w:sz w:val="18"/>
                <w:szCs w:val="18"/>
                <w:highlight w:val="none"/>
              </w:rPr>
              <w:t xml:space="preserve">温度</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w:t>
            </w:r>
            <w:r>
              <w:rPr>
                <w:rFonts w:hAnsi="宋体"/>
                <w:sz w:val="18"/>
                <w:szCs w:val="18"/>
                <w:highlight w:val="none"/>
              </w:rPr>
            </w:r>
            <w:r/>
          </w:p>
        </w:tc>
        <w:tc>
          <w:tcPr>
            <w:gridSpan w:val="2"/>
            <w:tcMar>
              <w:left w:w="0" w:type="dxa"/>
              <w:right w:w="0" w:type="dxa"/>
            </w:tcMar>
            <w:tcW w:w="2863"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-40</w:t>
            </w:r>
            <w:r>
              <w:rPr>
                <w:rFonts w:hAnsi="宋体"/>
                <w:sz w:val="18"/>
                <w:szCs w:val="18"/>
                <w:highlight w:val="none"/>
              </w:rPr>
            </w:r>
            <w:r/>
          </w:p>
        </w:tc>
      </w:tr>
      <w:tr>
        <w:trPr>
          <w:trHeight w:val="20"/>
        </w:trPr>
        <w:tc>
          <w:tcPr>
            <w:tcMar>
              <w:left w:w="0" w:type="dxa"/>
              <w:right w:w="0" w:type="dxa"/>
            </w:tcMar>
            <w:tcW w:w="848" w:type="dxa"/>
            <w:vAlign w:val="center"/>
            <w:vMerge w:val="continue"/>
            <w:textDirection w:val="lrTb"/>
            <w:noWrap w:val="false"/>
          </w:tcPr>
          <w:p>
            <w:pPr>
              <w:pStyle w:val="1151"/>
              <w:jc w:val="center"/>
              <w:rPr>
                <w:sz w:val="18"/>
                <w:szCs w:val="18"/>
                <w:highlight w:val="none"/>
              </w:rPr>
            </w:pPr>
            <w:r>
              <w:rPr>
                <w:sz w:val="18"/>
                <w:szCs w:val="18"/>
                <w:highlight w:val="none"/>
              </w:rPr>
            </w:r>
            <w:r/>
          </w:p>
        </w:tc>
        <w:tc>
          <w:tcPr>
            <w:gridSpan w:val="2"/>
            <w:tcMar>
              <w:left w:w="0" w:type="dxa"/>
              <w:right w:w="0" w:type="dxa"/>
            </w:tcMar>
            <w:tcW w:w="2106" w:type="dxa"/>
            <w:vAlign w:val="center"/>
            <w:vMerge w:val="continue"/>
            <w:textDirection w:val="lrTb"/>
            <w:noWrap w:val="false"/>
          </w:tcPr>
          <w:p>
            <w:pPr>
              <w:pStyle w:val="1176"/>
              <w:jc w:val="center"/>
              <w:spacing w:before="156" w:after="156"/>
              <w:rPr>
                <w:rFonts w:hAnsi="宋体"/>
                <w:highlight w:val="none"/>
              </w:rPr>
            </w:pPr>
            <w:r>
              <w:rPr>
                <w:rFonts w:hAnsi="宋体"/>
                <w:highlight w:val="none"/>
              </w:rPr>
            </w:r>
            <w:r/>
          </w:p>
        </w:tc>
        <w:tc>
          <w:tcPr>
            <w:tcMar>
              <w:left w:w="0" w:type="dxa"/>
              <w:right w:w="0" w:type="dxa"/>
            </w:tcMar>
            <w:tcW w:w="2572" w:type="dxa"/>
            <w:vAlign w:val="center"/>
            <w:textDirection w:val="lrTb"/>
            <w:noWrap w:val="false"/>
          </w:tcPr>
          <w:p>
            <w:pPr>
              <w:pStyle w:val="1176"/>
              <w:jc w:val="center"/>
              <w:spacing w:before="156" w:after="156"/>
              <w:rPr>
                <w:rFonts w:hAnsi="宋体"/>
                <w:highlight w:val="none"/>
              </w:rPr>
            </w:pPr>
            <w:r>
              <w:rPr>
                <w:rFonts w:hAnsi="宋体"/>
                <w:highlight w:val="none"/>
              </w:rPr>
              <w:t xml:space="preserve">最</w:t>
            </w:r>
            <w:r>
              <w:rPr>
                <w:rFonts w:hint="eastAsia" w:hAnsi="宋体"/>
                <w:highlight w:val="none"/>
              </w:rPr>
              <w:t xml:space="preserve">高</w:t>
            </w:r>
            <w:r>
              <w:rPr>
                <w:rFonts w:hAnsi="宋体"/>
                <w:highlight w:val="none"/>
              </w:rPr>
              <w:t xml:space="preserve">温度</w:t>
            </w:r>
            <w:r>
              <w:rPr>
                <w:rFonts w:hAnsi="宋体"/>
                <w:highlight w:val="none"/>
              </w:rPr>
            </w:r>
            <w:r/>
          </w:p>
        </w:tc>
        <w:tc>
          <w:tcPr>
            <w:tcMar>
              <w:left w:w="0" w:type="dxa"/>
              <w:right w:w="0" w:type="dxa"/>
            </w:tcMar>
            <w:tcW w:w="992" w:type="dxa"/>
            <w:vAlign w:val="center"/>
            <w:textDirection w:val="lrTb"/>
            <w:noWrap w:val="false"/>
          </w:tcPr>
          <w:p>
            <w:pPr>
              <w:pStyle w:val="1176"/>
              <w:jc w:val="center"/>
              <w:spacing w:before="156" w:after="156"/>
              <w:rPr>
                <w:highlight w:val="none"/>
              </w:rPr>
            </w:pPr>
            <w:r>
              <w:rPr>
                <w:rFonts w:hint="eastAsia" w:hAnsi="宋体"/>
                <w:highlight w:val="none"/>
              </w:rPr>
              <w:t xml:space="preserve">℃</w:t>
            </w:r>
            <w:r>
              <w:rPr>
                <w:highlight w:val="none"/>
              </w:rPr>
            </w:r>
            <w:r/>
          </w:p>
        </w:tc>
        <w:tc>
          <w:tcPr>
            <w:gridSpan w:val="2"/>
            <w:tcMar>
              <w:left w:w="0" w:type="dxa"/>
              <w:right w:w="0" w:type="dxa"/>
            </w:tcMar>
            <w:tcW w:w="2863"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+70</w:t>
            </w:r>
            <w:r>
              <w:rPr>
                <w:rFonts w:hAnsi="宋体"/>
                <w:sz w:val="18"/>
                <w:szCs w:val="18"/>
                <w:highlight w:val="none"/>
              </w:rPr>
            </w:r>
            <w:r/>
          </w:p>
        </w:tc>
      </w:tr>
      <w:tr>
        <w:trPr>
          <w:trHeight w:val="20"/>
        </w:trPr>
        <w:tc>
          <w:tcPr>
            <w:tcMar>
              <w:left w:w="0" w:type="dxa"/>
              <w:right w:w="0" w:type="dxa"/>
            </w:tcMar>
            <w:tcW w:w="848" w:type="dxa"/>
            <w:vAlign w:val="center"/>
            <w:vMerge w:val="continue"/>
            <w:textDirection w:val="lrTb"/>
            <w:noWrap w:val="false"/>
          </w:tcPr>
          <w:p>
            <w:pPr>
              <w:pStyle w:val="1151"/>
              <w:jc w:val="center"/>
              <w:rPr>
                <w:sz w:val="18"/>
                <w:szCs w:val="18"/>
                <w:highlight w:val="none"/>
              </w:rPr>
            </w:pPr>
            <w:r>
              <w:rPr>
                <w:sz w:val="18"/>
                <w:szCs w:val="18"/>
                <w:highlight w:val="none"/>
              </w:rPr>
            </w:r>
            <w:r/>
          </w:p>
        </w:tc>
        <w:tc>
          <w:tcPr>
            <w:gridSpan w:val="2"/>
            <w:tcMar>
              <w:left w:w="0" w:type="dxa"/>
              <w:right w:w="0" w:type="dxa"/>
            </w:tcMar>
            <w:tcW w:w="2106" w:type="dxa"/>
            <w:vAlign w:val="center"/>
            <w:vMerge w:val="continue"/>
            <w:textDirection w:val="lrTb"/>
            <w:noWrap w:val="false"/>
          </w:tcPr>
          <w:p>
            <w:pPr>
              <w:pStyle w:val="1176"/>
              <w:jc w:val="center"/>
              <w:spacing w:before="156" w:after="156"/>
              <w:rPr>
                <w:rFonts w:hAnsi="宋体"/>
                <w:highlight w:val="none"/>
              </w:rPr>
            </w:pPr>
            <w:r>
              <w:rPr>
                <w:rFonts w:hAnsi="宋体"/>
                <w:highlight w:val="none"/>
              </w:rPr>
            </w:r>
            <w:r/>
          </w:p>
        </w:tc>
        <w:tc>
          <w:tcPr>
            <w:tcMar>
              <w:left w:w="0" w:type="dxa"/>
              <w:right w:w="0" w:type="dxa"/>
            </w:tcMar>
            <w:tcW w:w="2572" w:type="dxa"/>
            <w:vAlign w:val="center"/>
            <w:textDirection w:val="lrTb"/>
            <w:noWrap w:val="false"/>
          </w:tcPr>
          <w:p>
            <w:pPr>
              <w:pStyle w:val="1176"/>
              <w:jc w:val="center"/>
              <w:spacing w:before="156" w:after="156"/>
              <w:rPr>
                <w:rFonts w:hAnsi="宋体"/>
                <w:highlight w:val="none"/>
              </w:rPr>
            </w:pPr>
            <w:r>
              <w:rPr>
                <w:rFonts w:hAnsi="宋体"/>
                <w:highlight w:val="none"/>
              </w:rPr>
              <w:t xml:space="preserve">相对湿度</w:t>
            </w:r>
            <w:r>
              <w:rPr>
                <w:rFonts w:hAnsi="宋体"/>
                <w:highlight w:val="none"/>
              </w:rPr>
            </w:r>
            <w:r/>
          </w:p>
        </w:tc>
        <w:tc>
          <w:tcPr>
            <w:tcMar>
              <w:left w:w="0" w:type="dxa"/>
              <w:right w:w="0" w:type="dxa"/>
            </w:tcMar>
            <w:tcW w:w="992" w:type="dxa"/>
            <w:vAlign w:val="center"/>
            <w:textDirection w:val="lrTb"/>
            <w:noWrap w:val="false"/>
          </w:tcPr>
          <w:p>
            <w:pPr>
              <w:pStyle w:val="1176"/>
              <w:jc w:val="center"/>
              <w:spacing w:before="156" w:after="156"/>
              <w:rPr>
                <w:highlight w:val="none"/>
              </w:rPr>
            </w:pPr>
            <w:r>
              <w:rPr>
                <w:rFonts w:hint="eastAsia" w:hAnsi="宋体"/>
                <w:highlight w:val="none"/>
              </w:rPr>
              <w:t xml:space="preserve">％</w:t>
            </w:r>
            <w:r>
              <w:rPr>
                <w:highlight w:val="none"/>
              </w:rPr>
            </w:r>
            <w:r/>
          </w:p>
        </w:tc>
        <w:tc>
          <w:tcPr>
            <w:gridSpan w:val="2"/>
            <w:tcMar>
              <w:left w:w="0" w:type="dxa"/>
              <w:right w:w="0" w:type="dxa"/>
            </w:tcMar>
            <w:tcW w:w="2863" w:type="dxa"/>
            <w:vAlign w:val="center"/>
            <w:textDirection w:val="lrTb"/>
            <w:noWrap w:val="false"/>
          </w:tcPr>
          <w:p>
            <w:pPr>
              <w:pStyle w:val="1151"/>
              <w:jc w:val="center"/>
              <w:rPr>
                <w:rFonts w:hAnsi="宋体"/>
                <w:sz w:val="18"/>
                <w:szCs w:val="18"/>
                <w:highlight w:val="none"/>
              </w:rPr>
            </w:pPr>
            <w:r>
              <w:rPr>
                <w:rFonts w:hAnsi="宋体"/>
                <w:sz w:val="18"/>
                <w:szCs w:val="18"/>
                <w:highlight w:val="none"/>
              </w:rPr>
              <w:t xml:space="preserve">10～100</w:t>
            </w:r>
            <w:r>
              <w:rPr>
                <w:rFonts w:hAnsi="宋体"/>
                <w:sz w:val="18"/>
                <w:szCs w:val="18"/>
                <w:highlight w:val="none"/>
              </w:rPr>
            </w:r>
            <w:r/>
          </w:p>
        </w:tc>
      </w:tr>
      <w:tr>
        <w:trPr>
          <w:trHeight w:val="20"/>
        </w:trPr>
        <w:tc>
          <w:tcPr>
            <w:tcMar>
              <w:left w:w="0" w:type="dxa"/>
              <w:right w:w="0" w:type="dxa"/>
            </w:tcMar>
            <w:tcW w:w="848" w:type="dxa"/>
            <w:vAlign w:val="center"/>
            <w:vMerge w:val="continue"/>
            <w:textDirection w:val="lrTb"/>
            <w:noWrap w:val="false"/>
          </w:tcPr>
          <w:p>
            <w:pPr>
              <w:pStyle w:val="1151"/>
              <w:jc w:val="center"/>
              <w:rPr>
                <w:sz w:val="18"/>
                <w:szCs w:val="18"/>
                <w:highlight w:val="none"/>
              </w:rPr>
            </w:pPr>
            <w:r>
              <w:rPr>
                <w:sz w:val="18"/>
                <w:szCs w:val="18"/>
                <w:highlight w:val="none"/>
              </w:rPr>
            </w:r>
            <w:r/>
          </w:p>
        </w:tc>
        <w:tc>
          <w:tcPr>
            <w:gridSpan w:val="2"/>
            <w:tcMar>
              <w:left w:w="0" w:type="dxa"/>
              <w:right w:w="0" w:type="dxa"/>
            </w:tcMar>
            <w:tcW w:w="2106" w:type="dxa"/>
            <w:vAlign w:val="center"/>
            <w:textDirection w:val="lrTb"/>
            <w:noWrap w:val="false"/>
          </w:tcPr>
          <w:p>
            <w:pPr>
              <w:pStyle w:val="1176"/>
              <w:jc w:val="center"/>
              <w:spacing w:before="156" w:after="156"/>
              <w:rPr>
                <w:rFonts w:hAnsi="宋体"/>
                <w:highlight w:val="none"/>
              </w:rPr>
            </w:pPr>
            <w:r>
              <w:rPr>
                <w:rFonts w:hAnsi="宋体"/>
                <w:highlight w:val="none"/>
              </w:rPr>
            </w:r>
            <w:r/>
          </w:p>
        </w:tc>
        <w:tc>
          <w:tcPr>
            <w:tcMar>
              <w:left w:w="0" w:type="dxa"/>
              <w:right w:w="0" w:type="dxa"/>
            </w:tcMar>
            <w:tcW w:w="2572" w:type="dxa"/>
            <w:vAlign w:val="center"/>
            <w:textDirection w:val="lrTb"/>
            <w:noWrap w:val="false"/>
          </w:tcPr>
          <w:p>
            <w:pPr>
              <w:pStyle w:val="1176"/>
              <w:jc w:val="center"/>
              <w:spacing w:before="156" w:after="156"/>
              <w:rPr>
                <w:rFonts w:hAnsi="宋体"/>
                <w:highlight w:val="none"/>
              </w:rPr>
            </w:pPr>
            <w:r>
              <w:rPr>
                <w:rFonts w:hAnsi="宋体"/>
                <w:highlight w:val="none"/>
              </w:rPr>
              <w:t xml:space="preserve">最大绝对湿度</w:t>
            </w:r>
            <w:r>
              <w:rPr>
                <w:rFonts w:hAnsi="宋体"/>
                <w:highlight w:val="none"/>
              </w:rPr>
            </w:r>
            <w:r/>
          </w:p>
        </w:tc>
        <w:tc>
          <w:tcPr>
            <w:tcMar>
              <w:left w:w="0" w:type="dxa"/>
              <w:right w:w="0" w:type="dxa"/>
            </w:tcMar>
            <w:tcW w:w="992" w:type="dxa"/>
            <w:vAlign w:val="center"/>
            <w:textDirection w:val="lrTb"/>
            <w:noWrap w:val="false"/>
          </w:tcPr>
          <w:p>
            <w:pPr>
              <w:pStyle w:val="1176"/>
              <w:jc w:val="center"/>
              <w:spacing w:before="156" w:after="156"/>
              <w:rPr>
                <w:highlight w:val="none"/>
              </w:rPr>
            </w:pPr>
            <w:r>
              <w:rPr>
                <w:rFonts w:hAnsi="宋体"/>
                <w:highlight w:val="none"/>
              </w:rPr>
              <w:t xml:space="preserve">g/m3</w:t>
            </w:r>
            <w:r>
              <w:rPr>
                <w:highlight w:val="none"/>
              </w:rPr>
            </w:r>
            <w:r/>
          </w:p>
        </w:tc>
        <w:tc>
          <w:tcPr>
            <w:gridSpan w:val="2"/>
            <w:tcMar>
              <w:left w:w="0" w:type="dxa"/>
              <w:right w:w="0" w:type="dxa"/>
            </w:tcMar>
            <w:tcW w:w="2863"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35</w:t>
            </w:r>
            <w:r>
              <w:rPr>
                <w:rFonts w:hAnsi="宋体"/>
                <w:sz w:val="18"/>
                <w:szCs w:val="18"/>
                <w:highlight w:val="none"/>
              </w:rPr>
            </w:r>
            <w:r/>
          </w:p>
        </w:tc>
      </w:tr>
      <w:tr>
        <w:trPr>
          <w:trHeight w:val="20"/>
        </w:trPr>
        <w:tc>
          <w:tcPr>
            <w:tcMar>
              <w:left w:w="0" w:type="dxa"/>
              <w:right w:w="0" w:type="dxa"/>
            </w:tcMar>
            <w:tcW w:w="848" w:type="dxa"/>
            <w:vAlign w:val="center"/>
            <w:vMerge w:val="restart"/>
            <w:textDirection w:val="lrTb"/>
            <w:noWrap w:val="false"/>
          </w:tcPr>
          <w:p>
            <w:pPr>
              <w:pStyle w:val="1151"/>
              <w:jc w:val="center"/>
              <w:rPr>
                <w:sz w:val="18"/>
                <w:szCs w:val="18"/>
                <w:highlight w:val="none"/>
              </w:rPr>
            </w:pPr>
            <w:r>
              <w:rPr>
                <w:sz w:val="18"/>
                <w:szCs w:val="18"/>
                <w:highlight w:val="none"/>
              </w:rPr>
              <w:t xml:space="preserve">3</w:t>
            </w:r>
            <w:r>
              <w:rPr>
                <w:sz w:val="18"/>
                <w:szCs w:val="18"/>
                <w:highlight w:val="none"/>
              </w:rPr>
            </w:r>
            <w:r/>
          </w:p>
        </w:tc>
        <w:tc>
          <w:tcPr>
            <w:gridSpan w:val="2"/>
            <w:tcMar>
              <w:left w:w="0" w:type="dxa"/>
              <w:right w:w="0" w:type="dxa"/>
            </w:tcMar>
            <w:tcW w:w="2106" w:type="dxa"/>
            <w:vAlign w:val="center"/>
            <w:vMerge w:val="restart"/>
            <w:textDirection w:val="lrTb"/>
            <w:noWrap w:val="false"/>
          </w:tcPr>
          <w:p>
            <w:pPr>
              <w:pStyle w:val="1176"/>
              <w:jc w:val="center"/>
              <w:spacing w:before="156" w:after="156"/>
              <w:rPr>
                <w:rFonts w:hAnsi="宋体"/>
                <w:highlight w:val="none"/>
              </w:rPr>
            </w:pPr>
            <w:r>
              <w:rPr>
                <w:rFonts w:hint="eastAsia"/>
                <w:highlight w:val="none"/>
              </w:rPr>
              <w:t xml:space="preserve">模拟量输入标称值</w:t>
            </w:r>
            <w:r>
              <w:rPr>
                <w:rFonts w:hAnsi="宋体"/>
                <w:highlight w:val="none"/>
              </w:rPr>
            </w:r>
            <w:r/>
          </w:p>
        </w:tc>
        <w:tc>
          <w:tcPr>
            <w:tcMar>
              <w:left w:w="0" w:type="dxa"/>
              <w:right w:w="0" w:type="dxa"/>
            </w:tcMar>
            <w:tcW w:w="2572" w:type="dxa"/>
            <w:vAlign w:val="center"/>
            <w:textDirection w:val="lrTb"/>
            <w:noWrap w:val="false"/>
          </w:tcPr>
          <w:p>
            <w:pPr>
              <w:pStyle w:val="1176"/>
              <w:jc w:val="center"/>
              <w:spacing w:before="156" w:after="156"/>
              <w:rPr>
                <w:rFonts w:hAnsi="宋体"/>
                <w:highlight w:val="none"/>
              </w:rPr>
            </w:pPr>
            <w:r>
              <w:rPr>
                <w:rFonts w:hint="eastAsia" w:hAnsi="宋体"/>
                <w:highlight w:val="none"/>
              </w:rPr>
              <w:t xml:space="preserve">相</w:t>
            </w:r>
            <w:r>
              <w:rPr>
                <w:rFonts w:hAnsi="宋体"/>
                <w:highlight w:val="none"/>
              </w:rPr>
              <w:t xml:space="preserve">电压</w:t>
            </w:r>
            <w:r>
              <w:rPr>
                <w:rFonts w:hAnsi="宋体"/>
                <w:highlight w:val="none"/>
              </w:rPr>
            </w:r>
            <w:r/>
          </w:p>
        </w:tc>
        <w:tc>
          <w:tcPr>
            <w:tcMar>
              <w:left w:w="0" w:type="dxa"/>
              <w:right w:w="0" w:type="dxa"/>
            </w:tcMar>
            <w:tcW w:w="992" w:type="dxa"/>
            <w:vAlign w:val="center"/>
            <w:textDirection w:val="lrTb"/>
            <w:noWrap w:val="false"/>
          </w:tcPr>
          <w:p>
            <w:pPr>
              <w:pStyle w:val="1176"/>
              <w:jc w:val="center"/>
              <w:spacing w:before="156" w:after="156"/>
              <w:rPr>
                <w:rFonts w:hAnsi="宋体"/>
                <w:highlight w:val="none"/>
              </w:rPr>
            </w:pPr>
            <w:r>
              <w:rPr>
                <w:highlight w:val="none"/>
              </w:rPr>
              <w:t xml:space="preserve">V</w:t>
            </w:r>
            <w:r>
              <w:rPr>
                <w:rFonts w:hAnsi="宋体"/>
                <w:highlight w:val="none"/>
              </w:rPr>
            </w:r>
            <w:r/>
          </w:p>
        </w:tc>
        <w:tc>
          <w:tcPr>
            <w:gridSpan w:val="2"/>
            <w:tcMar>
              <w:left w:w="0" w:type="dxa"/>
              <w:right w:w="0" w:type="dxa"/>
            </w:tcMar>
            <w:tcW w:w="2863" w:type="dxa"/>
            <w:vAlign w:val="center"/>
            <w:textDirection w:val="lrTb"/>
            <w:noWrap w:val="false"/>
          </w:tcPr>
          <w:p>
            <w:pPr>
              <w:pStyle w:val="1151"/>
              <w:jc w:val="center"/>
              <w:rPr>
                <w:rFonts w:hAnsi="宋体"/>
                <w:color w:val="ff0000"/>
                <w:sz w:val="18"/>
                <w:szCs w:val="18"/>
                <w:highlight w:val="none"/>
              </w:rPr>
            </w:pPr>
            <w:r>
              <w:rPr>
                <w:rFonts w:hAnsi="宋体"/>
                <w:sz w:val="18"/>
                <w:szCs w:val="18"/>
                <w:highlight w:val="none"/>
              </w:rPr>
              <w:t xml:space="preserve">AC100/</w:t>
            </w:r>
            <w:r>
              <w:rPr>
                <w:rFonts w:hAnsi="宋体"/>
                <w:sz w:val="18"/>
                <w:szCs w:val="18"/>
                <w:highlight w:val="none"/>
              </w:rPr>
              <w:object w:dxaOrig="217" w:dyaOrig="31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9.8pt;height:15.5pt;mso-wrap-distance-left:0.0pt;mso-wrap-distance-top:0.0pt;mso-wrap-distance-right:0.0pt;mso-wrap-distance-bottom:0.0pt;" filled="f" stroked="f">
                  <v:path textboxrect="0,0,0,0"/>
                  <v:imagedata r:id="rId196" o:title=""/>
                </v:shape>
                <o:OLEObject DrawAspect="Content" r:id="rId197" ObjectID="_152504184" ProgID="Word.Document" ShapeID="_x0000_i184" Type="Embed"/>
              </w:object>
            </w:r>
            <w:r>
              <w:rPr>
                <w:rFonts w:hAnsi="宋体"/>
                <w:sz w:val="18"/>
                <w:szCs w:val="18"/>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9.8pt;height:15.5pt;mso-wrap-distance-left:0.0pt;mso-wrap-distance-top:0.0pt;mso-wrap-distance-right:0.0pt;mso-wrap-distance-bottom:0.0pt;" filled="f" stroked="f">
                  <v:path textboxrect="0,0,0,0"/>
                  <v:imagedata r:id="rId198" o:title=""/>
                </v:shape>
                <o:OLEObject DrawAspect="Content" r:id="rId199" ObjectID="_152504185" ProgID="Word.Document" ShapeID="_x0000_i185" Type="Embed"/>
              </w:object>
            </w:r>
            <w:r>
              <w:rPr>
                <w:rFonts w:hAnsi="宋体"/>
                <w:sz w:val="18"/>
                <w:szCs w:val="18"/>
                <w:highlight w:val="none"/>
              </w:rPr>
              <w:t xml:space="preserve">V</w:t>
            </w:r>
            <w:r>
              <w:rPr>
                <w:rFonts w:hAnsi="宋体"/>
                <w:color w:val="ff0000"/>
                <w:sz w:val="18"/>
                <w:szCs w:val="18"/>
                <w:highlight w:val="none"/>
              </w:rPr>
            </w:r>
            <w:r/>
          </w:p>
        </w:tc>
      </w:tr>
      <w:tr>
        <w:trPr>
          <w:trHeight w:val="20"/>
        </w:trPr>
        <w:tc>
          <w:tcPr>
            <w:tcMar>
              <w:left w:w="0" w:type="dxa"/>
              <w:right w:w="0" w:type="dxa"/>
            </w:tcMar>
            <w:tcW w:w="848" w:type="dxa"/>
            <w:vAlign w:val="center"/>
            <w:vMerge w:val="continue"/>
            <w:textDirection w:val="lrTb"/>
            <w:noWrap w:val="false"/>
          </w:tcPr>
          <w:p>
            <w:pPr>
              <w:pStyle w:val="1151"/>
              <w:jc w:val="center"/>
              <w:rPr>
                <w:sz w:val="18"/>
                <w:szCs w:val="18"/>
                <w:highlight w:val="none"/>
              </w:rPr>
            </w:pPr>
            <w:r>
              <w:rPr>
                <w:sz w:val="18"/>
                <w:szCs w:val="18"/>
                <w:highlight w:val="none"/>
              </w:rPr>
            </w:r>
            <w:r/>
          </w:p>
        </w:tc>
        <w:tc>
          <w:tcPr>
            <w:gridSpan w:val="2"/>
            <w:tcMar>
              <w:left w:w="0" w:type="dxa"/>
              <w:right w:w="0" w:type="dxa"/>
            </w:tcMar>
            <w:tcW w:w="2106" w:type="dxa"/>
            <w:vAlign w:val="center"/>
            <w:vMerge w:val="continue"/>
            <w:textDirection w:val="lrTb"/>
            <w:noWrap w:val="false"/>
          </w:tcPr>
          <w:p>
            <w:pPr>
              <w:pStyle w:val="1176"/>
              <w:jc w:val="center"/>
              <w:spacing w:before="156" w:after="156"/>
              <w:rPr>
                <w:rFonts w:hAnsi="宋体"/>
                <w:highlight w:val="none"/>
              </w:rPr>
            </w:pPr>
            <w:r>
              <w:rPr>
                <w:rFonts w:hAnsi="宋体"/>
                <w:highlight w:val="none"/>
              </w:rPr>
            </w:r>
            <w:r/>
          </w:p>
        </w:tc>
        <w:tc>
          <w:tcPr>
            <w:tcMar>
              <w:left w:w="0" w:type="dxa"/>
              <w:right w:w="0" w:type="dxa"/>
            </w:tcMar>
            <w:tcW w:w="2572" w:type="dxa"/>
            <w:vAlign w:val="center"/>
            <w:textDirection w:val="lrTb"/>
            <w:noWrap w:val="false"/>
          </w:tcPr>
          <w:p>
            <w:pPr>
              <w:pStyle w:val="1176"/>
              <w:jc w:val="center"/>
              <w:spacing w:before="156" w:after="156"/>
              <w:rPr>
                <w:rFonts w:hAnsi="宋体"/>
                <w:highlight w:val="none"/>
              </w:rPr>
            </w:pPr>
            <w:r>
              <w:rPr>
                <w:rFonts w:hint="eastAsia" w:hAnsi="宋体"/>
                <w:highlight w:val="none"/>
              </w:rPr>
              <w:t xml:space="preserve">零序电压</w:t>
            </w:r>
            <w:r>
              <w:rPr>
                <w:rFonts w:hAnsi="宋体"/>
                <w:highlight w:val="none"/>
              </w:rPr>
            </w:r>
            <w:r/>
          </w:p>
        </w:tc>
        <w:tc>
          <w:tcPr>
            <w:tcMar>
              <w:left w:w="0" w:type="dxa"/>
              <w:right w:w="0" w:type="dxa"/>
            </w:tcMar>
            <w:tcW w:w="992" w:type="dxa"/>
            <w:vAlign w:val="center"/>
            <w:textDirection w:val="lrTb"/>
            <w:noWrap w:val="false"/>
          </w:tcPr>
          <w:p>
            <w:pPr>
              <w:pStyle w:val="1176"/>
              <w:jc w:val="center"/>
              <w:spacing w:before="156" w:after="156"/>
              <w:rPr>
                <w:rFonts w:hAnsi="宋体"/>
                <w:highlight w:val="none"/>
              </w:rPr>
            </w:pPr>
            <w:r>
              <w:rPr>
                <w:rFonts w:hint="eastAsia"/>
                <w:highlight w:val="none"/>
              </w:rPr>
              <w:t xml:space="preserve">V</w:t>
            </w:r>
            <w:r>
              <w:rPr>
                <w:rFonts w:hAnsi="宋体"/>
                <w:highlight w:val="none"/>
              </w:rPr>
            </w:r>
            <w:r/>
          </w:p>
        </w:tc>
        <w:tc>
          <w:tcPr>
            <w:gridSpan w:val="2"/>
            <w:tcMar>
              <w:left w:w="0" w:type="dxa"/>
              <w:right w:w="0" w:type="dxa"/>
            </w:tcMar>
            <w:tcW w:w="2863" w:type="dxa"/>
            <w:vAlign w:val="center"/>
            <w:textDirection w:val="lrTb"/>
            <w:noWrap w:val="false"/>
          </w:tcPr>
          <w:p>
            <w:pPr>
              <w:pStyle w:val="1151"/>
              <w:jc w:val="center"/>
              <w:rPr>
                <w:rFonts w:hAnsi="宋体"/>
                <w:sz w:val="18"/>
                <w:szCs w:val="18"/>
                <w:highlight w:val="none"/>
              </w:rPr>
            </w:pPr>
            <w:r>
              <w:rPr>
                <w:rFonts w:hAnsi="宋体"/>
                <w:sz w:val="18"/>
                <w:szCs w:val="18"/>
                <w:highlight w:val="none"/>
              </w:rPr>
              <w:t xml:space="preserve">AC100V</w:t>
            </w:r>
            <w:r>
              <w:rPr>
                <w:rFonts w:hAnsi="宋体"/>
                <w:sz w:val="18"/>
                <w:szCs w:val="18"/>
                <w:highlight w:val="none"/>
              </w:rPr>
            </w:r>
            <w:r/>
          </w:p>
        </w:tc>
      </w:tr>
      <w:tr>
        <w:trPr>
          <w:trHeight w:val="20"/>
        </w:trPr>
        <w:tc>
          <w:tcPr>
            <w:tcMar>
              <w:left w:w="0" w:type="dxa"/>
              <w:right w:w="0" w:type="dxa"/>
            </w:tcMar>
            <w:tcW w:w="848" w:type="dxa"/>
            <w:vAlign w:val="center"/>
            <w:vMerge w:val="continue"/>
            <w:textDirection w:val="lrTb"/>
            <w:noWrap w:val="false"/>
          </w:tcPr>
          <w:p>
            <w:pPr>
              <w:pStyle w:val="1151"/>
              <w:jc w:val="center"/>
              <w:rPr>
                <w:sz w:val="18"/>
                <w:szCs w:val="18"/>
                <w:highlight w:val="none"/>
              </w:rPr>
            </w:pPr>
            <w:r>
              <w:rPr>
                <w:sz w:val="18"/>
                <w:szCs w:val="18"/>
                <w:highlight w:val="none"/>
              </w:rPr>
            </w:r>
            <w:r/>
          </w:p>
        </w:tc>
        <w:tc>
          <w:tcPr>
            <w:gridSpan w:val="2"/>
            <w:tcMar>
              <w:left w:w="0" w:type="dxa"/>
              <w:right w:w="0" w:type="dxa"/>
            </w:tcMar>
            <w:tcW w:w="2106" w:type="dxa"/>
            <w:vAlign w:val="center"/>
            <w:vMerge w:val="continue"/>
            <w:textDirection w:val="lrTb"/>
            <w:noWrap w:val="false"/>
          </w:tcPr>
          <w:p>
            <w:pPr>
              <w:pStyle w:val="1176"/>
              <w:jc w:val="center"/>
              <w:spacing w:before="156" w:after="156"/>
              <w:rPr>
                <w:rFonts w:hAnsi="宋体"/>
                <w:highlight w:val="none"/>
              </w:rPr>
            </w:pPr>
            <w:r>
              <w:rPr>
                <w:rFonts w:hAnsi="宋体"/>
                <w:highlight w:val="none"/>
              </w:rPr>
            </w:r>
            <w:r/>
          </w:p>
        </w:tc>
        <w:tc>
          <w:tcPr>
            <w:tcMar>
              <w:left w:w="0" w:type="dxa"/>
              <w:right w:w="0" w:type="dxa"/>
            </w:tcMar>
            <w:tcW w:w="2572" w:type="dxa"/>
            <w:vAlign w:val="center"/>
            <w:textDirection w:val="lrTb"/>
            <w:noWrap w:val="false"/>
          </w:tcPr>
          <w:p>
            <w:pPr>
              <w:pStyle w:val="1176"/>
              <w:jc w:val="center"/>
              <w:spacing w:before="156" w:after="156"/>
              <w:rPr>
                <w:rFonts w:hAnsi="宋体"/>
                <w:highlight w:val="none"/>
              </w:rPr>
            </w:pPr>
            <w:r>
              <w:rPr>
                <w:rFonts w:hint="eastAsia" w:hAnsi="宋体"/>
                <w:highlight w:val="none"/>
              </w:rPr>
              <w:t xml:space="preserve">相</w:t>
            </w:r>
            <w:r>
              <w:rPr>
                <w:rFonts w:hAnsi="宋体"/>
                <w:highlight w:val="none"/>
              </w:rPr>
              <w:t xml:space="preserve">电流</w:t>
            </w:r>
            <w:r>
              <w:rPr>
                <w:rFonts w:hAnsi="宋体"/>
                <w:highlight w:val="none"/>
              </w:rPr>
            </w:r>
            <w:r/>
          </w:p>
        </w:tc>
        <w:tc>
          <w:tcPr>
            <w:tcMar>
              <w:left w:w="0" w:type="dxa"/>
              <w:right w:w="0" w:type="dxa"/>
            </w:tcMar>
            <w:tcW w:w="992" w:type="dxa"/>
            <w:vAlign w:val="center"/>
            <w:textDirection w:val="lrTb"/>
            <w:noWrap w:val="false"/>
          </w:tcPr>
          <w:p>
            <w:pPr>
              <w:pStyle w:val="1176"/>
              <w:jc w:val="center"/>
              <w:spacing w:before="156" w:after="156"/>
              <w:rPr>
                <w:rFonts w:hAnsi="宋体"/>
                <w:highlight w:val="none"/>
              </w:rPr>
            </w:pPr>
            <w:r>
              <w:rPr>
                <w:highlight w:val="none"/>
              </w:rPr>
              <w:t xml:space="preserve">A</w:t>
            </w:r>
            <w:r>
              <w:rPr>
                <w:rFonts w:hAnsi="宋体"/>
                <w:highlight w:val="none"/>
              </w:rPr>
            </w:r>
            <w:r/>
          </w:p>
        </w:tc>
        <w:tc>
          <w:tcPr>
            <w:gridSpan w:val="2"/>
            <w:tcMar>
              <w:left w:w="0" w:type="dxa"/>
              <w:right w:w="0" w:type="dxa"/>
            </w:tcMar>
            <w:tcW w:w="2863" w:type="dxa"/>
            <w:vAlign w:val="center"/>
            <w:textDirection w:val="lrTb"/>
            <w:noWrap w:val="false"/>
          </w:tcPr>
          <w:p>
            <w:pPr>
              <w:pStyle w:val="1151"/>
              <w:jc w:val="center"/>
              <w:rPr>
                <w:rFonts w:hAnsi="宋体"/>
                <w:sz w:val="18"/>
                <w:szCs w:val="18"/>
                <w:highlight w:val="none"/>
              </w:rPr>
            </w:pPr>
            <w:r>
              <w:rPr>
                <w:rFonts w:hAnsi="宋体"/>
                <w:sz w:val="18"/>
                <w:szCs w:val="18"/>
                <w:highlight w:val="none"/>
              </w:rPr>
              <w:t xml:space="preserve">1</w:t>
            </w:r>
            <w:r>
              <w:rPr>
                <w:rFonts w:hint="eastAsia" w:hAnsi="宋体"/>
                <w:sz w:val="18"/>
                <w:szCs w:val="18"/>
                <w:highlight w:val="none"/>
              </w:rPr>
              <w:t xml:space="preserve">或5</w:t>
            </w:r>
            <w:r>
              <w:rPr>
                <w:rFonts w:hAnsi="宋体"/>
                <w:sz w:val="18"/>
                <w:szCs w:val="18"/>
                <w:highlight w:val="none"/>
              </w:rPr>
            </w:r>
            <w:r/>
          </w:p>
        </w:tc>
      </w:tr>
      <w:tr>
        <w:trPr>
          <w:trHeight w:val="20"/>
        </w:trPr>
        <w:tc>
          <w:tcPr>
            <w:tcMar>
              <w:left w:w="0" w:type="dxa"/>
              <w:right w:w="0" w:type="dxa"/>
            </w:tcMar>
            <w:tcW w:w="848" w:type="dxa"/>
            <w:vAlign w:val="center"/>
            <w:vMerge w:val="continue"/>
            <w:textDirection w:val="lrTb"/>
            <w:noWrap w:val="false"/>
          </w:tcPr>
          <w:p>
            <w:pPr>
              <w:pStyle w:val="1151"/>
              <w:jc w:val="center"/>
              <w:rPr>
                <w:sz w:val="18"/>
                <w:szCs w:val="18"/>
                <w:highlight w:val="none"/>
              </w:rPr>
            </w:pPr>
            <w:r>
              <w:rPr>
                <w:sz w:val="18"/>
                <w:szCs w:val="18"/>
                <w:highlight w:val="none"/>
              </w:rPr>
            </w:r>
            <w:r/>
          </w:p>
        </w:tc>
        <w:tc>
          <w:tcPr>
            <w:gridSpan w:val="2"/>
            <w:tcMar>
              <w:left w:w="0" w:type="dxa"/>
              <w:right w:w="0" w:type="dxa"/>
            </w:tcMar>
            <w:tcW w:w="2106" w:type="dxa"/>
            <w:vAlign w:val="center"/>
            <w:vMerge w:val="continue"/>
            <w:textDirection w:val="lrTb"/>
            <w:noWrap w:val="false"/>
          </w:tcPr>
          <w:p>
            <w:pPr>
              <w:pStyle w:val="1176"/>
              <w:jc w:val="center"/>
              <w:spacing w:before="156" w:after="156"/>
              <w:rPr>
                <w:rFonts w:hAnsi="宋体"/>
                <w:highlight w:val="none"/>
              </w:rPr>
            </w:pPr>
            <w:r>
              <w:rPr>
                <w:rFonts w:hAnsi="宋体"/>
                <w:highlight w:val="none"/>
              </w:rPr>
            </w:r>
            <w:r/>
          </w:p>
        </w:tc>
        <w:tc>
          <w:tcPr>
            <w:tcMar>
              <w:left w:w="0" w:type="dxa"/>
              <w:right w:w="0" w:type="dxa"/>
            </w:tcMar>
            <w:tcW w:w="2572" w:type="dxa"/>
            <w:vAlign w:val="center"/>
            <w:textDirection w:val="lrTb"/>
            <w:noWrap w:val="false"/>
          </w:tcPr>
          <w:p>
            <w:pPr>
              <w:pStyle w:val="1176"/>
              <w:jc w:val="center"/>
              <w:spacing w:before="156" w:after="156"/>
              <w:rPr>
                <w:rFonts w:hAnsi="宋体"/>
                <w:highlight w:val="none"/>
              </w:rPr>
            </w:pPr>
            <w:r>
              <w:rPr>
                <w:rFonts w:hint="eastAsia" w:hAnsi="宋体"/>
                <w:highlight w:val="none"/>
              </w:rPr>
              <w:t xml:space="preserve">零序电流</w:t>
            </w:r>
            <w:r>
              <w:rPr>
                <w:rFonts w:hAnsi="宋体"/>
                <w:highlight w:val="none"/>
              </w:rPr>
            </w:r>
            <w:r/>
          </w:p>
        </w:tc>
        <w:tc>
          <w:tcPr>
            <w:tcMar>
              <w:left w:w="0" w:type="dxa"/>
              <w:right w:w="0" w:type="dxa"/>
            </w:tcMar>
            <w:tcW w:w="992" w:type="dxa"/>
            <w:vAlign w:val="center"/>
            <w:textDirection w:val="lrTb"/>
            <w:noWrap w:val="false"/>
          </w:tcPr>
          <w:p>
            <w:pPr>
              <w:pStyle w:val="1176"/>
              <w:jc w:val="center"/>
              <w:spacing w:before="156" w:after="156"/>
              <w:rPr>
                <w:rFonts w:hAnsi="宋体"/>
                <w:highlight w:val="none"/>
              </w:rPr>
            </w:pPr>
            <w:r>
              <w:rPr>
                <w:rFonts w:hint="eastAsia"/>
                <w:highlight w:val="none"/>
              </w:rPr>
              <w:t xml:space="preserve">A</w:t>
            </w:r>
            <w:r>
              <w:rPr>
                <w:rFonts w:hAnsi="宋体"/>
                <w:highlight w:val="none"/>
              </w:rPr>
            </w:r>
            <w:r/>
          </w:p>
        </w:tc>
        <w:tc>
          <w:tcPr>
            <w:gridSpan w:val="2"/>
            <w:tcMar>
              <w:left w:w="0" w:type="dxa"/>
              <w:right w:w="0" w:type="dxa"/>
            </w:tcMar>
            <w:tcW w:w="2863" w:type="dxa"/>
            <w:vAlign w:val="center"/>
            <w:textDirection w:val="lrTb"/>
            <w:noWrap w:val="false"/>
          </w:tcPr>
          <w:p>
            <w:pPr>
              <w:pStyle w:val="1151"/>
              <w:jc w:val="center"/>
              <w:rPr>
                <w:rFonts w:hAnsi="宋体"/>
                <w:sz w:val="18"/>
                <w:szCs w:val="18"/>
                <w:highlight w:val="none"/>
              </w:rPr>
            </w:pPr>
            <w:r>
              <w:rPr>
                <w:rFonts w:hAnsi="宋体"/>
                <w:sz w:val="18"/>
                <w:szCs w:val="18"/>
                <w:highlight w:val="none"/>
              </w:rPr>
              <w:t xml:space="preserve">1</w:t>
            </w:r>
            <w:r>
              <w:rPr>
                <w:rFonts w:hAnsi="宋体"/>
                <w:sz w:val="18"/>
                <w:szCs w:val="18"/>
                <w:highlight w:val="none"/>
              </w:rPr>
            </w:r>
            <w:r/>
          </w:p>
        </w:tc>
      </w:tr>
      <w:tr>
        <w:trPr>
          <w:trHeight w:val="326"/>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sz w:val="18"/>
                <w:szCs w:val="18"/>
                <w:highlight w:val="none"/>
              </w:rPr>
              <w:t xml:space="preserve">4</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工作电源</w:t>
            </w:r>
            <w:r>
              <w:rPr>
                <w:rFonts w:hAnsi="宋体"/>
                <w:sz w:val="18"/>
                <w:szCs w:val="18"/>
                <w:highlight w:val="none"/>
              </w:rPr>
            </w:r>
            <w:r/>
          </w:p>
        </w:tc>
        <w:tc>
          <w:tcPr>
            <w:tcMar>
              <w:left w:w="0" w:type="dxa"/>
              <w:right w:w="0" w:type="dxa"/>
            </w:tcMar>
            <w:tcW w:w="992" w:type="dxa"/>
            <w:vAlign w:val="center"/>
            <w:textDirection w:val="lrTb"/>
            <w:noWrap w:val="false"/>
          </w:tcPr>
          <w:p>
            <w:pPr>
              <w:pStyle w:val="1176"/>
              <w:jc w:val="center"/>
              <w:spacing w:before="156" w:after="156"/>
              <w:rPr>
                <w:highlight w:val="none"/>
              </w:rPr>
            </w:pPr>
            <w:r>
              <w:rPr>
                <w:rFonts w:hint="eastAsia"/>
                <w:highlight w:val="none"/>
              </w:rPr>
              <w:t xml:space="preserve">/</w:t>
            </w:r>
            <w:r>
              <w:rPr>
                <w:highlight w:val="none"/>
              </w:rPr>
            </w:r>
            <w:r/>
          </w:p>
        </w:tc>
        <w:tc>
          <w:tcPr>
            <w:gridSpan w:val="2"/>
            <w:tcMar>
              <w:left w:w="0" w:type="dxa"/>
              <w:right w:w="0" w:type="dxa"/>
            </w:tcMar>
            <w:tcW w:w="2863"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AC220，三相三线制</w:t>
            </w:r>
            <w:r>
              <w:rPr>
                <w:rFonts w:hAnsi="宋体"/>
                <w:sz w:val="18"/>
                <w:szCs w:val="18"/>
                <w:highlight w:val="none"/>
              </w:rPr>
            </w:r>
            <w:r/>
          </w:p>
        </w:tc>
      </w:tr>
      <w:tr>
        <w:trPr>
          <w:trHeight w:val="20"/>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sz w:val="18"/>
                <w:szCs w:val="18"/>
                <w:highlight w:val="none"/>
              </w:rPr>
              <w:t xml:space="preserve">5</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开关测控容量</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sz w:val="18"/>
                <w:szCs w:val="18"/>
                <w:highlight w:val="none"/>
              </w:rPr>
            </w:pPr>
            <w:r>
              <w:rPr>
                <w:rFonts w:hint="eastAsia"/>
                <w:sz w:val="18"/>
                <w:szCs w:val="18"/>
                <w:highlight w:val="none"/>
              </w:rPr>
              <w:t xml:space="preserve">/</w:t>
            </w:r>
            <w:r>
              <w:rPr>
                <w:sz w:val="18"/>
                <w:szCs w:val="18"/>
                <w:highlight w:val="none"/>
              </w:rPr>
            </w:r>
            <w:r/>
          </w:p>
        </w:tc>
        <w:tc>
          <w:tcPr>
            <w:gridSpan w:val="2"/>
            <w:tcMar>
              <w:left w:w="0" w:type="dxa"/>
              <w:right w:w="0" w:type="dxa"/>
            </w:tcMar>
            <w:tcW w:w="2863" w:type="dxa"/>
            <w:vAlign w:val="center"/>
            <w:textDirection w:val="lrTb"/>
            <w:noWrap w:val="false"/>
          </w:tcPr>
          <w:p>
            <w:pPr>
              <w:pStyle w:val="1249"/>
              <w:contextualSpacing/>
              <w:ind w:left="0" w:firstLine="360"/>
              <w:spacing w:line="240" w:lineRule="auto"/>
              <w:rPr>
                <w:rFonts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t xml:space="preserve">容量配置：需要根据实际开关间隔数确定回路数，适用于该回路数的站所；</w:t>
            </w:r>
            <w:r>
              <w:rPr>
                <w:rFonts w:ascii="宋体" w:hAnsi="宋体"/>
                <w:sz w:val="18"/>
                <w:szCs w:val="18"/>
                <w:highlight w:val="none"/>
              </w:rPr>
            </w:r>
            <w:r/>
          </w:p>
          <w:p>
            <w:pPr>
              <w:pStyle w:val="1249"/>
              <w:contextualSpacing/>
              <w:ind w:left="0" w:firstLine="360"/>
              <w:spacing w:line="240" w:lineRule="auto"/>
              <w:rPr>
                <w:rFonts w:ascii="宋体" w:hAnsi="宋体"/>
                <w:sz w:val="18"/>
                <w:szCs w:val="18"/>
                <w:highlight w:val="none"/>
              </w:rPr>
            </w:pPr>
            <w:r>
              <w:rPr>
                <w:rFonts w:ascii="宋体" w:hAnsi="宋体"/>
                <w:sz w:val="18"/>
                <w:szCs w:val="18"/>
                <w:highlight w:val="none"/>
              </w:rPr>
              <w:t xml:space="preserve">(2)</w:t>
            </w:r>
            <w:r>
              <w:rPr>
                <w:rFonts w:hint="eastAsia" w:ascii="宋体" w:hAnsi="宋体"/>
                <w:sz w:val="18"/>
                <w:szCs w:val="18"/>
                <w:highlight w:val="none"/>
              </w:rPr>
              <w:t xml:space="preserve">遥测：每台采集三相电压和零序电压；每回路采集三相电流、零序电流。</w:t>
            </w:r>
            <w:r>
              <w:rPr>
                <w:rFonts w:ascii="宋体" w:hAnsi="宋体"/>
                <w:sz w:val="18"/>
                <w:szCs w:val="18"/>
                <w:highlight w:val="none"/>
              </w:rPr>
            </w:r>
            <w:r/>
          </w:p>
          <w:p>
            <w:pPr>
              <w:pStyle w:val="1249"/>
              <w:contextualSpacing/>
              <w:ind w:left="0" w:firstLine="360"/>
              <w:spacing w:line="240" w:lineRule="auto"/>
              <w:rPr>
                <w:rFonts w:ascii="宋体" w:hAnsi="宋体"/>
                <w:sz w:val="18"/>
                <w:szCs w:val="18"/>
                <w:highlight w:val="none"/>
              </w:rPr>
            </w:pPr>
            <w:r>
              <w:rPr>
                <w:rFonts w:ascii="宋体" w:hAnsi="宋体"/>
                <w:sz w:val="18"/>
                <w:szCs w:val="18"/>
                <w:highlight w:val="none"/>
              </w:rPr>
              <w:t xml:space="preserve">(3)</w:t>
            </w:r>
            <w:r>
              <w:rPr>
                <w:rFonts w:hint="eastAsia" w:ascii="宋体" w:hAnsi="宋体"/>
                <w:sz w:val="18"/>
                <w:szCs w:val="18"/>
                <w:highlight w:val="none"/>
              </w:rPr>
              <w:t xml:space="preserve">遥信：每回路配置遥信量不少于6个，包括开关合位、开关分位、地刀位置、开关储能、远方/就地、控制回路断线等。</w:t>
            </w:r>
            <w:r>
              <w:rPr>
                <w:rFonts w:ascii="宋体" w:hAnsi="宋体"/>
                <w:sz w:val="18"/>
                <w:szCs w:val="18"/>
                <w:highlight w:val="none"/>
              </w:rPr>
            </w:r>
            <w:r/>
          </w:p>
          <w:p>
            <w:pPr>
              <w:pStyle w:val="1249"/>
              <w:ind w:left="0" w:firstLine="360"/>
              <w:spacing w:line="240" w:lineRule="auto"/>
              <w:rPr>
                <w:rFonts w:ascii="宋体" w:hAnsi="宋体"/>
                <w:sz w:val="18"/>
                <w:szCs w:val="18"/>
                <w:highlight w:val="none"/>
              </w:rPr>
            </w:pPr>
            <w:r>
              <w:rPr>
                <w:rFonts w:ascii="宋体" w:hAnsi="宋体"/>
                <w:sz w:val="18"/>
                <w:szCs w:val="18"/>
                <w:highlight w:val="none"/>
              </w:rPr>
              <w:t xml:space="preserve">(4)</w:t>
            </w:r>
            <w:r>
              <w:rPr>
                <w:rFonts w:hint="eastAsia" w:ascii="宋体" w:hAnsi="宋体"/>
                <w:sz w:val="18"/>
                <w:szCs w:val="18"/>
                <w:highlight w:val="none"/>
              </w:rPr>
              <w:t xml:space="preserve">遥控：每回路配置遥控量至少2个（分闸/合闸控出）。</w:t>
            </w:r>
            <w:r>
              <w:rPr>
                <w:rFonts w:ascii="宋体" w:hAnsi="宋体"/>
                <w:sz w:val="18"/>
                <w:szCs w:val="18"/>
                <w:highlight w:val="none"/>
              </w:rPr>
            </w:r>
            <w:r/>
          </w:p>
        </w:tc>
      </w:tr>
      <w:tr>
        <w:trPr>
          <w:trHeight w:val="290"/>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sz w:val="18"/>
                <w:szCs w:val="18"/>
                <w:highlight w:val="none"/>
              </w:rPr>
              <w:t xml:space="preserve">6</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Ansi="宋体"/>
                <w:sz w:val="18"/>
                <w:szCs w:val="18"/>
                <w:highlight w:val="none"/>
              </w:rPr>
              <w:t xml:space="preserve">电压</w:t>
            </w:r>
            <w:r>
              <w:rPr>
                <w:rFonts w:hint="eastAsia" w:hAnsi="宋体"/>
                <w:sz w:val="18"/>
                <w:szCs w:val="18"/>
                <w:highlight w:val="none"/>
              </w:rPr>
              <w:t xml:space="preserve">测量</w:t>
            </w:r>
            <w:r>
              <w:rPr>
                <w:rFonts w:hAnsi="宋体"/>
                <w:sz w:val="18"/>
                <w:szCs w:val="18"/>
                <w:highlight w:val="none"/>
              </w:rPr>
              <w:t xml:space="preserve">精度</w:t>
            </w:r>
            <w:r>
              <w:rPr>
                <w:rFonts w:hAnsi="宋体"/>
                <w:sz w:val="18"/>
                <w:szCs w:val="18"/>
                <w:highlight w:val="none"/>
              </w:rPr>
            </w:r>
            <w:r/>
          </w:p>
        </w:tc>
        <w:tc>
          <w:tcPr>
            <w:tcMar>
              <w:left w:w="0" w:type="dxa"/>
              <w:right w:w="0" w:type="dxa"/>
            </w:tcMar>
            <w:tcW w:w="992" w:type="dxa"/>
            <w:vAlign w:val="center"/>
            <w:textDirection w:val="lrTb"/>
            <w:noWrap w:val="false"/>
          </w:tcPr>
          <w:p>
            <w:pPr>
              <w:pStyle w:val="1176"/>
              <w:jc w:val="center"/>
              <w:spacing w:before="156" w:after="156"/>
              <w:rPr>
                <w:highlight w:val="none"/>
              </w:rPr>
            </w:pPr>
            <w:r>
              <w:rPr>
                <w:rFonts w:hint="eastAsia"/>
                <w:highlight w:val="none"/>
              </w:rPr>
              <w:t xml:space="preserve">/</w:t>
            </w:r>
            <w:r>
              <w:rPr>
                <w:highlight w:val="none"/>
              </w:rPr>
            </w:r>
            <w:r/>
          </w:p>
        </w:tc>
        <w:tc>
          <w:tcPr>
            <w:gridSpan w:val="2"/>
            <w:tcMar>
              <w:left w:w="0" w:type="dxa"/>
              <w:right w:w="0" w:type="dxa"/>
            </w:tcMar>
            <w:tcW w:w="2863" w:type="dxa"/>
            <w:vAlign w:val="center"/>
            <w:textDirection w:val="lrTb"/>
            <w:noWrap w:val="false"/>
          </w:tcPr>
          <w:p>
            <w:pPr>
              <w:pStyle w:val="1151"/>
              <w:jc w:val="center"/>
              <w:rPr>
                <w:rFonts w:ascii="宋体" w:hAnsi="宋体"/>
                <w:sz w:val="18"/>
                <w:szCs w:val="18"/>
                <w:highlight w:val="none"/>
              </w:rPr>
            </w:pPr>
            <w:r>
              <w:rPr>
                <w:rFonts w:hint="eastAsia" w:ascii="宋体" w:hAnsi="宋体"/>
                <w:sz w:val="18"/>
                <w:szCs w:val="18"/>
                <w:highlight w:val="none"/>
              </w:rPr>
              <w:t xml:space="preserve">相电压0.5级</w:t>
            </w:r>
            <w:r>
              <w:rPr>
                <w:rFonts w:ascii="宋体" w:hAnsi="宋体"/>
                <w:sz w:val="18"/>
                <w:szCs w:val="18"/>
                <w:highlight w:val="none"/>
              </w:rPr>
            </w:r>
            <w:r/>
          </w:p>
          <w:p>
            <w:pPr>
              <w:pStyle w:val="1151"/>
              <w:jc w:val="center"/>
              <w:rPr>
                <w:rFonts w:hAnsi="宋体"/>
                <w:sz w:val="18"/>
                <w:szCs w:val="18"/>
                <w:highlight w:val="none"/>
              </w:rPr>
            </w:pPr>
            <w:r>
              <w:rPr>
                <w:rFonts w:hint="eastAsia" w:ascii="宋体" w:hAnsi="宋体"/>
                <w:sz w:val="18"/>
                <w:szCs w:val="18"/>
                <w:highlight w:val="none"/>
              </w:rPr>
              <w:t xml:space="preserve">零序电压0.5级</w:t>
            </w:r>
            <w:r>
              <w:rPr>
                <w:rFonts w:hAnsi="宋体"/>
                <w:sz w:val="18"/>
                <w:szCs w:val="18"/>
                <w:highlight w:val="none"/>
              </w:rPr>
            </w:r>
            <w:r/>
          </w:p>
        </w:tc>
      </w:tr>
      <w:tr>
        <w:trPr>
          <w:trHeight w:val="275"/>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sz w:val="18"/>
                <w:szCs w:val="18"/>
                <w:highlight w:val="none"/>
              </w:rPr>
              <w:t xml:space="preserve">7</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电流测量</w:t>
            </w:r>
            <w:r>
              <w:rPr>
                <w:rFonts w:hAnsi="宋体"/>
                <w:sz w:val="18"/>
                <w:szCs w:val="18"/>
                <w:highlight w:val="none"/>
              </w:rPr>
              <w:t xml:space="preserve">精度</w:t>
            </w:r>
            <w:r>
              <w:rPr>
                <w:rFonts w:hAnsi="宋体"/>
                <w:sz w:val="18"/>
                <w:szCs w:val="18"/>
                <w:highlight w:val="none"/>
              </w:rPr>
            </w:r>
            <w:r/>
          </w:p>
        </w:tc>
        <w:tc>
          <w:tcPr>
            <w:tcMar>
              <w:left w:w="0" w:type="dxa"/>
              <w:right w:w="0" w:type="dxa"/>
            </w:tcMar>
            <w:tcW w:w="992" w:type="dxa"/>
            <w:vAlign w:val="center"/>
            <w:textDirection w:val="lrTb"/>
            <w:noWrap w:val="false"/>
          </w:tcPr>
          <w:p>
            <w:pPr>
              <w:pStyle w:val="1176"/>
              <w:jc w:val="center"/>
              <w:spacing w:before="156" w:after="156"/>
              <w:rPr>
                <w:highlight w:val="none"/>
              </w:rPr>
            </w:pPr>
            <w:r>
              <w:rPr>
                <w:rFonts w:hint="eastAsia"/>
                <w:highlight w:val="none"/>
              </w:rPr>
              <w:t xml:space="preserve">/</w:t>
            </w:r>
            <w:r>
              <w:rPr>
                <w:highlight w:val="none"/>
              </w:rPr>
            </w:r>
            <w:r/>
          </w:p>
        </w:tc>
        <w:tc>
          <w:tcPr>
            <w:gridSpan w:val="2"/>
            <w:tcMar>
              <w:left w:w="0" w:type="dxa"/>
              <w:right w:w="0" w:type="dxa"/>
            </w:tcMar>
            <w:tcW w:w="2863" w:type="dxa"/>
            <w:vAlign w:val="center"/>
            <w:textDirection w:val="lrTb"/>
            <w:noWrap w:val="false"/>
          </w:tcPr>
          <w:p>
            <w:pPr>
              <w:pStyle w:val="1151"/>
              <w:rPr>
                <w:rFonts w:ascii="宋体" w:hAnsi="宋体"/>
                <w:sz w:val="18"/>
                <w:szCs w:val="18"/>
                <w:highlight w:val="none"/>
              </w:rPr>
            </w:pPr>
            <w:r>
              <w:rPr>
                <w:rFonts w:hint="eastAsia" w:ascii="宋体" w:hAnsi="宋体"/>
                <w:sz w:val="18"/>
                <w:szCs w:val="18"/>
                <w:highlight w:val="none"/>
              </w:rPr>
              <w:t xml:space="preserve">相测量值0.5级（</w:t>
            </w:r>
            <w:r>
              <w:rPr>
                <w:rFonts w:ascii="宋体" w:hAnsi="宋体"/>
                <w:sz w:val="18"/>
                <w:szCs w:val="18"/>
                <w:highlight w:val="none"/>
              </w:rPr>
              <w:t xml:space="preserve">≤</w:t>
            </w:r>
            <w:r>
              <w:rPr>
                <w:rFonts w:hint="eastAsia" w:ascii="宋体" w:hAnsi="宋体"/>
                <w:sz w:val="18"/>
                <w:szCs w:val="18"/>
                <w:highlight w:val="none"/>
              </w:rPr>
              <w:t xml:space="preserve">1.2</w:t>
            </w:r>
            <w:r>
              <w:rPr>
                <w:rFonts w:ascii="宋体" w:hAnsi="宋体"/>
                <w:sz w:val="18"/>
                <w:szCs w:val="18"/>
                <w:highlight w:val="none"/>
              </w:rPr>
              <w:t xml:space="preserve">In</w:t>
            </w:r>
            <w:r>
              <w:rPr>
                <w:rFonts w:hint="eastAsia" w:ascii="宋体" w:hAnsi="宋体"/>
                <w:sz w:val="18"/>
                <w:szCs w:val="18"/>
                <w:highlight w:val="none"/>
              </w:rPr>
              <w:t xml:space="preserve">），</w:t>
            </w:r>
            <w:r>
              <w:rPr>
                <w:rFonts w:ascii="宋体" w:hAnsi="宋体"/>
                <w:sz w:val="18"/>
                <w:szCs w:val="18"/>
                <w:highlight w:val="none"/>
              </w:rPr>
            </w:r>
            <w:r/>
          </w:p>
          <w:p>
            <w:pPr>
              <w:pStyle w:val="1151"/>
              <w:rPr>
                <w:rFonts w:ascii="宋体" w:hAnsi="宋体"/>
                <w:sz w:val="18"/>
                <w:szCs w:val="18"/>
                <w:highlight w:val="none"/>
              </w:rPr>
            </w:pPr>
            <w:r>
              <w:rPr>
                <w:rFonts w:hint="eastAsia" w:ascii="宋体" w:hAnsi="宋体"/>
                <w:sz w:val="18"/>
                <w:szCs w:val="18"/>
                <w:highlight w:val="none"/>
              </w:rPr>
              <w:t xml:space="preserve">相保护值</w:t>
            </w:r>
            <w:r>
              <w:rPr>
                <w:rFonts w:ascii="宋体" w:hAnsi="宋体"/>
                <w:sz w:val="18"/>
                <w:szCs w:val="18"/>
                <w:highlight w:val="none"/>
              </w:rPr>
              <w:t xml:space="preserve">≤</w:t>
            </w:r>
            <w:r>
              <w:rPr>
                <w:rFonts w:hint="eastAsia" w:ascii="宋体" w:hAnsi="宋体"/>
                <w:sz w:val="18"/>
                <w:szCs w:val="18"/>
                <w:highlight w:val="none"/>
              </w:rPr>
              <w:t xml:space="preserve">3％</w:t>
            </w:r>
            <w:r>
              <w:rPr>
                <w:rFonts w:ascii="宋体" w:hAnsi="宋体"/>
                <w:sz w:val="18"/>
                <w:szCs w:val="18"/>
                <w:highlight w:val="none"/>
              </w:rPr>
              <w:t xml:space="preserve">(≤10In)，</w:t>
            </w:r>
            <w:r>
              <w:rPr>
                <w:rFonts w:ascii="宋体" w:hAnsi="宋体"/>
                <w:sz w:val="18"/>
                <w:szCs w:val="18"/>
                <w:highlight w:val="none"/>
              </w:rPr>
            </w:r>
            <w:r/>
          </w:p>
          <w:p>
            <w:pPr>
              <w:pStyle w:val="1151"/>
              <w:jc w:val="center"/>
              <w:rPr>
                <w:rFonts w:hAnsi="宋体"/>
                <w:sz w:val="18"/>
                <w:szCs w:val="18"/>
                <w:highlight w:val="none"/>
              </w:rPr>
            </w:pPr>
            <w:r>
              <w:rPr>
                <w:rFonts w:hint="eastAsia" w:ascii="宋体" w:hAnsi="宋体"/>
                <w:sz w:val="18"/>
                <w:szCs w:val="18"/>
                <w:highlight w:val="none"/>
              </w:rPr>
              <w:t xml:space="preserve">零序电流0.5级</w:t>
            </w:r>
            <w:r>
              <w:rPr>
                <w:rFonts w:hAnsi="宋体"/>
                <w:sz w:val="18"/>
                <w:szCs w:val="18"/>
                <w:highlight w:val="none"/>
              </w:rPr>
            </w:r>
            <w:r/>
          </w:p>
        </w:tc>
      </w:tr>
      <w:tr>
        <w:trPr>
          <w:trHeight w:val="20"/>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sz w:val="18"/>
                <w:szCs w:val="18"/>
                <w:highlight w:val="none"/>
              </w:rPr>
              <w:t xml:space="preserve">8</w:t>
            </w:r>
            <w:r>
              <w:rPr>
                <w:sz w:val="18"/>
                <w:szCs w:val="18"/>
                <w:highlight w:val="none"/>
              </w:rPr>
            </w:r>
            <w:r/>
          </w:p>
        </w:tc>
        <w:tc>
          <w:tcPr>
            <w:gridSpan w:val="3"/>
            <w:tcMar>
              <w:left w:w="0" w:type="dxa"/>
              <w:right w:w="0" w:type="dxa"/>
            </w:tcMar>
            <w:tcW w:w="4678" w:type="dxa"/>
            <w:vAlign w:val="center"/>
            <w:textDirection w:val="lrTb"/>
            <w:noWrap w:val="false"/>
          </w:tcPr>
          <w:p>
            <w:pPr>
              <w:pStyle w:val="1176"/>
              <w:jc w:val="center"/>
              <w:spacing w:before="156" w:after="156"/>
              <w:rPr>
                <w:highlight w:val="none"/>
              </w:rPr>
            </w:pPr>
            <w:r>
              <w:rPr>
                <w:rFonts w:hAnsi="宋体"/>
                <w:highlight w:val="none"/>
              </w:rPr>
              <w:t xml:space="preserve">有功功率</w:t>
            </w:r>
            <w:r>
              <w:rPr>
                <w:rFonts w:hint="eastAsia" w:hAnsi="宋体"/>
                <w:highlight w:val="none"/>
              </w:rPr>
              <w:t xml:space="preserve">、</w:t>
            </w:r>
            <w:r>
              <w:rPr>
                <w:rFonts w:hAnsi="宋体"/>
                <w:highlight w:val="none"/>
              </w:rPr>
              <w:t xml:space="preserve">无功功率</w:t>
            </w:r>
            <w:r>
              <w:rPr>
                <w:rFonts w:hint="eastAsia" w:hAnsi="宋体"/>
                <w:highlight w:val="none"/>
              </w:rPr>
              <w:t xml:space="preserve">精度</w:t>
            </w:r>
            <w:r>
              <w:rPr>
                <w:highlight w:val="none"/>
              </w:rPr>
            </w:r>
            <w:r/>
          </w:p>
        </w:tc>
        <w:tc>
          <w:tcPr>
            <w:tcMar>
              <w:left w:w="0" w:type="dxa"/>
              <w:right w:w="0" w:type="dxa"/>
            </w:tcMar>
            <w:tcW w:w="992" w:type="dxa"/>
            <w:vAlign w:val="center"/>
            <w:textDirection w:val="lrTb"/>
            <w:noWrap w:val="false"/>
          </w:tcPr>
          <w:p>
            <w:pPr>
              <w:pStyle w:val="1176"/>
              <w:jc w:val="center"/>
              <w:spacing w:before="156" w:after="156"/>
              <w:rPr>
                <w:highlight w:val="none"/>
              </w:rPr>
            </w:pPr>
            <w:r>
              <w:rPr>
                <w:rFonts w:hint="eastAsia"/>
                <w:highlight w:val="none"/>
              </w:rPr>
              <w:t xml:space="preserve">/</w:t>
            </w:r>
            <w:r>
              <w:rPr>
                <w:highlight w:val="none"/>
              </w:rPr>
            </w:r>
            <w:r/>
          </w:p>
        </w:tc>
        <w:tc>
          <w:tcPr>
            <w:gridSpan w:val="2"/>
            <w:tcMar>
              <w:left w:w="0" w:type="dxa"/>
              <w:right w:w="0" w:type="dxa"/>
            </w:tcMar>
            <w:tcW w:w="2863" w:type="dxa"/>
            <w:vAlign w:val="center"/>
            <w:textDirection w:val="lrTb"/>
            <w:noWrap w:val="false"/>
          </w:tcPr>
          <w:p>
            <w:pPr>
              <w:pStyle w:val="1151"/>
              <w:jc w:val="center"/>
              <w:rPr>
                <w:sz w:val="18"/>
                <w:szCs w:val="18"/>
                <w:highlight w:val="none"/>
              </w:rPr>
            </w:pPr>
            <w:r>
              <w:rPr>
                <w:rFonts w:hint="eastAsia" w:ascii="宋体" w:hAnsi="宋体"/>
                <w:sz w:val="18"/>
                <w:szCs w:val="18"/>
                <w:highlight w:val="none"/>
              </w:rPr>
              <w:t xml:space="preserve">1级</w:t>
            </w:r>
            <w:r>
              <w:rPr>
                <w:sz w:val="18"/>
                <w:szCs w:val="18"/>
                <w:highlight w:val="none"/>
              </w:rPr>
            </w:r>
            <w:r/>
          </w:p>
        </w:tc>
      </w:tr>
      <w:tr>
        <w:trPr>
          <w:trHeight w:val="20"/>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sz w:val="18"/>
                <w:szCs w:val="18"/>
                <w:highlight w:val="none"/>
              </w:rPr>
              <w:t xml:space="preserve">9</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遥信电源</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sz w:val="18"/>
                <w:szCs w:val="18"/>
                <w:highlight w:val="none"/>
              </w:rPr>
            </w:pPr>
            <w:r>
              <w:rPr>
                <w:rFonts w:hint="eastAsia"/>
                <w:sz w:val="18"/>
                <w:szCs w:val="18"/>
                <w:highlight w:val="none"/>
              </w:rPr>
              <w:t xml:space="preserve">V</w:t>
            </w:r>
            <w:r>
              <w:rPr>
                <w:sz w:val="18"/>
                <w:szCs w:val="18"/>
                <w:highlight w:val="none"/>
              </w:rPr>
            </w:r>
            <w:r/>
          </w:p>
        </w:tc>
        <w:tc>
          <w:tcPr>
            <w:gridSpan w:val="2"/>
            <w:tcMar>
              <w:left w:w="0" w:type="dxa"/>
              <w:right w:w="0" w:type="dxa"/>
            </w:tcMar>
            <w:tcW w:w="2863"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DC24V </w:t>
            </w:r>
            <w:r>
              <w:rPr>
                <w:rFonts w:hAnsi="宋体"/>
                <w:sz w:val="18"/>
                <w:szCs w:val="18"/>
                <w:highlight w:val="none"/>
              </w:rPr>
            </w:r>
            <w:r/>
          </w:p>
        </w:tc>
      </w:tr>
      <w:tr>
        <w:trPr>
          <w:trHeight w:val="224"/>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sz w:val="18"/>
                <w:szCs w:val="18"/>
                <w:highlight w:val="none"/>
              </w:rPr>
              <w:t xml:space="preserve">10</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SOE分辨率</w:t>
            </w:r>
            <w:r>
              <w:rPr>
                <w:rFonts w:hAnsi="宋体"/>
                <w:sz w:val="18"/>
                <w:szCs w:val="18"/>
                <w:highlight w:val="none"/>
              </w:rPr>
            </w:r>
            <w:r/>
          </w:p>
        </w:tc>
        <w:tc>
          <w:tcPr>
            <w:tcMar>
              <w:left w:w="0" w:type="dxa"/>
              <w:right w:w="0" w:type="dxa"/>
            </w:tcMar>
            <w:tcW w:w="992" w:type="dxa"/>
            <w:vAlign w:val="center"/>
            <w:textDirection w:val="lrTb"/>
            <w:noWrap w:val="false"/>
          </w:tcPr>
          <w:p>
            <w:pPr>
              <w:pStyle w:val="1176"/>
              <w:jc w:val="center"/>
              <w:spacing w:before="62" w:after="62"/>
              <w:rPr>
                <w:highlight w:val="none"/>
              </w:rPr>
            </w:pPr>
            <w:r>
              <w:rPr>
                <w:rFonts w:hint="eastAsia" w:ascii="宋体" w:hAnsi="宋体"/>
                <w:highlight w:val="none"/>
              </w:rPr>
              <w:t xml:space="preserve">ms</w:t>
            </w:r>
            <w:r>
              <w:rPr>
                <w:highlight w:val="none"/>
              </w:rPr>
            </w:r>
            <w:r/>
          </w:p>
        </w:tc>
        <w:tc>
          <w:tcPr>
            <w:gridSpan w:val="2"/>
            <w:tcMar>
              <w:left w:w="0" w:type="dxa"/>
              <w:right w:w="0" w:type="dxa"/>
            </w:tcMar>
            <w:tcW w:w="2863" w:type="dxa"/>
            <w:vAlign w:val="center"/>
            <w:textDirection w:val="lrTb"/>
            <w:noWrap w:val="false"/>
          </w:tcPr>
          <w:p>
            <w:pPr>
              <w:pStyle w:val="1151"/>
              <w:jc w:val="center"/>
              <w:rPr>
                <w:rFonts w:ascii="宋体" w:hAnsi="宋体"/>
                <w:sz w:val="18"/>
                <w:szCs w:val="18"/>
                <w:highlight w:val="none"/>
              </w:rPr>
            </w:pPr>
            <w:r>
              <w:rPr>
                <w:rFonts w:hint="eastAsia" w:ascii="宋体" w:hAnsi="宋体"/>
                <w:sz w:val="18"/>
                <w:szCs w:val="18"/>
                <w:highlight w:val="none"/>
              </w:rPr>
              <w:t xml:space="preserve">≤5</w:t>
            </w:r>
            <w:r>
              <w:rPr>
                <w:rFonts w:ascii="宋体" w:hAnsi="宋体"/>
                <w:sz w:val="18"/>
                <w:szCs w:val="18"/>
                <w:highlight w:val="none"/>
              </w:rPr>
            </w:r>
            <w:r/>
          </w:p>
        </w:tc>
      </w:tr>
      <w:tr>
        <w:trPr>
          <w:trHeight w:val="20"/>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sz w:val="18"/>
                <w:szCs w:val="18"/>
                <w:highlight w:val="none"/>
              </w:rPr>
              <w:t xml:space="preserve">11</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Ansi="宋体"/>
                <w:sz w:val="18"/>
                <w:szCs w:val="18"/>
                <w:highlight w:val="none"/>
              </w:rPr>
              <w:t xml:space="preserve">软件防抖动时间</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sz w:val="18"/>
                <w:szCs w:val="18"/>
                <w:highlight w:val="none"/>
              </w:rPr>
            </w:pPr>
            <w:r>
              <w:rPr>
                <w:rFonts w:hint="eastAsia"/>
                <w:sz w:val="18"/>
                <w:szCs w:val="18"/>
                <w:highlight w:val="none"/>
              </w:rPr>
              <w:t xml:space="preserve">/</w:t>
            </w:r>
            <w:r>
              <w:rPr>
                <w:sz w:val="18"/>
                <w:szCs w:val="18"/>
                <w:highlight w:val="none"/>
              </w:rPr>
            </w:r>
            <w:r/>
          </w:p>
        </w:tc>
        <w:tc>
          <w:tcPr>
            <w:gridSpan w:val="2"/>
            <w:tcMar>
              <w:left w:w="0" w:type="dxa"/>
              <w:right w:w="0" w:type="dxa"/>
            </w:tcMar>
            <w:tcW w:w="2863" w:type="dxa"/>
            <w:vAlign w:val="center"/>
            <w:textDirection w:val="lrTb"/>
            <w:noWrap w:val="false"/>
          </w:tcPr>
          <w:p>
            <w:pPr>
              <w:pStyle w:val="1151"/>
              <w:jc w:val="center"/>
              <w:rPr>
                <w:sz w:val="18"/>
                <w:szCs w:val="18"/>
                <w:highlight w:val="none"/>
              </w:rPr>
            </w:pPr>
            <w:r>
              <w:rPr>
                <w:sz w:val="18"/>
                <w:szCs w:val="18"/>
                <w:highlight w:val="none"/>
              </w:rPr>
              <w:t xml:space="preserve">10～1000毫</w:t>
            </w:r>
            <w:r>
              <w:rPr>
                <w:rFonts w:hint="eastAsia"/>
                <w:sz w:val="18"/>
                <w:szCs w:val="18"/>
                <w:highlight w:val="none"/>
              </w:rPr>
              <w:t xml:space="preserve">秒</w:t>
            </w:r>
            <w:r>
              <w:rPr>
                <w:sz w:val="18"/>
                <w:szCs w:val="18"/>
                <w:highlight w:val="none"/>
              </w:rPr>
              <w:t xml:space="preserve">可设</w:t>
            </w:r>
            <w:r>
              <w:rPr>
                <w:sz w:val="18"/>
                <w:szCs w:val="18"/>
                <w:highlight w:val="none"/>
              </w:rPr>
            </w:r>
            <w:r/>
          </w:p>
        </w:tc>
      </w:tr>
      <w:tr>
        <w:trPr>
          <w:trHeight w:val="20"/>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sz w:val="18"/>
                <w:szCs w:val="18"/>
                <w:highlight w:val="none"/>
              </w:rPr>
              <w:t xml:space="preserve">12</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交流电流回路过载能力</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w:t>
            </w:r>
            <w:r>
              <w:rPr>
                <w:rFonts w:hAnsi="宋体"/>
                <w:sz w:val="18"/>
                <w:szCs w:val="18"/>
                <w:highlight w:val="none"/>
              </w:rPr>
            </w:r>
            <w:r/>
          </w:p>
        </w:tc>
        <w:tc>
          <w:tcPr>
            <w:gridSpan w:val="2"/>
            <w:tcMar>
              <w:left w:w="0" w:type="dxa"/>
              <w:right w:w="0" w:type="dxa"/>
            </w:tcMar>
            <w:tcW w:w="2863" w:type="dxa"/>
            <w:vAlign w:val="center"/>
            <w:textDirection w:val="lrTb"/>
            <w:noWrap w:val="false"/>
          </w:tcPr>
          <w:p>
            <w:pPr>
              <w:pStyle w:val="1151"/>
              <w:jc w:val="center"/>
              <w:rPr>
                <w:rFonts w:ascii="宋体" w:hAnsi="宋体"/>
                <w:sz w:val="18"/>
                <w:szCs w:val="18"/>
                <w:highlight w:val="none"/>
              </w:rPr>
            </w:pPr>
            <w:r>
              <w:rPr>
                <w:rFonts w:hint="eastAsia" w:ascii="宋体" w:hAnsi="宋体"/>
                <w:sz w:val="18"/>
                <w:szCs w:val="18"/>
                <w:highlight w:val="none"/>
              </w:rPr>
              <w:t xml:space="preserve">1.2In，连续工作；20 In，1s</w:t>
            </w:r>
            <w:r>
              <w:rPr>
                <w:rFonts w:ascii="宋体" w:hAnsi="宋体"/>
                <w:sz w:val="18"/>
                <w:szCs w:val="18"/>
                <w:highlight w:val="none"/>
              </w:rPr>
            </w:r>
            <w:r/>
          </w:p>
        </w:tc>
      </w:tr>
      <w:tr>
        <w:trPr>
          <w:trHeight w:val="20"/>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sz w:val="18"/>
                <w:szCs w:val="18"/>
                <w:highlight w:val="none"/>
              </w:rPr>
              <w:t xml:space="preserve">13</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交流电压回路过载能力</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w:t>
            </w:r>
            <w:r>
              <w:rPr>
                <w:rFonts w:hAnsi="宋体"/>
                <w:sz w:val="18"/>
                <w:szCs w:val="18"/>
                <w:highlight w:val="none"/>
              </w:rPr>
            </w:r>
            <w:r/>
          </w:p>
        </w:tc>
        <w:tc>
          <w:tcPr>
            <w:gridSpan w:val="2"/>
            <w:tcMar>
              <w:left w:w="0" w:type="dxa"/>
              <w:right w:w="0" w:type="dxa"/>
            </w:tcMar>
            <w:tcW w:w="2863" w:type="dxa"/>
            <w:vAlign w:val="center"/>
            <w:textDirection w:val="lrTb"/>
            <w:noWrap w:val="false"/>
          </w:tcPr>
          <w:p>
            <w:pPr>
              <w:pStyle w:val="1151"/>
              <w:jc w:val="center"/>
              <w:rPr>
                <w:rFonts w:ascii="宋体" w:hAnsi="宋体"/>
                <w:sz w:val="18"/>
                <w:szCs w:val="18"/>
                <w:highlight w:val="none"/>
              </w:rPr>
            </w:pPr>
            <w:r>
              <w:rPr>
                <w:rFonts w:hint="eastAsia" w:ascii="宋体" w:hAnsi="宋体"/>
                <w:sz w:val="18"/>
                <w:szCs w:val="18"/>
                <w:highlight w:val="none"/>
              </w:rPr>
              <w:t xml:space="preserve">1.2 Un，连续工作；2 Un，1s</w:t>
            </w:r>
            <w:r>
              <w:rPr>
                <w:rFonts w:ascii="宋体" w:hAnsi="宋体"/>
                <w:sz w:val="18"/>
                <w:szCs w:val="18"/>
                <w:highlight w:val="none"/>
              </w:rPr>
            </w:r>
            <w:r/>
          </w:p>
        </w:tc>
      </w:tr>
      <w:tr>
        <w:trPr>
          <w:trHeight w:val="20"/>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sz w:val="18"/>
                <w:szCs w:val="18"/>
                <w:highlight w:val="none"/>
              </w:rPr>
              <w:t xml:space="preserve">14</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Ansi="宋体"/>
                <w:sz w:val="18"/>
                <w:szCs w:val="18"/>
                <w:highlight w:val="none"/>
              </w:rPr>
              <w:t xml:space="preserve">守时精度</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sz w:val="18"/>
                <w:szCs w:val="18"/>
                <w:highlight w:val="none"/>
              </w:rPr>
            </w:pPr>
            <w:r>
              <w:rPr>
                <w:rFonts w:hint="eastAsia"/>
                <w:sz w:val="18"/>
                <w:szCs w:val="18"/>
                <w:highlight w:val="none"/>
              </w:rPr>
              <w:t xml:space="preserve">/</w:t>
            </w:r>
            <w:r>
              <w:rPr>
                <w:sz w:val="18"/>
                <w:szCs w:val="18"/>
                <w:highlight w:val="none"/>
              </w:rPr>
            </w:r>
            <w:r/>
          </w:p>
        </w:tc>
        <w:tc>
          <w:tcPr>
            <w:gridSpan w:val="2"/>
            <w:tcMar>
              <w:left w:w="0" w:type="dxa"/>
              <w:right w:w="0" w:type="dxa"/>
            </w:tcMar>
            <w:tcW w:w="2863" w:type="dxa"/>
            <w:vAlign w:val="center"/>
            <w:textDirection w:val="lrTb"/>
            <w:noWrap w:val="false"/>
          </w:tcPr>
          <w:p>
            <w:pPr>
              <w:pStyle w:val="1151"/>
              <w:jc w:val="center"/>
              <w:rPr>
                <w:sz w:val="18"/>
                <w:szCs w:val="18"/>
                <w:highlight w:val="none"/>
              </w:rPr>
            </w:pPr>
            <w:r>
              <w:rPr>
                <w:sz w:val="18"/>
                <w:szCs w:val="18"/>
                <w:highlight w:val="none"/>
              </w:rPr>
              <w:t xml:space="preserve">每24小时误差应不大于2s</w:t>
            </w:r>
            <w:r>
              <w:rPr>
                <w:sz w:val="18"/>
                <w:szCs w:val="18"/>
                <w:highlight w:val="none"/>
              </w:rPr>
            </w:r>
            <w:r/>
          </w:p>
        </w:tc>
      </w:tr>
      <w:tr>
        <w:trPr>
          <w:trHeight w:val="560"/>
        </w:trPr>
        <w:tc>
          <w:tcPr>
            <w:tcMar>
              <w:left w:w="0" w:type="dxa"/>
              <w:right w:w="0" w:type="dxa"/>
            </w:tcMar>
            <w:tcW w:w="848" w:type="dxa"/>
            <w:vAlign w:val="center"/>
            <w:vMerge w:val="restart"/>
            <w:textDirection w:val="lrTb"/>
            <w:noWrap w:val="false"/>
          </w:tcPr>
          <w:p>
            <w:pPr>
              <w:pStyle w:val="1151"/>
              <w:jc w:val="center"/>
              <w:tabs>
                <w:tab w:val="center" w:pos="286" w:leader="none"/>
              </w:tabs>
              <w:rPr>
                <w:sz w:val="18"/>
                <w:szCs w:val="18"/>
                <w:highlight w:val="none"/>
              </w:rPr>
            </w:pPr>
            <w:r>
              <w:rPr>
                <w:sz w:val="18"/>
                <w:szCs w:val="18"/>
                <w:highlight w:val="none"/>
              </w:rPr>
              <w:t xml:space="preserve">15</w:t>
            </w:r>
            <w:r>
              <w:rPr>
                <w:sz w:val="18"/>
                <w:szCs w:val="18"/>
                <w:highlight w:val="none"/>
              </w:rPr>
            </w:r>
            <w:r/>
          </w:p>
        </w:tc>
        <w:tc>
          <w:tcPr>
            <w:gridSpan w:val="2"/>
            <w:tcMar>
              <w:left w:w="0" w:type="dxa"/>
              <w:right w:w="0" w:type="dxa"/>
            </w:tcMar>
            <w:tcW w:w="2106" w:type="dxa"/>
            <w:vAlign w:val="center"/>
            <w:vMerge w:val="restart"/>
            <w:textDirection w:val="lrTb"/>
            <w:noWrap w:val="false"/>
          </w:tcPr>
          <w:p>
            <w:pPr>
              <w:pStyle w:val="1176"/>
              <w:jc w:val="center"/>
              <w:spacing w:before="156" w:after="156"/>
              <w:rPr>
                <w:highlight w:val="none"/>
              </w:rPr>
            </w:pPr>
            <w:r>
              <w:rPr>
                <w:rFonts w:hAnsi="宋体"/>
                <w:highlight w:val="none"/>
              </w:rPr>
              <w:t xml:space="preserve">控制输出</w:t>
            </w:r>
            <w:r>
              <w:rPr>
                <w:highlight w:val="none"/>
              </w:rPr>
            </w:r>
            <w:r/>
          </w:p>
        </w:tc>
        <w:tc>
          <w:tcPr>
            <w:tcMar>
              <w:left w:w="0" w:type="dxa"/>
              <w:right w:w="0" w:type="dxa"/>
            </w:tcMar>
            <w:tcW w:w="2572" w:type="dxa"/>
            <w:vAlign w:val="center"/>
            <w:textDirection w:val="lrTb"/>
            <w:noWrap w:val="false"/>
          </w:tcPr>
          <w:p>
            <w:pPr>
              <w:pStyle w:val="1176"/>
              <w:jc w:val="center"/>
              <w:spacing w:before="156" w:after="156"/>
              <w:rPr>
                <w:highlight w:val="none"/>
              </w:rPr>
            </w:pPr>
            <w:r>
              <w:rPr>
                <w:rFonts w:hAnsi="宋体"/>
                <w:highlight w:val="none"/>
              </w:rPr>
              <w:t xml:space="preserve">触点</w:t>
            </w:r>
            <w:r>
              <w:rPr>
                <w:rFonts w:hint="eastAsia" w:hAnsi="宋体"/>
                <w:highlight w:val="none"/>
              </w:rPr>
              <w:t xml:space="preserve">容量</w:t>
            </w:r>
            <w:r>
              <w:rPr>
                <w:highlight w:val="none"/>
              </w:rPr>
            </w:r>
            <w:r/>
          </w:p>
        </w:tc>
        <w:tc>
          <w:tcPr>
            <w:tcMar>
              <w:left w:w="0" w:type="dxa"/>
              <w:right w:w="0" w:type="dxa"/>
            </w:tcMar>
            <w:tcW w:w="992" w:type="dxa"/>
            <w:vAlign w:val="center"/>
            <w:textDirection w:val="lrTb"/>
            <w:noWrap w:val="false"/>
          </w:tcPr>
          <w:p>
            <w:pPr>
              <w:pStyle w:val="1176"/>
              <w:jc w:val="center"/>
              <w:spacing w:before="156" w:after="156"/>
              <w:rPr>
                <w:highlight w:val="none"/>
              </w:rPr>
            </w:pPr>
            <w:r>
              <w:rPr>
                <w:rFonts w:hint="eastAsia"/>
                <w:highlight w:val="none"/>
              </w:rPr>
              <w:t xml:space="preserve">/</w:t>
            </w:r>
            <w:r>
              <w:rPr>
                <w:highlight w:val="none"/>
              </w:rPr>
            </w:r>
            <w:r/>
          </w:p>
        </w:tc>
        <w:tc>
          <w:tcPr>
            <w:gridSpan w:val="2"/>
            <w:tcMar>
              <w:left w:w="0" w:type="dxa"/>
              <w:right w:w="0" w:type="dxa"/>
            </w:tcMar>
            <w:tcW w:w="2863" w:type="dxa"/>
            <w:vAlign w:val="center"/>
            <w:textDirection w:val="lrTb"/>
            <w:noWrap w:val="false"/>
          </w:tcPr>
          <w:p>
            <w:pPr>
              <w:pStyle w:val="1151"/>
              <w:jc w:val="center"/>
              <w:spacing w:before="62" w:after="62"/>
              <w:rPr>
                <w:sz w:val="18"/>
                <w:szCs w:val="18"/>
                <w:highlight w:val="none"/>
              </w:rPr>
            </w:pPr>
            <w:r>
              <w:rPr>
                <w:rFonts w:hAnsi="宋体"/>
                <w:sz w:val="18"/>
                <w:szCs w:val="18"/>
                <w:highlight w:val="none"/>
              </w:rPr>
              <w:t xml:space="preserve">交流</w:t>
            </w:r>
            <w:r>
              <w:rPr>
                <w:sz w:val="18"/>
                <w:szCs w:val="18"/>
                <w:highlight w:val="none"/>
              </w:rPr>
              <w:t xml:space="preserve">250V/5A</w:t>
            </w:r>
            <w:r>
              <w:rPr>
                <w:rFonts w:hAnsi="宋体"/>
                <w:sz w:val="18"/>
                <w:szCs w:val="18"/>
                <w:highlight w:val="none"/>
              </w:rPr>
              <w:t xml:space="preserve">或</w:t>
            </w:r>
            <w:r>
              <w:rPr>
                <w:rFonts w:hint="eastAsia" w:hAnsi="宋体"/>
                <w:sz w:val="18"/>
                <w:szCs w:val="18"/>
                <w:highlight w:val="none"/>
              </w:rPr>
              <w:br w:type="textWrapping" w:clear="all"/>
            </w:r>
            <w:r>
              <w:rPr>
                <w:rFonts w:hAnsi="宋体"/>
                <w:sz w:val="18"/>
                <w:szCs w:val="18"/>
                <w:highlight w:val="none"/>
              </w:rPr>
              <w:t xml:space="preserve">直流</w:t>
            </w:r>
            <w:r>
              <w:rPr>
                <w:sz w:val="18"/>
                <w:szCs w:val="18"/>
                <w:highlight w:val="none"/>
              </w:rPr>
              <w:t xml:space="preserve">110V/0.5A</w:t>
            </w:r>
            <w:r>
              <w:rPr>
                <w:rFonts w:hAnsi="宋体"/>
                <w:sz w:val="18"/>
                <w:szCs w:val="18"/>
                <w:highlight w:val="none"/>
              </w:rPr>
              <w:t xml:space="preserve">的纯电阻负载</w:t>
            </w:r>
            <w:r>
              <w:rPr>
                <w:sz w:val="18"/>
                <w:szCs w:val="18"/>
                <w:highlight w:val="none"/>
              </w:rPr>
            </w:r>
            <w:r/>
          </w:p>
        </w:tc>
      </w:tr>
      <w:tr>
        <w:trPr>
          <w:trHeight w:val="20"/>
        </w:trPr>
        <w:tc>
          <w:tcPr>
            <w:tcMar>
              <w:left w:w="0" w:type="dxa"/>
              <w:right w:w="0" w:type="dxa"/>
            </w:tcMar>
            <w:tcW w:w="848" w:type="dxa"/>
            <w:vAlign w:val="center"/>
            <w:vMerge w:val="continue"/>
            <w:textDirection w:val="lrTb"/>
            <w:noWrap w:val="false"/>
          </w:tcPr>
          <w:p>
            <w:pPr>
              <w:pStyle w:val="1151"/>
              <w:jc w:val="center"/>
              <w:rPr>
                <w:sz w:val="18"/>
                <w:szCs w:val="18"/>
                <w:highlight w:val="none"/>
              </w:rPr>
            </w:pPr>
            <w:r>
              <w:rPr>
                <w:sz w:val="18"/>
                <w:szCs w:val="18"/>
                <w:highlight w:val="none"/>
              </w:rPr>
            </w:r>
            <w:r/>
          </w:p>
        </w:tc>
        <w:tc>
          <w:tcPr>
            <w:gridSpan w:val="2"/>
            <w:tcMar>
              <w:left w:w="0" w:type="dxa"/>
              <w:right w:w="0" w:type="dxa"/>
            </w:tcMar>
            <w:tcW w:w="2106" w:type="dxa"/>
            <w:vAlign w:val="center"/>
            <w:vMerge w:val="continue"/>
            <w:textDirection w:val="lrTb"/>
            <w:noWrap w:val="false"/>
          </w:tcPr>
          <w:p>
            <w:pPr>
              <w:pStyle w:val="1151"/>
              <w:jc w:val="center"/>
              <w:rPr>
                <w:rFonts w:hAnsi="宋体"/>
                <w:sz w:val="18"/>
                <w:szCs w:val="18"/>
                <w:highlight w:val="none"/>
              </w:rPr>
            </w:pPr>
            <w:r>
              <w:rPr>
                <w:rFonts w:hAnsi="宋体"/>
                <w:sz w:val="18"/>
                <w:szCs w:val="18"/>
                <w:highlight w:val="none"/>
              </w:rPr>
            </w:r>
            <w:r/>
          </w:p>
        </w:tc>
        <w:tc>
          <w:tcPr>
            <w:tcMar>
              <w:left w:w="0" w:type="dxa"/>
              <w:right w:w="0" w:type="dxa"/>
            </w:tcMar>
            <w:tcW w:w="2572" w:type="dxa"/>
            <w:vAlign w:val="center"/>
            <w:textDirection w:val="lrTb"/>
            <w:noWrap w:val="false"/>
          </w:tcPr>
          <w:p>
            <w:pPr>
              <w:pStyle w:val="1151"/>
              <w:jc w:val="center"/>
              <w:rPr>
                <w:rFonts w:hAnsi="宋体"/>
                <w:sz w:val="18"/>
                <w:szCs w:val="18"/>
                <w:highlight w:val="none"/>
              </w:rPr>
            </w:pPr>
            <w:r>
              <w:rPr>
                <w:rFonts w:hAnsi="宋体"/>
                <w:sz w:val="18"/>
                <w:szCs w:val="18"/>
                <w:highlight w:val="none"/>
              </w:rPr>
              <w:t xml:space="preserve">触点寿命</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rFonts w:hAnsi="宋体"/>
                <w:sz w:val="18"/>
                <w:szCs w:val="18"/>
                <w:highlight w:val="none"/>
              </w:rPr>
            </w:pPr>
            <w:r>
              <w:rPr>
                <w:rFonts w:hAnsi="宋体"/>
                <w:sz w:val="18"/>
                <w:szCs w:val="18"/>
                <w:highlight w:val="none"/>
              </w:rPr>
              <w:t xml:space="preserve">次</w:t>
            </w:r>
            <w:r>
              <w:rPr>
                <w:rFonts w:hAnsi="宋体"/>
                <w:sz w:val="18"/>
                <w:szCs w:val="18"/>
                <w:highlight w:val="none"/>
              </w:rPr>
            </w:r>
            <w:r/>
          </w:p>
        </w:tc>
        <w:tc>
          <w:tcPr>
            <w:gridSpan w:val="2"/>
            <w:tcMar>
              <w:left w:w="0" w:type="dxa"/>
              <w:right w:w="0" w:type="dxa"/>
            </w:tcMar>
            <w:tcW w:w="2863" w:type="dxa"/>
            <w:vAlign w:val="center"/>
            <w:textDirection w:val="lrTb"/>
            <w:noWrap w:val="false"/>
          </w:tcPr>
          <w:p>
            <w:pPr>
              <w:pStyle w:val="1151"/>
              <w:jc w:val="center"/>
              <w:rPr>
                <w:rFonts w:hAnsi="宋体"/>
                <w:sz w:val="18"/>
                <w:szCs w:val="18"/>
                <w:highlight w:val="none"/>
              </w:rPr>
            </w:pPr>
            <w:r>
              <w:rPr>
                <w:rFonts w:hAnsi="宋体"/>
                <w:sz w:val="18"/>
                <w:szCs w:val="18"/>
                <w:highlight w:val="none"/>
              </w:rPr>
              <w:t xml:space="preserve">通、断≥10</w:t>
            </w:r>
            <w:r>
              <w:rPr>
                <w:rFonts w:hAnsi="宋体"/>
                <w:sz w:val="18"/>
                <w:szCs w:val="18"/>
                <w:highlight w:val="none"/>
                <w:vertAlign w:val="superscript"/>
              </w:rPr>
              <w:t xml:space="preserve">5</w:t>
            </w:r>
            <w:r>
              <w:rPr>
                <w:rFonts w:hAnsi="宋体"/>
                <w:sz w:val="18"/>
                <w:szCs w:val="18"/>
                <w:highlight w:val="none"/>
              </w:rPr>
            </w:r>
            <w:r/>
          </w:p>
        </w:tc>
      </w:tr>
      <w:tr>
        <w:trPr>
          <w:trHeight w:val="303"/>
        </w:trPr>
        <w:tc>
          <w:tcPr>
            <w:tcMar>
              <w:left w:w="0" w:type="dxa"/>
              <w:right w:w="0" w:type="dxa"/>
            </w:tcMar>
            <w:tcW w:w="848" w:type="dxa"/>
            <w:vAlign w:val="center"/>
            <w:vMerge w:val="restart"/>
            <w:textDirection w:val="lrTb"/>
            <w:noWrap w:val="false"/>
          </w:tcPr>
          <w:p>
            <w:pPr>
              <w:pStyle w:val="1151"/>
              <w:jc w:val="center"/>
              <w:rPr>
                <w:sz w:val="18"/>
                <w:szCs w:val="18"/>
                <w:highlight w:val="none"/>
              </w:rPr>
            </w:pPr>
            <w:r>
              <w:rPr>
                <w:rFonts w:hint="eastAsia"/>
                <w:sz w:val="18"/>
                <w:szCs w:val="18"/>
                <w:highlight w:val="none"/>
              </w:rPr>
              <w:t xml:space="preserve">1</w:t>
            </w:r>
            <w:r>
              <w:rPr>
                <w:sz w:val="18"/>
                <w:szCs w:val="18"/>
                <w:highlight w:val="none"/>
              </w:rPr>
              <w:t xml:space="preserve">6</w:t>
            </w:r>
            <w:r>
              <w:rPr>
                <w:sz w:val="18"/>
                <w:szCs w:val="18"/>
                <w:highlight w:val="none"/>
              </w:rPr>
            </w:r>
            <w:r/>
          </w:p>
        </w:tc>
        <w:tc>
          <w:tcPr>
            <w:gridSpan w:val="2"/>
            <w:tcMar>
              <w:left w:w="0" w:type="dxa"/>
              <w:right w:w="0" w:type="dxa"/>
            </w:tcMar>
            <w:tcW w:w="2106" w:type="dxa"/>
            <w:vAlign w:val="center"/>
            <w:vMerge w:val="restart"/>
            <w:textDirection w:val="lrTb"/>
            <w:noWrap w:val="false"/>
          </w:tcPr>
          <w:p>
            <w:pPr>
              <w:pStyle w:val="1151"/>
              <w:jc w:val="center"/>
              <w:rPr>
                <w:sz w:val="18"/>
                <w:szCs w:val="18"/>
                <w:highlight w:val="none"/>
              </w:rPr>
            </w:pPr>
            <w:r>
              <w:rPr>
                <w:rFonts w:hint="eastAsia" w:hAnsi="宋体"/>
                <w:sz w:val="18"/>
                <w:szCs w:val="18"/>
                <w:highlight w:val="none"/>
              </w:rPr>
              <w:t xml:space="preserve">固定</w:t>
            </w:r>
            <w:r>
              <w:rPr>
                <w:rFonts w:hAnsi="宋体"/>
                <w:sz w:val="18"/>
                <w:szCs w:val="18"/>
                <w:highlight w:val="none"/>
              </w:rPr>
              <w:t xml:space="preserve">通信接口</w:t>
            </w:r>
            <w:r>
              <w:rPr>
                <w:sz w:val="18"/>
                <w:szCs w:val="18"/>
                <w:highlight w:val="none"/>
              </w:rPr>
            </w:r>
            <w:r/>
          </w:p>
        </w:tc>
        <w:tc>
          <w:tcPr>
            <w:tcMar>
              <w:left w:w="0" w:type="dxa"/>
              <w:right w:w="0" w:type="dxa"/>
            </w:tcMar>
            <w:tcW w:w="2572" w:type="dxa"/>
            <w:vAlign w:val="center"/>
            <w:textDirection w:val="lrTb"/>
            <w:noWrap w:val="false"/>
          </w:tcPr>
          <w:p>
            <w:pPr>
              <w:pStyle w:val="1176"/>
              <w:jc w:val="center"/>
              <w:spacing w:before="156" w:after="156"/>
              <w:rPr>
                <w:rFonts w:hAnsi="宋体"/>
                <w:highlight w:val="none"/>
              </w:rPr>
            </w:pPr>
            <w:r>
              <w:rPr>
                <w:rFonts w:hint="eastAsia" w:hAnsi="宋体"/>
                <w:highlight w:val="none"/>
              </w:rPr>
              <w:t xml:space="preserve">串行口</w:t>
            </w:r>
            <w:r>
              <w:rPr>
                <w:rFonts w:hAnsi="宋体"/>
                <w:highlight w:val="none"/>
              </w:rPr>
            </w:r>
            <w:r/>
          </w:p>
        </w:tc>
        <w:tc>
          <w:tcPr>
            <w:tcMar>
              <w:left w:w="0" w:type="dxa"/>
              <w:right w:w="0" w:type="dxa"/>
            </w:tcMar>
            <w:tcW w:w="992" w:type="dxa"/>
            <w:vAlign w:val="center"/>
            <w:textDirection w:val="lrTb"/>
            <w:noWrap w:val="false"/>
          </w:tcPr>
          <w:p>
            <w:pPr>
              <w:pStyle w:val="1151"/>
              <w:jc w:val="center"/>
              <w:rPr>
                <w:sz w:val="18"/>
                <w:szCs w:val="18"/>
                <w:highlight w:val="none"/>
              </w:rPr>
            </w:pPr>
            <w:r>
              <w:rPr>
                <w:rFonts w:hint="eastAsia"/>
                <w:sz w:val="18"/>
                <w:szCs w:val="18"/>
                <w:highlight w:val="none"/>
              </w:rPr>
              <w:t xml:space="preserve">/</w:t>
            </w:r>
            <w:r>
              <w:rPr>
                <w:sz w:val="18"/>
                <w:szCs w:val="18"/>
                <w:highlight w:val="none"/>
              </w:rPr>
            </w:r>
            <w:r/>
          </w:p>
        </w:tc>
        <w:tc>
          <w:tcPr>
            <w:gridSpan w:val="2"/>
            <w:tcMar>
              <w:left w:w="0" w:type="dxa"/>
              <w:right w:w="0" w:type="dxa"/>
            </w:tcMar>
            <w:tcW w:w="2863" w:type="dxa"/>
            <w:vAlign w:val="center"/>
            <w:textDirection w:val="lrTb"/>
            <w:noWrap w:val="false"/>
          </w:tcPr>
          <w:p>
            <w:pPr>
              <w:pStyle w:val="1151"/>
              <w:jc w:val="center"/>
              <w:rPr>
                <w:rFonts w:hAnsi="宋体"/>
                <w:sz w:val="18"/>
                <w:szCs w:val="18"/>
                <w:highlight w:val="none"/>
              </w:rPr>
            </w:pPr>
            <w:r>
              <w:rPr>
                <w:rFonts w:hint="eastAsia" w:ascii="宋体" w:hAnsi="宋体"/>
                <w:sz w:val="18"/>
                <w:szCs w:val="18"/>
                <w:highlight w:val="none"/>
              </w:rPr>
              <w:t xml:space="preserve">4路串行通信接口（3路RS485，1路RS232）</w:t>
            </w:r>
            <w:r>
              <w:rPr>
                <w:rFonts w:hAnsi="宋体"/>
                <w:sz w:val="18"/>
                <w:szCs w:val="18"/>
                <w:highlight w:val="none"/>
              </w:rPr>
            </w:r>
            <w:r/>
          </w:p>
        </w:tc>
      </w:tr>
      <w:tr>
        <w:trPr>
          <w:trHeight w:val="241"/>
        </w:trPr>
        <w:tc>
          <w:tcPr>
            <w:tcMar>
              <w:left w:w="0" w:type="dxa"/>
              <w:right w:w="0" w:type="dxa"/>
            </w:tcMar>
            <w:tcW w:w="848" w:type="dxa"/>
            <w:vAlign w:val="center"/>
            <w:vMerge w:val="continue"/>
            <w:textDirection w:val="lrTb"/>
            <w:noWrap w:val="false"/>
          </w:tcPr>
          <w:p>
            <w:pPr>
              <w:pStyle w:val="1151"/>
              <w:jc w:val="center"/>
              <w:tabs>
                <w:tab w:val="center" w:pos="286" w:leader="none"/>
              </w:tabs>
              <w:rPr>
                <w:sz w:val="18"/>
                <w:szCs w:val="18"/>
                <w:highlight w:val="none"/>
              </w:rPr>
            </w:pPr>
            <w:r>
              <w:rPr>
                <w:sz w:val="18"/>
                <w:szCs w:val="18"/>
                <w:highlight w:val="none"/>
              </w:rPr>
            </w:r>
            <w:r/>
          </w:p>
        </w:tc>
        <w:tc>
          <w:tcPr>
            <w:gridSpan w:val="2"/>
            <w:tcMar>
              <w:left w:w="0" w:type="dxa"/>
              <w:right w:w="0" w:type="dxa"/>
            </w:tcMar>
            <w:tcW w:w="2106" w:type="dxa"/>
            <w:vAlign w:val="center"/>
            <w:vMerge w:val="continue"/>
            <w:textDirection w:val="lrTb"/>
            <w:noWrap w:val="false"/>
          </w:tcPr>
          <w:p>
            <w:pPr>
              <w:pStyle w:val="1151"/>
              <w:jc w:val="center"/>
              <w:rPr>
                <w:rFonts w:hAnsi="宋体"/>
                <w:sz w:val="18"/>
                <w:szCs w:val="18"/>
                <w:highlight w:val="none"/>
              </w:rPr>
            </w:pPr>
            <w:r>
              <w:rPr>
                <w:rFonts w:hAnsi="宋体"/>
                <w:sz w:val="18"/>
                <w:szCs w:val="18"/>
                <w:highlight w:val="none"/>
              </w:rPr>
            </w:r>
            <w:r/>
          </w:p>
        </w:tc>
        <w:tc>
          <w:tcPr>
            <w:tcMar>
              <w:left w:w="0" w:type="dxa"/>
              <w:right w:w="0" w:type="dxa"/>
            </w:tcMar>
            <w:tcW w:w="2572" w:type="dxa"/>
            <w:vAlign w:val="center"/>
            <w:textDirection w:val="lrTb"/>
            <w:noWrap w:val="false"/>
          </w:tcPr>
          <w:p>
            <w:pPr>
              <w:pStyle w:val="1151"/>
              <w:jc w:val="center"/>
              <w:spacing w:before="62" w:after="62"/>
              <w:rPr>
                <w:rFonts w:hAnsi="宋体"/>
                <w:sz w:val="18"/>
                <w:szCs w:val="18"/>
                <w:highlight w:val="none"/>
              </w:rPr>
            </w:pPr>
            <w:r>
              <w:rPr>
                <w:rFonts w:hint="eastAsia" w:hAnsi="宋体"/>
                <w:sz w:val="18"/>
                <w:szCs w:val="18"/>
                <w:highlight w:val="none"/>
              </w:rPr>
              <w:t xml:space="preserve">RJ45以太网络</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rFonts w:hAnsi="宋体"/>
                <w:sz w:val="18"/>
                <w:szCs w:val="18"/>
                <w:highlight w:val="none"/>
              </w:rPr>
            </w:pPr>
            <w:r>
              <w:rPr>
                <w:rFonts w:hint="eastAsia"/>
                <w:sz w:val="18"/>
                <w:szCs w:val="18"/>
                <w:highlight w:val="none"/>
              </w:rPr>
              <w:t xml:space="preserve">个</w:t>
            </w:r>
            <w:r>
              <w:rPr>
                <w:rFonts w:hAnsi="宋体"/>
                <w:sz w:val="18"/>
                <w:szCs w:val="18"/>
                <w:highlight w:val="none"/>
              </w:rPr>
            </w:r>
            <w:r/>
          </w:p>
        </w:tc>
        <w:tc>
          <w:tcPr>
            <w:gridSpan w:val="2"/>
            <w:tcMar>
              <w:left w:w="0" w:type="dxa"/>
              <w:right w:w="0" w:type="dxa"/>
            </w:tcMar>
            <w:tcW w:w="2863"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≥2</w:t>
            </w:r>
            <w:r>
              <w:rPr>
                <w:rFonts w:hAnsi="宋体"/>
                <w:sz w:val="18"/>
                <w:szCs w:val="18"/>
                <w:highlight w:val="none"/>
              </w:rPr>
            </w:r>
            <w:r/>
          </w:p>
        </w:tc>
      </w:tr>
      <w:tr>
        <w:trPr>
          <w:trHeight w:val="344"/>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sz w:val="18"/>
                <w:szCs w:val="18"/>
                <w:highlight w:val="none"/>
              </w:rPr>
              <w:t xml:space="preserve">17</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通信协议</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w:t>
            </w:r>
            <w:r>
              <w:rPr>
                <w:rFonts w:hAnsi="宋体"/>
                <w:sz w:val="18"/>
                <w:szCs w:val="18"/>
                <w:highlight w:val="none"/>
              </w:rPr>
            </w:r>
            <w:r/>
          </w:p>
        </w:tc>
        <w:tc>
          <w:tcPr>
            <w:gridSpan w:val="2"/>
            <w:tcMar>
              <w:left w:w="0" w:type="dxa"/>
              <w:right w:w="0" w:type="dxa"/>
            </w:tcMar>
            <w:tcW w:w="2863" w:type="dxa"/>
            <w:vAlign w:val="center"/>
            <w:textDirection w:val="lrTb"/>
            <w:noWrap w:val="false"/>
          </w:tcPr>
          <w:p>
            <w:pPr>
              <w:pStyle w:val="1151"/>
              <w:rPr>
                <w:rFonts w:ascii="宋体" w:hAnsi="宋体"/>
                <w:sz w:val="18"/>
                <w:szCs w:val="18"/>
                <w:highlight w:val="none"/>
              </w:rPr>
            </w:pPr>
            <w:r>
              <w:rPr>
                <w:rFonts w:ascii="宋体" w:hAnsi="宋体"/>
                <w:sz w:val="18"/>
                <w:szCs w:val="18"/>
                <w:highlight w:val="none"/>
              </w:rPr>
              <w:t xml:space="preserve">(1)满足DL/T 634标准的104通信规约</w:t>
            </w:r>
            <w:r>
              <w:rPr>
                <w:rFonts w:hint="eastAsia" w:ascii="宋体" w:hAnsi="宋体"/>
                <w:sz w:val="18"/>
                <w:szCs w:val="18"/>
                <w:highlight w:val="none"/>
              </w:rPr>
              <w:t xml:space="preserve">；</w:t>
            </w:r>
            <w:r>
              <w:rPr>
                <w:rFonts w:ascii="宋体" w:hAnsi="宋体"/>
                <w:sz w:val="18"/>
                <w:szCs w:val="18"/>
                <w:highlight w:val="none"/>
              </w:rPr>
            </w:r>
            <w:r/>
          </w:p>
          <w:p>
            <w:pPr>
              <w:pStyle w:val="1151"/>
              <w:rPr>
                <w:rFonts w:ascii="宋体" w:hAnsi="宋体"/>
                <w:sz w:val="18"/>
                <w:szCs w:val="18"/>
                <w:highlight w:val="none"/>
              </w:rPr>
            </w:pPr>
            <w:r>
              <w:rPr>
                <w:rFonts w:ascii="宋体" w:hAnsi="宋体"/>
                <w:sz w:val="18"/>
                <w:szCs w:val="18"/>
                <w:highlight w:val="none"/>
              </w:rPr>
              <w:t xml:space="preserve">(2)满足</w:t>
            </w:r>
            <w:r>
              <w:rPr>
                <w:rFonts w:hint="eastAsia" w:ascii="宋体" w:hAnsi="宋体"/>
                <w:sz w:val="18"/>
                <w:szCs w:val="18"/>
                <w:highlight w:val="none"/>
              </w:rPr>
              <w:t xml:space="preserve">国家电</w:t>
            </w:r>
            <w:r>
              <w:rPr>
                <w:rFonts w:ascii="宋体" w:hAnsi="宋体"/>
                <w:sz w:val="18"/>
                <w:szCs w:val="18"/>
                <w:highlight w:val="none"/>
              </w:rPr>
              <w:t xml:space="preserve">网公司最新的</w:t>
            </w:r>
            <w:r>
              <w:rPr>
                <w:rFonts w:hint="eastAsia" w:ascii="宋体" w:hAnsi="宋体"/>
                <w:sz w:val="18"/>
                <w:szCs w:val="18"/>
                <w:highlight w:val="none"/>
              </w:rPr>
              <w:t xml:space="preserve">配电自动化系统应用DL/T634.5104-2009实施细则；</w:t>
            </w:r>
            <w:r>
              <w:rPr>
                <w:rFonts w:ascii="宋体" w:hAnsi="宋体"/>
                <w:sz w:val="18"/>
                <w:szCs w:val="18"/>
                <w:highlight w:val="none"/>
              </w:rPr>
            </w:r>
            <w:r/>
          </w:p>
          <w:p>
            <w:pPr>
              <w:pStyle w:val="1151"/>
              <w:rPr>
                <w:rFonts w:hAnsi="宋体"/>
                <w:sz w:val="18"/>
                <w:szCs w:val="18"/>
                <w:highlight w:val="none"/>
              </w:rPr>
            </w:pPr>
            <w:r>
              <w:rPr>
                <w:rFonts w:ascii="宋体" w:hAnsi="宋体"/>
                <w:sz w:val="18"/>
                <w:szCs w:val="18"/>
                <w:highlight w:val="none"/>
              </w:rPr>
              <w:t xml:space="preserve">(3)满足</w:t>
            </w:r>
            <w:r>
              <w:rPr>
                <w:rFonts w:hint="eastAsia" w:ascii="宋体" w:hAnsi="宋体"/>
                <w:sz w:val="18"/>
                <w:szCs w:val="18"/>
                <w:highlight w:val="none"/>
              </w:rPr>
              <w:t xml:space="preserve">国家电</w:t>
            </w:r>
            <w:r>
              <w:rPr>
                <w:rFonts w:ascii="宋体" w:hAnsi="宋体"/>
                <w:sz w:val="18"/>
                <w:szCs w:val="18"/>
                <w:highlight w:val="none"/>
              </w:rPr>
              <w:t xml:space="preserve">网公司最新的</w:t>
            </w:r>
            <w:r>
              <w:rPr>
                <w:rFonts w:hint="eastAsia" w:ascii="宋体" w:hAnsi="宋体"/>
                <w:sz w:val="18"/>
                <w:szCs w:val="18"/>
                <w:highlight w:val="none"/>
              </w:rPr>
              <w:t xml:space="preserve">配电自动化终端参数配置规范；</w:t>
            </w:r>
            <w:r>
              <w:rPr>
                <w:rFonts w:hAnsi="宋体"/>
                <w:sz w:val="18"/>
                <w:szCs w:val="18"/>
                <w:highlight w:val="none"/>
              </w:rPr>
            </w:r>
            <w:r/>
          </w:p>
        </w:tc>
      </w:tr>
      <w:tr>
        <w:trPr>
          <w:trHeight w:val="344"/>
        </w:trPr>
        <w:tc>
          <w:tcPr>
            <w:tcMar>
              <w:left w:w="0" w:type="dxa"/>
              <w:right w:w="0" w:type="dxa"/>
            </w:tcMar>
            <w:tcW w:w="848" w:type="dxa"/>
            <w:vAlign w:val="center"/>
            <w:vMerge w:val="restart"/>
            <w:textDirection w:val="lrTb"/>
            <w:noWrap w:val="false"/>
          </w:tcPr>
          <w:p>
            <w:pPr>
              <w:pStyle w:val="1151"/>
              <w:jc w:val="center"/>
              <w:tabs>
                <w:tab w:val="center" w:pos="286" w:leader="none"/>
              </w:tabs>
              <w:rPr>
                <w:sz w:val="18"/>
                <w:szCs w:val="18"/>
                <w:highlight w:val="none"/>
              </w:rPr>
            </w:pPr>
            <w:r>
              <w:rPr>
                <w:rFonts w:hint="eastAsia"/>
                <w:sz w:val="18"/>
                <w:szCs w:val="18"/>
                <w:highlight w:val="none"/>
              </w:rPr>
              <w:t xml:space="preserve">1</w:t>
            </w:r>
            <w:r>
              <w:rPr>
                <w:sz w:val="18"/>
                <w:szCs w:val="18"/>
                <w:highlight w:val="none"/>
              </w:rPr>
              <w:t xml:space="preserve">8</w:t>
            </w:r>
            <w:r>
              <w:rPr>
                <w:sz w:val="18"/>
                <w:szCs w:val="18"/>
                <w:highlight w:val="none"/>
              </w:rPr>
            </w:r>
            <w:r/>
          </w:p>
        </w:tc>
        <w:tc>
          <w:tcPr>
            <w:gridSpan w:val="2"/>
            <w:tcMar>
              <w:left w:w="0" w:type="dxa"/>
              <w:right w:w="0" w:type="dxa"/>
            </w:tcMar>
            <w:tcW w:w="2106" w:type="dxa"/>
            <w:vAlign w:val="center"/>
            <w:vMerge w:val="restart"/>
            <w:textDirection w:val="lrTb"/>
            <w:noWrap w:val="false"/>
          </w:tcPr>
          <w:p>
            <w:pPr>
              <w:pStyle w:val="1151"/>
              <w:jc w:val="center"/>
              <w:rPr>
                <w:rFonts w:hAnsi="宋体"/>
                <w:sz w:val="18"/>
                <w:szCs w:val="18"/>
                <w:highlight w:val="none"/>
              </w:rPr>
            </w:pPr>
            <w:r>
              <w:rPr>
                <w:rFonts w:hint="eastAsia" w:ascii="宋体" w:hAnsi="宋体"/>
                <w:sz w:val="18"/>
                <w:szCs w:val="18"/>
                <w:highlight w:val="none"/>
              </w:rPr>
              <w:t xml:space="preserve">远程无线通信模块</w:t>
            </w:r>
            <w:r>
              <w:rPr>
                <w:rFonts w:hAnsi="宋体"/>
                <w:sz w:val="18"/>
                <w:szCs w:val="18"/>
                <w:highlight w:val="none"/>
              </w:rPr>
            </w:r>
            <w:r/>
          </w:p>
        </w:tc>
        <w:tc>
          <w:tcPr>
            <w:tcMar>
              <w:left w:w="0" w:type="dxa"/>
              <w:right w:w="0" w:type="dxa"/>
            </w:tcMar>
            <w:tcW w:w="2572"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通用要求</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w:t>
            </w:r>
            <w:r>
              <w:rPr>
                <w:rFonts w:hAnsi="宋体"/>
                <w:sz w:val="18"/>
                <w:szCs w:val="18"/>
                <w:highlight w:val="none"/>
              </w:rPr>
            </w:r>
            <w:r/>
          </w:p>
        </w:tc>
        <w:tc>
          <w:tcPr>
            <w:gridSpan w:val="2"/>
            <w:tcMar>
              <w:left w:w="0" w:type="dxa"/>
              <w:right w:w="0" w:type="dxa"/>
            </w:tcMar>
            <w:tcW w:w="2863" w:type="dxa"/>
            <w:vAlign w:val="center"/>
            <w:textDirection w:val="lrTb"/>
            <w:noWrap w:val="false"/>
          </w:tcPr>
          <w:p>
            <w:pPr>
              <w:pStyle w:val="1151"/>
              <w:rPr>
                <w:rFonts w:ascii="宋体" w:hAnsi="宋体"/>
                <w:sz w:val="18"/>
                <w:szCs w:val="18"/>
                <w:highlight w:val="none"/>
              </w:rPr>
            </w:pPr>
            <w:r>
              <w:rPr>
                <w:rFonts w:ascii="宋体" w:hAnsi="宋体"/>
                <w:sz w:val="18"/>
                <w:szCs w:val="18"/>
                <w:highlight w:val="none"/>
              </w:rPr>
              <w:t xml:space="preserve">(1)</w:t>
            </w:r>
            <w:r>
              <w:rPr>
                <w:rFonts w:hint="eastAsia" w:ascii="宋体" w:hAnsi="宋体"/>
                <w:sz w:val="18"/>
                <w:szCs w:val="18"/>
                <w:highlight w:val="none"/>
              </w:rPr>
              <w:t xml:space="preserve">支持4</w:t>
            </w:r>
            <w:r>
              <w:rPr>
                <w:rFonts w:ascii="宋体" w:hAnsi="宋体"/>
                <w:sz w:val="18"/>
                <w:szCs w:val="18"/>
                <w:highlight w:val="none"/>
              </w:rPr>
              <w:t xml:space="preserve">G/3G/2G</w:t>
            </w:r>
            <w:r>
              <w:rPr>
                <w:rFonts w:hint="eastAsia" w:ascii="宋体" w:hAnsi="宋体"/>
                <w:sz w:val="18"/>
                <w:szCs w:val="18"/>
                <w:highlight w:val="none"/>
              </w:rPr>
              <w:t xml:space="preserve">全网通</w:t>
            </w:r>
            <w:r>
              <w:rPr>
                <w:rFonts w:ascii="宋体" w:hAnsi="宋体"/>
                <w:sz w:val="18"/>
                <w:szCs w:val="18"/>
                <w:highlight w:val="none"/>
              </w:rPr>
              <w:t xml:space="preserve">7模</w:t>
            </w:r>
            <w:r>
              <w:rPr>
                <w:rFonts w:hint="eastAsia" w:ascii="宋体" w:hAnsi="宋体"/>
                <w:sz w:val="18"/>
                <w:szCs w:val="18"/>
                <w:highlight w:val="none"/>
              </w:rPr>
              <w:t xml:space="preserve">自适应</w:t>
            </w:r>
            <w:r>
              <w:rPr>
                <w:rFonts w:ascii="宋体" w:hAnsi="宋体"/>
                <w:sz w:val="18"/>
                <w:szCs w:val="18"/>
                <w:highlight w:val="none"/>
              </w:rPr>
              <w:t xml:space="preserve">TD-LTE/FDD- LTE/TD-SCDMA /WCDMA/CDMA2000/GSM</w:t>
            </w:r>
            <w:r>
              <w:rPr>
                <w:rFonts w:hint="eastAsia" w:ascii="宋体" w:hAnsi="宋体"/>
                <w:sz w:val="18"/>
                <w:szCs w:val="18"/>
                <w:highlight w:val="none"/>
              </w:rPr>
              <w:t xml:space="preserve">/</w:t>
            </w:r>
            <w:r>
              <w:rPr>
                <w:rFonts w:ascii="宋体" w:hAnsi="宋体"/>
                <w:sz w:val="18"/>
                <w:szCs w:val="18"/>
                <w:highlight w:val="none"/>
              </w:rPr>
              <w:t xml:space="preserve">CDMA</w:t>
            </w:r>
            <w:r>
              <w:rPr>
                <w:rFonts w:ascii="宋体" w:hAnsi="宋体"/>
                <w:sz w:val="18"/>
                <w:szCs w:val="18"/>
                <w:highlight w:val="none"/>
              </w:rPr>
            </w:r>
            <w:r/>
          </w:p>
          <w:p>
            <w:pPr>
              <w:pStyle w:val="1151"/>
              <w:rPr>
                <w:rFonts w:ascii="宋体" w:hAnsi="宋体"/>
                <w:sz w:val="18"/>
                <w:szCs w:val="18"/>
                <w:highlight w:val="none"/>
              </w:rPr>
            </w:pPr>
            <w:r>
              <w:rPr>
                <w:rFonts w:ascii="宋体" w:hAnsi="宋体"/>
                <w:sz w:val="18"/>
                <w:szCs w:val="18"/>
                <w:highlight w:val="none"/>
              </w:rPr>
              <w:t xml:space="preserve">(2)</w:t>
            </w:r>
            <w:r>
              <w:rPr>
                <w:rFonts w:hint="eastAsia" w:ascii="宋体" w:hAnsi="宋体"/>
                <w:sz w:val="18"/>
                <w:szCs w:val="18"/>
                <w:highlight w:val="none"/>
              </w:rPr>
              <w:t xml:space="preserve">端口数据监视功能、网路中断自动重连功能等</w:t>
            </w:r>
            <w:r>
              <w:rPr>
                <w:rFonts w:ascii="宋体" w:hAnsi="宋体"/>
                <w:sz w:val="18"/>
                <w:szCs w:val="18"/>
                <w:highlight w:val="none"/>
              </w:rPr>
            </w:r>
            <w:r/>
          </w:p>
        </w:tc>
      </w:tr>
      <w:tr>
        <w:trPr>
          <w:trHeight w:val="90"/>
        </w:trPr>
        <w:tc>
          <w:tcPr>
            <w:tcMar>
              <w:left w:w="0" w:type="dxa"/>
              <w:right w:w="0" w:type="dxa"/>
            </w:tcMar>
            <w:tcW w:w="848" w:type="dxa"/>
            <w:vAlign w:val="center"/>
            <w:vMerge w:val="continue"/>
            <w:textDirection w:val="lrTb"/>
            <w:noWrap w:val="false"/>
          </w:tcPr>
          <w:p>
            <w:pPr>
              <w:pStyle w:val="1151"/>
              <w:jc w:val="center"/>
              <w:tabs>
                <w:tab w:val="center" w:pos="286" w:leader="none"/>
              </w:tabs>
              <w:rPr>
                <w:sz w:val="18"/>
                <w:szCs w:val="18"/>
                <w:highlight w:val="none"/>
              </w:rPr>
            </w:pPr>
            <w:r>
              <w:rPr>
                <w:sz w:val="18"/>
                <w:szCs w:val="18"/>
                <w:highlight w:val="none"/>
              </w:rPr>
            </w:r>
            <w:r/>
          </w:p>
        </w:tc>
        <w:tc>
          <w:tcPr>
            <w:gridSpan w:val="2"/>
            <w:tcMar>
              <w:left w:w="0" w:type="dxa"/>
              <w:right w:w="0" w:type="dxa"/>
            </w:tcMar>
            <w:tcW w:w="2106" w:type="dxa"/>
            <w:vAlign w:val="center"/>
            <w:vMerge w:val="continue"/>
            <w:textDirection w:val="lrTb"/>
            <w:noWrap w:val="false"/>
          </w:tcPr>
          <w:p>
            <w:pPr>
              <w:pStyle w:val="1151"/>
              <w:jc w:val="center"/>
              <w:rPr>
                <w:rFonts w:hAnsi="宋体"/>
                <w:sz w:val="18"/>
                <w:szCs w:val="18"/>
                <w:highlight w:val="none"/>
              </w:rPr>
            </w:pPr>
            <w:r>
              <w:rPr>
                <w:rFonts w:hAnsi="宋体"/>
                <w:sz w:val="18"/>
                <w:szCs w:val="18"/>
                <w:highlight w:val="none"/>
              </w:rPr>
            </w:r>
            <w:r/>
          </w:p>
        </w:tc>
        <w:tc>
          <w:tcPr>
            <w:tcMar>
              <w:left w:w="0" w:type="dxa"/>
              <w:right w:w="0" w:type="dxa"/>
            </w:tcMar>
            <w:tcW w:w="2572" w:type="dxa"/>
            <w:vAlign w:val="center"/>
            <w:textDirection w:val="lrTb"/>
            <w:noWrap w:val="false"/>
          </w:tcPr>
          <w:p>
            <w:pPr>
              <w:pStyle w:val="1151"/>
              <w:jc w:val="center"/>
              <w:rPr>
                <w:rFonts w:hAnsi="宋体"/>
                <w:sz w:val="18"/>
                <w:szCs w:val="18"/>
                <w:highlight w:val="none"/>
              </w:rPr>
            </w:pPr>
            <w:r>
              <w:rPr>
                <w:rFonts w:hint="eastAsia" w:ascii="宋体" w:hAnsi="宋体"/>
                <w:sz w:val="18"/>
                <w:szCs w:val="18"/>
                <w:highlight w:val="none"/>
              </w:rPr>
              <w:t xml:space="preserve">安装方式</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rFonts w:hAnsi="宋体"/>
                <w:sz w:val="18"/>
                <w:szCs w:val="18"/>
                <w:highlight w:val="none"/>
              </w:rPr>
            </w:pPr>
            <w:r>
              <w:rPr>
                <w:rFonts w:hAnsi="宋体"/>
                <w:sz w:val="18"/>
                <w:szCs w:val="18"/>
                <w:highlight w:val="none"/>
              </w:rPr>
            </w:r>
            <w:r/>
          </w:p>
          <w:p>
            <w:pPr>
              <w:pStyle w:val="1151"/>
              <w:jc w:val="center"/>
              <w:rPr>
                <w:rFonts w:hAnsi="宋体"/>
                <w:sz w:val="18"/>
                <w:szCs w:val="18"/>
                <w:highlight w:val="none"/>
              </w:rPr>
            </w:pPr>
            <w:r>
              <w:rPr>
                <w:rFonts w:hint="eastAsia" w:hAnsi="宋体"/>
                <w:sz w:val="18"/>
                <w:szCs w:val="18"/>
                <w:highlight w:val="none"/>
              </w:rPr>
              <w:t xml:space="preserve">/</w:t>
            </w:r>
            <w:r>
              <w:rPr>
                <w:rFonts w:hAnsi="宋体"/>
                <w:sz w:val="18"/>
                <w:szCs w:val="18"/>
                <w:highlight w:val="none"/>
              </w:rPr>
            </w:r>
            <w:r/>
          </w:p>
        </w:tc>
        <w:tc>
          <w:tcPr>
            <w:gridSpan w:val="2"/>
            <w:tcMar>
              <w:left w:w="0" w:type="dxa"/>
              <w:right w:w="0" w:type="dxa"/>
            </w:tcMar>
            <w:tcW w:w="2863" w:type="dxa"/>
            <w:vAlign w:val="center"/>
            <w:textDirection w:val="lrTb"/>
            <w:noWrap w:val="false"/>
          </w:tcPr>
          <w:p>
            <w:pPr>
              <w:pStyle w:val="1151"/>
              <w:rPr>
                <w:rFonts w:ascii="宋体" w:hAnsi="宋体"/>
                <w:sz w:val="18"/>
                <w:szCs w:val="18"/>
                <w:highlight w:val="none"/>
              </w:rPr>
            </w:pPr>
            <w:r>
              <w:rPr>
                <w:rFonts w:hint="eastAsia" w:ascii="宋体" w:hAnsi="宋体"/>
                <w:sz w:val="18"/>
                <w:szCs w:val="18"/>
                <w:highlight w:val="none"/>
              </w:rPr>
              <w:t xml:space="preserve">可插拔</w:t>
            </w:r>
            <w:r>
              <w:rPr>
                <w:rFonts w:ascii="宋体" w:hAnsi="宋体"/>
                <w:sz w:val="18"/>
                <w:szCs w:val="18"/>
                <w:highlight w:val="none"/>
              </w:rPr>
            </w:r>
            <w:r/>
          </w:p>
        </w:tc>
      </w:tr>
      <w:tr>
        <w:trPr>
          <w:trHeight w:val="931"/>
        </w:trPr>
        <w:tc>
          <w:tcPr>
            <w:tcMar>
              <w:left w:w="0" w:type="dxa"/>
              <w:right w:w="0" w:type="dxa"/>
            </w:tcMar>
            <w:tcW w:w="848" w:type="dxa"/>
            <w:vAlign w:val="center"/>
            <w:vMerge w:val="restart"/>
            <w:textDirection w:val="lrTb"/>
            <w:noWrap w:val="false"/>
          </w:tcPr>
          <w:p>
            <w:pPr>
              <w:pStyle w:val="1151"/>
              <w:jc w:val="center"/>
              <w:tabs>
                <w:tab w:val="center" w:pos="286" w:leader="none"/>
              </w:tabs>
              <w:rPr>
                <w:sz w:val="18"/>
                <w:szCs w:val="18"/>
                <w:highlight w:val="none"/>
              </w:rPr>
            </w:pPr>
            <w:r>
              <w:rPr>
                <w:rFonts w:hint="eastAsia"/>
                <w:sz w:val="18"/>
                <w:szCs w:val="18"/>
                <w:highlight w:val="none"/>
              </w:rPr>
              <w:t xml:space="preserve">19</w:t>
            </w:r>
            <w:r>
              <w:rPr>
                <w:sz w:val="18"/>
                <w:szCs w:val="18"/>
                <w:highlight w:val="none"/>
              </w:rPr>
            </w:r>
            <w:r/>
          </w:p>
        </w:tc>
        <w:tc>
          <w:tcPr>
            <w:gridSpan w:val="3"/>
            <w:tcMar>
              <w:left w:w="0" w:type="dxa"/>
              <w:right w:w="0" w:type="dxa"/>
            </w:tcMar>
            <w:tcW w:w="4678" w:type="dxa"/>
            <w:vAlign w:val="center"/>
            <w:vMerge w:val="restart"/>
            <w:textDirection w:val="lrTb"/>
            <w:noWrap w:val="false"/>
          </w:tcPr>
          <w:p>
            <w:pPr>
              <w:pStyle w:val="1176"/>
              <w:jc w:val="center"/>
              <w:spacing w:before="56" w:after="56"/>
              <w:rPr>
                <w:highlight w:val="none"/>
              </w:rPr>
            </w:pPr>
            <w:r>
              <w:rPr>
                <w:rFonts w:hint="eastAsia"/>
                <w:highlight w:val="none"/>
              </w:rPr>
              <w:t xml:space="preserve">馈线自动化功能</w:t>
            </w:r>
            <w:r>
              <w:rPr>
                <w:highlight w:val="none"/>
              </w:rPr>
            </w:r>
            <w:r/>
          </w:p>
          <w:p>
            <w:pPr>
              <w:pStyle w:val="1176"/>
              <w:jc w:val="center"/>
              <w:spacing w:before="156" w:after="156"/>
              <w:rPr>
                <w:highlight w:val="none"/>
              </w:rPr>
            </w:pPr>
            <w:r>
              <w:rPr>
                <w:rFonts w:hint="eastAsia" w:ascii="宋体" w:hAnsi="宋体"/>
                <w:highlight w:val="none"/>
              </w:rPr>
              <w:t xml:space="preserve">（招标方根据需要填写“A”或“B”，二者选择其一，</w:t>
            </w:r>
            <w:r>
              <w:rPr>
                <w:rFonts w:hint="eastAsia"/>
                <w:highlight w:val="none"/>
              </w:rPr>
              <w:t xml:space="preserve">当招标方未说明选项时，默认只配置集中式馈线自动化功能，即选项A</w:t>
            </w:r>
            <w:r>
              <w:rPr>
                <w:rFonts w:hint="eastAsia" w:ascii="宋体" w:hAnsi="宋体"/>
                <w:highlight w:val="none"/>
              </w:rPr>
              <w:t xml:space="preserve">）</w:t>
            </w:r>
            <w:r>
              <w:rPr>
                <w:highlight w:val="none"/>
              </w:rPr>
            </w:r>
            <w:r/>
          </w:p>
        </w:tc>
        <w:tc>
          <w:tcPr>
            <w:tcMar>
              <w:left w:w="0" w:type="dxa"/>
              <w:right w:w="0" w:type="dxa"/>
            </w:tcMar>
            <w:tcW w:w="992" w:type="dxa"/>
            <w:vAlign w:val="center"/>
            <w:textDirection w:val="lrTb"/>
            <w:noWrap w:val="false"/>
          </w:tcPr>
          <w:p>
            <w:pPr>
              <w:pStyle w:val="1151"/>
              <w:jc w:val="center"/>
              <w:rPr>
                <w:rFonts w:hAnsi="宋体"/>
                <w:sz w:val="18"/>
                <w:szCs w:val="18"/>
                <w:highlight w:val="none"/>
              </w:rPr>
            </w:pPr>
            <w:r>
              <w:rPr>
                <w:rFonts w:hint="eastAsia"/>
                <w:sz w:val="18"/>
                <w:szCs w:val="18"/>
                <w:highlight w:val="none"/>
              </w:rPr>
              <w:t xml:space="preserve">/</w:t>
            </w:r>
            <w:r>
              <w:rPr>
                <w:rFonts w:hAnsi="宋体"/>
                <w:sz w:val="18"/>
                <w:szCs w:val="18"/>
                <w:highlight w:val="none"/>
              </w:rPr>
            </w:r>
            <w:r/>
          </w:p>
        </w:tc>
        <w:tc>
          <w:tcPr>
            <w:gridSpan w:val="2"/>
            <w:tcMar>
              <w:left w:w="0" w:type="dxa"/>
              <w:right w:w="0" w:type="dxa"/>
            </w:tcMar>
            <w:tcW w:w="2863" w:type="dxa"/>
            <w:vAlign w:val="center"/>
            <w:textDirection w:val="lrTb"/>
            <w:noWrap w:val="false"/>
          </w:tcPr>
          <w:p>
            <w:pPr>
              <w:pStyle w:val="1151"/>
              <w:jc w:val="center"/>
              <w:rPr>
                <w:rFonts w:hAnsi="宋体"/>
                <w:sz w:val="18"/>
                <w:szCs w:val="18"/>
                <w:highlight w:val="none"/>
              </w:rPr>
            </w:pPr>
            <w:r>
              <w:rPr>
                <w:rFonts w:ascii="宋体" w:hAnsi="宋体"/>
                <w:sz w:val="18"/>
                <w:szCs w:val="18"/>
                <w:highlight w:val="none"/>
              </w:rPr>
              <w:t xml:space="preserve">A集中式馈线自动化功能</w:t>
            </w:r>
            <w:r>
              <w:rPr>
                <w:rFonts w:hAnsi="宋体"/>
                <w:sz w:val="18"/>
                <w:szCs w:val="18"/>
                <w:highlight w:val="none"/>
              </w:rPr>
            </w:r>
            <w:r/>
          </w:p>
        </w:tc>
      </w:tr>
      <w:tr>
        <w:trPr>
          <w:trHeight w:val="344"/>
        </w:trPr>
        <w:tc>
          <w:tcPr>
            <w:tcMar>
              <w:left w:w="0" w:type="dxa"/>
              <w:right w:w="0" w:type="dxa"/>
            </w:tcMar>
            <w:tcW w:w="848" w:type="dxa"/>
            <w:vAlign w:val="center"/>
            <w:vMerge w:val="continue"/>
            <w:textDirection w:val="lrTb"/>
            <w:noWrap w:val="false"/>
          </w:tcPr>
          <w:p>
            <w:pPr>
              <w:pStyle w:val="1151"/>
              <w:jc w:val="center"/>
              <w:tabs>
                <w:tab w:val="center" w:pos="286" w:leader="none"/>
              </w:tabs>
              <w:rPr>
                <w:sz w:val="18"/>
                <w:szCs w:val="18"/>
                <w:highlight w:val="none"/>
              </w:rPr>
            </w:pPr>
            <w:r>
              <w:rPr>
                <w:sz w:val="18"/>
                <w:szCs w:val="18"/>
                <w:highlight w:val="none"/>
              </w:rPr>
            </w:r>
            <w:r/>
          </w:p>
        </w:tc>
        <w:tc>
          <w:tcPr>
            <w:gridSpan w:val="3"/>
            <w:tcMar>
              <w:left w:w="0" w:type="dxa"/>
              <w:right w:w="0" w:type="dxa"/>
            </w:tcMar>
            <w:tcW w:w="4678" w:type="dxa"/>
            <w:vAlign w:val="center"/>
            <w:vMerge w:val="continue"/>
            <w:textDirection w:val="lrTb"/>
            <w:noWrap w:val="false"/>
          </w:tcPr>
          <w:p>
            <w:pPr>
              <w:pStyle w:val="1151"/>
              <w:jc w:val="center"/>
              <w:rPr>
                <w:rFonts w:hAnsi="宋体"/>
                <w:sz w:val="18"/>
                <w:szCs w:val="18"/>
                <w:highlight w:val="none"/>
              </w:rPr>
            </w:pP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rFonts w:hAnsi="宋体"/>
                <w:sz w:val="18"/>
                <w:szCs w:val="18"/>
                <w:highlight w:val="none"/>
              </w:rPr>
            </w:pPr>
            <w:r>
              <w:rPr>
                <w:rFonts w:hint="eastAsia"/>
                <w:sz w:val="18"/>
                <w:szCs w:val="18"/>
                <w:highlight w:val="none"/>
              </w:rPr>
              <w:t xml:space="preserve">/</w:t>
            </w:r>
            <w:r>
              <w:rPr>
                <w:rFonts w:hAnsi="宋体"/>
                <w:sz w:val="18"/>
                <w:szCs w:val="18"/>
                <w:highlight w:val="none"/>
              </w:rPr>
            </w:r>
            <w:r/>
          </w:p>
        </w:tc>
        <w:tc>
          <w:tcPr>
            <w:gridSpan w:val="2"/>
            <w:tcMar>
              <w:left w:w="0" w:type="dxa"/>
              <w:right w:w="0" w:type="dxa"/>
            </w:tcMar>
            <w:tcW w:w="2863" w:type="dxa"/>
            <w:vAlign w:val="center"/>
            <w:textDirection w:val="lrTb"/>
            <w:noWrap w:val="false"/>
          </w:tcPr>
          <w:p>
            <w:pPr>
              <w:pStyle w:val="1151"/>
              <w:jc w:val="center"/>
              <w:rPr>
                <w:rFonts w:hAnsi="宋体"/>
                <w:sz w:val="18"/>
                <w:szCs w:val="18"/>
                <w:highlight w:val="none"/>
              </w:rPr>
            </w:pPr>
            <w:r>
              <w:rPr>
                <w:rFonts w:ascii="宋体" w:hAnsi="宋体"/>
                <w:sz w:val="18"/>
                <w:szCs w:val="18"/>
                <w:highlight w:val="none"/>
              </w:rPr>
              <w:t xml:space="preserve">B</w:t>
            </w:r>
            <w:r>
              <w:rPr>
                <w:rFonts w:hint="eastAsia" w:ascii="宋体" w:hAnsi="宋体"/>
                <w:sz w:val="18"/>
                <w:szCs w:val="18"/>
                <w:highlight w:val="none"/>
              </w:rPr>
              <w:t xml:space="preserve">分布式</w:t>
            </w:r>
            <w:r>
              <w:rPr>
                <w:rFonts w:ascii="宋体" w:hAnsi="宋体"/>
                <w:sz w:val="18"/>
                <w:szCs w:val="18"/>
                <w:highlight w:val="none"/>
              </w:rPr>
              <w:t xml:space="preserve">+</w:t>
            </w:r>
            <w:r>
              <w:rPr>
                <w:rFonts w:hint="eastAsia" w:ascii="宋体" w:hAnsi="宋体"/>
                <w:sz w:val="18"/>
                <w:szCs w:val="18"/>
                <w:highlight w:val="none"/>
              </w:rPr>
              <w:t xml:space="preserve">集中式馈线自动化功能</w:t>
            </w:r>
            <w:r>
              <w:rPr>
                <w:rFonts w:hAnsi="宋体"/>
                <w:sz w:val="18"/>
                <w:szCs w:val="18"/>
                <w:highlight w:val="none"/>
              </w:rPr>
            </w:r>
            <w:r/>
          </w:p>
        </w:tc>
      </w:tr>
      <w:tr>
        <w:trPr>
          <w:trHeight w:val="270"/>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rFonts w:hint="eastAsia"/>
                <w:sz w:val="18"/>
                <w:szCs w:val="18"/>
                <w:highlight w:val="none"/>
              </w:rPr>
              <w:t xml:space="preserve">20</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保护功能</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rFonts w:hAnsi="宋体"/>
                <w:sz w:val="18"/>
                <w:szCs w:val="18"/>
                <w:highlight w:val="none"/>
              </w:rPr>
            </w:pPr>
            <w:r>
              <w:rPr>
                <w:rFonts w:hint="eastAsia"/>
                <w:sz w:val="18"/>
                <w:szCs w:val="18"/>
                <w:highlight w:val="none"/>
              </w:rPr>
              <w:t xml:space="preserve">/</w:t>
            </w:r>
            <w:r>
              <w:rPr>
                <w:rFonts w:hAnsi="宋体"/>
                <w:sz w:val="18"/>
                <w:szCs w:val="18"/>
                <w:highlight w:val="none"/>
              </w:rPr>
            </w:r>
            <w:r/>
          </w:p>
        </w:tc>
        <w:tc>
          <w:tcPr>
            <w:gridSpan w:val="2"/>
            <w:tcMar>
              <w:left w:w="0" w:type="dxa"/>
              <w:right w:w="0" w:type="dxa"/>
            </w:tcMar>
            <w:tcW w:w="2863" w:type="dxa"/>
            <w:vAlign w:val="center"/>
            <w:textDirection w:val="lrTb"/>
            <w:noWrap w:val="false"/>
          </w:tcPr>
          <w:p>
            <w:pPr>
              <w:pStyle w:val="1249"/>
              <w:ind w:left="0" w:firstLine="360"/>
              <w:jc w:val="center"/>
              <w:rPr>
                <w:rFonts w:ascii="宋体" w:hAnsi="宋体"/>
                <w:sz w:val="18"/>
                <w:szCs w:val="18"/>
                <w:highlight w:val="none"/>
              </w:rPr>
            </w:pPr>
            <w:r>
              <w:rPr>
                <w:rFonts w:hint="eastAsia" w:ascii="宋体" w:hAnsi="宋体"/>
                <w:sz w:val="18"/>
                <w:szCs w:val="18"/>
                <w:highlight w:val="none"/>
              </w:rPr>
              <w:t xml:space="preserve">常规保护（包括过流和接地）</w:t>
            </w:r>
            <w:r>
              <w:rPr>
                <w:rFonts w:ascii="宋体" w:hAnsi="宋体"/>
                <w:sz w:val="18"/>
                <w:szCs w:val="18"/>
                <w:highlight w:val="none"/>
              </w:rPr>
            </w:r>
            <w:r/>
          </w:p>
        </w:tc>
      </w:tr>
      <w:tr>
        <w:trPr>
          <w:trHeight w:val="20"/>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rFonts w:hint="eastAsia"/>
                <w:sz w:val="18"/>
                <w:szCs w:val="18"/>
                <w:highlight w:val="none"/>
              </w:rPr>
              <w:t xml:space="preserve">21</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终端功耗</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w:t>
            </w:r>
            <w:r>
              <w:rPr>
                <w:rFonts w:hAnsi="宋体"/>
                <w:sz w:val="18"/>
                <w:szCs w:val="18"/>
                <w:highlight w:val="none"/>
              </w:rPr>
            </w:r>
            <w:r/>
          </w:p>
        </w:tc>
        <w:tc>
          <w:tcPr>
            <w:gridSpan w:val="2"/>
            <w:tcMar>
              <w:left w:w="0" w:type="dxa"/>
              <w:right w:w="0" w:type="dxa"/>
            </w:tcMar>
            <w:tcW w:w="2863" w:type="dxa"/>
            <w:vAlign w:val="center"/>
            <w:textDirection w:val="lrTb"/>
            <w:noWrap w:val="false"/>
          </w:tcPr>
          <w:p>
            <w:pPr>
              <w:pStyle w:val="1249"/>
              <w:ind w:left="0" w:firstLine="0"/>
              <w:spacing w:line="240" w:lineRule="auto"/>
              <w:rPr>
                <w:rFonts w:hAnsi="宋体"/>
                <w:sz w:val="18"/>
                <w:szCs w:val="18"/>
                <w:highlight w:val="none"/>
              </w:rPr>
            </w:pPr>
            <w:r>
              <w:rPr>
                <w:rFonts w:hint="eastAsia" w:hAnsi="宋体"/>
                <w:sz w:val="18"/>
                <w:szCs w:val="18"/>
                <w:highlight w:val="none"/>
              </w:rPr>
              <w:t xml:space="preserve">(1)DTU核心单元正常运行直流功耗 ≤20W（不含通信模块电源、电源管理模块）；(2)整机功耗 ≤50VA（不含通信模块、不含后备电源）。</w:t>
            </w:r>
            <w:r>
              <w:rPr>
                <w:rFonts w:hAnsi="宋体"/>
                <w:sz w:val="18"/>
                <w:szCs w:val="18"/>
                <w:highlight w:val="none"/>
              </w:rPr>
            </w:r>
            <w:r/>
          </w:p>
        </w:tc>
      </w:tr>
      <w:tr>
        <w:trPr>
          <w:trHeight w:val="487"/>
        </w:trPr>
        <w:tc>
          <w:tcPr>
            <w:tcMar>
              <w:left w:w="0" w:type="dxa"/>
              <w:right w:w="0" w:type="dxa"/>
            </w:tcMar>
            <w:tcW w:w="848" w:type="dxa"/>
            <w:vAlign w:val="center"/>
            <w:vMerge w:val="restart"/>
            <w:textDirection w:val="lrTb"/>
            <w:noWrap w:val="false"/>
          </w:tcPr>
          <w:p>
            <w:pPr>
              <w:pStyle w:val="1151"/>
              <w:jc w:val="center"/>
              <w:tabs>
                <w:tab w:val="center" w:pos="286" w:leader="none"/>
              </w:tabs>
              <w:rPr>
                <w:sz w:val="18"/>
                <w:szCs w:val="18"/>
                <w:highlight w:val="none"/>
              </w:rPr>
            </w:pPr>
            <w:r>
              <w:rPr>
                <w:rFonts w:hint="eastAsia"/>
                <w:sz w:val="18"/>
                <w:szCs w:val="18"/>
                <w:highlight w:val="none"/>
              </w:rPr>
              <w:t xml:space="preserve">22</w:t>
            </w:r>
            <w:r>
              <w:rPr>
                <w:sz w:val="18"/>
                <w:szCs w:val="18"/>
                <w:highlight w:val="none"/>
              </w:rPr>
            </w:r>
            <w:r/>
          </w:p>
        </w:tc>
        <w:tc>
          <w:tcPr>
            <w:tcMar>
              <w:left w:w="0" w:type="dxa"/>
              <w:right w:w="0" w:type="dxa"/>
            </w:tcMar>
            <w:tcW w:w="1371" w:type="dxa"/>
            <w:vAlign w:val="center"/>
            <w:vMerge w:val="restart"/>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配套电源</w:t>
            </w:r>
            <w:r>
              <w:rPr>
                <w:rFonts w:hAnsi="宋体"/>
                <w:sz w:val="18"/>
                <w:szCs w:val="18"/>
                <w:highlight w:val="none"/>
              </w:rPr>
            </w:r>
            <w:r/>
          </w:p>
          <w:p>
            <w:pPr>
              <w:pStyle w:val="1151"/>
              <w:jc w:val="center"/>
              <w:rPr>
                <w:rFonts w:hAnsi="宋体"/>
                <w:sz w:val="18"/>
                <w:szCs w:val="18"/>
                <w:highlight w:val="none"/>
              </w:rPr>
            </w:pPr>
            <w:r>
              <w:rPr>
                <w:rFonts w:hint="eastAsia" w:hAnsi="宋体"/>
                <w:sz w:val="18"/>
                <w:szCs w:val="18"/>
                <w:highlight w:val="none"/>
              </w:rPr>
              <w:t xml:space="preserve">要求</w:t>
            </w:r>
            <w:r>
              <w:rPr>
                <w:rFonts w:hAnsi="宋体"/>
                <w:sz w:val="18"/>
                <w:szCs w:val="18"/>
                <w:highlight w:val="none"/>
              </w:rPr>
            </w:r>
            <w:r/>
          </w:p>
        </w:tc>
        <w:tc>
          <w:tcPr>
            <w:gridSpan w:val="2"/>
            <w:tcMar>
              <w:left w:w="0" w:type="dxa"/>
              <w:right w:w="0" w:type="dxa"/>
            </w:tcMar>
            <w:tcW w:w="3307"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电源管理模块要求</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w:t>
            </w:r>
            <w:r>
              <w:rPr>
                <w:rFonts w:hAnsi="宋体"/>
                <w:sz w:val="18"/>
                <w:szCs w:val="18"/>
                <w:highlight w:val="none"/>
              </w:rPr>
            </w:r>
            <w:r/>
          </w:p>
        </w:tc>
        <w:tc>
          <w:tcPr>
            <w:gridSpan w:val="2"/>
            <w:tcMar>
              <w:left w:w="0" w:type="dxa"/>
              <w:right w:w="0" w:type="dxa"/>
            </w:tcMar>
            <w:tcW w:w="2863" w:type="dxa"/>
            <w:vAlign w:val="center"/>
            <w:textDirection w:val="lrTb"/>
            <w:noWrap w:val="false"/>
          </w:tcPr>
          <w:p>
            <w:pPr>
              <w:pStyle w:val="1151"/>
              <w:rPr>
                <w:rFonts w:hAnsi="宋体"/>
                <w:sz w:val="18"/>
                <w:szCs w:val="18"/>
                <w:highlight w:val="none"/>
              </w:rPr>
            </w:pPr>
            <w:r>
              <w:rPr>
                <w:rFonts w:ascii="宋体" w:hAnsi="宋体"/>
                <w:sz w:val="18"/>
                <w:szCs w:val="18"/>
                <w:highlight w:val="none"/>
              </w:rPr>
              <w:t xml:space="preserve">电源</w:t>
            </w:r>
            <w:r>
              <w:rPr>
                <w:rFonts w:hint="eastAsia" w:ascii="宋体" w:hAnsi="宋体"/>
                <w:sz w:val="18"/>
                <w:szCs w:val="18"/>
                <w:highlight w:val="none"/>
              </w:rPr>
              <w:t xml:space="preserve">管理模块长期稳定输出≥100W，</w:t>
            </w:r>
            <w:r>
              <w:rPr>
                <w:rFonts w:hAnsi="宋体"/>
                <w:sz w:val="18"/>
                <w:szCs w:val="18"/>
                <w:highlight w:val="none"/>
              </w:rPr>
              <w:t xml:space="preserve">瞬时</w:t>
            </w:r>
            <w:r>
              <w:rPr>
                <w:rFonts w:hint="eastAsia" w:hAnsi="宋体"/>
                <w:sz w:val="18"/>
                <w:szCs w:val="18"/>
                <w:highlight w:val="none"/>
              </w:rPr>
              <w:t xml:space="preserve">输出</w:t>
            </w:r>
            <w:r>
              <w:rPr>
                <w:rFonts w:hint="eastAsia" w:ascii="宋体" w:hAnsi="宋体"/>
                <w:sz w:val="18"/>
                <w:szCs w:val="18"/>
                <w:highlight w:val="none"/>
              </w:rPr>
              <w:t xml:space="preserve">≥</w:t>
            </w:r>
            <w:r>
              <w:rPr>
                <w:rFonts w:hint="eastAsia" w:hAnsi="宋体"/>
                <w:sz w:val="18"/>
                <w:szCs w:val="18"/>
                <w:highlight w:val="none"/>
              </w:rPr>
              <w:t xml:space="preserve">500W，持续时间≥15s</w:t>
            </w:r>
            <w:r>
              <w:rPr>
                <w:rFonts w:hAnsi="宋体"/>
                <w:sz w:val="18"/>
                <w:szCs w:val="18"/>
                <w:highlight w:val="none"/>
              </w:rPr>
            </w:r>
            <w:r/>
          </w:p>
        </w:tc>
      </w:tr>
      <w:tr>
        <w:trPr>
          <w:trHeight w:val="20"/>
        </w:trPr>
        <w:tc>
          <w:tcPr>
            <w:tcMar>
              <w:left w:w="0" w:type="dxa"/>
              <w:right w:w="0" w:type="dxa"/>
            </w:tcMar>
            <w:tcW w:w="848" w:type="dxa"/>
            <w:vAlign w:val="center"/>
            <w:vMerge w:val="continue"/>
            <w:textDirection w:val="lrTb"/>
            <w:noWrap w:val="false"/>
          </w:tcPr>
          <w:p>
            <w:pPr>
              <w:pStyle w:val="1151"/>
              <w:jc w:val="center"/>
              <w:rPr>
                <w:sz w:val="18"/>
                <w:szCs w:val="18"/>
                <w:highlight w:val="none"/>
              </w:rPr>
            </w:pPr>
            <w:r>
              <w:rPr>
                <w:sz w:val="18"/>
                <w:szCs w:val="18"/>
                <w:highlight w:val="none"/>
              </w:rPr>
            </w:r>
            <w:r/>
          </w:p>
        </w:tc>
        <w:tc>
          <w:tcPr>
            <w:tcMar>
              <w:left w:w="0" w:type="dxa"/>
              <w:right w:w="0" w:type="dxa"/>
            </w:tcMar>
            <w:tcW w:w="1371" w:type="dxa"/>
            <w:vAlign w:val="center"/>
            <w:vMerge w:val="continue"/>
            <w:textDirection w:val="lrTb"/>
            <w:noWrap w:val="false"/>
          </w:tcPr>
          <w:p>
            <w:pPr>
              <w:pStyle w:val="1151"/>
              <w:jc w:val="center"/>
              <w:rPr>
                <w:rFonts w:hAnsi="宋体"/>
                <w:sz w:val="18"/>
                <w:szCs w:val="18"/>
                <w:highlight w:val="none"/>
              </w:rPr>
            </w:pPr>
            <w:r>
              <w:rPr>
                <w:rFonts w:hAnsi="宋体"/>
                <w:sz w:val="18"/>
                <w:szCs w:val="18"/>
                <w:highlight w:val="none"/>
              </w:rPr>
            </w:r>
            <w:r/>
          </w:p>
        </w:tc>
        <w:tc>
          <w:tcPr>
            <w:gridSpan w:val="2"/>
            <w:tcMar>
              <w:left w:w="0" w:type="dxa"/>
              <w:right w:w="0" w:type="dxa"/>
            </w:tcMar>
            <w:tcW w:w="3307"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通信电源输出</w:t>
            </w:r>
            <w:r>
              <w:rPr>
                <w:rFonts w:hAnsi="宋体"/>
                <w:sz w:val="18"/>
                <w:szCs w:val="18"/>
                <w:highlight w:val="none"/>
              </w:rPr>
            </w:r>
            <w:r/>
          </w:p>
        </w:tc>
        <w:tc>
          <w:tcPr>
            <w:tcMar>
              <w:left w:w="0" w:type="dxa"/>
              <w:right w:w="0" w:type="dxa"/>
            </w:tcMar>
            <w:tcW w:w="992" w:type="dxa"/>
            <w:vAlign w:val="center"/>
            <w:textDirection w:val="lrTb"/>
            <w:noWrap w:val="false"/>
          </w:tcPr>
          <w:p>
            <w:pPr>
              <w:pStyle w:val="1176"/>
              <w:jc w:val="center"/>
              <w:spacing w:before="62" w:after="62"/>
              <w:rPr>
                <w:rFonts w:hAnsi="宋体"/>
                <w:highlight w:val="none"/>
              </w:rPr>
            </w:pPr>
            <w:r>
              <w:rPr>
                <w:rFonts w:hint="eastAsia" w:hAnsi="宋体"/>
                <w:highlight w:val="none"/>
              </w:rPr>
              <w:t xml:space="preserve">/</w:t>
            </w:r>
            <w:r>
              <w:rPr>
                <w:rFonts w:hAnsi="宋体"/>
                <w:highlight w:val="none"/>
              </w:rPr>
            </w:r>
            <w:r/>
          </w:p>
        </w:tc>
        <w:tc>
          <w:tcPr>
            <w:gridSpan w:val="2"/>
            <w:tcMar>
              <w:left w:w="0" w:type="dxa"/>
              <w:right w:w="0" w:type="dxa"/>
            </w:tcMar>
            <w:tcW w:w="2863" w:type="dxa"/>
            <w:vAlign w:val="center"/>
            <w:textDirection w:val="lrTb"/>
            <w:noWrap w:val="false"/>
          </w:tcPr>
          <w:p>
            <w:pPr>
              <w:pStyle w:val="1151"/>
              <w:rPr>
                <w:rFonts w:hAnsi="宋体"/>
                <w:sz w:val="18"/>
                <w:szCs w:val="18"/>
                <w:highlight w:val="none"/>
              </w:rPr>
            </w:pPr>
            <w:r>
              <w:rPr>
                <w:rFonts w:hint="eastAsia" w:hAnsi="宋体"/>
                <w:sz w:val="18"/>
                <w:szCs w:val="18"/>
                <w:highlight w:val="none"/>
              </w:rPr>
              <w:t xml:space="preserve">额定DC24V，</w:t>
            </w:r>
            <w:r>
              <w:rPr>
                <w:rFonts w:hAnsi="宋体"/>
                <w:sz w:val="18"/>
                <w:szCs w:val="18"/>
                <w:highlight w:val="none"/>
              </w:rPr>
              <w:t xml:space="preserve">稳态负载能力</w:t>
            </w:r>
            <w:r>
              <w:rPr>
                <w:rFonts w:hint="eastAsia" w:hAnsi="宋体"/>
                <w:sz w:val="18"/>
                <w:szCs w:val="18"/>
                <w:highlight w:val="none"/>
              </w:rPr>
              <w:t xml:space="preserve">≥</w:t>
            </w:r>
            <w:r>
              <w:rPr>
                <w:rFonts w:hAnsi="宋体"/>
                <w:sz w:val="18"/>
                <w:szCs w:val="18"/>
                <w:highlight w:val="none"/>
              </w:rPr>
              <w:t xml:space="preserve">24V/1</w:t>
            </w:r>
            <w:r>
              <w:rPr>
                <w:rFonts w:hint="eastAsia" w:hAnsi="宋体"/>
                <w:sz w:val="18"/>
                <w:szCs w:val="18"/>
                <w:highlight w:val="none"/>
              </w:rPr>
              <w:t xml:space="preserve">5</w:t>
            </w:r>
            <w:r>
              <w:rPr>
                <w:rFonts w:hAnsi="宋体"/>
                <w:sz w:val="18"/>
                <w:szCs w:val="18"/>
                <w:highlight w:val="none"/>
              </w:rPr>
              <w:t xml:space="preserve">W</w:t>
            </w:r>
            <w:r>
              <w:rPr>
                <w:rFonts w:hint="eastAsia" w:hAnsi="宋体"/>
                <w:sz w:val="18"/>
                <w:szCs w:val="18"/>
                <w:highlight w:val="none"/>
              </w:rPr>
              <w:t xml:space="preserve">，</w:t>
            </w:r>
            <w:r>
              <w:rPr>
                <w:rFonts w:hAnsi="宋体"/>
                <w:sz w:val="18"/>
                <w:szCs w:val="18"/>
                <w:highlight w:val="none"/>
              </w:rPr>
              <w:t xml:space="preserve">瞬时</w:t>
            </w:r>
            <w:r>
              <w:rPr>
                <w:rFonts w:hint="eastAsia" w:hAnsi="宋体"/>
                <w:sz w:val="18"/>
                <w:szCs w:val="18"/>
                <w:highlight w:val="none"/>
              </w:rPr>
              <w:t xml:space="preserve">输出≥</w:t>
            </w:r>
            <w:r>
              <w:rPr>
                <w:rFonts w:hAnsi="宋体"/>
                <w:sz w:val="18"/>
                <w:szCs w:val="18"/>
                <w:highlight w:val="none"/>
              </w:rPr>
              <w:t xml:space="preserve">24V/</w:t>
            </w:r>
            <w:r>
              <w:rPr>
                <w:rFonts w:hint="eastAsia" w:hAnsi="宋体"/>
                <w:sz w:val="18"/>
                <w:szCs w:val="18"/>
                <w:highlight w:val="none"/>
              </w:rPr>
              <w:t xml:space="preserve">20</w:t>
            </w:r>
            <w:r>
              <w:rPr>
                <w:rFonts w:hAnsi="宋体"/>
                <w:sz w:val="18"/>
                <w:szCs w:val="18"/>
                <w:highlight w:val="none"/>
              </w:rPr>
              <w:t xml:space="preserve">W，持续时间</w:t>
            </w:r>
            <w:r>
              <w:rPr>
                <w:rFonts w:hint="eastAsia" w:hAnsi="宋体"/>
                <w:sz w:val="18"/>
                <w:szCs w:val="18"/>
                <w:highlight w:val="none"/>
              </w:rPr>
              <w:t xml:space="preserve">≥</w:t>
            </w:r>
            <w:r>
              <w:rPr>
                <w:rFonts w:hAnsi="宋体"/>
                <w:sz w:val="18"/>
                <w:szCs w:val="18"/>
                <w:highlight w:val="none"/>
              </w:rPr>
              <w:t xml:space="preserve">50ms</w:t>
            </w:r>
            <w:r>
              <w:rPr>
                <w:rFonts w:hAnsi="宋体"/>
                <w:sz w:val="18"/>
                <w:szCs w:val="18"/>
                <w:highlight w:val="none"/>
              </w:rPr>
            </w:r>
            <w:r/>
          </w:p>
        </w:tc>
      </w:tr>
      <w:tr>
        <w:trPr>
          <w:trHeight w:val="20"/>
        </w:trPr>
        <w:tc>
          <w:tcPr>
            <w:tcMar>
              <w:left w:w="0" w:type="dxa"/>
              <w:right w:w="0" w:type="dxa"/>
            </w:tcMar>
            <w:tcW w:w="848" w:type="dxa"/>
            <w:vAlign w:val="center"/>
            <w:vMerge w:val="continue"/>
            <w:textDirection w:val="lrTb"/>
            <w:noWrap w:val="false"/>
          </w:tcPr>
          <w:p>
            <w:pPr>
              <w:pStyle w:val="1151"/>
              <w:jc w:val="center"/>
              <w:rPr>
                <w:sz w:val="18"/>
                <w:szCs w:val="18"/>
                <w:highlight w:val="none"/>
              </w:rPr>
            </w:pPr>
            <w:r>
              <w:rPr>
                <w:sz w:val="18"/>
                <w:szCs w:val="18"/>
                <w:highlight w:val="none"/>
              </w:rPr>
            </w:r>
            <w:r/>
          </w:p>
        </w:tc>
        <w:tc>
          <w:tcPr>
            <w:tcMar>
              <w:left w:w="0" w:type="dxa"/>
              <w:right w:w="0" w:type="dxa"/>
            </w:tcMar>
            <w:tcW w:w="1371" w:type="dxa"/>
            <w:vAlign w:val="center"/>
            <w:vMerge w:val="continue"/>
            <w:textDirection w:val="lrTb"/>
            <w:noWrap w:val="false"/>
          </w:tcPr>
          <w:p>
            <w:pPr>
              <w:pStyle w:val="1151"/>
              <w:jc w:val="center"/>
              <w:rPr>
                <w:rFonts w:hAnsi="宋体"/>
                <w:sz w:val="18"/>
                <w:szCs w:val="18"/>
                <w:highlight w:val="none"/>
              </w:rPr>
            </w:pPr>
            <w:r>
              <w:rPr>
                <w:rFonts w:hAnsi="宋体"/>
                <w:sz w:val="18"/>
                <w:szCs w:val="18"/>
                <w:highlight w:val="none"/>
              </w:rPr>
            </w:r>
            <w:r/>
          </w:p>
        </w:tc>
        <w:tc>
          <w:tcPr>
            <w:gridSpan w:val="2"/>
            <w:tcMar>
              <w:left w:w="0" w:type="dxa"/>
              <w:right w:w="0" w:type="dxa"/>
            </w:tcMar>
            <w:tcW w:w="3307"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操作电源输出</w:t>
            </w:r>
            <w:r>
              <w:rPr>
                <w:rFonts w:hAnsi="宋体"/>
                <w:sz w:val="18"/>
                <w:szCs w:val="18"/>
                <w:highlight w:val="none"/>
              </w:rPr>
            </w:r>
            <w:r/>
          </w:p>
        </w:tc>
        <w:tc>
          <w:tcPr>
            <w:tcMar>
              <w:left w:w="0" w:type="dxa"/>
              <w:right w:w="0" w:type="dxa"/>
            </w:tcMar>
            <w:tcW w:w="992" w:type="dxa"/>
            <w:vAlign w:val="center"/>
            <w:textDirection w:val="lrTb"/>
            <w:noWrap w:val="false"/>
          </w:tcPr>
          <w:p>
            <w:pPr>
              <w:pStyle w:val="1176"/>
              <w:jc w:val="center"/>
              <w:spacing w:before="62" w:after="62"/>
              <w:rPr>
                <w:rFonts w:hAnsi="宋体"/>
                <w:highlight w:val="none"/>
              </w:rPr>
            </w:pPr>
            <w:r>
              <w:rPr>
                <w:rFonts w:hint="eastAsia" w:hAnsi="宋体"/>
                <w:highlight w:val="none"/>
              </w:rPr>
              <w:t xml:space="preserve">/</w:t>
            </w:r>
            <w:r>
              <w:rPr>
                <w:rFonts w:hAnsi="宋体"/>
                <w:highlight w:val="none"/>
              </w:rPr>
            </w:r>
            <w:r/>
          </w:p>
        </w:tc>
        <w:tc>
          <w:tcPr>
            <w:gridSpan w:val="2"/>
            <w:tcMar>
              <w:left w:w="0" w:type="dxa"/>
              <w:right w:w="0" w:type="dxa"/>
            </w:tcMar>
            <w:tcW w:w="2863" w:type="dxa"/>
            <w:vAlign w:val="center"/>
            <w:textDirection w:val="lrTb"/>
            <w:noWrap w:val="false"/>
          </w:tcPr>
          <w:p>
            <w:pPr>
              <w:pStyle w:val="1151"/>
              <w:rPr>
                <w:rFonts w:hAnsi="宋体"/>
                <w:sz w:val="18"/>
                <w:szCs w:val="18"/>
                <w:highlight w:val="none"/>
              </w:rPr>
            </w:pPr>
            <w:r>
              <w:rPr>
                <w:rFonts w:hint="eastAsia" w:hAnsi="宋体"/>
                <w:sz w:val="18"/>
                <w:szCs w:val="18"/>
                <w:highlight w:val="none"/>
              </w:rPr>
              <w:t xml:space="preserve">额定DC48V，稳定输出≥</w:t>
            </w:r>
            <w:r>
              <w:rPr>
                <w:rFonts w:hAnsi="宋体"/>
                <w:sz w:val="18"/>
                <w:szCs w:val="18"/>
                <w:highlight w:val="none"/>
              </w:rPr>
              <w:t xml:space="preserve"> 48V</w:t>
            </w:r>
            <w:r>
              <w:rPr>
                <w:rFonts w:hint="eastAsia" w:hAnsi="宋体"/>
                <w:sz w:val="18"/>
                <w:szCs w:val="18"/>
                <w:highlight w:val="none"/>
              </w:rPr>
              <w:t xml:space="preserve">/10</w:t>
            </w:r>
            <w:r>
              <w:rPr>
                <w:rFonts w:hAnsi="宋体"/>
                <w:sz w:val="18"/>
                <w:szCs w:val="18"/>
                <w:highlight w:val="none"/>
              </w:rPr>
              <w:t xml:space="preserve">A</w:t>
            </w:r>
            <w:r>
              <w:rPr>
                <w:rFonts w:hint="eastAsia" w:hAnsi="宋体"/>
                <w:sz w:val="18"/>
                <w:szCs w:val="18"/>
                <w:highlight w:val="none"/>
              </w:rPr>
              <w:t xml:space="preserve">，持续时间≥15s，瞬时输出≥ 48V/16A，持续时间≥200ms</w:t>
            </w:r>
            <w:r>
              <w:rPr>
                <w:rFonts w:hAnsi="宋体"/>
                <w:sz w:val="18"/>
                <w:szCs w:val="18"/>
                <w:highlight w:val="none"/>
              </w:rPr>
            </w:r>
            <w:r/>
          </w:p>
        </w:tc>
      </w:tr>
      <w:tr>
        <w:trPr>
          <w:trHeight w:val="20"/>
        </w:trPr>
        <w:tc>
          <w:tcPr>
            <w:tcMar>
              <w:left w:w="0" w:type="dxa"/>
              <w:right w:w="0" w:type="dxa"/>
            </w:tcMar>
            <w:tcW w:w="848" w:type="dxa"/>
            <w:vAlign w:val="center"/>
            <w:vMerge w:val="restart"/>
            <w:textDirection w:val="lrTb"/>
            <w:noWrap w:val="false"/>
          </w:tcPr>
          <w:p>
            <w:pPr>
              <w:pStyle w:val="1151"/>
              <w:jc w:val="center"/>
              <w:tabs>
                <w:tab w:val="center" w:pos="286" w:leader="none"/>
              </w:tabs>
              <w:rPr>
                <w:sz w:val="18"/>
                <w:szCs w:val="18"/>
                <w:highlight w:val="none"/>
              </w:rPr>
            </w:pPr>
            <w:r>
              <w:rPr>
                <w:rFonts w:hint="eastAsia"/>
                <w:sz w:val="18"/>
                <w:szCs w:val="18"/>
                <w:highlight w:val="none"/>
              </w:rPr>
              <w:t xml:space="preserve">23</w:t>
            </w:r>
            <w:r>
              <w:rPr>
                <w:sz w:val="18"/>
                <w:szCs w:val="18"/>
                <w:highlight w:val="none"/>
              </w:rPr>
            </w:r>
            <w:r/>
          </w:p>
        </w:tc>
        <w:tc>
          <w:tcPr>
            <w:gridSpan w:val="3"/>
            <w:tcMar>
              <w:left w:w="0" w:type="dxa"/>
              <w:right w:w="0" w:type="dxa"/>
            </w:tcMar>
            <w:tcW w:w="4678" w:type="dxa"/>
            <w:vAlign w:val="center"/>
            <w:vMerge w:val="restart"/>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后备电源方式</w:t>
            </w:r>
            <w:r>
              <w:rPr>
                <w:rFonts w:hAnsi="宋体"/>
                <w:sz w:val="18"/>
                <w:szCs w:val="18"/>
                <w:highlight w:val="none"/>
              </w:rPr>
            </w:r>
            <w:r/>
          </w:p>
          <w:p>
            <w:pPr>
              <w:pStyle w:val="1151"/>
              <w:jc w:val="center"/>
              <w:rPr>
                <w:rFonts w:hAnsi="宋体"/>
                <w:sz w:val="18"/>
                <w:szCs w:val="18"/>
                <w:highlight w:val="none"/>
              </w:rPr>
            </w:pPr>
            <w:r>
              <w:rPr>
                <w:rFonts w:hint="eastAsia" w:hAnsi="宋体"/>
                <w:sz w:val="18"/>
                <w:szCs w:val="18"/>
                <w:highlight w:val="none"/>
              </w:rPr>
              <w:t xml:space="preserve">（招标方根据需要填写“A”或“B”或“C”，三者选择其一，</w:t>
            </w:r>
            <w:r>
              <w:rPr>
                <w:rFonts w:hint="eastAsia" w:ascii="宋体" w:hAnsi="宋体"/>
                <w:sz w:val="18"/>
                <w:szCs w:val="18"/>
                <w:highlight w:val="none"/>
              </w:rPr>
              <w:t xml:space="preserve">当招标方未说明选项时，默认只配置免维护阀控铅酸蓄电池，即选项A</w:t>
            </w:r>
            <w:r>
              <w:rPr>
                <w:rFonts w:hint="eastAsia" w:hAnsi="宋体"/>
                <w:sz w:val="18"/>
                <w:szCs w:val="18"/>
                <w:highlight w:val="none"/>
              </w:rPr>
              <w:t xml:space="preserve">）</w:t>
            </w:r>
            <w:r>
              <w:rPr>
                <w:rFonts w:hAnsi="宋体"/>
                <w:sz w:val="18"/>
                <w:szCs w:val="18"/>
                <w:highlight w:val="none"/>
              </w:rPr>
            </w:r>
            <w:r/>
          </w:p>
        </w:tc>
        <w:tc>
          <w:tcPr>
            <w:tcMar>
              <w:left w:w="0" w:type="dxa"/>
              <w:right w:w="0" w:type="dxa"/>
            </w:tcMar>
            <w:tcW w:w="992" w:type="dxa"/>
            <w:vAlign w:val="center"/>
            <w:vMerge w:val="restart"/>
            <w:textDirection w:val="lrTb"/>
            <w:noWrap w:val="false"/>
          </w:tcPr>
          <w:p>
            <w:pPr>
              <w:pStyle w:val="1176"/>
              <w:jc w:val="center"/>
              <w:spacing w:before="62" w:after="62"/>
              <w:rPr>
                <w:rFonts w:hAnsi="宋体"/>
                <w:highlight w:val="none"/>
              </w:rPr>
            </w:pPr>
            <w:r>
              <w:rPr>
                <w:rFonts w:hint="eastAsia" w:hAnsi="宋体"/>
                <w:highlight w:val="none"/>
              </w:rPr>
              <w:t xml:space="preserve">/</w:t>
            </w:r>
            <w:r>
              <w:rPr>
                <w:rFonts w:hAnsi="宋体"/>
                <w:highlight w:val="none"/>
              </w:rPr>
            </w:r>
            <w:r/>
          </w:p>
        </w:tc>
        <w:tc>
          <w:tcPr>
            <w:gridSpan w:val="2"/>
            <w:tcMar>
              <w:left w:w="0" w:type="dxa"/>
              <w:right w:w="0" w:type="dxa"/>
            </w:tcMar>
            <w:tcW w:w="2863" w:type="dxa"/>
            <w:vAlign w:val="center"/>
            <w:textDirection w:val="lrTb"/>
            <w:noWrap w:val="false"/>
          </w:tcPr>
          <w:p>
            <w:pPr>
              <w:pStyle w:val="1151"/>
              <w:rPr>
                <w:rFonts w:hAnsi="宋体"/>
                <w:sz w:val="18"/>
                <w:szCs w:val="18"/>
                <w:highlight w:val="none"/>
              </w:rPr>
            </w:pPr>
            <w:r>
              <w:rPr>
                <w:rFonts w:hint="eastAsia" w:hAnsi="宋体"/>
                <w:sz w:val="18"/>
                <w:szCs w:val="18"/>
                <w:highlight w:val="none"/>
              </w:rPr>
              <w:t xml:space="preserve">A：免维护阀控铅酸蓄电池</w:t>
            </w:r>
            <w:r>
              <w:rPr>
                <w:rFonts w:hAnsi="宋体"/>
                <w:sz w:val="18"/>
                <w:szCs w:val="18"/>
                <w:highlight w:val="none"/>
              </w:rPr>
            </w:r>
            <w:r/>
          </w:p>
          <w:p>
            <w:pPr>
              <w:pStyle w:val="1151"/>
              <w:ind w:firstLine="360"/>
              <w:rPr>
                <w:rFonts w:hAnsi="宋体"/>
                <w:sz w:val="18"/>
                <w:szCs w:val="18"/>
                <w:highlight w:val="none"/>
              </w:rPr>
            </w:pPr>
            <w:r>
              <w:rPr>
                <w:rFonts w:hint="eastAsia" w:hAnsi="宋体"/>
                <w:sz w:val="18"/>
                <w:szCs w:val="18"/>
                <w:highlight w:val="none"/>
              </w:rPr>
              <w:t xml:space="preserve">额定电压DC48V，单节电池≥7Ah，使用寿命≥3年，保证完成各间隔“分-合-分”操作一次并维持配电终端及通信模块至少运行4小时。</w:t>
            </w:r>
            <w:r>
              <w:rPr>
                <w:rFonts w:hAnsi="宋体"/>
                <w:sz w:val="18"/>
                <w:szCs w:val="18"/>
                <w:highlight w:val="none"/>
              </w:rPr>
            </w:r>
            <w:r/>
          </w:p>
        </w:tc>
      </w:tr>
      <w:tr>
        <w:trPr>
          <w:trHeight w:val="938"/>
        </w:trPr>
        <w:tc>
          <w:tcPr>
            <w:tcMar>
              <w:left w:w="0" w:type="dxa"/>
              <w:right w:w="0" w:type="dxa"/>
            </w:tcMar>
            <w:tcW w:w="848" w:type="dxa"/>
            <w:vAlign w:val="center"/>
            <w:vMerge w:val="continue"/>
            <w:textDirection w:val="lrTb"/>
            <w:noWrap w:val="false"/>
          </w:tcPr>
          <w:p>
            <w:pPr>
              <w:pStyle w:val="1151"/>
              <w:jc w:val="center"/>
              <w:tabs>
                <w:tab w:val="center" w:pos="286" w:leader="none"/>
              </w:tabs>
              <w:rPr>
                <w:sz w:val="18"/>
                <w:szCs w:val="18"/>
                <w:highlight w:val="none"/>
              </w:rPr>
            </w:pPr>
            <w:r>
              <w:rPr>
                <w:sz w:val="18"/>
                <w:szCs w:val="18"/>
                <w:highlight w:val="none"/>
              </w:rPr>
            </w:r>
            <w:r/>
          </w:p>
        </w:tc>
        <w:tc>
          <w:tcPr>
            <w:gridSpan w:val="3"/>
            <w:tcMar>
              <w:left w:w="0" w:type="dxa"/>
              <w:right w:w="0" w:type="dxa"/>
            </w:tcMar>
            <w:tcW w:w="4678" w:type="dxa"/>
            <w:vAlign w:val="center"/>
            <w:vMerge w:val="continue"/>
            <w:textDirection w:val="lrTb"/>
            <w:noWrap w:val="false"/>
          </w:tcPr>
          <w:p>
            <w:pPr>
              <w:pStyle w:val="1151"/>
              <w:jc w:val="center"/>
              <w:rPr>
                <w:rFonts w:hAnsi="宋体"/>
                <w:sz w:val="18"/>
                <w:szCs w:val="18"/>
                <w:highlight w:val="none"/>
              </w:rPr>
            </w:pPr>
            <w:r>
              <w:rPr>
                <w:rFonts w:hAnsi="宋体"/>
                <w:sz w:val="18"/>
                <w:szCs w:val="18"/>
                <w:highlight w:val="none"/>
              </w:rPr>
            </w:r>
            <w:r/>
          </w:p>
        </w:tc>
        <w:tc>
          <w:tcPr>
            <w:tcMar>
              <w:left w:w="0" w:type="dxa"/>
              <w:right w:w="0" w:type="dxa"/>
            </w:tcMar>
            <w:tcW w:w="992" w:type="dxa"/>
            <w:vAlign w:val="center"/>
            <w:vMerge w:val="continue"/>
            <w:textDirection w:val="lrTb"/>
            <w:noWrap w:val="false"/>
          </w:tcPr>
          <w:p>
            <w:pPr>
              <w:pStyle w:val="1151"/>
              <w:jc w:val="center"/>
              <w:rPr>
                <w:sz w:val="18"/>
                <w:szCs w:val="18"/>
                <w:highlight w:val="none"/>
              </w:rPr>
            </w:pPr>
            <w:r>
              <w:rPr>
                <w:sz w:val="18"/>
                <w:szCs w:val="18"/>
                <w:highlight w:val="none"/>
              </w:rPr>
            </w:r>
            <w:r/>
          </w:p>
        </w:tc>
        <w:tc>
          <w:tcPr>
            <w:gridSpan w:val="2"/>
            <w:tcMar>
              <w:left w:w="0" w:type="dxa"/>
              <w:right w:w="0" w:type="dxa"/>
            </w:tcMar>
            <w:tcW w:w="2863" w:type="dxa"/>
            <w:vAlign w:val="center"/>
            <w:textDirection w:val="lrTb"/>
            <w:noWrap w:val="false"/>
          </w:tcPr>
          <w:p>
            <w:pPr>
              <w:pStyle w:val="1151"/>
              <w:rPr>
                <w:rFonts w:hAnsi="宋体"/>
                <w:sz w:val="18"/>
                <w:szCs w:val="18"/>
                <w:highlight w:val="none"/>
              </w:rPr>
            </w:pPr>
            <w:r>
              <w:rPr>
                <w:rFonts w:hint="eastAsia" w:hAnsi="宋体"/>
                <w:sz w:val="18"/>
                <w:szCs w:val="18"/>
                <w:highlight w:val="none"/>
              </w:rPr>
              <w:t xml:space="preserve">B：超级电容</w:t>
            </w:r>
            <w:r>
              <w:rPr>
                <w:rFonts w:hAnsi="宋体"/>
                <w:sz w:val="18"/>
                <w:szCs w:val="18"/>
                <w:highlight w:val="none"/>
              </w:rPr>
            </w:r>
            <w:r/>
          </w:p>
          <w:p>
            <w:pPr>
              <w:pStyle w:val="1249"/>
              <w:ind w:left="113" w:firstLine="360"/>
              <w:spacing w:line="240" w:lineRule="auto"/>
              <w:rPr>
                <w:rFonts w:ascii="宋体" w:hAnsi="宋体"/>
                <w:sz w:val="18"/>
                <w:szCs w:val="18"/>
                <w:highlight w:val="none"/>
              </w:rPr>
            </w:pPr>
            <w:r>
              <w:rPr>
                <w:rFonts w:hint="eastAsia" w:hAnsi="宋体"/>
                <w:sz w:val="18"/>
                <w:szCs w:val="18"/>
                <w:highlight w:val="none"/>
              </w:rPr>
              <w:t xml:space="preserve">应保证各间隔分闸操作一次并维持配电终端及通信模块至少运行15分钟，使用寿命≥6年。</w:t>
            </w:r>
            <w:r>
              <w:rPr>
                <w:rFonts w:ascii="宋体" w:hAnsi="宋体"/>
                <w:sz w:val="18"/>
                <w:szCs w:val="18"/>
                <w:highlight w:val="none"/>
              </w:rPr>
            </w:r>
            <w:r/>
          </w:p>
        </w:tc>
      </w:tr>
      <w:tr>
        <w:trPr>
          <w:trHeight w:val="938"/>
        </w:trPr>
        <w:tc>
          <w:tcPr>
            <w:tcMar>
              <w:left w:w="0" w:type="dxa"/>
              <w:right w:w="0" w:type="dxa"/>
            </w:tcMar>
            <w:tcW w:w="848" w:type="dxa"/>
            <w:vAlign w:val="center"/>
            <w:vMerge w:val="continue"/>
            <w:textDirection w:val="lrTb"/>
            <w:noWrap w:val="false"/>
          </w:tcPr>
          <w:p>
            <w:pPr>
              <w:pStyle w:val="1151"/>
              <w:jc w:val="center"/>
              <w:tabs>
                <w:tab w:val="center" w:pos="286" w:leader="none"/>
              </w:tabs>
              <w:rPr>
                <w:sz w:val="18"/>
                <w:szCs w:val="18"/>
                <w:highlight w:val="none"/>
              </w:rPr>
            </w:pPr>
            <w:r>
              <w:rPr>
                <w:sz w:val="18"/>
                <w:szCs w:val="18"/>
                <w:highlight w:val="none"/>
              </w:rPr>
            </w:r>
            <w:r/>
          </w:p>
        </w:tc>
        <w:tc>
          <w:tcPr>
            <w:gridSpan w:val="3"/>
            <w:tcMar>
              <w:left w:w="0" w:type="dxa"/>
              <w:right w:w="0" w:type="dxa"/>
            </w:tcMar>
            <w:tcW w:w="4678" w:type="dxa"/>
            <w:vAlign w:val="center"/>
            <w:vMerge w:val="continue"/>
            <w:textDirection w:val="lrTb"/>
            <w:noWrap w:val="false"/>
          </w:tcPr>
          <w:p>
            <w:pPr>
              <w:pStyle w:val="1151"/>
              <w:jc w:val="center"/>
              <w:rPr>
                <w:rFonts w:hAnsi="宋体"/>
                <w:sz w:val="18"/>
                <w:szCs w:val="18"/>
                <w:highlight w:val="none"/>
              </w:rPr>
            </w:pPr>
            <w:r>
              <w:rPr>
                <w:rFonts w:hAnsi="宋体"/>
                <w:sz w:val="18"/>
                <w:szCs w:val="18"/>
                <w:highlight w:val="none"/>
              </w:rPr>
            </w:r>
            <w:r/>
          </w:p>
        </w:tc>
        <w:tc>
          <w:tcPr>
            <w:tcMar>
              <w:left w:w="0" w:type="dxa"/>
              <w:right w:w="0" w:type="dxa"/>
            </w:tcMar>
            <w:tcW w:w="992" w:type="dxa"/>
            <w:vAlign w:val="center"/>
            <w:vMerge w:val="continue"/>
            <w:textDirection w:val="lrTb"/>
            <w:noWrap w:val="false"/>
          </w:tcPr>
          <w:p>
            <w:pPr>
              <w:pStyle w:val="1151"/>
              <w:jc w:val="center"/>
              <w:rPr>
                <w:sz w:val="18"/>
                <w:szCs w:val="18"/>
                <w:highlight w:val="none"/>
              </w:rPr>
            </w:pPr>
            <w:r>
              <w:rPr>
                <w:sz w:val="18"/>
                <w:szCs w:val="18"/>
                <w:highlight w:val="none"/>
              </w:rPr>
            </w:r>
            <w:r/>
          </w:p>
        </w:tc>
        <w:tc>
          <w:tcPr>
            <w:gridSpan w:val="2"/>
            <w:tcMar>
              <w:left w:w="0" w:type="dxa"/>
              <w:right w:w="0" w:type="dxa"/>
            </w:tcMar>
            <w:tcW w:w="2863" w:type="dxa"/>
            <w:vAlign w:val="center"/>
            <w:textDirection w:val="lrTb"/>
            <w:noWrap w:val="false"/>
          </w:tcPr>
          <w:p>
            <w:pPr>
              <w:pStyle w:val="1151"/>
              <w:spacing w:before="56" w:after="56"/>
              <w:rPr>
                <w:rFonts w:ascii="宋体" w:hAnsi="宋体"/>
                <w:sz w:val="18"/>
                <w:szCs w:val="18"/>
                <w:highlight w:val="none"/>
              </w:rPr>
            </w:pPr>
            <w:r>
              <w:rPr>
                <w:rFonts w:hint="eastAsia" w:ascii="宋体" w:hAnsi="宋体"/>
                <w:sz w:val="18"/>
                <w:szCs w:val="18"/>
                <w:highlight w:val="none"/>
              </w:rPr>
              <w:t xml:space="preserve">C、其他新型能源电池:</w:t>
            </w:r>
            <w:r>
              <w:rPr>
                <w:rFonts w:ascii="宋体" w:hAnsi="宋体"/>
                <w:sz w:val="18"/>
                <w:szCs w:val="18"/>
                <w:highlight w:val="none"/>
              </w:rPr>
            </w:r>
            <w:r/>
          </w:p>
          <w:p>
            <w:pPr>
              <w:pStyle w:val="1249"/>
              <w:ind w:left="113" w:firstLine="360"/>
              <w:spacing w:line="240" w:lineRule="auto"/>
              <w:rPr>
                <w:rFonts w:hAnsi="宋体"/>
                <w:sz w:val="18"/>
                <w:szCs w:val="18"/>
                <w:highlight w:val="none"/>
              </w:rPr>
            </w:pPr>
            <w:r>
              <w:rPr>
                <w:rFonts w:hint="eastAsia" w:ascii="宋体" w:hAnsi="宋体"/>
                <w:sz w:val="18"/>
                <w:szCs w:val="18"/>
                <w:highlight w:val="none"/>
              </w:rPr>
              <w:t xml:space="preserve">额定电压DC48V，使用寿命≥6年，</w:t>
            </w:r>
            <w:r>
              <w:rPr>
                <w:rFonts w:ascii="宋体" w:hAnsi="宋体"/>
                <w:sz w:val="18"/>
                <w:szCs w:val="18"/>
                <w:highlight w:val="none"/>
              </w:rPr>
              <w:t xml:space="preserve">保证完成</w:t>
            </w:r>
            <w:r>
              <w:rPr>
                <w:rFonts w:hint="eastAsia" w:ascii="宋体" w:hAnsi="宋体"/>
                <w:sz w:val="18"/>
                <w:szCs w:val="18"/>
                <w:highlight w:val="none"/>
              </w:rPr>
              <w:t xml:space="preserve">各间隔“</w:t>
            </w:r>
            <w:r>
              <w:rPr>
                <w:rFonts w:ascii="宋体" w:hAnsi="宋体"/>
                <w:sz w:val="18"/>
                <w:szCs w:val="18"/>
                <w:highlight w:val="none"/>
              </w:rPr>
              <w:t xml:space="preserve">分-合-分</w:t>
            </w:r>
            <w:r>
              <w:rPr>
                <w:rFonts w:hint="eastAsia" w:ascii="宋体" w:hAnsi="宋体"/>
                <w:sz w:val="18"/>
                <w:szCs w:val="18"/>
                <w:highlight w:val="none"/>
              </w:rPr>
              <w:t xml:space="preserve">”</w:t>
            </w:r>
            <w:r>
              <w:rPr>
                <w:rFonts w:ascii="宋体" w:hAnsi="宋体"/>
                <w:sz w:val="18"/>
                <w:szCs w:val="18"/>
                <w:highlight w:val="none"/>
              </w:rPr>
              <w:t xml:space="preserve">操作</w:t>
            </w:r>
            <w:r>
              <w:rPr>
                <w:rFonts w:hint="eastAsia" w:ascii="宋体" w:hAnsi="宋体"/>
                <w:sz w:val="18"/>
                <w:szCs w:val="18"/>
                <w:highlight w:val="none"/>
              </w:rPr>
              <w:t xml:space="preserve">一次</w:t>
            </w:r>
            <w:r>
              <w:rPr>
                <w:rFonts w:ascii="宋体" w:hAnsi="宋体"/>
                <w:sz w:val="18"/>
                <w:szCs w:val="18"/>
                <w:highlight w:val="none"/>
              </w:rPr>
              <w:t xml:space="preserve">并维持配电终端及通信模块至少运行4小时</w:t>
            </w:r>
            <w:r>
              <w:rPr>
                <w:rFonts w:hint="eastAsia" w:ascii="宋体" w:hAnsi="宋体"/>
                <w:sz w:val="18"/>
                <w:szCs w:val="18"/>
                <w:highlight w:val="none"/>
              </w:rPr>
              <w:t xml:space="preserve">。</w:t>
            </w:r>
            <w:r>
              <w:rPr>
                <w:rFonts w:hAnsi="宋体"/>
                <w:sz w:val="18"/>
                <w:szCs w:val="18"/>
                <w:highlight w:val="none"/>
              </w:rPr>
            </w:r>
            <w:r/>
          </w:p>
        </w:tc>
      </w:tr>
      <w:tr>
        <w:trPr>
          <w:trHeight w:val="20"/>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rFonts w:hint="eastAsia"/>
                <w:sz w:val="18"/>
                <w:szCs w:val="18"/>
                <w:highlight w:val="none"/>
              </w:rPr>
              <w:t xml:space="preserve">24</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安装方式</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sz w:val="18"/>
                <w:szCs w:val="18"/>
                <w:highlight w:val="none"/>
              </w:rPr>
            </w:pPr>
            <w:r>
              <w:rPr>
                <w:rFonts w:hint="eastAsia"/>
                <w:sz w:val="18"/>
                <w:szCs w:val="18"/>
                <w:highlight w:val="none"/>
              </w:rPr>
              <w:t xml:space="preserve">/</w:t>
            </w:r>
            <w:r>
              <w:rPr>
                <w:sz w:val="18"/>
                <w:szCs w:val="18"/>
                <w:highlight w:val="none"/>
              </w:rPr>
            </w:r>
            <w:r/>
          </w:p>
        </w:tc>
        <w:tc>
          <w:tcPr>
            <w:gridSpan w:val="2"/>
            <w:tcMar>
              <w:left w:w="0" w:type="dxa"/>
              <w:right w:w="0" w:type="dxa"/>
            </w:tcMar>
            <w:tcW w:w="2863" w:type="dxa"/>
            <w:vAlign w:val="center"/>
            <w:textDirection w:val="lrTb"/>
            <w:noWrap w:val="false"/>
          </w:tcPr>
          <w:p>
            <w:pPr>
              <w:pStyle w:val="1151"/>
              <w:rPr>
                <w:rFonts w:hAnsi="宋体"/>
                <w:sz w:val="18"/>
                <w:szCs w:val="18"/>
                <w:highlight w:val="none"/>
              </w:rPr>
            </w:pPr>
            <w:r>
              <w:rPr>
                <w:rFonts w:hint="eastAsia" w:hAnsi="宋体"/>
                <w:sz w:val="18"/>
                <w:szCs w:val="18"/>
                <w:highlight w:val="none"/>
              </w:rPr>
              <w:t xml:space="preserve">集中组屏安装于</w:t>
            </w:r>
            <w:r>
              <w:rPr>
                <w:rFonts w:hAnsi="宋体"/>
                <w:sz w:val="18"/>
                <w:szCs w:val="18"/>
                <w:highlight w:val="none"/>
              </w:rPr>
              <w:t xml:space="preserve">环网</w:t>
            </w:r>
            <w:r>
              <w:rPr>
                <w:rFonts w:hint="eastAsia" w:hAnsi="宋体"/>
                <w:sz w:val="18"/>
                <w:szCs w:val="18"/>
                <w:highlight w:val="none"/>
              </w:rPr>
              <w:t xml:space="preserve">单元箱体内。</w:t>
            </w:r>
            <w:r>
              <w:rPr>
                <w:rFonts w:hAnsi="宋体"/>
                <w:sz w:val="18"/>
                <w:szCs w:val="18"/>
                <w:highlight w:val="none"/>
              </w:rPr>
            </w:r>
            <w:r/>
          </w:p>
        </w:tc>
      </w:tr>
      <w:tr>
        <w:trPr>
          <w:trHeight w:val="20"/>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rFonts w:hint="eastAsia"/>
                <w:sz w:val="18"/>
                <w:szCs w:val="18"/>
                <w:highlight w:val="none"/>
              </w:rPr>
              <w:t xml:space="preserve">25</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DTU适配一次间隔数量</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sz w:val="18"/>
                <w:szCs w:val="18"/>
                <w:highlight w:val="none"/>
              </w:rPr>
            </w:pPr>
            <w:r>
              <w:rPr>
                <w:rFonts w:hint="eastAsia"/>
                <w:sz w:val="18"/>
                <w:szCs w:val="18"/>
                <w:highlight w:val="none"/>
              </w:rPr>
              <w:t xml:space="preserve">个</w:t>
            </w:r>
            <w:r>
              <w:rPr>
                <w:sz w:val="18"/>
                <w:szCs w:val="18"/>
                <w:highlight w:val="none"/>
              </w:rPr>
            </w:r>
            <w:r/>
          </w:p>
        </w:tc>
        <w:tc>
          <w:tcPr>
            <w:gridSpan w:val="2"/>
            <w:tcMar>
              <w:left w:w="0" w:type="dxa"/>
              <w:right w:w="0" w:type="dxa"/>
            </w:tcMar>
            <w:tcW w:w="2863"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根据一次间隔数量确定，4或者6</w:t>
            </w:r>
            <w:r>
              <w:rPr>
                <w:rFonts w:hAnsi="宋体"/>
                <w:sz w:val="18"/>
                <w:szCs w:val="18"/>
                <w:highlight w:val="none"/>
              </w:rPr>
            </w:r>
            <w:r/>
          </w:p>
        </w:tc>
      </w:tr>
      <w:tr>
        <w:trPr>
          <w:trHeight w:val="20"/>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rFonts w:hint="eastAsia"/>
                <w:sz w:val="18"/>
                <w:szCs w:val="18"/>
                <w:highlight w:val="none"/>
              </w:rPr>
              <w:t xml:space="preserve">26</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int="eastAsia"/>
                <w:sz w:val="18"/>
                <w:szCs w:val="18"/>
                <w:highlight w:val="none"/>
              </w:rPr>
              <w:t xml:space="preserve">DTU柜体</w:t>
            </w:r>
            <w:r>
              <w:rPr>
                <w:rFonts w:hint="eastAsia" w:hAnsi="宋体"/>
                <w:sz w:val="18"/>
                <w:szCs w:val="18"/>
                <w:highlight w:val="none"/>
              </w:rPr>
              <w:t xml:space="preserve">尺寸及颜色</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sz w:val="18"/>
                <w:szCs w:val="18"/>
                <w:highlight w:val="none"/>
              </w:rPr>
            </w:pPr>
            <w:r>
              <w:rPr>
                <w:rFonts w:hint="eastAsia"/>
                <w:sz w:val="18"/>
                <w:szCs w:val="18"/>
                <w:highlight w:val="none"/>
              </w:rPr>
              <w:t xml:space="preserve">mm</w:t>
            </w:r>
            <w:r>
              <w:rPr>
                <w:sz w:val="18"/>
                <w:szCs w:val="18"/>
                <w:highlight w:val="none"/>
              </w:rPr>
            </w:r>
            <w:r/>
          </w:p>
        </w:tc>
        <w:tc>
          <w:tcPr>
            <w:gridSpan w:val="2"/>
            <w:tcMar>
              <w:left w:w="0" w:type="dxa"/>
              <w:right w:w="0" w:type="dxa"/>
            </w:tcMar>
            <w:tcW w:w="2863" w:type="dxa"/>
            <w:vAlign w:val="center"/>
            <w:textDirection w:val="lrTb"/>
            <w:noWrap w:val="false"/>
          </w:tcPr>
          <w:p>
            <w:pPr>
              <w:pStyle w:val="1151"/>
              <w:rPr>
                <w:rFonts w:hAnsi="宋体"/>
                <w:sz w:val="18"/>
                <w:szCs w:val="18"/>
                <w:highlight w:val="none"/>
              </w:rPr>
            </w:pPr>
            <w:r>
              <w:rPr>
                <w:rFonts w:hint="eastAsia" w:hAnsi="宋体"/>
                <w:sz w:val="18"/>
                <w:szCs w:val="18"/>
                <w:highlight w:val="none"/>
              </w:rPr>
              <w:t xml:space="preserve">不大于高1</w:t>
            </w:r>
            <w:r>
              <w:rPr>
                <w:rFonts w:hAnsi="宋体"/>
                <w:sz w:val="18"/>
                <w:szCs w:val="18"/>
                <w:highlight w:val="none"/>
              </w:rPr>
              <w:t xml:space="preserve">3</w:t>
            </w:r>
            <w:r>
              <w:rPr>
                <w:rFonts w:hint="eastAsia" w:hAnsi="宋体"/>
                <w:sz w:val="18"/>
                <w:szCs w:val="18"/>
                <w:highlight w:val="none"/>
              </w:rPr>
              <w:t xml:space="preserve">00*宽600*深400</w:t>
            </w:r>
            <w:r>
              <w:rPr>
                <w:rFonts w:hAnsi="宋体"/>
                <w:sz w:val="18"/>
                <w:szCs w:val="18"/>
                <w:highlight w:val="none"/>
              </w:rPr>
              <w:t xml:space="preserve">(</w:t>
            </w:r>
            <w:r>
              <w:rPr>
                <w:rFonts w:hint="eastAsia" w:hAnsi="宋体"/>
                <w:sz w:val="18"/>
                <w:szCs w:val="18"/>
                <w:highlight w:val="none"/>
              </w:rPr>
              <w:t xml:space="preserve">不含通信箱</w:t>
            </w:r>
            <w:r>
              <w:rPr>
                <w:rFonts w:hAnsi="宋体"/>
                <w:sz w:val="18"/>
                <w:szCs w:val="18"/>
                <w:highlight w:val="none"/>
              </w:rPr>
              <w:t xml:space="preserve">)</w:t>
            </w:r>
            <w:r>
              <w:rPr>
                <w:rFonts w:hint="eastAsia" w:hAnsi="宋体"/>
                <w:sz w:val="18"/>
                <w:szCs w:val="18"/>
                <w:highlight w:val="none"/>
              </w:rPr>
              <w:t xml:space="preserve">，颜色为RAL7035或Z32。</w:t>
            </w:r>
            <w:r>
              <w:rPr>
                <w:rFonts w:hAnsi="宋体"/>
                <w:sz w:val="18"/>
                <w:szCs w:val="18"/>
                <w:highlight w:val="none"/>
              </w:rPr>
            </w:r>
            <w:r/>
          </w:p>
        </w:tc>
      </w:tr>
      <w:tr>
        <w:trPr>
          <w:trHeight w:val="522"/>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rFonts w:hint="eastAsia"/>
                <w:sz w:val="18"/>
                <w:szCs w:val="18"/>
                <w:highlight w:val="none"/>
              </w:rPr>
              <w:t xml:space="preserve">27</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DTU接线方式</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sz w:val="18"/>
                <w:szCs w:val="18"/>
                <w:highlight w:val="none"/>
              </w:rPr>
            </w:pPr>
            <w:r>
              <w:rPr>
                <w:rFonts w:hint="eastAsia"/>
                <w:sz w:val="18"/>
                <w:szCs w:val="18"/>
                <w:highlight w:val="none"/>
              </w:rPr>
              <w:t xml:space="preserve">/</w:t>
            </w:r>
            <w:r>
              <w:rPr>
                <w:sz w:val="18"/>
                <w:szCs w:val="18"/>
                <w:highlight w:val="none"/>
              </w:rPr>
            </w:r>
            <w:r/>
          </w:p>
        </w:tc>
        <w:tc>
          <w:tcPr>
            <w:gridSpan w:val="2"/>
            <w:tcMar>
              <w:left w:w="0" w:type="dxa"/>
              <w:right w:w="0" w:type="dxa"/>
            </w:tcMar>
            <w:tcW w:w="2863" w:type="dxa"/>
            <w:vAlign w:val="center"/>
            <w:textDirection w:val="lrTb"/>
            <w:noWrap w:val="false"/>
          </w:tcPr>
          <w:p>
            <w:pPr>
              <w:pStyle w:val="1151"/>
              <w:rPr>
                <w:rFonts w:hAnsi="宋体"/>
                <w:sz w:val="18"/>
                <w:szCs w:val="18"/>
                <w:highlight w:val="none"/>
              </w:rPr>
            </w:pPr>
            <w:r>
              <w:rPr>
                <w:rFonts w:hint="eastAsia"/>
                <w:sz w:val="18"/>
                <w:szCs w:val="18"/>
                <w:highlight w:val="none"/>
              </w:rPr>
              <w:t xml:space="preserve">矩形连接器</w:t>
            </w:r>
            <w:r>
              <w:rPr>
                <w:rFonts w:hAnsi="宋体"/>
                <w:sz w:val="18"/>
                <w:szCs w:val="18"/>
                <w:highlight w:val="none"/>
              </w:rPr>
            </w:r>
            <w:r/>
          </w:p>
        </w:tc>
      </w:tr>
      <w:tr>
        <w:trPr>
          <w:trHeight w:val="522"/>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sz w:val="18"/>
                <w:szCs w:val="18"/>
                <w:highlight w:val="none"/>
              </w:rPr>
              <w:t xml:space="preserve">2</w:t>
            </w:r>
            <w:r>
              <w:rPr>
                <w:rFonts w:hint="eastAsia"/>
                <w:sz w:val="18"/>
                <w:szCs w:val="18"/>
                <w:highlight w:val="none"/>
              </w:rPr>
              <w:t xml:space="preserve">8</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int="eastAsia" w:ascii="宋体" w:hAnsi="宋体"/>
                <w:sz w:val="18"/>
                <w:szCs w:val="18"/>
                <w:highlight w:val="none"/>
              </w:rPr>
              <w:t xml:space="preserve">站所终端与进出线单元的二次接口</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sz w:val="18"/>
                <w:szCs w:val="18"/>
                <w:highlight w:val="none"/>
              </w:rPr>
            </w:pPr>
            <w:r>
              <w:rPr>
                <w:sz w:val="18"/>
                <w:szCs w:val="18"/>
                <w:highlight w:val="none"/>
              </w:rPr>
            </w:r>
            <w:r/>
          </w:p>
        </w:tc>
        <w:tc>
          <w:tcPr>
            <w:gridSpan w:val="2"/>
            <w:tcMar>
              <w:left w:w="0" w:type="dxa"/>
              <w:right w:w="0" w:type="dxa"/>
            </w:tcMar>
            <w:tcW w:w="2863" w:type="dxa"/>
            <w:vAlign w:val="center"/>
            <w:textDirection w:val="lrTb"/>
            <w:noWrap w:val="false"/>
          </w:tcPr>
          <w:p>
            <w:pPr>
              <w:pStyle w:val="1151"/>
              <w:rPr>
                <w:sz w:val="18"/>
                <w:szCs w:val="18"/>
                <w:highlight w:val="none"/>
              </w:rPr>
            </w:pPr>
            <w:r>
              <w:rPr>
                <w:rFonts w:hint="eastAsia"/>
                <w:sz w:val="18"/>
                <w:szCs w:val="18"/>
                <w:highlight w:val="none"/>
              </w:rPr>
              <w:t xml:space="preserve">(</w:t>
            </w:r>
            <w:r>
              <w:rPr>
                <w:sz w:val="18"/>
                <w:szCs w:val="18"/>
                <w:highlight w:val="none"/>
              </w:rPr>
              <w:t xml:space="preserve">1</w:t>
            </w:r>
            <w:r>
              <w:rPr>
                <w:rFonts w:hint="eastAsia"/>
                <w:sz w:val="18"/>
                <w:szCs w:val="18"/>
                <w:highlight w:val="none"/>
              </w:rPr>
              <w:t xml:space="preserve">)矩形连接器电缆双端预制，矩形连接器接口定义与结构遵循本规范一致性要求；</w:t>
            </w:r>
            <w:r>
              <w:rPr>
                <w:sz w:val="18"/>
                <w:szCs w:val="18"/>
                <w:highlight w:val="none"/>
              </w:rPr>
            </w:r>
            <w:r/>
          </w:p>
          <w:p>
            <w:pPr>
              <w:pStyle w:val="1151"/>
              <w:rPr>
                <w:sz w:val="18"/>
                <w:szCs w:val="18"/>
                <w:highlight w:val="none"/>
              </w:rPr>
            </w:pPr>
            <w:r>
              <w:rPr>
                <w:rFonts w:hint="eastAsia"/>
                <w:sz w:val="18"/>
                <w:szCs w:val="18"/>
                <w:highlight w:val="none"/>
              </w:rPr>
              <w:t xml:space="preserve">(2)各间隔电磁式相/零序电流互感器、控制与信号接点的输入/输出，1根电缆；</w:t>
            </w:r>
            <w:r>
              <w:rPr>
                <w:sz w:val="18"/>
                <w:szCs w:val="18"/>
                <w:highlight w:val="none"/>
              </w:rPr>
            </w:r>
            <w:r/>
          </w:p>
        </w:tc>
      </w:tr>
      <w:tr>
        <w:trPr>
          <w:trHeight w:val="522"/>
        </w:trPr>
        <w:tc>
          <w:tcPr>
            <w:tcMar>
              <w:left w:w="0" w:type="dxa"/>
              <w:right w:w="0" w:type="dxa"/>
            </w:tcMar>
            <w:tcW w:w="848" w:type="dxa"/>
            <w:vAlign w:val="center"/>
            <w:textDirection w:val="lrTb"/>
            <w:noWrap w:val="false"/>
          </w:tcPr>
          <w:p>
            <w:pPr>
              <w:pStyle w:val="1151"/>
              <w:jc w:val="center"/>
              <w:tabs>
                <w:tab w:val="center" w:pos="286" w:leader="none"/>
              </w:tabs>
              <w:rPr>
                <w:sz w:val="18"/>
                <w:szCs w:val="18"/>
                <w:highlight w:val="none"/>
              </w:rPr>
            </w:pPr>
            <w:r>
              <w:rPr>
                <w:rFonts w:hint="eastAsia"/>
                <w:sz w:val="18"/>
                <w:szCs w:val="18"/>
                <w:highlight w:val="none"/>
              </w:rPr>
              <w:t xml:space="preserve">29</w:t>
            </w:r>
            <w:r>
              <w:rPr>
                <w:sz w:val="18"/>
                <w:szCs w:val="18"/>
                <w:highlight w:val="none"/>
              </w:rPr>
            </w:r>
            <w:r/>
          </w:p>
        </w:tc>
        <w:tc>
          <w:tcPr>
            <w:gridSpan w:val="3"/>
            <w:tcMar>
              <w:left w:w="0" w:type="dxa"/>
              <w:right w:w="0" w:type="dxa"/>
            </w:tcMar>
            <w:tcW w:w="4678" w:type="dxa"/>
            <w:vAlign w:val="center"/>
            <w:textDirection w:val="lrTb"/>
            <w:noWrap w:val="false"/>
          </w:tcPr>
          <w:p>
            <w:pPr>
              <w:pStyle w:val="1151"/>
              <w:jc w:val="center"/>
              <w:rPr>
                <w:rFonts w:hAnsi="宋体"/>
                <w:sz w:val="18"/>
                <w:szCs w:val="18"/>
                <w:highlight w:val="none"/>
              </w:rPr>
            </w:pPr>
            <w:r>
              <w:rPr>
                <w:rFonts w:hint="eastAsia" w:ascii="宋体" w:hAnsi="宋体"/>
                <w:sz w:val="18"/>
                <w:szCs w:val="18"/>
                <w:highlight w:val="none"/>
              </w:rPr>
              <w:t xml:space="preserve">站所终端与电压互感器柜的二次接口</w:t>
            </w:r>
            <w:r>
              <w:rPr>
                <w:rFonts w:hAnsi="宋体"/>
                <w:sz w:val="18"/>
                <w:szCs w:val="18"/>
                <w:highlight w:val="none"/>
              </w:rPr>
            </w:r>
            <w:r/>
          </w:p>
        </w:tc>
        <w:tc>
          <w:tcPr>
            <w:tcMar>
              <w:left w:w="0" w:type="dxa"/>
              <w:right w:w="0" w:type="dxa"/>
            </w:tcMar>
            <w:tcW w:w="992" w:type="dxa"/>
            <w:vAlign w:val="center"/>
            <w:textDirection w:val="lrTb"/>
            <w:noWrap w:val="false"/>
          </w:tcPr>
          <w:p>
            <w:pPr>
              <w:pStyle w:val="1151"/>
              <w:jc w:val="center"/>
              <w:rPr>
                <w:sz w:val="18"/>
                <w:szCs w:val="18"/>
                <w:highlight w:val="none"/>
              </w:rPr>
            </w:pPr>
            <w:r>
              <w:rPr>
                <w:sz w:val="18"/>
                <w:szCs w:val="18"/>
                <w:highlight w:val="none"/>
              </w:rPr>
            </w:r>
            <w:r/>
          </w:p>
        </w:tc>
        <w:tc>
          <w:tcPr>
            <w:gridSpan w:val="2"/>
            <w:tcMar>
              <w:left w:w="0" w:type="dxa"/>
              <w:right w:w="0" w:type="dxa"/>
            </w:tcMar>
            <w:tcW w:w="2863" w:type="dxa"/>
            <w:vAlign w:val="center"/>
            <w:textDirection w:val="lrTb"/>
            <w:noWrap w:val="false"/>
          </w:tcPr>
          <w:p>
            <w:pPr>
              <w:pStyle w:val="1151"/>
              <w:rPr>
                <w:sz w:val="18"/>
                <w:szCs w:val="18"/>
                <w:highlight w:val="none"/>
              </w:rPr>
            </w:pPr>
            <w:r>
              <w:rPr>
                <w:sz w:val="18"/>
                <w:szCs w:val="18"/>
                <w:highlight w:val="none"/>
              </w:rPr>
              <w:t xml:space="preserve">(1)</w:t>
            </w:r>
            <w:r>
              <w:rPr>
                <w:rFonts w:hint="eastAsia"/>
                <w:sz w:val="18"/>
                <w:szCs w:val="18"/>
                <w:highlight w:val="none"/>
              </w:rPr>
              <w:t xml:space="preserve">矩形连接器电缆双端预制，矩形连接器接口定义与结构遵循本规范一致性要求；</w:t>
            </w:r>
            <w:r>
              <w:rPr>
                <w:sz w:val="18"/>
                <w:szCs w:val="18"/>
                <w:highlight w:val="none"/>
              </w:rPr>
            </w:r>
            <w:r/>
          </w:p>
          <w:p>
            <w:pPr>
              <w:pStyle w:val="1151"/>
              <w:rPr>
                <w:sz w:val="18"/>
                <w:szCs w:val="18"/>
                <w:highlight w:val="none"/>
              </w:rPr>
            </w:pPr>
            <w:r>
              <w:rPr>
                <w:sz w:val="18"/>
                <w:szCs w:val="18"/>
                <w:highlight w:val="none"/>
              </w:rPr>
              <w:t xml:space="preserve">(2)</w:t>
            </w:r>
            <w:r>
              <w:rPr>
                <w:rFonts w:hint="eastAsia"/>
                <w:sz w:val="18"/>
                <w:szCs w:val="18"/>
                <w:highlight w:val="none"/>
              </w:rPr>
              <w:t xml:space="preserve">供电PT（母线取电）输入/输出，</w:t>
            </w:r>
            <w:r>
              <w:rPr>
                <w:sz w:val="18"/>
                <w:szCs w:val="18"/>
                <w:highlight w:val="none"/>
              </w:rPr>
            </w:r>
            <w:r/>
          </w:p>
          <w:p>
            <w:pPr>
              <w:pStyle w:val="1151"/>
              <w:rPr>
                <w:sz w:val="18"/>
                <w:szCs w:val="18"/>
                <w:highlight w:val="none"/>
              </w:rPr>
            </w:pPr>
            <w:r>
              <w:rPr>
                <w:rFonts w:hint="eastAsia"/>
                <w:sz w:val="18"/>
                <w:szCs w:val="18"/>
                <w:highlight w:val="none"/>
              </w:rPr>
              <w:t xml:space="preserve">相/零序电压互感器（母线采集）输入/输出，1根电缆，2个32（+1）芯矩形连接器插头；</w:t>
            </w:r>
            <w:r>
              <w:rPr>
                <w:sz w:val="18"/>
                <w:szCs w:val="18"/>
                <w:highlight w:val="none"/>
              </w:rPr>
            </w:r>
            <w:r/>
          </w:p>
        </w:tc>
      </w:tr>
      <w:tr>
        <w:trPr>
          <w:trHeight w:val="20"/>
        </w:trPr>
        <w:tc>
          <w:tcPr>
            <w:tcMar>
              <w:left w:w="0" w:type="dxa"/>
              <w:right w:w="0" w:type="dxa"/>
            </w:tcMar>
            <w:tcW w:w="848" w:type="dxa"/>
            <w:vAlign w:val="center"/>
            <w:textDirection w:val="lrTb"/>
            <w:noWrap w:val="false"/>
          </w:tcPr>
          <w:p>
            <w:pPr>
              <w:pStyle w:val="1151"/>
              <w:jc w:val="center"/>
              <w:rPr>
                <w:rFonts w:hAnsi="宋体"/>
                <w:sz w:val="18"/>
                <w:szCs w:val="18"/>
                <w:highlight w:val="none"/>
              </w:rPr>
            </w:pPr>
            <w:r>
              <w:rPr>
                <w:rFonts w:hAnsi="宋体"/>
                <w:sz w:val="18"/>
                <w:szCs w:val="18"/>
                <w:highlight w:val="none"/>
              </w:rPr>
              <w:t xml:space="preserve">3</w:t>
            </w:r>
            <w:r>
              <w:rPr>
                <w:rFonts w:hint="eastAsia" w:hAnsi="宋体"/>
                <w:sz w:val="18"/>
                <w:szCs w:val="18"/>
                <w:highlight w:val="none"/>
              </w:rPr>
              <w:t xml:space="preserve">0</w:t>
            </w:r>
            <w:r>
              <w:rPr>
                <w:rFonts w:hAnsi="宋体"/>
                <w:sz w:val="18"/>
                <w:szCs w:val="18"/>
                <w:highlight w:val="none"/>
              </w:rPr>
            </w:r>
            <w:r/>
          </w:p>
        </w:tc>
        <w:tc>
          <w:tcPr>
            <w:gridSpan w:val="3"/>
            <w:tcMar>
              <w:left w:w="0" w:type="dxa"/>
              <w:right w:w="0" w:type="dxa"/>
            </w:tcMar>
            <w:tcW w:w="4678" w:type="dxa"/>
            <w:vAlign w:val="center"/>
            <w:textDirection w:val="lrTb"/>
            <w:noWrap w:val="false"/>
          </w:tcPr>
          <w:p>
            <w:pPr>
              <w:pStyle w:val="1176"/>
              <w:spacing w:before="156" w:after="156"/>
              <w:rPr>
                <w:rFonts w:hAnsi="宋体"/>
                <w:highlight w:val="none"/>
              </w:rPr>
            </w:pPr>
            <w:r>
              <w:rPr>
                <w:rFonts w:hAnsi="宋体"/>
                <w:highlight w:val="none"/>
              </w:rPr>
              <w:t xml:space="preserve">平均无故障工作时间</w:t>
            </w:r>
            <w:r>
              <w:rPr>
                <w:rFonts w:hAnsi="宋体"/>
                <w:highlight w:val="none"/>
              </w:rPr>
            </w:r>
            <w:r/>
          </w:p>
        </w:tc>
        <w:tc>
          <w:tcPr>
            <w:tcMar>
              <w:left w:w="0" w:type="dxa"/>
              <w:right w:w="0" w:type="dxa"/>
            </w:tcMar>
            <w:tcW w:w="992" w:type="dxa"/>
            <w:vAlign w:val="center"/>
            <w:textDirection w:val="lrTb"/>
            <w:noWrap w:val="false"/>
          </w:tcPr>
          <w:p>
            <w:pPr>
              <w:pStyle w:val="1176"/>
              <w:jc w:val="center"/>
              <w:spacing w:before="156" w:after="156"/>
              <w:rPr>
                <w:highlight w:val="none"/>
              </w:rPr>
            </w:pPr>
            <w:r>
              <w:rPr>
                <w:highlight w:val="none"/>
              </w:rPr>
              <w:t xml:space="preserve">h</w:t>
            </w:r>
            <w:r>
              <w:rPr>
                <w:highlight w:val="none"/>
              </w:rPr>
            </w:r>
            <w:r/>
          </w:p>
        </w:tc>
        <w:tc>
          <w:tcPr>
            <w:gridSpan w:val="2"/>
            <w:tcMar>
              <w:left w:w="0" w:type="dxa"/>
              <w:right w:w="0" w:type="dxa"/>
            </w:tcMar>
            <w:tcW w:w="2863" w:type="dxa"/>
            <w:vAlign w:val="center"/>
            <w:textDirection w:val="lrTb"/>
            <w:noWrap w:val="false"/>
          </w:tcPr>
          <w:p>
            <w:pPr>
              <w:pStyle w:val="1151"/>
              <w:rPr>
                <w:sz w:val="18"/>
                <w:szCs w:val="18"/>
                <w:highlight w:val="none"/>
              </w:rPr>
            </w:pPr>
            <w:r>
              <w:rPr>
                <w:rFonts w:ascii="宋体" w:hAnsi="宋体"/>
                <w:sz w:val="18"/>
                <w:szCs w:val="18"/>
                <w:highlight w:val="none"/>
              </w:rPr>
              <w:t xml:space="preserve">≥</w:t>
            </w:r>
            <w:r>
              <w:rPr>
                <w:rFonts w:hint="eastAsia"/>
                <w:sz w:val="18"/>
                <w:szCs w:val="18"/>
                <w:highlight w:val="none"/>
              </w:rPr>
              <w:t xml:space="preserve">50000</w:t>
            </w:r>
            <w:r>
              <w:rPr>
                <w:sz w:val="18"/>
                <w:szCs w:val="18"/>
                <w:highlight w:val="none"/>
              </w:rPr>
            </w:r>
            <w:r/>
          </w:p>
        </w:tc>
      </w:tr>
    </w:tbl>
    <w:p>
      <w:pPr>
        <w:pStyle w:val="1239"/>
        <w:jc w:val="both"/>
        <w:rPr>
          <w:rFonts w:ascii="Times New Roman"/>
        </w:rPr>
      </w:pPr>
      <w:r>
        <w:rPr>
          <w:rFonts w:ascii="Times New Roman"/>
        </w:rPr>
      </w:r>
      <w:r/>
    </w:p>
    <w:p>
      <w:pPr>
        <w:pStyle w:val="1238"/>
        <w:rPr>
          <w:rFonts w:ascii="Times New Roman"/>
        </w:rPr>
        <w:outlineLvl w:val="0"/>
      </w:pPr>
      <w:r/>
      <w:bookmarkStart w:id="471" w:name="_Toc1278"/>
      <w:r>
        <w:rPr>
          <w:rFonts w:hint="eastAsia" w:ascii="Times New Roman"/>
        </w:rPr>
        <w:t xml:space="preserve">2</w:t>
      </w:r>
      <w:r>
        <w:rPr>
          <w:rFonts w:ascii="Times New Roman"/>
        </w:rPr>
        <w:t xml:space="preserve">　</w:t>
      </w:r>
      <w:r>
        <w:rPr>
          <w:rFonts w:hint="eastAsia" w:ascii="Times New Roman"/>
        </w:rPr>
        <w:t xml:space="preserve">技术参数选择项专用表</w:t>
      </w:r>
      <w:bookmarkEnd w:id="471"/>
      <w:r>
        <w:rPr>
          <w:rFonts w:ascii="Times New Roman"/>
        </w:rPr>
      </w:r>
      <w:r/>
    </w:p>
    <w:p>
      <w:pPr>
        <w:pStyle w:val="1239"/>
        <w:rPr>
          <w:rFonts w:ascii="Times New Roman"/>
        </w:rPr>
      </w:pPr>
      <w:r>
        <w:rPr>
          <w:rFonts w:ascii="Times New Roman"/>
        </w:rPr>
        <w:t xml:space="preserve">表</w:t>
      </w:r>
      <w:r>
        <w:rPr>
          <w:rFonts w:hint="eastAsia" w:ascii="Times New Roman"/>
        </w:rPr>
        <w:t xml:space="preserve">2技术参数选择项专用</w:t>
      </w:r>
      <w:r>
        <w:rPr>
          <w:rFonts w:ascii="Times New Roman"/>
        </w:rPr>
        <w:t xml:space="preserve">表</w:t>
      </w:r>
      <w:r>
        <w:rPr>
          <w:rFonts w:ascii="Times New Roman"/>
        </w:rPr>
      </w:r>
      <w:r/>
    </w:p>
    <w:tbl>
      <w:tblPr>
        <w:tblW w:w="9381"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1371"/>
        <w:gridCol w:w="2173"/>
        <w:gridCol w:w="1134"/>
        <w:gridCol w:w="992"/>
        <w:gridCol w:w="28"/>
        <w:gridCol w:w="2807"/>
        <w:gridCol w:w="28"/>
      </w:tblGrid>
      <w:tr>
        <w:trPr>
          <w:cantSplit/>
          <w:gridAfter w:val="1"/>
        </w:trPr>
        <w:tc>
          <w:tcPr>
            <w:tcW w:w="848"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序号</w:t>
            </w:r>
            <w:r>
              <w:rPr>
                <w:sz w:val="18"/>
                <w:szCs w:val="18"/>
                <w:highlight w:val="none"/>
              </w:rPr>
            </w:r>
            <w:r/>
          </w:p>
        </w:tc>
        <w:tc>
          <w:tcPr>
            <w:gridSpan w:val="3"/>
            <w:tcW w:w="4678"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名称</w:t>
            </w:r>
            <w:r>
              <w:rPr>
                <w:sz w:val="18"/>
                <w:szCs w:val="18"/>
                <w:highlight w:val="none"/>
              </w:rPr>
            </w:r>
            <w:r/>
          </w:p>
        </w:tc>
        <w:tc>
          <w:tcPr>
            <w:tcW w:w="992"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单位</w:t>
            </w:r>
            <w:r>
              <w:rPr>
                <w:sz w:val="18"/>
                <w:szCs w:val="18"/>
                <w:highlight w:val="none"/>
              </w:rPr>
            </w:r>
            <w:r/>
          </w:p>
        </w:tc>
        <w:tc>
          <w:tcPr>
            <w:gridSpan w:val="2"/>
            <w:tcW w:w="2835"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标准参数值</w:t>
            </w:r>
            <w:r>
              <w:rPr>
                <w:sz w:val="18"/>
                <w:szCs w:val="18"/>
                <w:highlight w:val="none"/>
              </w:rPr>
            </w:r>
            <w:r/>
          </w:p>
        </w:tc>
      </w:tr>
      <w:tr>
        <w:trPr>
          <w:cantSplit/>
          <w:gridAfter w:val="1"/>
        </w:trPr>
        <w:tc>
          <w:tcPr>
            <w:tcW w:w="848" w:type="dxa"/>
            <w:vAlign w:val="center"/>
            <w:textDirection w:val="lrTb"/>
            <w:noWrap w:val="false"/>
          </w:tcPr>
          <w:p>
            <w:pPr>
              <w:pStyle w:val="1151"/>
              <w:jc w:val="center"/>
              <w:spacing w:before="70" w:after="70"/>
              <w:rPr>
                <w:sz w:val="18"/>
                <w:szCs w:val="18"/>
                <w:highlight w:val="none"/>
              </w:rPr>
            </w:pPr>
            <w:r>
              <w:rPr>
                <w:rFonts w:hint="eastAsia"/>
                <w:sz w:val="18"/>
                <w:szCs w:val="18"/>
                <w:highlight w:val="none"/>
              </w:rPr>
              <w:t xml:space="preserve">一</w:t>
            </w:r>
            <w:r>
              <w:rPr>
                <w:sz w:val="18"/>
                <w:szCs w:val="18"/>
                <w:highlight w:val="none"/>
              </w:rPr>
            </w:r>
            <w:r/>
          </w:p>
        </w:tc>
        <w:tc>
          <w:tcPr>
            <w:gridSpan w:val="6"/>
            <w:tcW w:w="8505"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环网</w:t>
            </w:r>
            <w:r>
              <w:rPr>
                <w:rFonts w:hint="eastAsia"/>
                <w:sz w:val="18"/>
                <w:szCs w:val="18"/>
                <w:highlight w:val="none"/>
              </w:rPr>
              <w:t xml:space="preserve">柜</w:t>
            </w:r>
            <w:r>
              <w:rPr>
                <w:sz w:val="18"/>
                <w:szCs w:val="18"/>
                <w:highlight w:val="none"/>
              </w:rPr>
              <w:t xml:space="preserve">共用参数</w:t>
            </w:r>
            <w:r>
              <w:rPr>
                <w:sz w:val="18"/>
                <w:szCs w:val="18"/>
                <w:highlight w:val="none"/>
              </w:rPr>
            </w:r>
            <w:r/>
          </w:p>
        </w:tc>
      </w:tr>
      <w:tr>
        <w:trPr>
          <w:cantSplit/>
          <w:gridAfter w:val="1"/>
        </w:trPr>
        <w:tc>
          <w:tcPr>
            <w:tcW w:w="848"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1</w:t>
            </w:r>
            <w:r>
              <w:rPr>
                <w:sz w:val="18"/>
                <w:szCs w:val="18"/>
                <w:highlight w:val="none"/>
              </w:rPr>
            </w:r>
            <w:r/>
          </w:p>
        </w:tc>
        <w:tc>
          <w:tcPr>
            <w:gridSpan w:val="3"/>
            <w:tcW w:w="4678"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灭弧室类型</w:t>
            </w:r>
            <w:r>
              <w:rPr>
                <w:sz w:val="18"/>
                <w:szCs w:val="18"/>
                <w:highlight w:val="none"/>
              </w:rPr>
            </w:r>
            <w:r/>
          </w:p>
        </w:tc>
        <w:tc>
          <w:tcPr>
            <w:tcW w:w="992" w:type="dxa"/>
            <w:vAlign w:val="center"/>
            <w:textDirection w:val="lrTb"/>
            <w:noWrap w:val="false"/>
          </w:tcPr>
          <w:p>
            <w:pPr>
              <w:pStyle w:val="1151"/>
              <w:jc w:val="center"/>
              <w:keepNext/>
              <w:spacing w:before="70" w:after="70" w:line="240" w:lineRule="atLeast"/>
              <w:rPr>
                <w:sz w:val="18"/>
                <w:szCs w:val="18"/>
                <w:highlight w:val="none"/>
              </w:rPr>
            </w:pPr>
            <w:r>
              <w:rPr>
                <w:sz w:val="18"/>
                <w:szCs w:val="18"/>
                <w:highlight w:val="none"/>
              </w:rPr>
            </w:r>
            <w:r/>
          </w:p>
        </w:tc>
        <w:tc>
          <w:tcPr>
            <w:gridSpan w:val="2"/>
            <w:tcW w:w="2835" w:type="dxa"/>
            <w:vAlign w:val="center"/>
            <w:textDirection w:val="lrTb"/>
            <w:noWrap w:val="false"/>
          </w:tcPr>
          <w:p>
            <w:pPr>
              <w:pStyle w:val="1151"/>
              <w:jc w:val="center"/>
              <w:spacing w:before="70" w:after="70"/>
              <w:rPr>
                <w:sz w:val="18"/>
                <w:szCs w:val="18"/>
                <w:highlight w:val="none"/>
              </w:rPr>
            </w:pPr>
            <w:r>
              <w:rPr>
                <w:sz w:val="18"/>
                <w:szCs w:val="18"/>
                <w:highlight w:val="none"/>
              </w:rPr>
              <w:t xml:space="preserve">真空</w:t>
            </w:r>
            <w:r>
              <w:rPr>
                <w:rFonts w:hint="eastAsia"/>
                <w:sz w:val="18"/>
                <w:szCs w:val="18"/>
                <w:highlight w:val="none"/>
              </w:rPr>
              <w:t xml:space="preserve">，SF</w:t>
            </w:r>
            <w:r>
              <w:rPr>
                <w:rFonts w:hint="eastAsia"/>
                <w:sz w:val="18"/>
                <w:szCs w:val="18"/>
                <w:highlight w:val="none"/>
                <w:vertAlign w:val="subscript"/>
              </w:rPr>
              <w:t xml:space="preserve">6</w:t>
            </w:r>
            <w:r>
              <w:rPr>
                <w:sz w:val="18"/>
                <w:szCs w:val="18"/>
                <w:highlight w:val="none"/>
              </w:rPr>
            </w:r>
            <w:r/>
          </w:p>
        </w:tc>
      </w:tr>
      <w:tr>
        <w:trPr>
          <w:cantSplit/>
          <w:gridAfter w:val="1"/>
          <w:trHeight w:val="391"/>
        </w:trPr>
        <w:tc>
          <w:tcPr>
            <w:tcW w:w="848" w:type="dxa"/>
            <w:vAlign w:val="center"/>
            <w:textDirection w:val="lrTb"/>
            <w:noWrap w:val="false"/>
          </w:tcPr>
          <w:p>
            <w:pPr>
              <w:pStyle w:val="1151"/>
              <w:jc w:val="center"/>
              <w:spacing w:before="51" w:after="51"/>
              <w:rPr>
                <w:sz w:val="18"/>
                <w:szCs w:val="18"/>
                <w:highlight w:val="none"/>
              </w:rPr>
            </w:pPr>
            <w:r>
              <w:rPr>
                <w:rFonts w:hint="eastAsia"/>
                <w:sz w:val="18"/>
                <w:szCs w:val="18"/>
                <w:highlight w:val="none"/>
              </w:rPr>
              <w:t xml:space="preserve">2</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气体额定压力（20℃表压）</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MPa</w:t>
            </w:r>
            <w:r>
              <w:rPr>
                <w:sz w:val="18"/>
                <w:szCs w:val="18"/>
                <w:highlight w:val="none"/>
              </w:rPr>
            </w:r>
            <w:r/>
          </w:p>
        </w:tc>
        <w:tc>
          <w:tcPr>
            <w:gridSpan w:val="2"/>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rFonts w:hint="eastAsia"/>
                <w:sz w:val="18"/>
                <w:szCs w:val="18"/>
                <w:highlight w:val="none"/>
              </w:rPr>
              <w:t xml:space="preserve">二</w:t>
            </w:r>
            <w:r>
              <w:rPr>
                <w:sz w:val="18"/>
                <w:szCs w:val="18"/>
                <w:highlight w:val="none"/>
              </w:rPr>
            </w:r>
            <w:r/>
          </w:p>
        </w:tc>
        <w:tc>
          <w:tcPr>
            <w:gridSpan w:val="6"/>
            <w:tcW w:w="850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断路器参数</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1</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型号</w:t>
            </w:r>
            <w:r>
              <w:rPr>
                <w:sz w:val="18"/>
                <w:szCs w:val="18"/>
                <w:highlight w:val="none"/>
              </w:rPr>
            </w:r>
            <w:r/>
          </w:p>
        </w:tc>
        <w:tc>
          <w:tcPr>
            <w:tcW w:w="992" w:type="dxa"/>
            <w:vAlign w:val="center"/>
            <w:textDirection w:val="lrTb"/>
            <w:noWrap w:val="false"/>
          </w:tcPr>
          <w:p>
            <w:pPr>
              <w:pStyle w:val="1151"/>
              <w:jc w:val="center"/>
              <w:keepNext/>
              <w:spacing w:before="51" w:after="51" w:line="240" w:lineRule="atLeast"/>
              <w:rPr>
                <w:sz w:val="18"/>
                <w:szCs w:val="18"/>
                <w:highlight w:val="none"/>
              </w:rPr>
            </w:pPr>
            <w:r>
              <w:rPr>
                <w:sz w:val="18"/>
                <w:szCs w:val="18"/>
                <w:highlight w:val="none"/>
              </w:rPr>
            </w:r>
            <w:r/>
          </w:p>
        </w:tc>
        <w:tc>
          <w:tcPr>
            <w:gridSpan w:val="2"/>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2</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灭弧室类型</w:t>
            </w:r>
            <w:r>
              <w:rPr>
                <w:sz w:val="18"/>
                <w:szCs w:val="18"/>
                <w:highlight w:val="none"/>
              </w:rPr>
            </w:r>
            <w:r/>
          </w:p>
        </w:tc>
        <w:tc>
          <w:tcPr>
            <w:tcW w:w="992" w:type="dxa"/>
            <w:vAlign w:val="center"/>
            <w:textDirection w:val="lrTb"/>
            <w:noWrap w:val="false"/>
          </w:tcPr>
          <w:p>
            <w:pPr>
              <w:pStyle w:val="1151"/>
              <w:jc w:val="center"/>
              <w:keepNext/>
              <w:spacing w:before="51" w:after="51" w:line="240" w:lineRule="atLeast"/>
              <w:rPr>
                <w:sz w:val="18"/>
                <w:szCs w:val="18"/>
                <w:highlight w:val="none"/>
              </w:rPr>
            </w:pPr>
            <w:r>
              <w:rPr>
                <w:sz w:val="18"/>
                <w:szCs w:val="18"/>
                <w:highlight w:val="none"/>
              </w:rPr>
            </w:r>
            <w:r/>
          </w:p>
        </w:tc>
        <w:tc>
          <w:tcPr>
            <w:gridSpan w:val="2"/>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真空</w:t>
            </w:r>
            <w:r>
              <w:rPr>
                <w:rFonts w:hint="eastAsia"/>
                <w:sz w:val="18"/>
                <w:szCs w:val="18"/>
                <w:highlight w:val="none"/>
              </w:rPr>
              <w:t xml:space="preserve">，SF</w:t>
            </w:r>
            <w:r>
              <w:rPr>
                <w:rFonts w:hint="eastAsia"/>
                <w:sz w:val="18"/>
                <w:szCs w:val="18"/>
                <w:highlight w:val="none"/>
                <w:vertAlign w:val="subscript"/>
              </w:rPr>
              <w:t xml:space="preserve">6</w:t>
            </w:r>
            <w:r>
              <w:rPr>
                <w:sz w:val="18"/>
                <w:szCs w:val="18"/>
                <w:highlight w:val="none"/>
              </w:rPr>
            </w:r>
            <w:r/>
          </w:p>
        </w:tc>
      </w:tr>
      <w:tr>
        <w:trPr>
          <w:cantSplit/>
          <w:gridAfter w:val="1"/>
        </w:trPr>
        <w:tc>
          <w:tcPr>
            <w:tcW w:w="84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3</w:t>
            </w:r>
            <w:r>
              <w:rPr>
                <w:sz w:val="18"/>
                <w:szCs w:val="18"/>
                <w:highlight w:val="none"/>
              </w:rPr>
            </w:r>
            <w:r/>
          </w:p>
        </w:tc>
        <w:tc>
          <w:tcPr>
            <w:gridSpan w:val="3"/>
            <w:tcW w:w="4678"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主回路电阻</w:t>
            </w:r>
            <w:r>
              <w:rPr>
                <w:sz w:val="18"/>
                <w:szCs w:val="18"/>
                <w:highlight w:val="none"/>
              </w:rPr>
            </w:r>
            <w:r/>
          </w:p>
        </w:tc>
        <w:tc>
          <w:tcPr>
            <w:tcW w:w="992"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w:t>
            </w:r>
            <w:r>
              <w:rPr>
                <w:sz w:val="18"/>
                <w:szCs w:val="18"/>
                <w:highlight w:val="none"/>
              </w:rPr>
            </w:r>
            <w:r/>
          </w:p>
        </w:tc>
        <w:tc>
          <w:tcPr>
            <w:gridSpan w:val="2"/>
            <w:tcW w:w="2835" w:type="dxa"/>
            <w:vAlign w:val="center"/>
            <w:textDirection w:val="lrTb"/>
            <w:noWrap w:val="false"/>
          </w:tcPr>
          <w:p>
            <w:pPr>
              <w:pStyle w:val="1151"/>
              <w:jc w:val="center"/>
              <w:spacing w:before="51" w:after="51"/>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4</w:t>
            </w:r>
            <w:r>
              <w:rPr>
                <w:sz w:val="18"/>
                <w:szCs w:val="18"/>
                <w:highlight w:val="none"/>
              </w:rPr>
            </w:r>
            <w:r/>
          </w:p>
        </w:tc>
        <w:tc>
          <w:tcPr>
            <w:gridSpan w:val="2"/>
            <w:tcW w:w="3544"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断路器分、合闸平均速度</w:t>
            </w:r>
            <w:r>
              <w:rPr>
                <w:sz w:val="18"/>
                <w:szCs w:val="18"/>
                <w:highlight w:val="none"/>
              </w:rPr>
            </w:r>
            <w:r/>
          </w:p>
        </w:tc>
        <w:tc>
          <w:tcPr>
            <w:tcW w:w="1134"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分闸速度</w:t>
            </w:r>
            <w:r>
              <w:rPr>
                <w:sz w:val="18"/>
                <w:szCs w:val="18"/>
                <w:highlight w:val="none"/>
              </w:rPr>
            </w:r>
            <w:r/>
          </w:p>
        </w:tc>
        <w:tc>
          <w:tcPr>
            <w:tcW w:w="992"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m/s</w:t>
            </w:r>
            <w:r>
              <w:rPr>
                <w:sz w:val="18"/>
                <w:szCs w:val="18"/>
                <w:highlight w:val="none"/>
              </w:rPr>
            </w:r>
            <w:r/>
          </w:p>
        </w:tc>
        <w:tc>
          <w:tcPr>
            <w:gridSpan w:val="2"/>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3544"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1134"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合闸速度</w:t>
            </w:r>
            <w:r>
              <w:rPr>
                <w:sz w:val="18"/>
                <w:szCs w:val="18"/>
                <w:highlight w:val="none"/>
              </w:rPr>
            </w:r>
            <w:r/>
          </w:p>
        </w:tc>
        <w:tc>
          <w:tcPr>
            <w:tcW w:w="992"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5</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机械寿命</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次</w:t>
            </w:r>
            <w:r>
              <w:rPr>
                <w:sz w:val="18"/>
                <w:szCs w:val="18"/>
                <w:highlight w:val="none"/>
              </w:rPr>
            </w:r>
            <w:r/>
          </w:p>
        </w:tc>
        <w:tc>
          <w:tcPr>
            <w:gridSpan w:val="2"/>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w:t>
            </w:r>
            <w:r>
              <w:rPr>
                <w:rFonts w:hint="eastAsia"/>
                <w:sz w:val="18"/>
                <w:szCs w:val="18"/>
                <w:highlight w:val="none"/>
              </w:rPr>
              <w:t xml:space="preserve">10</w:t>
            </w:r>
            <w:r>
              <w:rPr>
                <w:sz w:val="18"/>
                <w:szCs w:val="18"/>
                <w:highlight w:val="none"/>
              </w:rPr>
              <w:t xml:space="preserve">000（真空），</w:t>
            </w:r>
            <w:r>
              <w:rPr>
                <w:sz w:val="18"/>
                <w:szCs w:val="18"/>
                <w:highlight w:val="none"/>
              </w:rPr>
            </w:r>
            <w:r/>
          </w:p>
          <w:p>
            <w:pPr>
              <w:pStyle w:val="1151"/>
              <w:jc w:val="center"/>
              <w:spacing w:before="60" w:after="60"/>
              <w:rPr>
                <w:sz w:val="18"/>
                <w:szCs w:val="18"/>
                <w:highlight w:val="none"/>
              </w:rPr>
            </w:pPr>
            <w:r>
              <w:rPr>
                <w:sz w:val="18"/>
                <w:szCs w:val="18"/>
                <w:highlight w:val="none"/>
              </w:rPr>
              <w:t xml:space="preserve">≥</w:t>
            </w:r>
            <w:r>
              <w:rPr>
                <w:rFonts w:hint="eastAsia"/>
                <w:sz w:val="18"/>
                <w:szCs w:val="18"/>
                <w:highlight w:val="none"/>
              </w:rPr>
              <w:t xml:space="preserve">5</w:t>
            </w:r>
            <w:r>
              <w:rPr>
                <w:sz w:val="18"/>
                <w:szCs w:val="18"/>
                <w:highlight w:val="none"/>
              </w:rPr>
              <w:t xml:space="preserve">000（SF</w:t>
            </w:r>
            <w:r>
              <w:rPr>
                <w:sz w:val="18"/>
                <w:szCs w:val="18"/>
                <w:highlight w:val="none"/>
                <w:vertAlign w:val="subscript"/>
              </w:rPr>
              <w:t xml:space="preserve">6</w:t>
            </w:r>
            <w:r>
              <w:rPr>
                <w:sz w:val="18"/>
                <w:szCs w:val="18"/>
                <w:highlight w:val="none"/>
              </w:rPr>
              <w:t xml:space="preserve">）</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三</w:t>
            </w:r>
            <w:r>
              <w:rPr>
                <w:sz w:val="18"/>
                <w:szCs w:val="18"/>
                <w:highlight w:val="none"/>
              </w:rPr>
            </w:r>
            <w:r/>
          </w:p>
        </w:tc>
        <w:tc>
          <w:tcPr>
            <w:gridSpan w:val="6"/>
            <w:tcW w:w="850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隔离开关参数</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1</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额定电流</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A</w:t>
            </w:r>
            <w:r>
              <w:rPr>
                <w:sz w:val="18"/>
                <w:szCs w:val="18"/>
                <w:highlight w:val="none"/>
              </w:rPr>
            </w:r>
            <w:r/>
          </w:p>
        </w:tc>
        <w:tc>
          <w:tcPr>
            <w:gridSpan w:val="2"/>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630</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2</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主回路电阻</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w:t>
            </w:r>
            <w:r>
              <w:rPr>
                <w:sz w:val="18"/>
                <w:szCs w:val="18"/>
                <w:highlight w:val="none"/>
              </w:rPr>
            </w:r>
            <w:r/>
          </w:p>
        </w:tc>
        <w:tc>
          <w:tcPr>
            <w:gridSpan w:val="2"/>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四</w:t>
            </w:r>
            <w:r>
              <w:rPr>
                <w:sz w:val="18"/>
                <w:szCs w:val="18"/>
                <w:highlight w:val="none"/>
              </w:rPr>
            </w:r>
            <w:r/>
          </w:p>
        </w:tc>
        <w:tc>
          <w:tcPr>
            <w:gridSpan w:val="6"/>
            <w:tcW w:w="850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电流互感器参数</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1</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型式或型号</w:t>
            </w:r>
            <w:r>
              <w:rPr>
                <w:sz w:val="18"/>
                <w:szCs w:val="18"/>
                <w:highlight w:val="none"/>
              </w:rPr>
            </w:r>
            <w:r/>
          </w:p>
        </w:tc>
        <w:tc>
          <w:tcPr>
            <w:tcW w:w="992" w:type="dxa"/>
            <w:vAlign w:val="center"/>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电磁式</w:t>
            </w:r>
            <w:r>
              <w:rPr>
                <w:sz w:val="18"/>
                <w:szCs w:val="18"/>
                <w:highlight w:val="none"/>
              </w:rPr>
            </w:r>
            <w:r/>
          </w:p>
        </w:tc>
      </w:tr>
      <w:tr>
        <w:trPr>
          <w:cantSplit/>
          <w:gridAfter w:val="1"/>
        </w:trPr>
        <w:tc>
          <w:tcPr>
            <w:tcW w:w="848"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2</w:t>
            </w:r>
            <w:r>
              <w:rPr>
                <w:sz w:val="18"/>
                <w:szCs w:val="18"/>
                <w:highlight w:val="none"/>
              </w:rPr>
            </w:r>
            <w:r/>
          </w:p>
        </w:tc>
        <w:tc>
          <w:tcPr>
            <w:gridSpan w:val="2"/>
            <w:tcW w:w="3544"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绕组</w:t>
            </w:r>
            <w:r>
              <w:rPr>
                <w:sz w:val="18"/>
                <w:szCs w:val="18"/>
                <w:highlight w:val="none"/>
              </w:rPr>
            </w:r>
            <w:r/>
          </w:p>
        </w:tc>
        <w:tc>
          <w:tcPr>
            <w:tcW w:w="1134"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额定电流比</w:t>
            </w:r>
            <w:r>
              <w:rPr>
                <w:sz w:val="18"/>
                <w:szCs w:val="18"/>
                <w:highlight w:val="none"/>
              </w:rPr>
            </w:r>
            <w:r/>
          </w:p>
        </w:tc>
        <w:tc>
          <w:tcPr>
            <w:tcW w:w="992" w:type="dxa"/>
            <w:vAlign w:val="center"/>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（项目单位提供）</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3544"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1134"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额定负荷</w:t>
            </w:r>
            <w:r>
              <w:rPr>
                <w:sz w:val="18"/>
                <w:szCs w:val="18"/>
                <w:highlight w:val="none"/>
              </w:rPr>
            </w:r>
            <w:r/>
          </w:p>
        </w:tc>
        <w:tc>
          <w:tcPr>
            <w:tcW w:w="992" w:type="dxa"/>
            <w:vAlign w:val="center"/>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（项目单位提供）</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3544"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1134"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准确级</w:t>
            </w:r>
            <w:r>
              <w:rPr>
                <w:sz w:val="18"/>
                <w:szCs w:val="18"/>
                <w:highlight w:val="none"/>
              </w:rPr>
            </w:r>
            <w:r/>
          </w:p>
        </w:tc>
        <w:tc>
          <w:tcPr>
            <w:tcW w:w="992" w:type="dxa"/>
            <w:vAlign w:val="center"/>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（项目单位提供）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3</w:t>
            </w:r>
            <w:r>
              <w:rPr>
                <w:sz w:val="18"/>
                <w:szCs w:val="18"/>
                <w:highlight w:val="none"/>
              </w:rPr>
            </w:r>
            <w:r/>
          </w:p>
        </w:tc>
        <w:tc>
          <w:tcPr>
            <w:gridSpan w:val="3"/>
            <w:tcW w:w="4678" w:type="dxa"/>
            <w:vAlign w:val="center"/>
            <w:textDirection w:val="lrTb"/>
            <w:noWrap w:val="false"/>
          </w:tcPr>
          <w:p>
            <w:pPr>
              <w:pStyle w:val="1151"/>
              <w:jc w:val="center"/>
              <w:keepNext/>
              <w:spacing w:before="60" w:after="60" w:line="240" w:lineRule="atLeast"/>
              <w:rPr>
                <w:sz w:val="18"/>
                <w:szCs w:val="18"/>
                <w:highlight w:val="none"/>
              </w:rPr>
              <w:outlineLvl w:val="0"/>
            </w:pPr>
            <w:r/>
            <w:bookmarkStart w:id="472" w:name="_Toc55057903"/>
            <w:r/>
            <w:bookmarkStart w:id="473" w:name="_Toc12208"/>
            <w:r>
              <w:rPr>
                <w:sz w:val="18"/>
                <w:szCs w:val="18"/>
                <w:highlight w:val="none"/>
              </w:rPr>
              <w:t xml:space="preserve">型式或型号</w:t>
            </w:r>
            <w:bookmarkEnd w:id="472"/>
            <w:r/>
            <w:bookmarkEnd w:id="473"/>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r>
            <w:r/>
          </w:p>
        </w:tc>
        <w:tc>
          <w:tcPr>
            <w:gridSpan w:val="2"/>
            <w:tcW w:w="2835"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低功率</w:t>
            </w:r>
            <w:r>
              <w:rPr>
                <w:sz w:val="18"/>
                <w:szCs w:val="18"/>
                <w:highlight w:val="none"/>
              </w:rPr>
            </w:r>
            <w:r/>
          </w:p>
        </w:tc>
      </w:tr>
      <w:tr>
        <w:trPr>
          <w:cantSplit/>
          <w:gridAfter w:val="1"/>
        </w:trPr>
        <w:tc>
          <w:tcPr>
            <w:tcW w:w="848" w:type="dxa"/>
            <w:vAlign w:val="center"/>
            <w:vMerge w:val="restart"/>
            <w:textDirection w:val="lrTb"/>
            <w:noWrap w:val="false"/>
          </w:tcPr>
          <w:p>
            <w:pPr>
              <w:pStyle w:val="1151"/>
              <w:jc w:val="center"/>
              <w:spacing w:before="60" w:after="60"/>
              <w:rPr>
                <w:sz w:val="18"/>
                <w:szCs w:val="18"/>
                <w:highlight w:val="none"/>
              </w:rPr>
            </w:pPr>
            <w:r>
              <w:rPr>
                <w:rFonts w:hint="eastAsia"/>
                <w:sz w:val="18"/>
                <w:szCs w:val="18"/>
                <w:highlight w:val="none"/>
              </w:rPr>
              <w:t xml:space="preserve">4</w:t>
            </w:r>
            <w:r>
              <w:rPr>
                <w:sz w:val="18"/>
                <w:szCs w:val="18"/>
                <w:highlight w:val="none"/>
              </w:rPr>
            </w:r>
            <w:r/>
          </w:p>
        </w:tc>
        <w:tc>
          <w:tcPr>
            <w:gridSpan w:val="2"/>
            <w:tcW w:w="3544" w:type="dxa"/>
            <w:vAlign w:val="center"/>
            <w:vMerge w:val="restart"/>
            <w:textDirection w:val="lrTb"/>
            <w:noWrap w:val="false"/>
          </w:tcPr>
          <w:p>
            <w:pPr>
              <w:pStyle w:val="1151"/>
              <w:jc w:val="center"/>
              <w:spacing w:before="60" w:after="60"/>
              <w:rPr>
                <w:sz w:val="18"/>
                <w:szCs w:val="18"/>
                <w:highlight w:val="none"/>
              </w:rPr>
            </w:pPr>
            <w:r>
              <w:rPr>
                <w:sz w:val="18"/>
                <w:szCs w:val="18"/>
                <w:highlight w:val="none"/>
              </w:rPr>
              <w:t xml:space="preserve">绕组</w:t>
            </w:r>
            <w:r>
              <w:rPr>
                <w:sz w:val="18"/>
                <w:szCs w:val="18"/>
                <w:highlight w:val="none"/>
              </w:rPr>
            </w:r>
            <w:r/>
          </w:p>
        </w:tc>
        <w:tc>
          <w:tcPr>
            <w:tcW w:w="1134"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额定电流比</w:t>
            </w:r>
            <w:r>
              <w:rPr>
                <w:sz w:val="18"/>
                <w:szCs w:val="18"/>
                <w:highlight w:val="none"/>
              </w:rPr>
            </w:r>
            <w:r/>
          </w:p>
        </w:tc>
        <w:tc>
          <w:tcPr>
            <w:tcW w:w="992" w:type="dxa"/>
            <w:vAlign w:val="center"/>
            <w:textDirection w:val="lrTb"/>
            <w:noWrap w:val="false"/>
          </w:tcPr>
          <w:p>
            <w:pPr>
              <w:pStyle w:val="1151"/>
              <w:jc w:val="center"/>
              <w:keepNext/>
              <w:spacing w:before="60" w:after="60" w:line="240" w:lineRule="atLeast"/>
              <w:rPr>
                <w:sz w:val="18"/>
                <w:szCs w:val="18"/>
                <w:highlight w:val="none"/>
              </w:rPr>
              <w:outlineLvl w:val="0"/>
            </w:pPr>
            <w:r>
              <w:rPr>
                <w:sz w:val="18"/>
                <w:szCs w:val="18"/>
                <w:highlight w:val="none"/>
              </w:rPr>
            </w:r>
            <w:r/>
          </w:p>
        </w:tc>
        <w:tc>
          <w:tcPr>
            <w:gridSpan w:val="2"/>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（项目单位提供）</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3544"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1134"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额定负荷</w:t>
            </w:r>
            <w:r>
              <w:rPr>
                <w:sz w:val="18"/>
                <w:szCs w:val="18"/>
                <w:highlight w:val="none"/>
              </w:rPr>
            </w:r>
            <w:r/>
          </w:p>
        </w:tc>
        <w:tc>
          <w:tcPr>
            <w:tcW w:w="992" w:type="dxa"/>
            <w:vAlign w:val="center"/>
            <w:textDirection w:val="lrTb"/>
            <w:noWrap w:val="false"/>
          </w:tcPr>
          <w:p>
            <w:pPr>
              <w:pStyle w:val="1151"/>
              <w:jc w:val="center"/>
              <w:keepNext/>
              <w:spacing w:before="60" w:after="60" w:line="240" w:lineRule="atLeast"/>
              <w:rPr>
                <w:sz w:val="18"/>
                <w:szCs w:val="18"/>
                <w:highlight w:val="none"/>
              </w:rPr>
              <w:outlineLvl w:val="0"/>
            </w:pPr>
            <w:r>
              <w:rPr>
                <w:sz w:val="18"/>
                <w:szCs w:val="18"/>
                <w:highlight w:val="none"/>
              </w:rPr>
            </w:r>
            <w:r/>
          </w:p>
        </w:tc>
        <w:tc>
          <w:tcPr>
            <w:gridSpan w:val="2"/>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（项目单位提供）</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gridSpan w:val="2"/>
            <w:tcW w:w="3544" w:type="dxa"/>
            <w:vAlign w:val="center"/>
            <w:vMerge w:val="continue"/>
            <w:textDirection w:val="lrTb"/>
            <w:noWrap w:val="false"/>
          </w:tcPr>
          <w:p>
            <w:pPr>
              <w:pStyle w:val="1151"/>
              <w:jc w:val="center"/>
              <w:keepNext/>
              <w:spacing w:before="60" w:after="60" w:line="240" w:lineRule="atLeast"/>
              <w:rPr>
                <w:sz w:val="18"/>
                <w:szCs w:val="18"/>
                <w:highlight w:val="none"/>
              </w:rPr>
            </w:pPr>
            <w:r>
              <w:rPr>
                <w:sz w:val="18"/>
                <w:szCs w:val="18"/>
                <w:highlight w:val="none"/>
              </w:rPr>
            </w:r>
            <w:r/>
          </w:p>
        </w:tc>
        <w:tc>
          <w:tcPr>
            <w:tcW w:w="1134"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准确级</w:t>
            </w:r>
            <w:r>
              <w:rPr>
                <w:sz w:val="18"/>
                <w:szCs w:val="18"/>
                <w:highlight w:val="none"/>
              </w:rPr>
            </w:r>
            <w:r/>
          </w:p>
        </w:tc>
        <w:tc>
          <w:tcPr>
            <w:tcW w:w="992" w:type="dxa"/>
            <w:vAlign w:val="center"/>
            <w:textDirection w:val="lrTb"/>
            <w:noWrap w:val="false"/>
          </w:tcPr>
          <w:p>
            <w:pPr>
              <w:pStyle w:val="1151"/>
              <w:jc w:val="center"/>
              <w:keepNext/>
              <w:spacing w:before="60" w:after="60" w:line="240" w:lineRule="atLeast"/>
              <w:rPr>
                <w:sz w:val="18"/>
                <w:szCs w:val="18"/>
                <w:highlight w:val="none"/>
              </w:rPr>
              <w:outlineLvl w:val="0"/>
            </w:pPr>
            <w:r>
              <w:rPr>
                <w:sz w:val="18"/>
                <w:szCs w:val="18"/>
                <w:highlight w:val="none"/>
              </w:rPr>
            </w:r>
            <w:r/>
          </w:p>
        </w:tc>
        <w:tc>
          <w:tcPr>
            <w:gridSpan w:val="2"/>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（项目单位提供）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五</w:t>
            </w:r>
            <w:r>
              <w:rPr>
                <w:sz w:val="18"/>
                <w:szCs w:val="18"/>
                <w:highlight w:val="none"/>
              </w:rPr>
            </w:r>
            <w:r/>
          </w:p>
        </w:tc>
        <w:tc>
          <w:tcPr>
            <w:gridSpan w:val="6"/>
            <w:tcW w:w="850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电压互感器及熔断器参数</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1</w:t>
            </w:r>
            <w:r>
              <w:rPr>
                <w:sz w:val="18"/>
                <w:szCs w:val="18"/>
                <w:highlight w:val="none"/>
              </w:rPr>
            </w:r>
            <w:r/>
          </w:p>
        </w:tc>
        <w:tc>
          <w:tcPr>
            <w:gridSpan w:val="3"/>
            <w:tcW w:w="4678"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型式或型号</w:t>
            </w:r>
            <w:r>
              <w:rPr>
                <w:sz w:val="18"/>
                <w:szCs w:val="18"/>
                <w:highlight w:val="none"/>
              </w:rPr>
            </w:r>
            <w:r/>
          </w:p>
        </w:tc>
        <w:tc>
          <w:tcPr>
            <w:tcW w:w="992" w:type="dxa"/>
            <w:vAlign w:val="center"/>
            <w:textDirection w:val="lrTb"/>
            <w:noWrap w:val="false"/>
          </w:tcPr>
          <w:p>
            <w:pPr>
              <w:pStyle w:val="1151"/>
              <w:jc w:val="center"/>
              <w:spacing w:before="60" w:after="60"/>
              <w:rPr>
                <w:sz w:val="18"/>
                <w:szCs w:val="18"/>
                <w:highlight w:val="none"/>
              </w:rPr>
            </w:pPr>
            <w:r>
              <w:rPr>
                <w:sz w:val="18"/>
                <w:szCs w:val="18"/>
                <w:highlight w:val="none"/>
              </w:rPr>
            </w:r>
            <w:r/>
          </w:p>
        </w:tc>
        <w:tc>
          <w:tcPr>
            <w:gridSpan w:val="2"/>
            <w:tcW w:w="2835" w:type="dxa"/>
            <w:vAlign w:val="center"/>
            <w:textDirection w:val="lrTb"/>
            <w:noWrap w:val="false"/>
          </w:tcPr>
          <w:p>
            <w:pPr>
              <w:pStyle w:val="1151"/>
              <w:jc w:val="center"/>
              <w:spacing w:before="60" w:after="60"/>
              <w:rPr>
                <w:sz w:val="18"/>
                <w:szCs w:val="18"/>
                <w:highlight w:val="none"/>
              </w:rPr>
            </w:pPr>
            <w:r>
              <w:rPr>
                <w:sz w:val="18"/>
                <w:szCs w:val="18"/>
                <w:highlight w:val="none"/>
              </w:rPr>
              <w:t xml:space="preserve">电磁式（三相五柱式）</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2</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熔断器型式</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r>
            <w:r/>
          </w:p>
        </w:tc>
        <w:tc>
          <w:tcPr>
            <w:gridSpan w:val="2"/>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3</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熔断器的额定电流</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A</w:t>
            </w:r>
            <w:r>
              <w:rPr>
                <w:sz w:val="18"/>
                <w:szCs w:val="18"/>
                <w:highlight w:val="none"/>
              </w:rPr>
            </w:r>
            <w:r/>
          </w:p>
        </w:tc>
        <w:tc>
          <w:tcPr>
            <w:gridSpan w:val="2"/>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4</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熔断器的额定短路开断电流</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kA</w:t>
            </w:r>
            <w:r>
              <w:rPr>
                <w:sz w:val="18"/>
                <w:szCs w:val="18"/>
                <w:highlight w:val="none"/>
              </w:rPr>
            </w:r>
            <w:r/>
          </w:p>
        </w:tc>
        <w:tc>
          <w:tcPr>
            <w:gridSpan w:val="2"/>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六</w:t>
            </w:r>
            <w:r>
              <w:rPr>
                <w:sz w:val="18"/>
                <w:szCs w:val="18"/>
                <w:highlight w:val="none"/>
              </w:rPr>
            </w:r>
            <w:r/>
          </w:p>
        </w:tc>
        <w:tc>
          <w:tcPr>
            <w:gridSpan w:val="6"/>
            <w:tcW w:w="850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避雷器参数</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1</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雷电冲击电流下残压峰值（5kA，8/20μs）</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kV</w:t>
            </w:r>
            <w:r>
              <w:rPr>
                <w:sz w:val="18"/>
                <w:szCs w:val="18"/>
                <w:highlight w:val="none"/>
              </w:rPr>
            </w:r>
            <w:r/>
          </w:p>
        </w:tc>
        <w:tc>
          <w:tcPr>
            <w:gridSpan w:val="2"/>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45/50</w:t>
            </w:r>
            <w:r>
              <w:rPr>
                <w:sz w:val="18"/>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2</w:t>
            </w:r>
            <w:r>
              <w:rPr>
                <w:sz w:val="18"/>
                <w:szCs w:val="18"/>
                <w:highlight w:val="none"/>
              </w:rPr>
            </w:r>
            <w:r/>
          </w:p>
        </w:tc>
        <w:tc>
          <w:tcPr>
            <w:gridSpan w:val="3"/>
            <w:tcW w:w="467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75%直流1mA参考电压下的泄漏电流</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A</w:t>
            </w:r>
            <w:r>
              <w:rPr>
                <w:sz w:val="18"/>
                <w:szCs w:val="18"/>
                <w:highlight w:val="none"/>
              </w:rPr>
            </w:r>
            <w:r/>
          </w:p>
        </w:tc>
        <w:tc>
          <w:tcPr>
            <w:gridSpan w:val="2"/>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vMerge w:val="restart"/>
            <w:textDirection w:val="lrTb"/>
            <w:noWrap w:val="false"/>
          </w:tcPr>
          <w:p>
            <w:pPr>
              <w:pStyle w:val="1151"/>
              <w:jc w:val="center"/>
              <w:spacing w:before="52" w:after="52"/>
              <w:rPr>
                <w:sz w:val="18"/>
                <w:szCs w:val="18"/>
                <w:highlight w:val="none"/>
              </w:rPr>
            </w:pPr>
            <w:r>
              <w:rPr>
                <w:sz w:val="18"/>
                <w:szCs w:val="18"/>
                <w:highlight w:val="none"/>
              </w:rPr>
              <w:t xml:space="preserve">3</w:t>
            </w:r>
            <w:r>
              <w:rPr>
                <w:sz w:val="18"/>
                <w:szCs w:val="18"/>
                <w:highlight w:val="none"/>
              </w:rPr>
            </w:r>
            <w:r/>
          </w:p>
        </w:tc>
        <w:tc>
          <w:tcPr>
            <w:gridSpan w:val="2"/>
            <w:tcW w:w="3544" w:type="dxa"/>
            <w:vAlign w:val="center"/>
            <w:vMerge w:val="restart"/>
            <w:textDirection w:val="lrTb"/>
            <w:noWrap w:val="false"/>
          </w:tcPr>
          <w:p>
            <w:pPr>
              <w:pStyle w:val="1151"/>
              <w:jc w:val="center"/>
              <w:spacing w:before="52" w:after="52"/>
              <w:rPr>
                <w:sz w:val="18"/>
                <w:szCs w:val="18"/>
                <w:highlight w:val="none"/>
              </w:rPr>
            </w:pPr>
            <w:r>
              <w:rPr>
                <w:sz w:val="18"/>
                <w:szCs w:val="18"/>
                <w:highlight w:val="none"/>
              </w:rPr>
              <w:t xml:space="preserve">持续电流</w:t>
            </w:r>
            <w:r>
              <w:rPr>
                <w:sz w:val="18"/>
                <w:szCs w:val="18"/>
                <w:highlight w:val="none"/>
              </w:rPr>
            </w:r>
            <w:r/>
          </w:p>
        </w:tc>
        <w:tc>
          <w:tcPr>
            <w:tcW w:w="1134"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全电流</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mA</w:t>
            </w:r>
            <w:r>
              <w:rPr>
                <w:sz w:val="18"/>
                <w:szCs w:val="18"/>
                <w:highlight w:val="none"/>
              </w:rPr>
            </w:r>
            <w:r/>
          </w:p>
        </w:tc>
        <w:tc>
          <w:tcPr>
            <w:gridSpan w:val="2"/>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vMerge w:val="continue"/>
            <w:textDirection w:val="lrTb"/>
            <w:noWrap w:val="false"/>
          </w:tcPr>
          <w:p>
            <w:pPr>
              <w:pStyle w:val="1151"/>
              <w:jc w:val="center"/>
              <w:keepNext/>
              <w:spacing w:before="52" w:after="52" w:line="240" w:lineRule="atLeast"/>
              <w:rPr>
                <w:sz w:val="18"/>
                <w:szCs w:val="18"/>
                <w:highlight w:val="none"/>
              </w:rPr>
            </w:pPr>
            <w:r>
              <w:rPr>
                <w:sz w:val="18"/>
                <w:szCs w:val="18"/>
                <w:highlight w:val="none"/>
              </w:rPr>
            </w:r>
            <w:r/>
          </w:p>
        </w:tc>
        <w:tc>
          <w:tcPr>
            <w:gridSpan w:val="2"/>
            <w:tcW w:w="3544" w:type="dxa"/>
            <w:vAlign w:val="center"/>
            <w:vMerge w:val="continue"/>
            <w:textDirection w:val="lrTb"/>
            <w:noWrap w:val="false"/>
          </w:tcPr>
          <w:p>
            <w:pPr>
              <w:pStyle w:val="1151"/>
              <w:jc w:val="center"/>
              <w:keepNext/>
              <w:spacing w:before="52" w:after="52" w:line="240" w:lineRule="atLeast"/>
              <w:rPr>
                <w:sz w:val="18"/>
                <w:szCs w:val="18"/>
                <w:highlight w:val="none"/>
              </w:rPr>
            </w:pPr>
            <w:r>
              <w:rPr>
                <w:sz w:val="18"/>
                <w:szCs w:val="18"/>
                <w:highlight w:val="none"/>
              </w:rPr>
            </w:r>
            <w:r/>
          </w:p>
        </w:tc>
        <w:tc>
          <w:tcPr>
            <w:tcW w:w="1134"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阻性电流</w:t>
            </w:r>
            <w:r>
              <w:rPr>
                <w:sz w:val="18"/>
                <w:szCs w:val="18"/>
                <w:highlight w:val="none"/>
              </w:rPr>
            </w:r>
            <w:r/>
          </w:p>
        </w:tc>
        <w:tc>
          <w:tcPr>
            <w:tcW w:w="992"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A</w:t>
            </w:r>
            <w:r>
              <w:rPr>
                <w:sz w:val="18"/>
                <w:szCs w:val="18"/>
                <w:highlight w:val="none"/>
              </w:rPr>
            </w:r>
            <w:r/>
          </w:p>
        </w:tc>
        <w:tc>
          <w:tcPr>
            <w:gridSpan w:val="2"/>
            <w:tcW w:w="2835"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（投标人提供）</w:t>
            </w:r>
            <w:r>
              <w:rPr>
                <w:sz w:val="18"/>
                <w:szCs w:val="18"/>
                <w:highlight w:val="none"/>
              </w:rPr>
            </w:r>
            <w:r/>
          </w:p>
        </w:tc>
      </w:tr>
      <w:tr>
        <w:trPr>
          <w:cantSplit/>
          <w:gridAfter w:val="1"/>
        </w:trPr>
        <w:tc>
          <w:tcPr>
            <w:tcW w:w="848" w:type="dxa"/>
            <w:vAlign w:val="center"/>
            <w:textDirection w:val="lrTb"/>
            <w:noWrap w:val="false"/>
          </w:tcPr>
          <w:p>
            <w:pPr>
              <w:pStyle w:val="1151"/>
              <w:jc w:val="center"/>
              <w:spacing w:before="60" w:after="60"/>
              <w:rPr>
                <w:sz w:val="18"/>
                <w:szCs w:val="18"/>
                <w:highlight w:val="none"/>
              </w:rPr>
            </w:pPr>
            <w:r>
              <w:rPr>
                <w:rFonts w:hint="eastAsia"/>
                <w:sz w:val="18"/>
                <w:szCs w:val="18"/>
                <w:highlight w:val="none"/>
              </w:rPr>
              <w:t xml:space="preserve">七</w:t>
            </w:r>
            <w:r>
              <w:rPr>
                <w:sz w:val="18"/>
                <w:szCs w:val="18"/>
                <w:highlight w:val="none"/>
              </w:rPr>
            </w:r>
            <w:r/>
          </w:p>
        </w:tc>
        <w:tc>
          <w:tcPr>
            <w:gridSpan w:val="6"/>
            <w:tcW w:w="8505" w:type="dxa"/>
            <w:vAlign w:val="center"/>
            <w:textDirection w:val="lrTb"/>
            <w:noWrap w:val="false"/>
          </w:tcPr>
          <w:p>
            <w:pPr>
              <w:pStyle w:val="1176"/>
              <w:jc w:val="center"/>
              <w:spacing w:before="156" w:after="156"/>
              <w:rPr>
                <w:highlight w:val="none"/>
              </w:rPr>
            </w:pPr>
            <w:r>
              <w:rPr>
                <w:rFonts w:hint="eastAsia"/>
                <w:szCs w:val="21"/>
                <w:highlight w:val="none"/>
              </w:rPr>
              <w:t xml:space="preserve">箱体要求</w:t>
            </w:r>
            <w:r>
              <w:rPr>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sz w:val="18"/>
                <w:szCs w:val="18"/>
                <w:highlight w:val="none"/>
              </w:rPr>
              <w:t xml:space="preserve">1</w:t>
            </w:r>
            <w:r>
              <w:rPr>
                <w:sz w:val="18"/>
                <w:szCs w:val="18"/>
                <w:highlight w:val="none"/>
              </w:rPr>
            </w:r>
            <w:r/>
          </w:p>
        </w:tc>
        <w:tc>
          <w:tcPr>
            <w:gridSpan w:val="3"/>
            <w:tcW w:w="4678" w:type="dxa"/>
            <w:vAlign w:val="center"/>
            <w:textDirection w:val="lrTb"/>
            <w:noWrap w:val="false"/>
          </w:tcPr>
          <w:p>
            <w:pPr>
              <w:pStyle w:val="1176"/>
              <w:jc w:val="center"/>
              <w:spacing w:before="156" w:after="156"/>
              <w:rPr>
                <w:highlight w:val="none"/>
              </w:rPr>
            </w:pPr>
            <w:r>
              <w:rPr>
                <w:rFonts w:hint="eastAsia"/>
                <w:highlight w:val="none"/>
              </w:rPr>
              <w:t xml:space="preserve">外壳材质</w:t>
            </w:r>
            <w:r>
              <w:rPr>
                <w:highlight w:val="none"/>
              </w:rPr>
            </w:r>
            <w:r/>
          </w:p>
        </w:tc>
        <w:tc>
          <w:tcPr>
            <w:tcW w:w="992" w:type="dxa"/>
            <w:vAlign w:val="center"/>
            <w:textDirection w:val="lrTb"/>
            <w:noWrap w:val="false"/>
          </w:tcPr>
          <w:p>
            <w:pPr>
              <w:pStyle w:val="1176"/>
              <w:spacing w:before="156" w:after="156"/>
              <w:rPr>
                <w:highlight w:val="none"/>
              </w:rPr>
            </w:pPr>
            <w:r>
              <w:rPr>
                <w:highlight w:val="none"/>
              </w:rPr>
            </w:r>
            <w:r/>
          </w:p>
        </w:tc>
        <w:tc>
          <w:tcPr>
            <w:gridSpan w:val="2"/>
            <w:tcW w:w="2835" w:type="dxa"/>
            <w:vAlign w:val="center"/>
            <w:textDirection w:val="lrTb"/>
            <w:noWrap w:val="false"/>
          </w:tcPr>
          <w:p>
            <w:pPr>
              <w:pStyle w:val="1257"/>
              <w:jc w:val="center"/>
              <w:spacing w:before="56" w:after="56"/>
              <w:rPr>
                <w:szCs w:val="18"/>
                <w:highlight w:val="none"/>
              </w:rPr>
            </w:pPr>
            <w:r>
              <w:rPr>
                <w:rFonts w:hint="eastAsia"/>
                <w:highlight w:val="none"/>
              </w:rPr>
              <w:t xml:space="preserve">（投标人提供）</w:t>
            </w:r>
            <w:r>
              <w:rPr>
                <w:szCs w:val="18"/>
                <w:highlight w:val="none"/>
              </w:rPr>
            </w:r>
            <w:r/>
          </w:p>
        </w:tc>
      </w:tr>
      <w:tr>
        <w:trPr>
          <w:cantSplit/>
          <w:gridAfter w:val="1"/>
        </w:trPr>
        <w:tc>
          <w:tcPr>
            <w:tcW w:w="848" w:type="dxa"/>
            <w:vAlign w:val="center"/>
            <w:textDirection w:val="lrTb"/>
            <w:noWrap w:val="false"/>
          </w:tcPr>
          <w:p>
            <w:pPr>
              <w:pStyle w:val="1151"/>
              <w:jc w:val="center"/>
              <w:spacing w:before="52" w:after="52"/>
              <w:rPr>
                <w:sz w:val="18"/>
                <w:szCs w:val="18"/>
                <w:highlight w:val="none"/>
              </w:rPr>
            </w:pPr>
            <w:r>
              <w:rPr>
                <w:rFonts w:hint="eastAsia"/>
                <w:sz w:val="18"/>
                <w:szCs w:val="18"/>
                <w:highlight w:val="none"/>
              </w:rPr>
              <w:t xml:space="preserve">八</w:t>
            </w:r>
            <w:r>
              <w:rPr>
                <w:sz w:val="18"/>
                <w:szCs w:val="18"/>
                <w:highlight w:val="none"/>
              </w:rPr>
            </w:r>
            <w:r/>
          </w:p>
        </w:tc>
        <w:tc>
          <w:tcPr>
            <w:gridSpan w:val="6"/>
            <w:tcW w:w="8505" w:type="dxa"/>
            <w:vAlign w:val="center"/>
            <w:textDirection w:val="lrTb"/>
            <w:noWrap w:val="false"/>
          </w:tcPr>
          <w:p>
            <w:pPr>
              <w:pStyle w:val="1176"/>
              <w:jc w:val="center"/>
              <w:spacing w:before="156" w:after="156"/>
              <w:rPr>
                <w:highlight w:val="none"/>
              </w:rPr>
            </w:pPr>
            <w:r>
              <w:rPr>
                <w:highlight w:val="none"/>
              </w:rPr>
              <w:t xml:space="preserve">DTU</w:t>
            </w:r>
            <w:r>
              <w:rPr>
                <w:highlight w:val="none"/>
              </w:rPr>
            </w:r>
            <w:r/>
          </w:p>
        </w:tc>
      </w:tr>
      <w:tr>
        <w:trPr>
          <w:trHeight w:val="20"/>
        </w:trPr>
        <w:tc>
          <w:tcPr>
            <w:tcMar>
              <w:left w:w="0" w:type="dxa"/>
              <w:right w:w="0" w:type="dxa"/>
            </w:tcMar>
            <w:tcW w:w="848" w:type="dxa"/>
            <w:vAlign w:val="center"/>
            <w:textDirection w:val="lrTb"/>
            <w:noWrap w:val="false"/>
          </w:tcPr>
          <w:p>
            <w:pPr>
              <w:pStyle w:val="1151"/>
              <w:jc w:val="center"/>
              <w:rPr>
                <w:sz w:val="18"/>
                <w:szCs w:val="18"/>
                <w:highlight w:val="none"/>
              </w:rPr>
            </w:pPr>
            <w:r>
              <w:rPr>
                <w:rFonts w:hint="eastAsia"/>
                <w:sz w:val="18"/>
                <w:szCs w:val="18"/>
                <w:highlight w:val="none"/>
              </w:rPr>
              <w:t xml:space="preserve">1</w:t>
            </w:r>
            <w:r>
              <w:rPr>
                <w:sz w:val="18"/>
                <w:szCs w:val="18"/>
                <w:highlight w:val="none"/>
              </w:rPr>
            </w:r>
            <w:r/>
          </w:p>
        </w:tc>
        <w:tc>
          <w:tcPr>
            <w:tcMar>
              <w:left w:w="0" w:type="dxa"/>
              <w:right w:w="0" w:type="dxa"/>
            </w:tcMar>
            <w:tcW w:w="1371" w:type="dxa"/>
            <w:vAlign w:val="center"/>
            <w:textDirection w:val="lrTb"/>
            <w:noWrap w:val="false"/>
          </w:tcPr>
          <w:p>
            <w:pPr>
              <w:pStyle w:val="1176"/>
              <w:jc w:val="center"/>
              <w:spacing w:before="156" w:after="156"/>
              <w:rPr>
                <w:rFonts w:hAnsi="宋体"/>
                <w:highlight w:val="none"/>
              </w:rPr>
            </w:pPr>
            <w:r>
              <w:rPr>
                <w:rFonts w:hint="eastAsia"/>
                <w:highlight w:val="none"/>
              </w:rPr>
              <w:t xml:space="preserve">模拟量输入标称值</w:t>
            </w:r>
            <w:r>
              <w:rPr>
                <w:rFonts w:hAnsi="宋体"/>
                <w:highlight w:val="none"/>
              </w:rPr>
            </w:r>
            <w:r/>
          </w:p>
        </w:tc>
        <w:tc>
          <w:tcPr>
            <w:gridSpan w:val="2"/>
            <w:tcMar>
              <w:left w:w="0" w:type="dxa"/>
              <w:right w:w="0" w:type="dxa"/>
            </w:tcMar>
            <w:tcW w:w="3307" w:type="dxa"/>
            <w:vAlign w:val="center"/>
            <w:textDirection w:val="lrTb"/>
            <w:noWrap w:val="false"/>
          </w:tcPr>
          <w:p>
            <w:pPr>
              <w:pStyle w:val="1176"/>
              <w:jc w:val="center"/>
              <w:spacing w:before="156" w:after="156"/>
              <w:rPr>
                <w:rFonts w:hAnsi="宋体"/>
                <w:highlight w:val="none"/>
              </w:rPr>
            </w:pPr>
            <w:r>
              <w:rPr>
                <w:rFonts w:hint="eastAsia" w:hAnsi="宋体"/>
                <w:highlight w:val="none"/>
              </w:rPr>
              <w:t xml:space="preserve">相</w:t>
            </w:r>
            <w:r>
              <w:rPr>
                <w:rFonts w:hAnsi="宋体"/>
                <w:highlight w:val="none"/>
              </w:rPr>
              <w:t xml:space="preserve">电流</w:t>
            </w:r>
            <w:r>
              <w:rPr>
                <w:rFonts w:hAnsi="宋体"/>
                <w:highlight w:val="none"/>
              </w:rPr>
            </w:r>
            <w:r/>
          </w:p>
        </w:tc>
        <w:tc>
          <w:tcPr>
            <w:gridSpan w:val="2"/>
            <w:tcMar>
              <w:left w:w="0" w:type="dxa"/>
              <w:right w:w="0" w:type="dxa"/>
            </w:tcMar>
            <w:tcW w:w="1020" w:type="dxa"/>
            <w:vAlign w:val="center"/>
            <w:textDirection w:val="lrTb"/>
            <w:noWrap w:val="false"/>
          </w:tcPr>
          <w:p>
            <w:pPr>
              <w:pStyle w:val="1176"/>
              <w:jc w:val="center"/>
              <w:spacing w:before="156" w:after="156"/>
              <w:rPr>
                <w:rFonts w:hAnsi="宋体"/>
                <w:highlight w:val="none"/>
              </w:rPr>
            </w:pPr>
            <w:r>
              <w:rPr>
                <w:highlight w:val="none"/>
              </w:rPr>
              <w:t xml:space="preserve">A</w:t>
            </w:r>
            <w:r>
              <w:rPr>
                <w:rFonts w:hAnsi="宋体"/>
                <w:highlight w:val="none"/>
              </w:rPr>
            </w:r>
            <w:r/>
          </w:p>
        </w:tc>
        <w:tc>
          <w:tcPr>
            <w:gridSpan w:val="2"/>
            <w:tcMar>
              <w:left w:w="0" w:type="dxa"/>
              <w:right w:w="0" w:type="dxa"/>
            </w:tcMar>
            <w:tcW w:w="2835" w:type="dxa"/>
            <w:vAlign w:val="center"/>
            <w:textDirection w:val="lrTb"/>
            <w:noWrap w:val="false"/>
          </w:tcPr>
          <w:p>
            <w:pPr>
              <w:pStyle w:val="1151"/>
              <w:jc w:val="center"/>
              <w:rPr>
                <w:rFonts w:hAnsi="宋体"/>
                <w:sz w:val="18"/>
                <w:szCs w:val="18"/>
                <w:highlight w:val="none"/>
              </w:rPr>
            </w:pPr>
            <w:r>
              <w:rPr>
                <w:rFonts w:hAnsi="宋体"/>
                <w:sz w:val="18"/>
                <w:szCs w:val="18"/>
                <w:highlight w:val="none"/>
              </w:rPr>
              <w:t xml:space="preserve">1</w:t>
            </w:r>
            <w:r>
              <w:rPr>
                <w:rFonts w:hint="eastAsia" w:hAnsi="宋体"/>
                <w:sz w:val="18"/>
                <w:szCs w:val="18"/>
                <w:highlight w:val="none"/>
              </w:rPr>
              <w:t xml:space="preserve">或5</w:t>
            </w:r>
            <w:r>
              <w:rPr>
                <w:rFonts w:hAnsi="宋体"/>
                <w:sz w:val="18"/>
                <w:szCs w:val="18"/>
                <w:highlight w:val="none"/>
              </w:rPr>
            </w:r>
            <w:r/>
          </w:p>
        </w:tc>
      </w:tr>
      <w:tr>
        <w:trPr>
          <w:trHeight w:val="931"/>
        </w:trPr>
        <w:tc>
          <w:tcPr>
            <w:tcMar>
              <w:left w:w="0" w:type="dxa"/>
              <w:right w:w="0" w:type="dxa"/>
            </w:tcMar>
            <w:tcW w:w="848" w:type="dxa"/>
            <w:vAlign w:val="center"/>
            <w:vMerge w:val="restart"/>
            <w:textDirection w:val="lrTb"/>
            <w:noWrap w:val="false"/>
          </w:tcPr>
          <w:p>
            <w:pPr>
              <w:pStyle w:val="1151"/>
              <w:jc w:val="center"/>
              <w:tabs>
                <w:tab w:val="center" w:pos="286" w:leader="none"/>
              </w:tabs>
              <w:rPr>
                <w:sz w:val="18"/>
                <w:szCs w:val="18"/>
                <w:highlight w:val="none"/>
              </w:rPr>
            </w:pPr>
            <w:r>
              <w:rPr>
                <w:sz w:val="18"/>
                <w:szCs w:val="18"/>
                <w:highlight w:val="none"/>
              </w:rPr>
              <w:t xml:space="preserve">2</w:t>
            </w:r>
            <w:r>
              <w:rPr>
                <w:sz w:val="18"/>
                <w:szCs w:val="18"/>
                <w:highlight w:val="none"/>
              </w:rPr>
            </w:r>
            <w:r/>
          </w:p>
        </w:tc>
        <w:tc>
          <w:tcPr>
            <w:gridSpan w:val="3"/>
            <w:tcMar>
              <w:left w:w="0" w:type="dxa"/>
              <w:right w:w="0" w:type="dxa"/>
            </w:tcMar>
            <w:tcW w:w="4678" w:type="dxa"/>
            <w:vAlign w:val="center"/>
            <w:vMerge w:val="restart"/>
            <w:textDirection w:val="lrTb"/>
            <w:noWrap w:val="false"/>
          </w:tcPr>
          <w:p>
            <w:pPr>
              <w:pStyle w:val="1176"/>
              <w:jc w:val="center"/>
              <w:spacing w:before="56" w:after="56"/>
              <w:rPr>
                <w:highlight w:val="none"/>
              </w:rPr>
            </w:pPr>
            <w:r>
              <w:rPr>
                <w:rFonts w:hint="eastAsia"/>
                <w:highlight w:val="none"/>
              </w:rPr>
              <w:t xml:space="preserve">馈线自动化功能</w:t>
            </w:r>
            <w:r>
              <w:rPr>
                <w:highlight w:val="none"/>
              </w:rPr>
            </w:r>
            <w:r/>
          </w:p>
          <w:p>
            <w:pPr>
              <w:pStyle w:val="1176"/>
              <w:jc w:val="center"/>
              <w:spacing w:before="156" w:after="156"/>
              <w:rPr>
                <w:highlight w:val="none"/>
              </w:rPr>
            </w:pPr>
            <w:r>
              <w:rPr>
                <w:rFonts w:hint="eastAsia" w:ascii="宋体" w:hAnsi="宋体"/>
                <w:highlight w:val="none"/>
              </w:rPr>
              <w:t xml:space="preserve">（招标方根据需要填写“A”或“B”，二者选择其一，</w:t>
            </w:r>
            <w:r>
              <w:rPr>
                <w:rFonts w:hint="eastAsia"/>
                <w:highlight w:val="none"/>
              </w:rPr>
              <w:t xml:space="preserve">当招标方未说明选项时，默认只配置集中式馈线自动化功能，即选项A</w:t>
            </w:r>
            <w:r>
              <w:rPr>
                <w:rFonts w:hint="eastAsia" w:ascii="宋体" w:hAnsi="宋体"/>
                <w:highlight w:val="none"/>
              </w:rPr>
              <w:t xml:space="preserve">）</w:t>
            </w:r>
            <w:r>
              <w:rPr>
                <w:highlight w:val="none"/>
              </w:rPr>
            </w:r>
            <w:r/>
          </w:p>
        </w:tc>
        <w:tc>
          <w:tcPr>
            <w:gridSpan w:val="2"/>
            <w:tcMar>
              <w:left w:w="0" w:type="dxa"/>
              <w:right w:w="0" w:type="dxa"/>
            </w:tcMar>
            <w:tcW w:w="1020" w:type="dxa"/>
            <w:vAlign w:val="center"/>
            <w:textDirection w:val="lrTb"/>
            <w:noWrap w:val="false"/>
          </w:tcPr>
          <w:p>
            <w:pPr>
              <w:pStyle w:val="1151"/>
              <w:jc w:val="center"/>
              <w:rPr>
                <w:rFonts w:hAnsi="宋体"/>
                <w:sz w:val="18"/>
                <w:szCs w:val="18"/>
                <w:highlight w:val="none"/>
              </w:rPr>
            </w:pPr>
            <w:r>
              <w:rPr>
                <w:rFonts w:hint="eastAsia"/>
                <w:sz w:val="18"/>
                <w:szCs w:val="18"/>
                <w:highlight w:val="none"/>
              </w:rPr>
              <w:t xml:space="preserve">/</w:t>
            </w:r>
            <w:r>
              <w:rPr>
                <w:rFonts w:hAnsi="宋体"/>
                <w:sz w:val="18"/>
                <w:szCs w:val="18"/>
                <w:highlight w:val="none"/>
              </w:rPr>
            </w:r>
            <w:r/>
          </w:p>
        </w:tc>
        <w:tc>
          <w:tcPr>
            <w:gridSpan w:val="2"/>
            <w:tcMar>
              <w:left w:w="0" w:type="dxa"/>
              <w:right w:w="0" w:type="dxa"/>
            </w:tcMar>
            <w:tcW w:w="2835" w:type="dxa"/>
            <w:vAlign w:val="center"/>
            <w:textDirection w:val="lrTb"/>
            <w:noWrap w:val="false"/>
          </w:tcPr>
          <w:p>
            <w:pPr>
              <w:pStyle w:val="1151"/>
              <w:jc w:val="center"/>
              <w:rPr>
                <w:rFonts w:hAnsi="宋体"/>
                <w:sz w:val="18"/>
                <w:szCs w:val="18"/>
                <w:highlight w:val="none"/>
              </w:rPr>
            </w:pPr>
            <w:r>
              <w:rPr>
                <w:rFonts w:ascii="宋体" w:hAnsi="宋体"/>
                <w:sz w:val="18"/>
                <w:szCs w:val="18"/>
                <w:highlight w:val="none"/>
              </w:rPr>
              <w:t xml:space="preserve">A集中式馈线自动化功能</w:t>
            </w:r>
            <w:r>
              <w:rPr>
                <w:rFonts w:hAnsi="宋体"/>
                <w:sz w:val="18"/>
                <w:szCs w:val="18"/>
                <w:highlight w:val="none"/>
              </w:rPr>
            </w:r>
            <w:r/>
          </w:p>
        </w:tc>
      </w:tr>
      <w:tr>
        <w:trPr>
          <w:trHeight w:val="344"/>
        </w:trPr>
        <w:tc>
          <w:tcPr>
            <w:tcMar>
              <w:left w:w="0" w:type="dxa"/>
              <w:right w:w="0" w:type="dxa"/>
            </w:tcMar>
            <w:tcW w:w="848" w:type="dxa"/>
            <w:vAlign w:val="center"/>
            <w:vMerge w:val="continue"/>
            <w:textDirection w:val="lrTb"/>
            <w:noWrap w:val="false"/>
          </w:tcPr>
          <w:p>
            <w:pPr>
              <w:pStyle w:val="1151"/>
              <w:jc w:val="center"/>
              <w:tabs>
                <w:tab w:val="center" w:pos="286" w:leader="none"/>
              </w:tabs>
              <w:rPr>
                <w:sz w:val="18"/>
                <w:szCs w:val="18"/>
                <w:highlight w:val="none"/>
              </w:rPr>
            </w:pPr>
            <w:r>
              <w:rPr>
                <w:sz w:val="18"/>
                <w:szCs w:val="18"/>
                <w:highlight w:val="none"/>
              </w:rPr>
            </w:r>
            <w:r/>
          </w:p>
        </w:tc>
        <w:tc>
          <w:tcPr>
            <w:gridSpan w:val="3"/>
            <w:tcMar>
              <w:left w:w="0" w:type="dxa"/>
              <w:right w:w="0" w:type="dxa"/>
            </w:tcMar>
            <w:tcW w:w="4678" w:type="dxa"/>
            <w:vAlign w:val="center"/>
            <w:vMerge w:val="continue"/>
            <w:textDirection w:val="lrTb"/>
            <w:noWrap w:val="false"/>
          </w:tcPr>
          <w:p>
            <w:pPr>
              <w:pStyle w:val="1151"/>
              <w:jc w:val="center"/>
              <w:rPr>
                <w:rFonts w:hAnsi="宋体"/>
                <w:sz w:val="18"/>
                <w:szCs w:val="18"/>
                <w:highlight w:val="none"/>
              </w:rPr>
            </w:pPr>
            <w:r>
              <w:rPr>
                <w:rFonts w:hAnsi="宋体"/>
                <w:sz w:val="18"/>
                <w:szCs w:val="18"/>
                <w:highlight w:val="none"/>
              </w:rPr>
            </w:r>
            <w:r/>
          </w:p>
        </w:tc>
        <w:tc>
          <w:tcPr>
            <w:gridSpan w:val="2"/>
            <w:tcMar>
              <w:left w:w="0" w:type="dxa"/>
              <w:right w:w="0" w:type="dxa"/>
            </w:tcMar>
            <w:tcW w:w="1020" w:type="dxa"/>
            <w:vAlign w:val="center"/>
            <w:textDirection w:val="lrTb"/>
            <w:noWrap w:val="false"/>
          </w:tcPr>
          <w:p>
            <w:pPr>
              <w:pStyle w:val="1151"/>
              <w:jc w:val="center"/>
              <w:rPr>
                <w:rFonts w:hAnsi="宋体"/>
                <w:sz w:val="18"/>
                <w:szCs w:val="18"/>
                <w:highlight w:val="none"/>
              </w:rPr>
            </w:pPr>
            <w:r>
              <w:rPr>
                <w:rFonts w:hint="eastAsia"/>
                <w:sz w:val="18"/>
                <w:szCs w:val="18"/>
                <w:highlight w:val="none"/>
              </w:rPr>
              <w:t xml:space="preserve">/</w:t>
            </w:r>
            <w:r>
              <w:rPr>
                <w:rFonts w:hAnsi="宋体"/>
                <w:sz w:val="18"/>
                <w:szCs w:val="18"/>
                <w:highlight w:val="none"/>
              </w:rPr>
            </w:r>
            <w:r/>
          </w:p>
        </w:tc>
        <w:tc>
          <w:tcPr>
            <w:gridSpan w:val="2"/>
            <w:tcMar>
              <w:left w:w="0" w:type="dxa"/>
              <w:right w:w="0" w:type="dxa"/>
            </w:tcMar>
            <w:tcW w:w="2835" w:type="dxa"/>
            <w:vAlign w:val="center"/>
            <w:textDirection w:val="lrTb"/>
            <w:noWrap w:val="false"/>
          </w:tcPr>
          <w:p>
            <w:pPr>
              <w:pStyle w:val="1151"/>
              <w:jc w:val="center"/>
              <w:rPr>
                <w:rFonts w:hAnsi="宋体"/>
                <w:sz w:val="18"/>
                <w:szCs w:val="18"/>
                <w:highlight w:val="none"/>
              </w:rPr>
            </w:pPr>
            <w:r>
              <w:rPr>
                <w:rFonts w:ascii="宋体" w:hAnsi="宋体"/>
                <w:sz w:val="18"/>
                <w:szCs w:val="18"/>
                <w:highlight w:val="none"/>
              </w:rPr>
              <w:t xml:space="preserve">B</w:t>
            </w:r>
            <w:r>
              <w:rPr>
                <w:rFonts w:hint="eastAsia" w:ascii="宋体" w:hAnsi="宋体"/>
                <w:sz w:val="18"/>
                <w:szCs w:val="18"/>
                <w:highlight w:val="none"/>
              </w:rPr>
              <w:t xml:space="preserve">分布式</w:t>
            </w:r>
            <w:r>
              <w:rPr>
                <w:rFonts w:ascii="宋体" w:hAnsi="宋体"/>
                <w:sz w:val="18"/>
                <w:szCs w:val="18"/>
                <w:highlight w:val="none"/>
              </w:rPr>
              <w:t xml:space="preserve">+</w:t>
            </w:r>
            <w:r>
              <w:rPr>
                <w:rFonts w:hint="eastAsia" w:ascii="宋体" w:hAnsi="宋体"/>
                <w:sz w:val="18"/>
                <w:szCs w:val="18"/>
                <w:highlight w:val="none"/>
              </w:rPr>
              <w:t xml:space="preserve">集中式馈线自动化功能</w:t>
            </w:r>
            <w:r>
              <w:rPr>
                <w:rFonts w:hAnsi="宋体"/>
                <w:sz w:val="18"/>
                <w:szCs w:val="18"/>
                <w:highlight w:val="none"/>
              </w:rPr>
            </w:r>
            <w:r/>
          </w:p>
        </w:tc>
      </w:tr>
      <w:tr>
        <w:trPr>
          <w:trHeight w:val="20"/>
        </w:trPr>
        <w:tc>
          <w:tcPr>
            <w:tcMar>
              <w:left w:w="0" w:type="dxa"/>
              <w:right w:w="0" w:type="dxa"/>
            </w:tcMar>
            <w:tcW w:w="848" w:type="dxa"/>
            <w:vAlign w:val="center"/>
            <w:vMerge w:val="restart"/>
            <w:textDirection w:val="lrTb"/>
            <w:noWrap w:val="false"/>
          </w:tcPr>
          <w:p>
            <w:pPr>
              <w:pStyle w:val="1151"/>
              <w:jc w:val="center"/>
              <w:tabs>
                <w:tab w:val="center" w:pos="286" w:leader="none"/>
              </w:tabs>
              <w:rPr>
                <w:sz w:val="18"/>
                <w:szCs w:val="18"/>
                <w:highlight w:val="none"/>
              </w:rPr>
            </w:pPr>
            <w:r>
              <w:rPr>
                <w:sz w:val="18"/>
                <w:szCs w:val="18"/>
                <w:highlight w:val="none"/>
              </w:rPr>
              <w:t xml:space="preserve">3</w:t>
            </w:r>
            <w:r>
              <w:rPr>
                <w:sz w:val="18"/>
                <w:szCs w:val="18"/>
                <w:highlight w:val="none"/>
              </w:rPr>
            </w:r>
            <w:r/>
          </w:p>
        </w:tc>
        <w:tc>
          <w:tcPr>
            <w:gridSpan w:val="3"/>
            <w:tcMar>
              <w:left w:w="0" w:type="dxa"/>
              <w:right w:w="0" w:type="dxa"/>
            </w:tcMar>
            <w:tcW w:w="4678" w:type="dxa"/>
            <w:vAlign w:val="center"/>
            <w:vMerge w:val="restart"/>
            <w:textDirection w:val="lrTb"/>
            <w:noWrap w:val="false"/>
          </w:tcPr>
          <w:p>
            <w:pPr>
              <w:pStyle w:val="1151"/>
              <w:jc w:val="center"/>
              <w:rPr>
                <w:rFonts w:hAnsi="宋体"/>
                <w:sz w:val="18"/>
                <w:szCs w:val="18"/>
                <w:highlight w:val="none"/>
              </w:rPr>
            </w:pPr>
            <w:r>
              <w:rPr>
                <w:rFonts w:hint="eastAsia" w:hAnsi="宋体"/>
                <w:sz w:val="18"/>
                <w:szCs w:val="18"/>
                <w:highlight w:val="none"/>
              </w:rPr>
              <w:t xml:space="preserve">后备电源方式</w:t>
            </w:r>
            <w:r>
              <w:rPr>
                <w:rFonts w:hAnsi="宋体"/>
                <w:sz w:val="18"/>
                <w:szCs w:val="18"/>
                <w:highlight w:val="none"/>
              </w:rPr>
            </w:r>
            <w:r/>
          </w:p>
          <w:p>
            <w:pPr>
              <w:pStyle w:val="1151"/>
              <w:jc w:val="center"/>
              <w:rPr>
                <w:rFonts w:hAnsi="宋体"/>
                <w:sz w:val="18"/>
                <w:szCs w:val="18"/>
                <w:highlight w:val="none"/>
              </w:rPr>
            </w:pPr>
            <w:r>
              <w:rPr>
                <w:rFonts w:hint="eastAsia" w:hAnsi="宋体"/>
                <w:sz w:val="18"/>
                <w:szCs w:val="18"/>
                <w:highlight w:val="none"/>
              </w:rPr>
              <w:t xml:space="preserve">（招标方根据需要填写“A”或“B”或“C”，三者选择其一，</w:t>
            </w:r>
            <w:r>
              <w:rPr>
                <w:rFonts w:hint="eastAsia" w:ascii="宋体" w:hAnsi="宋体"/>
                <w:sz w:val="18"/>
                <w:szCs w:val="18"/>
                <w:highlight w:val="none"/>
              </w:rPr>
              <w:t xml:space="preserve">当招标方未说明选项时，默认只配置免维护阀控铅酸蓄电池，即选项A</w:t>
            </w:r>
            <w:r>
              <w:rPr>
                <w:rFonts w:hint="eastAsia" w:hAnsi="宋体"/>
                <w:sz w:val="18"/>
                <w:szCs w:val="18"/>
                <w:highlight w:val="none"/>
              </w:rPr>
              <w:t xml:space="preserve">）</w:t>
            </w:r>
            <w:r>
              <w:rPr>
                <w:rFonts w:hAnsi="宋体"/>
                <w:sz w:val="18"/>
                <w:szCs w:val="18"/>
                <w:highlight w:val="none"/>
              </w:rPr>
            </w:r>
            <w:r/>
          </w:p>
        </w:tc>
        <w:tc>
          <w:tcPr>
            <w:gridSpan w:val="2"/>
            <w:tcMar>
              <w:left w:w="0" w:type="dxa"/>
              <w:right w:w="0" w:type="dxa"/>
            </w:tcMar>
            <w:tcW w:w="1020" w:type="dxa"/>
            <w:vAlign w:val="center"/>
            <w:vMerge w:val="restart"/>
            <w:textDirection w:val="lrTb"/>
            <w:noWrap w:val="false"/>
          </w:tcPr>
          <w:p>
            <w:pPr>
              <w:pStyle w:val="1176"/>
              <w:jc w:val="center"/>
              <w:spacing w:before="62" w:after="62"/>
              <w:rPr>
                <w:rFonts w:hAnsi="宋体"/>
                <w:highlight w:val="none"/>
              </w:rPr>
            </w:pPr>
            <w:r>
              <w:rPr>
                <w:rFonts w:hint="eastAsia" w:hAnsi="宋体"/>
                <w:highlight w:val="none"/>
              </w:rPr>
              <w:t xml:space="preserve">/</w:t>
            </w:r>
            <w:r>
              <w:rPr>
                <w:rFonts w:hAnsi="宋体"/>
                <w:highlight w:val="none"/>
              </w:rPr>
            </w:r>
            <w:r/>
          </w:p>
        </w:tc>
        <w:tc>
          <w:tcPr>
            <w:gridSpan w:val="2"/>
            <w:tcMar>
              <w:left w:w="0" w:type="dxa"/>
              <w:right w:w="0" w:type="dxa"/>
            </w:tcMar>
            <w:tcW w:w="2835" w:type="dxa"/>
            <w:vAlign w:val="center"/>
            <w:textDirection w:val="lrTb"/>
            <w:noWrap w:val="false"/>
          </w:tcPr>
          <w:p>
            <w:pPr>
              <w:pStyle w:val="1151"/>
              <w:rPr>
                <w:rFonts w:hAnsi="宋体"/>
                <w:sz w:val="18"/>
                <w:szCs w:val="18"/>
                <w:highlight w:val="none"/>
              </w:rPr>
            </w:pPr>
            <w:r>
              <w:rPr>
                <w:rFonts w:hint="eastAsia" w:hAnsi="宋体"/>
                <w:sz w:val="18"/>
                <w:szCs w:val="18"/>
                <w:highlight w:val="none"/>
              </w:rPr>
              <w:t xml:space="preserve">A：免维护阀控铅酸蓄电池</w:t>
            </w:r>
            <w:r>
              <w:rPr>
                <w:rFonts w:hAnsi="宋体"/>
                <w:sz w:val="18"/>
                <w:szCs w:val="18"/>
                <w:highlight w:val="none"/>
              </w:rPr>
            </w:r>
            <w:r/>
          </w:p>
          <w:p>
            <w:pPr>
              <w:pStyle w:val="1151"/>
              <w:ind w:firstLine="360"/>
              <w:rPr>
                <w:rFonts w:hAnsi="宋体"/>
                <w:sz w:val="18"/>
                <w:szCs w:val="18"/>
                <w:highlight w:val="none"/>
              </w:rPr>
            </w:pPr>
            <w:r>
              <w:rPr>
                <w:rFonts w:hint="eastAsia" w:hAnsi="宋体"/>
                <w:sz w:val="18"/>
                <w:szCs w:val="18"/>
                <w:highlight w:val="none"/>
              </w:rPr>
              <w:t xml:space="preserve">额定电压DC48V，单节电池≥7Ah，使用寿命≥3年，保证完成各间隔“分-合-分”操作一次并维持配电终端及通信模块至少运行4小时。</w:t>
            </w:r>
            <w:r>
              <w:rPr>
                <w:rFonts w:hAnsi="宋体"/>
                <w:sz w:val="18"/>
                <w:szCs w:val="18"/>
                <w:highlight w:val="none"/>
              </w:rPr>
            </w:r>
            <w:r/>
          </w:p>
        </w:tc>
      </w:tr>
      <w:tr>
        <w:trPr>
          <w:trHeight w:val="938"/>
        </w:trPr>
        <w:tc>
          <w:tcPr>
            <w:tcMar>
              <w:left w:w="0" w:type="dxa"/>
              <w:right w:w="0" w:type="dxa"/>
            </w:tcMar>
            <w:tcW w:w="848" w:type="dxa"/>
            <w:vAlign w:val="center"/>
            <w:vMerge w:val="continue"/>
            <w:textDirection w:val="lrTb"/>
            <w:noWrap w:val="false"/>
          </w:tcPr>
          <w:p>
            <w:pPr>
              <w:pStyle w:val="1151"/>
              <w:jc w:val="center"/>
              <w:tabs>
                <w:tab w:val="center" w:pos="286" w:leader="none"/>
              </w:tabs>
              <w:rPr>
                <w:sz w:val="18"/>
                <w:szCs w:val="18"/>
                <w:highlight w:val="none"/>
              </w:rPr>
            </w:pPr>
            <w:r>
              <w:rPr>
                <w:sz w:val="18"/>
                <w:szCs w:val="18"/>
                <w:highlight w:val="none"/>
              </w:rPr>
            </w:r>
            <w:r/>
          </w:p>
        </w:tc>
        <w:tc>
          <w:tcPr>
            <w:gridSpan w:val="3"/>
            <w:tcMar>
              <w:left w:w="0" w:type="dxa"/>
              <w:right w:w="0" w:type="dxa"/>
            </w:tcMar>
            <w:tcW w:w="4678" w:type="dxa"/>
            <w:vAlign w:val="center"/>
            <w:vMerge w:val="continue"/>
            <w:textDirection w:val="lrTb"/>
            <w:noWrap w:val="false"/>
          </w:tcPr>
          <w:p>
            <w:pPr>
              <w:pStyle w:val="1151"/>
              <w:jc w:val="center"/>
              <w:rPr>
                <w:rFonts w:hAnsi="宋体"/>
                <w:sz w:val="18"/>
                <w:szCs w:val="18"/>
                <w:highlight w:val="none"/>
              </w:rPr>
            </w:pPr>
            <w:r>
              <w:rPr>
                <w:rFonts w:hAnsi="宋体"/>
                <w:sz w:val="18"/>
                <w:szCs w:val="18"/>
                <w:highlight w:val="none"/>
              </w:rPr>
            </w:r>
            <w:r/>
          </w:p>
        </w:tc>
        <w:tc>
          <w:tcPr>
            <w:gridSpan w:val="2"/>
            <w:tcMar>
              <w:left w:w="0" w:type="dxa"/>
              <w:right w:w="0" w:type="dxa"/>
            </w:tcMar>
            <w:tcW w:w="1020" w:type="dxa"/>
            <w:vAlign w:val="center"/>
            <w:vMerge w:val="continue"/>
            <w:textDirection w:val="lrTb"/>
            <w:noWrap w:val="false"/>
          </w:tcPr>
          <w:p>
            <w:pPr>
              <w:pStyle w:val="1151"/>
              <w:jc w:val="center"/>
              <w:rPr>
                <w:sz w:val="18"/>
                <w:szCs w:val="18"/>
                <w:highlight w:val="none"/>
              </w:rPr>
            </w:pPr>
            <w:r>
              <w:rPr>
                <w:sz w:val="18"/>
                <w:szCs w:val="18"/>
                <w:highlight w:val="none"/>
              </w:rPr>
            </w:r>
            <w:r/>
          </w:p>
        </w:tc>
        <w:tc>
          <w:tcPr>
            <w:gridSpan w:val="2"/>
            <w:tcMar>
              <w:left w:w="0" w:type="dxa"/>
              <w:right w:w="0" w:type="dxa"/>
            </w:tcMar>
            <w:tcW w:w="2835" w:type="dxa"/>
            <w:vAlign w:val="center"/>
            <w:textDirection w:val="lrTb"/>
            <w:noWrap w:val="false"/>
          </w:tcPr>
          <w:p>
            <w:pPr>
              <w:pStyle w:val="1151"/>
              <w:rPr>
                <w:rFonts w:hAnsi="宋体"/>
                <w:sz w:val="18"/>
                <w:szCs w:val="18"/>
                <w:highlight w:val="none"/>
              </w:rPr>
            </w:pPr>
            <w:r>
              <w:rPr>
                <w:rFonts w:hint="eastAsia" w:hAnsi="宋体"/>
                <w:sz w:val="18"/>
                <w:szCs w:val="18"/>
                <w:highlight w:val="none"/>
              </w:rPr>
              <w:t xml:space="preserve">B：超级电容</w:t>
            </w:r>
            <w:r>
              <w:rPr>
                <w:rFonts w:hAnsi="宋体"/>
                <w:sz w:val="18"/>
                <w:szCs w:val="18"/>
                <w:highlight w:val="none"/>
              </w:rPr>
            </w:r>
            <w:r/>
          </w:p>
          <w:p>
            <w:pPr>
              <w:pStyle w:val="1249"/>
              <w:ind w:left="113" w:firstLine="360"/>
              <w:spacing w:line="240" w:lineRule="auto"/>
              <w:rPr>
                <w:rFonts w:ascii="宋体" w:hAnsi="宋体"/>
                <w:sz w:val="18"/>
                <w:szCs w:val="18"/>
                <w:highlight w:val="none"/>
              </w:rPr>
            </w:pPr>
            <w:r>
              <w:rPr>
                <w:rFonts w:hint="eastAsia" w:hAnsi="宋体"/>
                <w:sz w:val="18"/>
                <w:szCs w:val="18"/>
                <w:highlight w:val="none"/>
              </w:rPr>
              <w:t xml:space="preserve">应保证各间隔分闸操作一次并维持配电终端及通信模块至少运行15分钟，使用寿命≥6年。</w:t>
            </w:r>
            <w:r>
              <w:rPr>
                <w:rFonts w:ascii="宋体" w:hAnsi="宋体"/>
                <w:sz w:val="18"/>
                <w:szCs w:val="18"/>
                <w:highlight w:val="none"/>
              </w:rPr>
            </w:r>
            <w:r/>
          </w:p>
        </w:tc>
      </w:tr>
      <w:tr>
        <w:trPr>
          <w:trHeight w:val="938"/>
        </w:trPr>
        <w:tc>
          <w:tcPr>
            <w:tcMar>
              <w:left w:w="0" w:type="dxa"/>
              <w:right w:w="0" w:type="dxa"/>
            </w:tcMar>
            <w:tcW w:w="848" w:type="dxa"/>
            <w:vAlign w:val="center"/>
            <w:vMerge w:val="continue"/>
            <w:textDirection w:val="lrTb"/>
            <w:noWrap w:val="false"/>
          </w:tcPr>
          <w:p>
            <w:pPr>
              <w:pStyle w:val="1151"/>
              <w:jc w:val="center"/>
              <w:tabs>
                <w:tab w:val="center" w:pos="286" w:leader="none"/>
              </w:tabs>
              <w:rPr>
                <w:sz w:val="18"/>
                <w:szCs w:val="18"/>
                <w:highlight w:val="none"/>
              </w:rPr>
            </w:pPr>
            <w:r>
              <w:rPr>
                <w:sz w:val="18"/>
                <w:szCs w:val="18"/>
                <w:highlight w:val="none"/>
              </w:rPr>
            </w:r>
            <w:r/>
          </w:p>
        </w:tc>
        <w:tc>
          <w:tcPr>
            <w:gridSpan w:val="3"/>
            <w:tcMar>
              <w:left w:w="0" w:type="dxa"/>
              <w:right w:w="0" w:type="dxa"/>
            </w:tcMar>
            <w:tcW w:w="4678" w:type="dxa"/>
            <w:vAlign w:val="center"/>
            <w:vMerge w:val="continue"/>
            <w:textDirection w:val="lrTb"/>
            <w:noWrap w:val="false"/>
          </w:tcPr>
          <w:p>
            <w:pPr>
              <w:pStyle w:val="1151"/>
              <w:jc w:val="center"/>
              <w:rPr>
                <w:rFonts w:hAnsi="宋体"/>
                <w:sz w:val="18"/>
                <w:szCs w:val="18"/>
                <w:highlight w:val="none"/>
              </w:rPr>
            </w:pPr>
            <w:r>
              <w:rPr>
                <w:rFonts w:hAnsi="宋体"/>
                <w:sz w:val="18"/>
                <w:szCs w:val="18"/>
                <w:highlight w:val="none"/>
              </w:rPr>
            </w:r>
            <w:r/>
          </w:p>
        </w:tc>
        <w:tc>
          <w:tcPr>
            <w:gridSpan w:val="2"/>
            <w:tcMar>
              <w:left w:w="0" w:type="dxa"/>
              <w:right w:w="0" w:type="dxa"/>
            </w:tcMar>
            <w:tcW w:w="1020" w:type="dxa"/>
            <w:vAlign w:val="center"/>
            <w:vMerge w:val="continue"/>
            <w:textDirection w:val="lrTb"/>
            <w:noWrap w:val="false"/>
          </w:tcPr>
          <w:p>
            <w:pPr>
              <w:pStyle w:val="1151"/>
              <w:jc w:val="center"/>
              <w:rPr>
                <w:sz w:val="18"/>
                <w:szCs w:val="18"/>
                <w:highlight w:val="none"/>
              </w:rPr>
            </w:pPr>
            <w:r>
              <w:rPr>
                <w:sz w:val="18"/>
                <w:szCs w:val="18"/>
                <w:highlight w:val="none"/>
              </w:rPr>
            </w:r>
            <w:r/>
          </w:p>
        </w:tc>
        <w:tc>
          <w:tcPr>
            <w:gridSpan w:val="2"/>
            <w:tcMar>
              <w:left w:w="0" w:type="dxa"/>
              <w:right w:w="0" w:type="dxa"/>
            </w:tcMar>
            <w:tcW w:w="2835" w:type="dxa"/>
            <w:vAlign w:val="center"/>
            <w:textDirection w:val="lrTb"/>
            <w:noWrap w:val="false"/>
          </w:tcPr>
          <w:p>
            <w:pPr>
              <w:pStyle w:val="1151"/>
              <w:spacing w:before="56" w:after="56"/>
              <w:rPr>
                <w:rFonts w:ascii="宋体" w:hAnsi="宋体"/>
                <w:sz w:val="18"/>
                <w:szCs w:val="18"/>
                <w:highlight w:val="none"/>
              </w:rPr>
            </w:pPr>
            <w:r>
              <w:rPr>
                <w:rFonts w:hint="eastAsia" w:ascii="宋体" w:hAnsi="宋体"/>
                <w:sz w:val="18"/>
                <w:szCs w:val="18"/>
                <w:highlight w:val="none"/>
              </w:rPr>
              <w:t xml:space="preserve">C、其他新型能源电池:</w:t>
            </w:r>
            <w:r>
              <w:rPr>
                <w:rFonts w:ascii="宋体" w:hAnsi="宋体"/>
                <w:sz w:val="18"/>
                <w:szCs w:val="18"/>
                <w:highlight w:val="none"/>
              </w:rPr>
            </w:r>
            <w:r/>
          </w:p>
          <w:p>
            <w:pPr>
              <w:pStyle w:val="1151"/>
              <w:ind w:firstLine="419"/>
              <w:spacing w:before="56" w:after="56"/>
              <w:rPr>
                <w:rFonts w:ascii="宋体" w:hAnsi="宋体"/>
                <w:sz w:val="18"/>
                <w:szCs w:val="18"/>
                <w:highlight w:val="none"/>
              </w:rPr>
            </w:pPr>
            <w:r>
              <w:rPr>
                <w:rFonts w:hint="eastAsia" w:ascii="宋体" w:hAnsi="宋体"/>
                <w:sz w:val="18"/>
                <w:szCs w:val="18"/>
                <w:highlight w:val="none"/>
              </w:rPr>
              <w:t xml:space="preserve">额定电压DC48V，使用寿命≥6年，</w:t>
            </w:r>
            <w:r>
              <w:rPr>
                <w:rFonts w:ascii="宋体" w:hAnsi="宋体"/>
                <w:sz w:val="18"/>
                <w:szCs w:val="18"/>
                <w:highlight w:val="none"/>
              </w:rPr>
              <w:t xml:space="preserve">保证完成</w:t>
            </w:r>
            <w:r>
              <w:rPr>
                <w:rFonts w:hint="eastAsia" w:ascii="宋体" w:hAnsi="宋体"/>
                <w:sz w:val="18"/>
                <w:szCs w:val="18"/>
                <w:highlight w:val="none"/>
              </w:rPr>
              <w:t xml:space="preserve">各间隔“</w:t>
            </w:r>
            <w:r>
              <w:rPr>
                <w:rFonts w:ascii="宋体" w:hAnsi="宋体"/>
                <w:sz w:val="18"/>
                <w:szCs w:val="18"/>
                <w:highlight w:val="none"/>
              </w:rPr>
              <w:t xml:space="preserve">分-合-分</w:t>
            </w:r>
            <w:r>
              <w:rPr>
                <w:rFonts w:hint="eastAsia" w:ascii="宋体" w:hAnsi="宋体"/>
                <w:sz w:val="18"/>
                <w:szCs w:val="18"/>
                <w:highlight w:val="none"/>
              </w:rPr>
              <w:t xml:space="preserve">”</w:t>
            </w:r>
            <w:r>
              <w:rPr>
                <w:rFonts w:ascii="宋体" w:hAnsi="宋体"/>
                <w:sz w:val="18"/>
                <w:szCs w:val="18"/>
                <w:highlight w:val="none"/>
              </w:rPr>
              <w:t xml:space="preserve">操作</w:t>
            </w:r>
            <w:r>
              <w:rPr>
                <w:rFonts w:hint="eastAsia" w:ascii="宋体" w:hAnsi="宋体"/>
                <w:sz w:val="18"/>
                <w:szCs w:val="18"/>
                <w:highlight w:val="none"/>
              </w:rPr>
              <w:t xml:space="preserve">一次</w:t>
            </w:r>
            <w:r>
              <w:rPr>
                <w:rFonts w:ascii="宋体" w:hAnsi="宋体"/>
                <w:sz w:val="18"/>
                <w:szCs w:val="18"/>
                <w:highlight w:val="none"/>
              </w:rPr>
              <w:t xml:space="preserve">并维持配电终端及通信模块至少运行4小时</w:t>
            </w:r>
            <w:r>
              <w:rPr>
                <w:rFonts w:hint="eastAsia" w:ascii="宋体" w:hAnsi="宋体"/>
                <w:sz w:val="18"/>
                <w:szCs w:val="18"/>
                <w:highlight w:val="none"/>
              </w:rPr>
              <w:t xml:space="preserve">。</w:t>
            </w:r>
            <w:r>
              <w:rPr>
                <w:rFonts w:ascii="宋体" w:hAnsi="宋体"/>
                <w:sz w:val="18"/>
                <w:szCs w:val="18"/>
                <w:highlight w:val="none"/>
              </w:rPr>
            </w:r>
            <w:r/>
          </w:p>
        </w:tc>
      </w:tr>
    </w:tbl>
    <w:p>
      <w:pPr>
        <w:pStyle w:val="1238"/>
        <w:jc w:val="left"/>
        <w:widowControl/>
        <w:rPr>
          <w:rFonts w:ascii="Times New Roman"/>
        </w:rPr>
        <w:outlineLvl w:val="0"/>
      </w:pPr>
      <w:r/>
      <w:bookmarkStart w:id="474" w:name="_Toc7548"/>
      <w:r/>
      <w:bookmarkStart w:id="475" w:name="_Toc21"/>
      <w:r>
        <w:rPr>
          <w:rFonts w:hint="eastAsia" w:ascii="Times New Roman"/>
        </w:rPr>
        <w:t xml:space="preserve">3</w:t>
      </w:r>
      <w:r>
        <w:rPr>
          <w:rFonts w:ascii="Times New Roman"/>
        </w:rPr>
        <w:t xml:space="preserve">　组件材料配置表</w:t>
      </w:r>
      <w:bookmarkEnd w:id="474"/>
      <w:r/>
      <w:bookmarkEnd w:id="475"/>
      <w:r>
        <w:rPr>
          <w:rFonts w:ascii="Times New Roman"/>
        </w:rPr>
      </w:r>
      <w:r/>
    </w:p>
    <w:p>
      <w:pPr>
        <w:pStyle w:val="1239"/>
        <w:rPr>
          <w:rFonts w:ascii="Times New Roman"/>
        </w:rPr>
      </w:pPr>
      <w:r>
        <w:rPr>
          <w:rFonts w:ascii="Times New Roman"/>
        </w:rPr>
        <w:t xml:space="preserve">表</w:t>
      </w:r>
      <w:r>
        <w:rPr>
          <w:rFonts w:hint="eastAsia" w:ascii="Times New Roman"/>
        </w:rPr>
        <w:t xml:space="preserve">3</w:t>
      </w:r>
      <w:r>
        <w:rPr>
          <w:rFonts w:ascii="Times New Roman"/>
        </w:rPr>
        <w:t xml:space="preserve"> 主要组部件材料表</w:t>
      </w:r>
      <w:r>
        <w:rPr>
          <w:rFonts w:ascii="Times New Roman"/>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6"/>
        <w:gridCol w:w="1053"/>
        <w:gridCol w:w="1781"/>
        <w:gridCol w:w="2505"/>
        <w:gridCol w:w="1057"/>
      </w:tblGrid>
      <w:tr>
        <w:trPr>
          <w:trHeight w:val="397"/>
        </w:trPr>
        <w:tc>
          <w:tcPr>
            <w:tcW w:w="2126" w:type="dxa"/>
            <w:vAlign w:val="center"/>
            <w:textDirection w:val="lrTb"/>
            <w:noWrap w:val="false"/>
          </w:tcPr>
          <w:p>
            <w:pPr>
              <w:pStyle w:val="1151"/>
              <w:jc w:val="center"/>
              <w:widowControl/>
              <w:rPr>
                <w:sz w:val="18"/>
                <w:szCs w:val="18"/>
              </w:rPr>
            </w:pPr>
            <w:r>
              <w:rPr>
                <w:sz w:val="18"/>
                <w:szCs w:val="18"/>
              </w:rPr>
              <w:t xml:space="preserve">组部件名称</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t xml:space="preserve">产品型号</w:t>
            </w: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t xml:space="preserve">供应商名称</w:t>
            </w: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t xml:space="preserve">原产地</w:t>
            </w: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t xml:space="preserve">备注</w:t>
            </w: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sz w:val="18"/>
                <w:szCs w:val="18"/>
              </w:rPr>
              <w:t xml:space="preserve">断路器</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sz w:val="18"/>
                <w:szCs w:val="18"/>
              </w:rPr>
              <w:t xml:space="preserve">真空灭弧室</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sz w:val="18"/>
                <w:szCs w:val="21"/>
              </w:rPr>
              <w:t xml:space="preserve">SF</w:t>
            </w:r>
            <w:r>
              <w:rPr>
                <w:sz w:val="18"/>
                <w:szCs w:val="21"/>
                <w:vertAlign w:val="subscript"/>
              </w:rPr>
              <w:t xml:space="preserve">6</w:t>
            </w:r>
            <w:r>
              <w:rPr>
                <w:sz w:val="18"/>
                <w:szCs w:val="18"/>
              </w:rPr>
              <w:t xml:space="preserve">气包</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sz w:val="18"/>
                <w:szCs w:val="18"/>
              </w:rPr>
              <w:t xml:space="preserve">操动机构</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sz w:val="18"/>
                <w:szCs w:val="18"/>
              </w:rPr>
              <w:t xml:space="preserve">隔离开关</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sz w:val="18"/>
                <w:szCs w:val="18"/>
              </w:rPr>
              <w:t xml:space="preserve">接地开关</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sz w:val="18"/>
                <w:szCs w:val="18"/>
              </w:rPr>
              <w:t xml:space="preserve">电流互感器</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sz w:val="18"/>
                <w:szCs w:val="18"/>
              </w:rPr>
              <w:t xml:space="preserve">避雷器</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sz w:val="18"/>
                <w:szCs w:val="18"/>
              </w:rPr>
              <w:t xml:space="preserve">指示仪表</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sz w:val="18"/>
                <w:szCs w:val="18"/>
              </w:rPr>
              <w:t xml:space="preserve">电流表</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sz w:val="18"/>
                <w:szCs w:val="18"/>
              </w:rPr>
              <w:t xml:space="preserve">带电显示器</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sz w:val="18"/>
                <w:szCs w:val="18"/>
              </w:rPr>
              <w:t xml:space="preserve">绝缘护套</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sz w:val="18"/>
                <w:szCs w:val="18"/>
              </w:rPr>
              <w:t xml:space="preserve">电缆附件</w:t>
            </w:r>
            <w:r>
              <w:rPr>
                <w:sz w:val="18"/>
                <w:szCs w:val="18"/>
              </w:rPr>
            </w:r>
            <w:r/>
          </w:p>
          <w:p>
            <w:pPr>
              <w:pStyle w:val="1151"/>
              <w:jc w:val="left"/>
              <w:widowControl/>
              <w:rPr>
                <w:sz w:val="18"/>
                <w:szCs w:val="18"/>
              </w:rPr>
            </w:pPr>
            <w:r>
              <w:rPr>
                <w:sz w:val="18"/>
                <w:szCs w:val="18"/>
              </w:rPr>
              <w:t xml:space="preserve">(含屏蔽组件)</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sz w:val="18"/>
                <w:szCs w:val="21"/>
              </w:rPr>
              <w:t xml:space="preserve">气体</w:t>
            </w:r>
            <w:r>
              <w:rPr>
                <w:sz w:val="18"/>
                <w:szCs w:val="18"/>
              </w:rPr>
              <w:t xml:space="preserve">压力表</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sz w:val="18"/>
                <w:szCs w:val="18"/>
              </w:rPr>
              <w:t xml:space="preserve">低压室</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sz w:val="18"/>
                <w:szCs w:val="18"/>
              </w:rPr>
              <w:t xml:space="preserve">二次元件</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rFonts w:hint="eastAsia"/>
                <w:sz w:val="18"/>
                <w:szCs w:val="18"/>
              </w:rPr>
              <w:t xml:space="preserve">集中式DTU</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rFonts w:hint="eastAsia"/>
                <w:sz w:val="18"/>
                <w:szCs w:val="18"/>
              </w:rPr>
              <w:t xml:space="preserve">箱体</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r>
        <w:trPr>
          <w:trHeight w:val="397"/>
        </w:trPr>
        <w:tc>
          <w:tcPr>
            <w:tcW w:w="2126" w:type="dxa"/>
            <w:vAlign w:val="center"/>
            <w:textDirection w:val="lrTb"/>
            <w:noWrap w:val="false"/>
          </w:tcPr>
          <w:p>
            <w:pPr>
              <w:pStyle w:val="1151"/>
              <w:jc w:val="left"/>
              <w:widowControl/>
              <w:rPr>
                <w:sz w:val="18"/>
                <w:szCs w:val="18"/>
              </w:rPr>
            </w:pPr>
            <w:r>
              <w:rPr>
                <w:sz w:val="18"/>
                <w:szCs w:val="18"/>
              </w:rPr>
              <w:t xml:space="preserve">其它未列入的组部件</w:t>
            </w:r>
            <w:r>
              <w:rPr>
                <w:sz w:val="18"/>
                <w:szCs w:val="18"/>
              </w:rPr>
            </w:r>
            <w:r/>
          </w:p>
        </w:tc>
        <w:tc>
          <w:tcPr>
            <w:tcW w:w="1053" w:type="dxa"/>
            <w:vAlign w:val="center"/>
            <w:textDirection w:val="lrTb"/>
            <w:noWrap w:val="false"/>
          </w:tcPr>
          <w:p>
            <w:pPr>
              <w:pStyle w:val="1151"/>
              <w:jc w:val="center"/>
              <w:widowControl/>
              <w:rPr>
                <w:sz w:val="18"/>
                <w:szCs w:val="18"/>
              </w:rPr>
            </w:pPr>
            <w:r>
              <w:rPr>
                <w:sz w:val="18"/>
                <w:szCs w:val="18"/>
              </w:rPr>
            </w:r>
            <w:r/>
          </w:p>
        </w:tc>
        <w:tc>
          <w:tcPr>
            <w:tcW w:w="1781" w:type="dxa"/>
            <w:vAlign w:val="center"/>
            <w:textDirection w:val="lrTb"/>
            <w:noWrap w:val="false"/>
          </w:tcPr>
          <w:p>
            <w:pPr>
              <w:pStyle w:val="1151"/>
              <w:jc w:val="center"/>
              <w:widowControl/>
              <w:rPr>
                <w:sz w:val="18"/>
                <w:szCs w:val="18"/>
              </w:rPr>
            </w:pPr>
            <w:r>
              <w:rPr>
                <w:sz w:val="18"/>
                <w:szCs w:val="18"/>
              </w:rPr>
            </w:r>
            <w:r/>
          </w:p>
        </w:tc>
        <w:tc>
          <w:tcPr>
            <w:tcW w:w="2505" w:type="dxa"/>
            <w:vAlign w:val="center"/>
            <w:textDirection w:val="lrTb"/>
            <w:noWrap w:val="false"/>
          </w:tcPr>
          <w:p>
            <w:pPr>
              <w:pStyle w:val="1151"/>
              <w:jc w:val="center"/>
              <w:widowControl/>
              <w:rPr>
                <w:sz w:val="18"/>
                <w:szCs w:val="18"/>
              </w:rPr>
            </w:pPr>
            <w:r>
              <w:rPr>
                <w:sz w:val="18"/>
                <w:szCs w:val="18"/>
              </w:rPr>
            </w:r>
            <w:r/>
          </w:p>
        </w:tc>
        <w:tc>
          <w:tcPr>
            <w:tcW w:w="1057" w:type="dxa"/>
            <w:vAlign w:val="center"/>
            <w:textDirection w:val="lrTb"/>
            <w:noWrap w:val="false"/>
          </w:tcPr>
          <w:p>
            <w:pPr>
              <w:pStyle w:val="1151"/>
              <w:jc w:val="center"/>
              <w:widowControl/>
              <w:rPr>
                <w:sz w:val="18"/>
                <w:szCs w:val="18"/>
              </w:rPr>
            </w:pPr>
            <w:r>
              <w:rPr>
                <w:sz w:val="18"/>
                <w:szCs w:val="18"/>
              </w:rPr>
            </w:r>
            <w:r/>
          </w:p>
        </w:tc>
      </w:tr>
    </w:tbl>
    <w:p>
      <w:pPr>
        <w:pStyle w:val="1238"/>
        <w:rPr>
          <w:rFonts w:ascii="Times New Roman"/>
        </w:rPr>
        <w:outlineLvl w:val="0"/>
      </w:pPr>
      <w:r>
        <w:rPr>
          <w:rFonts w:ascii="Times New Roman"/>
        </w:rPr>
      </w:r>
      <w:r/>
    </w:p>
    <w:p>
      <w:pPr>
        <w:pStyle w:val="1151"/>
        <w:rPr>
          <w:rFonts w:ascii="Times New Roman"/>
        </w:rPr>
      </w:pPr>
      <w:r>
        <w:rPr>
          <w:rFonts w:ascii="Times New Roman"/>
        </w:rPr>
      </w:r>
      <w:r/>
    </w:p>
    <w:p>
      <w:pPr>
        <w:pStyle w:val="1151"/>
        <w:rPr>
          <w:rFonts w:ascii="Times New Roman"/>
        </w:rPr>
      </w:pPr>
      <w:r>
        <w:rPr>
          <w:rFonts w:ascii="Times New Roman"/>
        </w:rPr>
      </w:r>
      <w:r/>
    </w:p>
    <w:p>
      <w:pPr>
        <w:pStyle w:val="1151"/>
        <w:rPr>
          <w:rFonts w:ascii="Times New Roman"/>
        </w:rPr>
      </w:pPr>
      <w:r>
        <w:rPr>
          <w:rFonts w:ascii="Times New Roman"/>
        </w:rPr>
      </w:r>
      <w:r/>
    </w:p>
    <w:p>
      <w:pPr>
        <w:pStyle w:val="1151"/>
        <w:rPr>
          <w:rFonts w:ascii="Times New Roman"/>
        </w:rPr>
      </w:pPr>
      <w:r>
        <w:rPr>
          <w:rFonts w:ascii="Times New Roman"/>
        </w:rPr>
      </w:r>
      <w:r/>
    </w:p>
    <w:p>
      <w:pPr>
        <w:pStyle w:val="1151"/>
        <w:rPr>
          <w:rFonts w:ascii="Times New Roman"/>
        </w:rPr>
      </w:pPr>
      <w:r>
        <w:rPr>
          <w:rFonts w:ascii="Times New Roman"/>
        </w:rPr>
      </w:r>
      <w:r/>
    </w:p>
    <w:p>
      <w:pPr>
        <w:pStyle w:val="1151"/>
        <w:jc w:val="left"/>
        <w:rPr>
          <w:rFonts w:ascii="Times New Roman"/>
        </w:rPr>
      </w:pPr>
      <w:r>
        <w:rPr>
          <w:rFonts w:ascii="Times New Roman"/>
        </w:rPr>
        <w:br w:type="page" w:clear="all"/>
      </w:r>
      <w:bookmarkStart w:id="476" w:name="_Toc20128"/>
      <w:r/>
      <w:bookmarkStart w:id="477" w:name="_Toc8356"/>
      <w:r>
        <w:rPr>
          <w:rFonts w:hint="eastAsia" w:ascii="Times New Roman"/>
        </w:rPr>
        <w:t xml:space="preserve">4</w:t>
      </w:r>
      <w:r>
        <w:rPr>
          <w:rFonts w:ascii="Times New Roman"/>
        </w:rPr>
        <w:t xml:space="preserve">　</w:t>
      </w:r>
      <w:bookmarkEnd w:id="468"/>
      <w:r>
        <w:rPr>
          <w:rFonts w:ascii="Times New Roman"/>
        </w:rPr>
        <w:t xml:space="preserve">使用环境条件表</w:t>
      </w:r>
      <w:bookmarkEnd w:id="476"/>
      <w:r/>
      <w:bookmarkEnd w:id="477"/>
      <w:r>
        <w:rPr>
          <w:rFonts w:ascii="Times New Roman"/>
        </w:rPr>
      </w:r>
      <w:r/>
    </w:p>
    <w:p>
      <w:pPr>
        <w:pStyle w:val="1151"/>
        <w:ind w:firstLine="420"/>
        <w:spacing w:line="312" w:lineRule="exact"/>
        <w:rPr>
          <w:szCs w:val="21"/>
        </w:rPr>
      </w:pPr>
      <w:r>
        <w:rPr>
          <w:szCs w:val="21"/>
        </w:rPr>
        <w:t xml:space="preserve">典型12kV环网</w:t>
      </w:r>
      <w:r>
        <w:rPr>
          <w:rFonts w:hint="eastAsia"/>
          <w:szCs w:val="21"/>
        </w:rPr>
        <w:t xml:space="preserve">箱</w:t>
      </w:r>
      <w:r>
        <w:rPr>
          <w:szCs w:val="21"/>
        </w:rPr>
        <w:t xml:space="preserve">使用环境条件见表</w:t>
      </w:r>
      <w:r>
        <w:rPr>
          <w:rFonts w:hint="eastAsia"/>
          <w:szCs w:val="21"/>
        </w:rPr>
        <w:t xml:space="preserve">4</w:t>
      </w:r>
      <w:r>
        <w:rPr>
          <w:szCs w:val="21"/>
        </w:rPr>
        <w:t xml:space="preserve">。特殊环境要求根据项目情况进行编制。</w:t>
      </w:r>
      <w:r>
        <w:rPr>
          <w:szCs w:val="21"/>
        </w:rPr>
      </w:r>
      <w:r/>
    </w:p>
    <w:p>
      <w:pPr>
        <w:pStyle w:val="1239"/>
        <w:tabs>
          <w:tab w:val="center" w:pos="4706" w:leader="none"/>
          <w:tab w:val="right" w:pos="9214" w:leader="none"/>
        </w:tabs>
        <w:rPr>
          <w:rFonts w:ascii="Times New Roman"/>
        </w:rPr>
      </w:pPr>
      <w:r>
        <w:rPr>
          <w:rFonts w:ascii="Times New Roman"/>
        </w:rPr>
        <w:t xml:space="preserve">表</w:t>
      </w:r>
      <w:r>
        <w:rPr>
          <w:rFonts w:hint="eastAsia" w:ascii="Times New Roman"/>
        </w:rPr>
        <w:t xml:space="preserve">4</w:t>
      </w:r>
      <w:r>
        <w:rPr>
          <w:rFonts w:ascii="Times New Roman"/>
        </w:rPr>
        <w:t xml:space="preserve">　</w:t>
      </w:r>
      <w:r>
        <w:rPr>
          <w:rFonts w:ascii="Times New Roman"/>
          <w:spacing w:val="30"/>
        </w:rPr>
        <w:t xml:space="preserve">使用环境条件</w:t>
      </w:r>
      <w:r>
        <w:rPr>
          <w:rFonts w:ascii="Times New Roman"/>
        </w:rPr>
        <w:t xml:space="preserve">表</w:t>
      </w:r>
      <w:r>
        <w:rPr>
          <w:rFonts w:ascii="Times New Roman"/>
        </w:rPr>
      </w:r>
      <w:r/>
    </w:p>
    <w:tbl>
      <w:tblPr>
        <w:tblW w:w="9411"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7"/>
        <w:gridCol w:w="2202"/>
        <w:gridCol w:w="2202"/>
        <w:gridCol w:w="1229"/>
        <w:gridCol w:w="2771"/>
      </w:tblGrid>
      <w:tr>
        <w:trPr/>
        <w:tc>
          <w:tcPr>
            <w:tcW w:w="1007" w:type="dxa"/>
            <w:vAlign w:val="center"/>
            <w:textDirection w:val="lrTb"/>
            <w:noWrap w:val="false"/>
          </w:tcPr>
          <w:p>
            <w:pPr>
              <w:pStyle w:val="1151"/>
              <w:jc w:val="center"/>
              <w:spacing w:before="60" w:after="60"/>
              <w:rPr>
                <w:bCs/>
                <w:sz w:val="18"/>
                <w:szCs w:val="18"/>
              </w:rPr>
            </w:pPr>
            <w:r>
              <w:rPr>
                <w:bCs/>
                <w:sz w:val="18"/>
                <w:szCs w:val="18"/>
              </w:rPr>
              <w:t xml:space="preserve">序号</w:t>
            </w:r>
            <w:r>
              <w:rPr>
                <w:bCs/>
                <w:sz w:val="18"/>
                <w:szCs w:val="18"/>
              </w:rPr>
            </w:r>
            <w:r/>
          </w:p>
        </w:tc>
        <w:tc>
          <w:tcPr>
            <w:gridSpan w:val="2"/>
            <w:tcW w:w="4404" w:type="dxa"/>
            <w:vAlign w:val="center"/>
            <w:textDirection w:val="lrTb"/>
            <w:noWrap w:val="false"/>
          </w:tcPr>
          <w:p>
            <w:pPr>
              <w:pStyle w:val="1151"/>
              <w:jc w:val="center"/>
              <w:spacing w:before="60" w:after="60"/>
              <w:rPr>
                <w:bCs/>
                <w:sz w:val="18"/>
                <w:szCs w:val="18"/>
              </w:rPr>
            </w:pPr>
            <w:r>
              <w:rPr>
                <w:bCs/>
                <w:sz w:val="18"/>
                <w:szCs w:val="18"/>
              </w:rPr>
              <w:t xml:space="preserve">名　　称</w:t>
            </w:r>
            <w:r>
              <w:rPr>
                <w:bCs/>
                <w:sz w:val="18"/>
                <w:szCs w:val="18"/>
              </w:rPr>
            </w:r>
            <w:r/>
          </w:p>
        </w:tc>
        <w:tc>
          <w:tcPr>
            <w:tcW w:w="1229" w:type="dxa"/>
            <w:vAlign w:val="center"/>
            <w:textDirection w:val="lrTb"/>
            <w:noWrap w:val="false"/>
          </w:tcPr>
          <w:p>
            <w:pPr>
              <w:pStyle w:val="1151"/>
              <w:jc w:val="center"/>
              <w:spacing w:before="60" w:after="60"/>
              <w:rPr>
                <w:bCs/>
                <w:sz w:val="18"/>
                <w:szCs w:val="18"/>
              </w:rPr>
            </w:pPr>
            <w:r>
              <w:rPr>
                <w:bCs/>
                <w:sz w:val="18"/>
                <w:szCs w:val="18"/>
              </w:rPr>
              <w:t xml:space="preserve">单位</w:t>
            </w:r>
            <w:r>
              <w:rPr>
                <w:bCs/>
                <w:sz w:val="18"/>
                <w:szCs w:val="18"/>
              </w:rPr>
            </w:r>
            <w:r/>
          </w:p>
        </w:tc>
        <w:tc>
          <w:tcPr>
            <w:tcW w:w="2771" w:type="dxa"/>
            <w:vAlign w:val="center"/>
            <w:textDirection w:val="lrTb"/>
            <w:noWrap w:val="false"/>
          </w:tcPr>
          <w:p>
            <w:pPr>
              <w:pStyle w:val="1151"/>
              <w:jc w:val="center"/>
              <w:spacing w:before="60" w:after="60"/>
              <w:rPr>
                <w:bCs/>
                <w:sz w:val="18"/>
                <w:szCs w:val="18"/>
              </w:rPr>
            </w:pPr>
            <w:r>
              <w:rPr>
                <w:bCs/>
                <w:sz w:val="18"/>
                <w:szCs w:val="18"/>
              </w:rPr>
              <w:t xml:space="preserve">项目需求值</w:t>
            </w:r>
            <w:r>
              <w:rPr>
                <w:bCs/>
                <w:sz w:val="18"/>
                <w:szCs w:val="18"/>
              </w:rPr>
            </w:r>
            <w:r/>
          </w:p>
        </w:tc>
      </w:tr>
      <w:tr>
        <w:trPr>
          <w:cantSplit/>
        </w:trPr>
        <w:tc>
          <w:tcPr>
            <w:tcW w:w="1007" w:type="dxa"/>
            <w:vAlign w:val="center"/>
            <w:vMerge w:val="restart"/>
            <w:textDirection w:val="lrTb"/>
            <w:noWrap w:val="false"/>
          </w:tcPr>
          <w:p>
            <w:pPr>
              <w:pStyle w:val="1151"/>
              <w:jc w:val="center"/>
              <w:spacing w:before="60" w:after="60"/>
              <w:rPr>
                <w:sz w:val="18"/>
                <w:szCs w:val="18"/>
              </w:rPr>
            </w:pPr>
            <w:r>
              <w:rPr>
                <w:sz w:val="18"/>
                <w:szCs w:val="18"/>
              </w:rPr>
              <w:t xml:space="preserve">1</w:t>
            </w:r>
            <w:r>
              <w:rPr>
                <w:sz w:val="18"/>
                <w:szCs w:val="18"/>
              </w:rPr>
            </w:r>
            <w:r/>
          </w:p>
        </w:tc>
        <w:tc>
          <w:tcPr>
            <w:tcW w:w="2202" w:type="dxa"/>
            <w:vAlign w:val="center"/>
            <w:vMerge w:val="restart"/>
            <w:textDirection w:val="lrTb"/>
            <w:noWrap w:val="false"/>
          </w:tcPr>
          <w:p>
            <w:pPr>
              <w:pStyle w:val="1151"/>
              <w:jc w:val="center"/>
              <w:spacing w:before="60" w:after="60"/>
              <w:rPr>
                <w:sz w:val="18"/>
                <w:szCs w:val="18"/>
              </w:rPr>
            </w:pPr>
            <w:r>
              <w:rPr>
                <w:sz w:val="18"/>
                <w:szCs w:val="18"/>
              </w:rPr>
              <w:t xml:space="preserve">周围空气温度</w:t>
            </w:r>
            <w:r>
              <w:rPr>
                <w:sz w:val="18"/>
                <w:szCs w:val="18"/>
              </w:rPr>
            </w:r>
            <w:r/>
          </w:p>
        </w:tc>
        <w:tc>
          <w:tcPr>
            <w:tcW w:w="2202" w:type="dxa"/>
            <w:vAlign w:val="center"/>
            <w:textDirection w:val="lrTb"/>
            <w:noWrap w:val="false"/>
          </w:tcPr>
          <w:p>
            <w:pPr>
              <w:pStyle w:val="1151"/>
              <w:jc w:val="center"/>
              <w:spacing w:before="60" w:after="60"/>
              <w:rPr>
                <w:sz w:val="18"/>
                <w:szCs w:val="18"/>
              </w:rPr>
            </w:pPr>
            <w:r>
              <w:rPr>
                <w:sz w:val="18"/>
                <w:szCs w:val="18"/>
              </w:rPr>
              <w:t xml:space="preserve">最高气温</w:t>
            </w:r>
            <w:r>
              <w:rPr>
                <w:sz w:val="18"/>
                <w:szCs w:val="18"/>
              </w:rPr>
            </w:r>
            <w:r/>
          </w:p>
        </w:tc>
        <w:tc>
          <w:tcPr>
            <w:tcW w:w="1229" w:type="dxa"/>
            <w:vAlign w:val="center"/>
            <w:vMerge w:val="restart"/>
            <w:textDirection w:val="lrTb"/>
            <w:noWrap w:val="false"/>
          </w:tcPr>
          <w:p>
            <w:pPr>
              <w:pStyle w:val="1151"/>
              <w:jc w:val="center"/>
              <w:spacing w:before="60" w:after="60"/>
              <w:rPr>
                <w:sz w:val="18"/>
                <w:szCs w:val="18"/>
              </w:rPr>
            </w:pPr>
            <w:r>
              <w:rPr>
                <w:sz w:val="18"/>
                <w:szCs w:val="18"/>
              </w:rPr>
              <w:t xml:space="preserve">℃</w:t>
            </w:r>
            <w:r>
              <w:rPr>
                <w:sz w:val="18"/>
                <w:szCs w:val="18"/>
              </w:rPr>
            </w:r>
            <w:r/>
          </w:p>
        </w:tc>
        <w:tc>
          <w:tcPr>
            <w:tcW w:w="2771" w:type="dxa"/>
            <w:vAlign w:val="center"/>
            <w:textDirection w:val="lrTb"/>
            <w:noWrap w:val="false"/>
          </w:tcPr>
          <w:p>
            <w:pPr>
              <w:pStyle w:val="1151"/>
              <w:jc w:val="center"/>
              <w:spacing w:before="60" w:after="60"/>
              <w:rPr>
                <w:sz w:val="18"/>
                <w:szCs w:val="18"/>
              </w:rPr>
            </w:pPr>
            <w:r>
              <w:rPr>
                <w:sz w:val="18"/>
                <w:szCs w:val="18"/>
              </w:rPr>
              <w:t xml:space="preserve">+40</w:t>
            </w:r>
            <w:r>
              <w:rPr>
                <w:sz w:val="18"/>
                <w:szCs w:val="18"/>
              </w:rPr>
            </w:r>
            <w:r/>
          </w:p>
        </w:tc>
      </w:tr>
      <w:tr>
        <w:trPr>
          <w:cantSplit/>
        </w:trPr>
        <w:tc>
          <w:tcPr>
            <w:tcW w:w="1007" w:type="dxa"/>
            <w:vAlign w:val="center"/>
            <w:vMerge w:val="continue"/>
            <w:textDirection w:val="lrTb"/>
            <w:noWrap w:val="false"/>
          </w:tcPr>
          <w:p>
            <w:pPr>
              <w:pStyle w:val="1151"/>
              <w:jc w:val="center"/>
              <w:keepNext/>
              <w:spacing w:before="60" w:after="60" w:line="240" w:lineRule="atLeast"/>
              <w:rPr>
                <w:sz w:val="18"/>
                <w:szCs w:val="18"/>
              </w:rPr>
              <w:outlineLvl w:val="0"/>
            </w:pPr>
            <w:r>
              <w:rPr>
                <w:sz w:val="18"/>
                <w:szCs w:val="18"/>
              </w:rPr>
            </w:r>
            <w:r/>
          </w:p>
        </w:tc>
        <w:tc>
          <w:tcPr>
            <w:tcW w:w="2202" w:type="dxa"/>
            <w:vAlign w:val="center"/>
            <w:vMerge w:val="continue"/>
            <w:textDirection w:val="lrTb"/>
            <w:noWrap w:val="false"/>
          </w:tcPr>
          <w:p>
            <w:pPr>
              <w:pStyle w:val="1151"/>
              <w:jc w:val="center"/>
              <w:keepNext/>
              <w:spacing w:before="60" w:after="60" w:line="240" w:lineRule="atLeast"/>
              <w:rPr>
                <w:sz w:val="18"/>
                <w:szCs w:val="18"/>
              </w:rPr>
              <w:outlineLvl w:val="0"/>
            </w:pPr>
            <w:r>
              <w:rPr>
                <w:sz w:val="18"/>
                <w:szCs w:val="18"/>
              </w:rPr>
            </w:r>
            <w:r/>
          </w:p>
        </w:tc>
        <w:tc>
          <w:tcPr>
            <w:tcW w:w="2202" w:type="dxa"/>
            <w:vAlign w:val="center"/>
            <w:textDirection w:val="lrTb"/>
            <w:noWrap w:val="false"/>
          </w:tcPr>
          <w:p>
            <w:pPr>
              <w:pStyle w:val="1151"/>
              <w:jc w:val="center"/>
              <w:spacing w:before="60" w:after="60"/>
              <w:rPr>
                <w:sz w:val="18"/>
                <w:szCs w:val="18"/>
              </w:rPr>
            </w:pPr>
            <w:r>
              <w:rPr>
                <w:sz w:val="18"/>
                <w:szCs w:val="18"/>
              </w:rPr>
              <w:t xml:space="preserve">最低气温</w:t>
            </w:r>
            <w:r>
              <w:rPr>
                <w:sz w:val="18"/>
                <w:szCs w:val="18"/>
              </w:rPr>
            </w:r>
            <w:r/>
          </w:p>
        </w:tc>
        <w:tc>
          <w:tcPr>
            <w:tcW w:w="1229" w:type="dxa"/>
            <w:vAlign w:val="center"/>
            <w:vMerge w:val="continue"/>
            <w:textDirection w:val="lrTb"/>
            <w:noWrap w:val="false"/>
          </w:tcPr>
          <w:p>
            <w:pPr>
              <w:pStyle w:val="1151"/>
              <w:jc w:val="center"/>
              <w:keepNext/>
              <w:spacing w:before="60" w:after="60" w:line="240" w:lineRule="atLeast"/>
              <w:rPr>
                <w:sz w:val="18"/>
                <w:szCs w:val="18"/>
              </w:rPr>
              <w:outlineLvl w:val="0"/>
            </w:pPr>
            <w:r>
              <w:rPr>
                <w:sz w:val="18"/>
                <w:szCs w:val="18"/>
              </w:rPr>
            </w:r>
            <w:r/>
          </w:p>
        </w:tc>
        <w:tc>
          <w:tcPr>
            <w:tcW w:w="2771" w:type="dxa"/>
            <w:vAlign w:val="center"/>
            <w:textDirection w:val="lrTb"/>
            <w:noWrap w:val="false"/>
          </w:tcPr>
          <w:p>
            <w:pPr>
              <w:pStyle w:val="1151"/>
              <w:jc w:val="center"/>
              <w:spacing w:before="60" w:after="60"/>
              <w:rPr>
                <w:sz w:val="18"/>
                <w:szCs w:val="18"/>
              </w:rPr>
            </w:pPr>
            <w:r>
              <w:rPr>
                <w:sz w:val="18"/>
                <w:szCs w:val="18"/>
              </w:rPr>
              <w:t xml:space="preserve">-25</w:t>
            </w:r>
            <w:r>
              <w:rPr>
                <w:sz w:val="18"/>
                <w:szCs w:val="18"/>
              </w:rPr>
            </w:r>
            <w:r/>
          </w:p>
        </w:tc>
      </w:tr>
      <w:tr>
        <w:trPr>
          <w:cantSplit/>
        </w:trPr>
        <w:tc>
          <w:tcPr>
            <w:tcW w:w="1007" w:type="dxa"/>
            <w:vAlign w:val="center"/>
            <w:vMerge w:val="continue"/>
            <w:textDirection w:val="lrTb"/>
            <w:noWrap w:val="false"/>
          </w:tcPr>
          <w:p>
            <w:pPr>
              <w:pStyle w:val="1151"/>
              <w:jc w:val="center"/>
              <w:keepNext/>
              <w:spacing w:before="60" w:after="60" w:line="240" w:lineRule="atLeast"/>
              <w:rPr>
                <w:sz w:val="18"/>
                <w:szCs w:val="18"/>
              </w:rPr>
              <w:outlineLvl w:val="0"/>
            </w:pPr>
            <w:r>
              <w:rPr>
                <w:sz w:val="18"/>
                <w:szCs w:val="18"/>
              </w:rPr>
            </w:r>
            <w:r/>
          </w:p>
        </w:tc>
        <w:tc>
          <w:tcPr>
            <w:tcW w:w="2202" w:type="dxa"/>
            <w:vAlign w:val="center"/>
            <w:vMerge w:val="continue"/>
            <w:textDirection w:val="lrTb"/>
            <w:noWrap w:val="false"/>
          </w:tcPr>
          <w:p>
            <w:pPr>
              <w:pStyle w:val="1151"/>
              <w:jc w:val="center"/>
              <w:keepNext/>
              <w:spacing w:before="60" w:after="60" w:line="240" w:lineRule="atLeast"/>
              <w:rPr>
                <w:sz w:val="18"/>
                <w:szCs w:val="18"/>
              </w:rPr>
              <w:outlineLvl w:val="0"/>
            </w:pPr>
            <w:r>
              <w:rPr>
                <w:sz w:val="18"/>
                <w:szCs w:val="18"/>
              </w:rPr>
            </w:r>
            <w:r/>
          </w:p>
        </w:tc>
        <w:tc>
          <w:tcPr>
            <w:tcW w:w="2202" w:type="dxa"/>
            <w:vAlign w:val="center"/>
            <w:textDirection w:val="lrTb"/>
            <w:noWrap w:val="false"/>
          </w:tcPr>
          <w:p>
            <w:pPr>
              <w:pStyle w:val="1151"/>
              <w:jc w:val="center"/>
              <w:spacing w:before="60" w:after="60"/>
              <w:rPr>
                <w:sz w:val="18"/>
                <w:szCs w:val="18"/>
              </w:rPr>
            </w:pPr>
            <w:r>
              <w:rPr>
                <w:sz w:val="18"/>
                <w:szCs w:val="18"/>
              </w:rPr>
              <w:t xml:space="preserve">最大日温差</w:t>
            </w:r>
            <w:r>
              <w:rPr>
                <w:sz w:val="18"/>
                <w:szCs w:val="18"/>
              </w:rPr>
            </w:r>
            <w:r/>
          </w:p>
        </w:tc>
        <w:tc>
          <w:tcPr>
            <w:tcW w:w="1229" w:type="dxa"/>
            <w:vAlign w:val="center"/>
            <w:textDirection w:val="lrTb"/>
            <w:noWrap w:val="false"/>
          </w:tcPr>
          <w:p>
            <w:pPr>
              <w:pStyle w:val="1151"/>
              <w:jc w:val="center"/>
              <w:spacing w:before="60" w:after="60"/>
              <w:rPr>
                <w:sz w:val="18"/>
                <w:szCs w:val="18"/>
              </w:rPr>
            </w:pPr>
            <w:r>
              <w:rPr>
                <w:sz w:val="18"/>
                <w:szCs w:val="18"/>
              </w:rPr>
              <w:t xml:space="preserve">K</w:t>
            </w:r>
            <w:r>
              <w:rPr>
                <w:sz w:val="18"/>
                <w:szCs w:val="18"/>
              </w:rPr>
            </w:r>
            <w:r/>
          </w:p>
        </w:tc>
        <w:tc>
          <w:tcPr>
            <w:tcW w:w="2771" w:type="dxa"/>
            <w:vAlign w:val="center"/>
            <w:textDirection w:val="lrTb"/>
            <w:noWrap w:val="false"/>
          </w:tcPr>
          <w:p>
            <w:pPr>
              <w:pStyle w:val="1151"/>
              <w:jc w:val="center"/>
              <w:spacing w:before="60" w:after="60"/>
              <w:rPr>
                <w:sz w:val="18"/>
                <w:szCs w:val="18"/>
              </w:rPr>
            </w:pPr>
            <w:r>
              <w:rPr>
                <w:sz w:val="18"/>
                <w:szCs w:val="18"/>
              </w:rPr>
              <w:t xml:space="preserve">25</w:t>
            </w:r>
            <w:r>
              <w:rPr>
                <w:sz w:val="18"/>
                <w:szCs w:val="18"/>
              </w:rPr>
            </w:r>
            <w:r/>
          </w:p>
        </w:tc>
      </w:tr>
      <w:tr>
        <w:trPr/>
        <w:tc>
          <w:tcPr>
            <w:tcW w:w="1007" w:type="dxa"/>
            <w:vAlign w:val="center"/>
            <w:textDirection w:val="lrTb"/>
            <w:noWrap w:val="false"/>
          </w:tcPr>
          <w:p>
            <w:pPr>
              <w:pStyle w:val="1151"/>
              <w:jc w:val="center"/>
              <w:spacing w:before="60" w:after="60"/>
              <w:rPr>
                <w:sz w:val="18"/>
                <w:szCs w:val="18"/>
              </w:rPr>
            </w:pPr>
            <w:r>
              <w:rPr>
                <w:sz w:val="18"/>
                <w:szCs w:val="18"/>
              </w:rPr>
              <w:t xml:space="preserve">2</w:t>
            </w:r>
            <w:r>
              <w:rPr>
                <w:sz w:val="18"/>
                <w:szCs w:val="18"/>
              </w:rPr>
            </w:r>
            <w:r/>
          </w:p>
        </w:tc>
        <w:tc>
          <w:tcPr>
            <w:gridSpan w:val="2"/>
            <w:tcW w:w="4404" w:type="dxa"/>
            <w:vAlign w:val="center"/>
            <w:textDirection w:val="lrTb"/>
            <w:noWrap w:val="false"/>
          </w:tcPr>
          <w:p>
            <w:pPr>
              <w:pStyle w:val="1151"/>
              <w:jc w:val="center"/>
              <w:spacing w:before="60" w:after="60"/>
              <w:rPr>
                <w:sz w:val="18"/>
                <w:szCs w:val="18"/>
              </w:rPr>
            </w:pPr>
            <w:r>
              <w:rPr>
                <w:sz w:val="18"/>
                <w:szCs w:val="18"/>
              </w:rPr>
              <w:t xml:space="preserve">海拔</w:t>
            </w:r>
            <w:r>
              <w:rPr>
                <w:sz w:val="18"/>
                <w:szCs w:val="18"/>
              </w:rPr>
            </w:r>
            <w:r/>
          </w:p>
        </w:tc>
        <w:tc>
          <w:tcPr>
            <w:tcW w:w="1229" w:type="dxa"/>
            <w:vAlign w:val="center"/>
            <w:textDirection w:val="lrTb"/>
            <w:noWrap w:val="false"/>
          </w:tcPr>
          <w:p>
            <w:pPr>
              <w:pStyle w:val="1151"/>
              <w:jc w:val="center"/>
              <w:spacing w:before="60" w:after="60"/>
              <w:rPr>
                <w:sz w:val="18"/>
                <w:szCs w:val="18"/>
              </w:rPr>
            </w:pPr>
            <w:r>
              <w:rPr>
                <w:sz w:val="18"/>
                <w:szCs w:val="18"/>
              </w:rPr>
              <w:t xml:space="preserve">m</w:t>
            </w:r>
            <w:r>
              <w:rPr>
                <w:sz w:val="18"/>
                <w:szCs w:val="18"/>
              </w:rPr>
            </w:r>
            <w:r/>
          </w:p>
        </w:tc>
        <w:tc>
          <w:tcPr>
            <w:tcW w:w="2771" w:type="dxa"/>
            <w:vAlign w:val="center"/>
            <w:textDirection w:val="lrTb"/>
            <w:noWrap w:val="false"/>
          </w:tcPr>
          <w:p>
            <w:pPr>
              <w:pStyle w:val="1151"/>
              <w:jc w:val="center"/>
              <w:spacing w:before="60" w:after="60"/>
              <w:rPr>
                <w:sz w:val="18"/>
                <w:szCs w:val="18"/>
              </w:rPr>
            </w:pPr>
            <w:r>
              <w:rPr>
                <w:sz w:val="18"/>
                <w:szCs w:val="18"/>
              </w:rPr>
              <w:t xml:space="preserve">≤1000</w:t>
            </w:r>
            <w:r>
              <w:rPr>
                <w:sz w:val="18"/>
                <w:szCs w:val="18"/>
              </w:rPr>
            </w:r>
            <w:r/>
          </w:p>
        </w:tc>
      </w:tr>
      <w:tr>
        <w:trPr/>
        <w:tc>
          <w:tcPr>
            <w:tcW w:w="1007" w:type="dxa"/>
            <w:vAlign w:val="center"/>
            <w:textDirection w:val="lrTb"/>
            <w:noWrap w:val="false"/>
          </w:tcPr>
          <w:p>
            <w:pPr>
              <w:pStyle w:val="1151"/>
              <w:jc w:val="center"/>
              <w:spacing w:before="60" w:after="60"/>
              <w:rPr>
                <w:sz w:val="18"/>
                <w:szCs w:val="18"/>
              </w:rPr>
            </w:pPr>
            <w:r>
              <w:rPr>
                <w:sz w:val="18"/>
                <w:szCs w:val="18"/>
              </w:rPr>
              <w:t xml:space="preserve">3</w:t>
            </w:r>
            <w:r>
              <w:rPr>
                <w:sz w:val="18"/>
                <w:szCs w:val="18"/>
              </w:rPr>
            </w:r>
            <w:r/>
          </w:p>
        </w:tc>
        <w:tc>
          <w:tcPr>
            <w:gridSpan w:val="2"/>
            <w:tcW w:w="4404" w:type="dxa"/>
            <w:vAlign w:val="center"/>
            <w:textDirection w:val="lrTb"/>
            <w:noWrap w:val="false"/>
          </w:tcPr>
          <w:p>
            <w:pPr>
              <w:pStyle w:val="1151"/>
              <w:jc w:val="center"/>
              <w:spacing w:before="60" w:after="60"/>
              <w:rPr>
                <w:sz w:val="18"/>
                <w:szCs w:val="18"/>
              </w:rPr>
            </w:pPr>
            <w:r>
              <w:rPr>
                <w:sz w:val="18"/>
                <w:szCs w:val="18"/>
              </w:rPr>
              <w:t xml:space="preserve">太阳辐射强度</w:t>
            </w:r>
            <w:r>
              <w:rPr>
                <w:sz w:val="18"/>
                <w:szCs w:val="18"/>
              </w:rPr>
            </w:r>
            <w:r/>
          </w:p>
        </w:tc>
        <w:tc>
          <w:tcPr>
            <w:tcW w:w="1229" w:type="dxa"/>
            <w:vAlign w:val="center"/>
            <w:textDirection w:val="lrTb"/>
            <w:noWrap w:val="false"/>
          </w:tcPr>
          <w:p>
            <w:pPr>
              <w:pStyle w:val="1151"/>
              <w:jc w:val="center"/>
              <w:spacing w:before="60" w:after="60"/>
              <w:rPr>
                <w:sz w:val="18"/>
                <w:szCs w:val="18"/>
              </w:rPr>
            </w:pPr>
            <w:r>
              <w:rPr>
                <w:sz w:val="18"/>
                <w:szCs w:val="18"/>
              </w:rPr>
              <w:t xml:space="preserve">W/cm</w:t>
            </w:r>
            <w:r>
              <w:rPr>
                <w:sz w:val="18"/>
                <w:szCs w:val="18"/>
                <w:vertAlign w:val="superscript"/>
              </w:rPr>
              <w:t xml:space="preserve">2</w:t>
            </w:r>
            <w:r>
              <w:rPr>
                <w:sz w:val="18"/>
                <w:szCs w:val="18"/>
              </w:rPr>
            </w:r>
            <w:r/>
          </w:p>
        </w:tc>
        <w:tc>
          <w:tcPr>
            <w:tcW w:w="2771" w:type="dxa"/>
            <w:vAlign w:val="center"/>
            <w:textDirection w:val="lrTb"/>
            <w:noWrap w:val="false"/>
          </w:tcPr>
          <w:p>
            <w:pPr>
              <w:pStyle w:val="1151"/>
              <w:jc w:val="center"/>
              <w:spacing w:before="60" w:after="60"/>
              <w:rPr>
                <w:sz w:val="18"/>
                <w:szCs w:val="18"/>
              </w:rPr>
            </w:pPr>
            <w:r>
              <w:rPr>
                <w:sz w:val="18"/>
                <w:szCs w:val="18"/>
              </w:rPr>
              <w:t xml:space="preserve">0.1</w:t>
            </w:r>
            <w:r>
              <w:rPr>
                <w:sz w:val="18"/>
                <w:szCs w:val="18"/>
              </w:rPr>
            </w:r>
            <w:r/>
          </w:p>
        </w:tc>
      </w:tr>
      <w:tr>
        <w:trPr/>
        <w:tc>
          <w:tcPr>
            <w:tcW w:w="1007" w:type="dxa"/>
            <w:vAlign w:val="center"/>
            <w:textDirection w:val="lrTb"/>
            <w:noWrap w:val="false"/>
          </w:tcPr>
          <w:p>
            <w:pPr>
              <w:pStyle w:val="1151"/>
              <w:jc w:val="center"/>
              <w:spacing w:before="60" w:after="60"/>
              <w:rPr>
                <w:sz w:val="18"/>
                <w:szCs w:val="18"/>
              </w:rPr>
            </w:pPr>
            <w:r>
              <w:rPr>
                <w:sz w:val="18"/>
                <w:szCs w:val="18"/>
              </w:rPr>
              <w:t xml:space="preserve">4</w:t>
            </w:r>
            <w:r>
              <w:rPr>
                <w:sz w:val="18"/>
                <w:szCs w:val="18"/>
              </w:rPr>
            </w:r>
            <w:r/>
          </w:p>
        </w:tc>
        <w:tc>
          <w:tcPr>
            <w:gridSpan w:val="2"/>
            <w:tcW w:w="4404" w:type="dxa"/>
            <w:vAlign w:val="center"/>
            <w:textDirection w:val="lrTb"/>
            <w:noWrap w:val="false"/>
          </w:tcPr>
          <w:p>
            <w:pPr>
              <w:pStyle w:val="1151"/>
              <w:jc w:val="center"/>
              <w:spacing w:before="60" w:after="60"/>
              <w:rPr>
                <w:sz w:val="18"/>
                <w:szCs w:val="18"/>
              </w:rPr>
            </w:pPr>
            <w:r>
              <w:rPr>
                <w:sz w:val="18"/>
                <w:szCs w:val="18"/>
              </w:rPr>
              <w:t xml:space="preserve">污秽等级</w:t>
            </w:r>
            <w:r>
              <w:rPr>
                <w:sz w:val="18"/>
                <w:szCs w:val="18"/>
              </w:rPr>
            </w:r>
            <w:r/>
          </w:p>
        </w:tc>
        <w:tc>
          <w:tcPr>
            <w:tcW w:w="1229" w:type="dxa"/>
            <w:vAlign w:val="center"/>
            <w:textDirection w:val="lrTb"/>
            <w:noWrap w:val="false"/>
          </w:tcPr>
          <w:p>
            <w:pPr>
              <w:pStyle w:val="1151"/>
              <w:jc w:val="center"/>
              <w:keepNext/>
              <w:spacing w:before="60" w:after="60" w:line="240" w:lineRule="atLeast"/>
              <w:rPr>
                <w:sz w:val="18"/>
                <w:szCs w:val="18"/>
              </w:rPr>
              <w:outlineLvl w:val="0"/>
            </w:pPr>
            <w:r>
              <w:rPr>
                <w:sz w:val="18"/>
                <w:szCs w:val="18"/>
              </w:rPr>
            </w:r>
            <w:r/>
          </w:p>
        </w:tc>
        <w:tc>
          <w:tcPr>
            <w:tcW w:w="2771" w:type="dxa"/>
            <w:vAlign w:val="center"/>
            <w:textDirection w:val="lrTb"/>
            <w:noWrap w:val="false"/>
          </w:tcPr>
          <w:p>
            <w:pPr>
              <w:pStyle w:val="1151"/>
              <w:jc w:val="center"/>
              <w:spacing w:before="60" w:after="60"/>
              <w:rPr>
                <w:sz w:val="18"/>
                <w:szCs w:val="18"/>
              </w:rPr>
            </w:pPr>
            <w:r>
              <w:rPr>
                <w:sz w:val="18"/>
                <w:szCs w:val="18"/>
              </w:rPr>
              <w:t xml:space="preserve">d</w:t>
            </w:r>
            <w:r>
              <w:rPr>
                <w:sz w:val="18"/>
                <w:szCs w:val="18"/>
              </w:rPr>
            </w:r>
            <w:r/>
          </w:p>
        </w:tc>
      </w:tr>
      <w:tr>
        <w:trPr/>
        <w:tc>
          <w:tcPr>
            <w:tcW w:w="1007" w:type="dxa"/>
            <w:vAlign w:val="center"/>
            <w:textDirection w:val="lrTb"/>
            <w:noWrap w:val="false"/>
          </w:tcPr>
          <w:p>
            <w:pPr>
              <w:pStyle w:val="1151"/>
              <w:jc w:val="center"/>
              <w:spacing w:before="60" w:after="60"/>
              <w:rPr>
                <w:sz w:val="18"/>
                <w:szCs w:val="18"/>
              </w:rPr>
            </w:pPr>
            <w:r>
              <w:rPr>
                <w:sz w:val="18"/>
                <w:szCs w:val="18"/>
              </w:rPr>
              <w:t xml:space="preserve">5</w:t>
            </w:r>
            <w:r>
              <w:rPr>
                <w:sz w:val="18"/>
                <w:szCs w:val="18"/>
              </w:rPr>
            </w:r>
            <w:r/>
          </w:p>
        </w:tc>
        <w:tc>
          <w:tcPr>
            <w:gridSpan w:val="2"/>
            <w:tcW w:w="4404" w:type="dxa"/>
            <w:vAlign w:val="center"/>
            <w:textDirection w:val="lrTb"/>
            <w:noWrap w:val="false"/>
          </w:tcPr>
          <w:p>
            <w:pPr>
              <w:pStyle w:val="1151"/>
              <w:jc w:val="center"/>
              <w:spacing w:before="60" w:after="60"/>
              <w:rPr>
                <w:sz w:val="18"/>
                <w:szCs w:val="18"/>
              </w:rPr>
            </w:pPr>
            <w:r>
              <w:rPr>
                <w:sz w:val="18"/>
                <w:szCs w:val="18"/>
              </w:rPr>
              <w:t xml:space="preserve">覆冰厚度</w:t>
            </w:r>
            <w:r>
              <w:rPr>
                <w:sz w:val="18"/>
                <w:szCs w:val="18"/>
              </w:rPr>
            </w:r>
            <w:r/>
          </w:p>
        </w:tc>
        <w:tc>
          <w:tcPr>
            <w:tcW w:w="1229" w:type="dxa"/>
            <w:vAlign w:val="center"/>
            <w:textDirection w:val="lrTb"/>
            <w:noWrap w:val="false"/>
          </w:tcPr>
          <w:p>
            <w:pPr>
              <w:pStyle w:val="1151"/>
              <w:jc w:val="center"/>
              <w:spacing w:before="60" w:after="60"/>
              <w:rPr>
                <w:sz w:val="18"/>
                <w:szCs w:val="18"/>
              </w:rPr>
            </w:pPr>
            <w:r>
              <w:rPr>
                <w:sz w:val="18"/>
                <w:szCs w:val="18"/>
              </w:rPr>
              <w:t xml:space="preserve">mm</w:t>
            </w:r>
            <w:r>
              <w:rPr>
                <w:sz w:val="18"/>
                <w:szCs w:val="18"/>
              </w:rPr>
            </w:r>
            <w:r/>
          </w:p>
        </w:tc>
        <w:tc>
          <w:tcPr>
            <w:tcW w:w="2771" w:type="dxa"/>
            <w:vAlign w:val="center"/>
            <w:textDirection w:val="lrTb"/>
            <w:noWrap w:val="false"/>
          </w:tcPr>
          <w:p>
            <w:pPr>
              <w:pStyle w:val="1151"/>
              <w:jc w:val="center"/>
              <w:spacing w:before="60" w:after="60"/>
              <w:rPr>
                <w:sz w:val="18"/>
                <w:szCs w:val="18"/>
              </w:rPr>
            </w:pPr>
            <w:r>
              <w:rPr>
                <w:sz w:val="18"/>
                <w:szCs w:val="18"/>
              </w:rPr>
              <w:t xml:space="preserve">10</w:t>
            </w:r>
            <w:r>
              <w:rPr>
                <w:sz w:val="18"/>
                <w:szCs w:val="18"/>
              </w:rPr>
            </w:r>
            <w:r/>
          </w:p>
        </w:tc>
      </w:tr>
      <w:tr>
        <w:trPr/>
        <w:tc>
          <w:tcPr>
            <w:tcW w:w="1007" w:type="dxa"/>
            <w:vAlign w:val="center"/>
            <w:textDirection w:val="lrTb"/>
            <w:noWrap w:val="false"/>
          </w:tcPr>
          <w:p>
            <w:pPr>
              <w:pStyle w:val="1151"/>
              <w:jc w:val="center"/>
              <w:spacing w:before="60" w:after="60"/>
              <w:rPr>
                <w:sz w:val="18"/>
                <w:szCs w:val="18"/>
              </w:rPr>
            </w:pPr>
            <w:r>
              <w:rPr>
                <w:sz w:val="18"/>
                <w:szCs w:val="18"/>
              </w:rPr>
              <w:t xml:space="preserve">6</w:t>
            </w:r>
            <w:r>
              <w:rPr>
                <w:sz w:val="18"/>
                <w:szCs w:val="18"/>
              </w:rPr>
            </w:r>
            <w:r/>
          </w:p>
        </w:tc>
        <w:tc>
          <w:tcPr>
            <w:gridSpan w:val="2"/>
            <w:tcW w:w="4404" w:type="dxa"/>
            <w:vAlign w:val="center"/>
            <w:textDirection w:val="lrTb"/>
            <w:noWrap w:val="false"/>
          </w:tcPr>
          <w:p>
            <w:pPr>
              <w:pStyle w:val="1151"/>
              <w:jc w:val="center"/>
              <w:spacing w:before="60" w:after="60"/>
              <w:rPr>
                <w:sz w:val="18"/>
                <w:szCs w:val="18"/>
              </w:rPr>
            </w:pPr>
            <w:r>
              <w:rPr>
                <w:sz w:val="18"/>
                <w:szCs w:val="18"/>
              </w:rPr>
              <w:t xml:space="preserve">风速/风压</w:t>
            </w:r>
            <w:r>
              <w:rPr>
                <w:sz w:val="18"/>
                <w:szCs w:val="18"/>
              </w:rPr>
            </w:r>
            <w:r/>
          </w:p>
        </w:tc>
        <w:tc>
          <w:tcPr>
            <w:tcW w:w="1229" w:type="dxa"/>
            <w:vAlign w:val="center"/>
            <w:textDirection w:val="lrTb"/>
            <w:noWrap w:val="false"/>
          </w:tcPr>
          <w:p>
            <w:pPr>
              <w:pStyle w:val="1151"/>
              <w:jc w:val="center"/>
              <w:spacing w:before="60" w:after="60"/>
              <w:rPr>
                <w:sz w:val="18"/>
                <w:szCs w:val="18"/>
              </w:rPr>
            </w:pPr>
            <w:r>
              <w:rPr>
                <w:sz w:val="18"/>
                <w:szCs w:val="18"/>
              </w:rPr>
              <w:t xml:space="preserve">m/s/Pa</w:t>
            </w:r>
            <w:r>
              <w:rPr>
                <w:sz w:val="18"/>
                <w:szCs w:val="18"/>
              </w:rPr>
            </w:r>
            <w:r/>
          </w:p>
        </w:tc>
        <w:tc>
          <w:tcPr>
            <w:tcW w:w="2771" w:type="dxa"/>
            <w:vAlign w:val="center"/>
            <w:textDirection w:val="lrTb"/>
            <w:noWrap w:val="false"/>
          </w:tcPr>
          <w:p>
            <w:pPr>
              <w:pStyle w:val="1151"/>
              <w:jc w:val="center"/>
              <w:spacing w:before="60" w:after="60"/>
              <w:rPr>
                <w:sz w:val="18"/>
                <w:szCs w:val="18"/>
              </w:rPr>
            </w:pPr>
            <w:r>
              <w:rPr>
                <w:sz w:val="18"/>
                <w:szCs w:val="18"/>
              </w:rPr>
              <w:t xml:space="preserve">34/700</w:t>
            </w:r>
            <w:r>
              <w:rPr>
                <w:sz w:val="18"/>
                <w:szCs w:val="18"/>
              </w:rPr>
            </w:r>
            <w:r/>
          </w:p>
        </w:tc>
      </w:tr>
      <w:tr>
        <w:trPr>
          <w:cantSplit/>
        </w:trPr>
        <w:tc>
          <w:tcPr>
            <w:tcW w:w="1007" w:type="dxa"/>
            <w:vAlign w:val="center"/>
            <w:vMerge w:val="restart"/>
            <w:textDirection w:val="lrTb"/>
            <w:noWrap w:val="false"/>
          </w:tcPr>
          <w:p>
            <w:pPr>
              <w:pStyle w:val="1151"/>
              <w:jc w:val="center"/>
              <w:spacing w:before="60" w:after="60"/>
              <w:rPr>
                <w:sz w:val="18"/>
                <w:szCs w:val="18"/>
              </w:rPr>
            </w:pPr>
            <w:r>
              <w:rPr>
                <w:sz w:val="18"/>
                <w:szCs w:val="18"/>
              </w:rPr>
              <w:t xml:space="preserve">7</w:t>
            </w:r>
            <w:r>
              <w:rPr>
                <w:sz w:val="18"/>
                <w:szCs w:val="18"/>
              </w:rPr>
            </w:r>
            <w:r/>
          </w:p>
        </w:tc>
        <w:tc>
          <w:tcPr>
            <w:tcW w:w="2202" w:type="dxa"/>
            <w:vAlign w:val="center"/>
            <w:vMerge w:val="restart"/>
            <w:textDirection w:val="lrTb"/>
            <w:noWrap w:val="false"/>
          </w:tcPr>
          <w:p>
            <w:pPr>
              <w:pStyle w:val="1151"/>
              <w:jc w:val="center"/>
              <w:spacing w:before="60" w:after="60"/>
              <w:rPr>
                <w:sz w:val="18"/>
                <w:szCs w:val="18"/>
              </w:rPr>
            </w:pPr>
            <w:r>
              <w:rPr>
                <w:sz w:val="18"/>
                <w:szCs w:val="18"/>
              </w:rPr>
              <w:t xml:space="preserve">湿度</w:t>
            </w:r>
            <w:r>
              <w:rPr>
                <w:sz w:val="18"/>
                <w:szCs w:val="18"/>
              </w:rPr>
            </w:r>
            <w:r/>
          </w:p>
        </w:tc>
        <w:tc>
          <w:tcPr>
            <w:tcW w:w="2202" w:type="dxa"/>
            <w:vAlign w:val="center"/>
            <w:textDirection w:val="lrTb"/>
            <w:noWrap w:val="false"/>
          </w:tcPr>
          <w:p>
            <w:pPr>
              <w:pStyle w:val="1151"/>
              <w:jc w:val="center"/>
              <w:spacing w:before="60" w:after="60"/>
              <w:rPr>
                <w:sz w:val="18"/>
                <w:szCs w:val="18"/>
              </w:rPr>
            </w:pPr>
            <w:r>
              <w:rPr>
                <w:sz w:val="18"/>
                <w:szCs w:val="18"/>
              </w:rPr>
              <w:t xml:space="preserve">日相对湿度平均值</w:t>
            </w:r>
            <w:r>
              <w:rPr>
                <w:sz w:val="18"/>
                <w:szCs w:val="18"/>
              </w:rPr>
            </w:r>
            <w:r/>
          </w:p>
        </w:tc>
        <w:tc>
          <w:tcPr>
            <w:tcW w:w="1229" w:type="dxa"/>
            <w:vAlign w:val="center"/>
            <w:vMerge w:val="restart"/>
            <w:textDirection w:val="lrTb"/>
            <w:noWrap w:val="false"/>
          </w:tcPr>
          <w:p>
            <w:pPr>
              <w:pStyle w:val="1151"/>
              <w:jc w:val="center"/>
              <w:spacing w:before="60" w:after="60"/>
              <w:rPr>
                <w:sz w:val="18"/>
                <w:szCs w:val="18"/>
              </w:rPr>
            </w:pPr>
            <w:r>
              <w:rPr>
                <w:sz w:val="18"/>
                <w:szCs w:val="18"/>
              </w:rPr>
              <w:t xml:space="preserve">%</w:t>
            </w:r>
            <w:r>
              <w:rPr>
                <w:sz w:val="18"/>
                <w:szCs w:val="18"/>
              </w:rPr>
            </w:r>
            <w:r/>
          </w:p>
        </w:tc>
        <w:tc>
          <w:tcPr>
            <w:tcW w:w="2771" w:type="dxa"/>
            <w:vAlign w:val="center"/>
            <w:textDirection w:val="lrTb"/>
            <w:noWrap w:val="false"/>
          </w:tcPr>
          <w:p>
            <w:pPr>
              <w:pStyle w:val="1151"/>
              <w:jc w:val="center"/>
              <w:spacing w:before="60" w:after="60"/>
              <w:rPr>
                <w:sz w:val="18"/>
                <w:szCs w:val="18"/>
              </w:rPr>
            </w:pPr>
            <w:r>
              <w:rPr>
                <w:sz w:val="18"/>
                <w:szCs w:val="18"/>
              </w:rPr>
              <w:t xml:space="preserve">≤95</w:t>
            </w:r>
            <w:r>
              <w:rPr>
                <w:sz w:val="18"/>
                <w:szCs w:val="18"/>
              </w:rPr>
            </w:r>
            <w:r/>
          </w:p>
        </w:tc>
      </w:tr>
      <w:tr>
        <w:trPr>
          <w:cantSplit/>
        </w:trPr>
        <w:tc>
          <w:tcPr>
            <w:tcW w:w="1007" w:type="dxa"/>
            <w:vAlign w:val="center"/>
            <w:vMerge w:val="continue"/>
            <w:textDirection w:val="lrTb"/>
            <w:noWrap w:val="false"/>
          </w:tcPr>
          <w:p>
            <w:pPr>
              <w:pStyle w:val="1151"/>
              <w:jc w:val="center"/>
              <w:keepNext/>
              <w:spacing w:before="60" w:after="60" w:line="240" w:lineRule="atLeast"/>
              <w:rPr>
                <w:sz w:val="18"/>
                <w:szCs w:val="18"/>
              </w:rPr>
              <w:outlineLvl w:val="0"/>
            </w:pPr>
            <w:r>
              <w:rPr>
                <w:sz w:val="18"/>
                <w:szCs w:val="18"/>
              </w:rPr>
            </w:r>
            <w:r/>
          </w:p>
        </w:tc>
        <w:tc>
          <w:tcPr>
            <w:tcW w:w="2202" w:type="dxa"/>
            <w:vAlign w:val="center"/>
            <w:vMerge w:val="continue"/>
            <w:textDirection w:val="lrTb"/>
            <w:noWrap w:val="false"/>
          </w:tcPr>
          <w:p>
            <w:pPr>
              <w:pStyle w:val="1151"/>
              <w:jc w:val="center"/>
              <w:keepNext/>
              <w:spacing w:before="60" w:after="60" w:line="240" w:lineRule="atLeast"/>
              <w:rPr>
                <w:sz w:val="18"/>
                <w:szCs w:val="18"/>
              </w:rPr>
              <w:outlineLvl w:val="0"/>
            </w:pPr>
            <w:r>
              <w:rPr>
                <w:sz w:val="18"/>
                <w:szCs w:val="18"/>
              </w:rPr>
            </w:r>
            <w:r/>
          </w:p>
        </w:tc>
        <w:tc>
          <w:tcPr>
            <w:tcW w:w="2202" w:type="dxa"/>
            <w:vAlign w:val="center"/>
            <w:textDirection w:val="lrTb"/>
            <w:noWrap w:val="false"/>
          </w:tcPr>
          <w:p>
            <w:pPr>
              <w:pStyle w:val="1151"/>
              <w:jc w:val="center"/>
              <w:spacing w:before="60" w:after="60"/>
              <w:rPr>
                <w:sz w:val="18"/>
                <w:szCs w:val="18"/>
              </w:rPr>
            </w:pPr>
            <w:r>
              <w:rPr>
                <w:sz w:val="18"/>
                <w:szCs w:val="18"/>
              </w:rPr>
              <w:t xml:space="preserve">月相对湿度平均值</w:t>
            </w:r>
            <w:r>
              <w:rPr>
                <w:sz w:val="18"/>
                <w:szCs w:val="18"/>
              </w:rPr>
            </w:r>
            <w:r/>
          </w:p>
        </w:tc>
        <w:tc>
          <w:tcPr>
            <w:tcW w:w="1229" w:type="dxa"/>
            <w:vAlign w:val="center"/>
            <w:vMerge w:val="continue"/>
            <w:textDirection w:val="lrTb"/>
            <w:noWrap w:val="false"/>
          </w:tcPr>
          <w:p>
            <w:pPr>
              <w:pStyle w:val="1151"/>
              <w:jc w:val="center"/>
              <w:keepNext/>
              <w:spacing w:before="60" w:after="60" w:line="240" w:lineRule="atLeast"/>
              <w:rPr>
                <w:sz w:val="18"/>
                <w:szCs w:val="18"/>
              </w:rPr>
              <w:outlineLvl w:val="0"/>
            </w:pPr>
            <w:r>
              <w:rPr>
                <w:sz w:val="18"/>
                <w:szCs w:val="18"/>
              </w:rPr>
            </w:r>
            <w:r/>
          </w:p>
        </w:tc>
        <w:tc>
          <w:tcPr>
            <w:tcW w:w="2771" w:type="dxa"/>
            <w:vAlign w:val="center"/>
            <w:textDirection w:val="lrTb"/>
            <w:noWrap w:val="false"/>
          </w:tcPr>
          <w:p>
            <w:pPr>
              <w:pStyle w:val="1151"/>
              <w:jc w:val="center"/>
              <w:spacing w:before="60" w:after="60"/>
              <w:rPr>
                <w:sz w:val="18"/>
                <w:szCs w:val="18"/>
              </w:rPr>
            </w:pPr>
            <w:r>
              <w:rPr>
                <w:sz w:val="18"/>
                <w:szCs w:val="18"/>
              </w:rPr>
              <w:t xml:space="preserve">≤90</w:t>
            </w:r>
            <w:r>
              <w:rPr>
                <w:sz w:val="18"/>
                <w:szCs w:val="18"/>
              </w:rPr>
            </w:r>
            <w:r/>
          </w:p>
        </w:tc>
      </w:tr>
      <w:tr>
        <w:trPr/>
        <w:tc>
          <w:tcPr>
            <w:tcW w:w="1007" w:type="dxa"/>
            <w:vAlign w:val="center"/>
            <w:textDirection w:val="lrTb"/>
            <w:noWrap w:val="false"/>
          </w:tcPr>
          <w:p>
            <w:pPr>
              <w:pStyle w:val="1151"/>
              <w:jc w:val="center"/>
              <w:spacing w:before="60" w:after="60"/>
              <w:rPr>
                <w:sz w:val="18"/>
                <w:szCs w:val="18"/>
              </w:rPr>
            </w:pPr>
            <w:r>
              <w:rPr>
                <w:sz w:val="18"/>
                <w:szCs w:val="18"/>
              </w:rPr>
              <w:t xml:space="preserve">8</w:t>
            </w:r>
            <w:r>
              <w:rPr>
                <w:sz w:val="18"/>
                <w:szCs w:val="18"/>
              </w:rPr>
            </w:r>
            <w:r/>
          </w:p>
        </w:tc>
        <w:tc>
          <w:tcPr>
            <w:gridSpan w:val="2"/>
            <w:tcW w:w="4404" w:type="dxa"/>
            <w:vAlign w:val="center"/>
            <w:textDirection w:val="lrTb"/>
            <w:noWrap w:val="false"/>
          </w:tcPr>
          <w:p>
            <w:pPr>
              <w:pStyle w:val="1151"/>
              <w:jc w:val="center"/>
              <w:spacing w:before="60" w:after="60"/>
              <w:rPr>
                <w:sz w:val="18"/>
                <w:szCs w:val="18"/>
              </w:rPr>
            </w:pPr>
            <w:r>
              <w:rPr>
                <w:sz w:val="18"/>
                <w:szCs w:val="18"/>
              </w:rPr>
              <w:t xml:space="preserve">耐受地震能力（水平加速度）</w:t>
            </w:r>
            <w:r>
              <w:rPr>
                <w:sz w:val="18"/>
                <w:szCs w:val="18"/>
              </w:rPr>
            </w:r>
            <w:r/>
          </w:p>
        </w:tc>
        <w:tc>
          <w:tcPr>
            <w:tcW w:w="1229" w:type="dxa"/>
            <w:vAlign w:val="center"/>
            <w:textDirection w:val="lrTb"/>
            <w:noWrap w:val="false"/>
          </w:tcPr>
          <w:p>
            <w:pPr>
              <w:pStyle w:val="1151"/>
              <w:jc w:val="center"/>
              <w:spacing w:before="60" w:after="60"/>
              <w:rPr>
                <w:sz w:val="18"/>
                <w:szCs w:val="18"/>
              </w:rPr>
            </w:pPr>
            <w:r>
              <w:rPr>
                <w:sz w:val="18"/>
                <w:szCs w:val="18"/>
              </w:rPr>
              <w:t xml:space="preserve">m/s</w:t>
            </w:r>
            <w:r>
              <w:rPr>
                <w:sz w:val="18"/>
                <w:szCs w:val="18"/>
                <w:vertAlign w:val="superscript"/>
              </w:rPr>
              <w:t xml:space="preserve">2</w:t>
            </w:r>
            <w:r>
              <w:rPr>
                <w:sz w:val="18"/>
                <w:szCs w:val="18"/>
              </w:rPr>
            </w:r>
            <w:r/>
          </w:p>
        </w:tc>
        <w:tc>
          <w:tcPr>
            <w:tcW w:w="2771" w:type="dxa"/>
            <w:vAlign w:val="center"/>
            <w:textDirection w:val="lrTb"/>
            <w:noWrap w:val="false"/>
          </w:tcPr>
          <w:p>
            <w:pPr>
              <w:pStyle w:val="1151"/>
              <w:jc w:val="center"/>
              <w:spacing w:before="60" w:after="60"/>
              <w:rPr>
                <w:sz w:val="18"/>
                <w:szCs w:val="18"/>
              </w:rPr>
            </w:pPr>
            <w:r>
              <w:rPr>
                <w:sz w:val="18"/>
                <w:szCs w:val="18"/>
              </w:rPr>
              <w:t xml:space="preserve">2</w:t>
            </w:r>
            <w:r>
              <w:rPr>
                <w:sz w:val="18"/>
                <w:szCs w:val="18"/>
              </w:rPr>
            </w:r>
            <w:r/>
          </w:p>
        </w:tc>
      </w:tr>
      <w:tr>
        <w:trPr/>
        <w:tc>
          <w:tcPr>
            <w:tcW w:w="1007" w:type="dxa"/>
            <w:vAlign w:val="center"/>
            <w:textDirection w:val="lrTb"/>
            <w:noWrap w:val="false"/>
          </w:tcPr>
          <w:p>
            <w:pPr>
              <w:pStyle w:val="1151"/>
              <w:jc w:val="center"/>
              <w:spacing w:before="60" w:after="60"/>
              <w:rPr>
                <w:sz w:val="18"/>
                <w:szCs w:val="18"/>
              </w:rPr>
            </w:pPr>
            <w:r>
              <w:rPr>
                <w:sz w:val="18"/>
                <w:szCs w:val="18"/>
              </w:rPr>
              <w:t xml:space="preserve">9</w:t>
            </w:r>
            <w:r>
              <w:rPr>
                <w:sz w:val="18"/>
                <w:szCs w:val="18"/>
              </w:rPr>
            </w:r>
            <w:r/>
          </w:p>
        </w:tc>
        <w:tc>
          <w:tcPr>
            <w:gridSpan w:val="2"/>
            <w:tcW w:w="4404" w:type="dxa"/>
            <w:vAlign w:val="center"/>
            <w:textDirection w:val="lrTb"/>
            <w:noWrap w:val="false"/>
          </w:tcPr>
          <w:p>
            <w:pPr>
              <w:pStyle w:val="1151"/>
              <w:jc w:val="center"/>
              <w:spacing w:before="60" w:after="60"/>
              <w:rPr>
                <w:sz w:val="18"/>
                <w:szCs w:val="18"/>
              </w:rPr>
            </w:pPr>
            <w:r>
              <w:rPr>
                <w:sz w:val="18"/>
                <w:szCs w:val="18"/>
              </w:rPr>
              <w:t xml:space="preserve">由于主回路中的开合操作在辅助和控制</w:t>
            </w:r>
            <w:r>
              <w:rPr>
                <w:sz w:val="18"/>
                <w:szCs w:val="18"/>
              </w:rPr>
              <w:br w:type="textWrapping" w:clear="all"/>
            </w:r>
            <w:r>
              <w:rPr>
                <w:sz w:val="18"/>
                <w:szCs w:val="18"/>
              </w:rPr>
              <w:t xml:space="preserve">回路上所感应的共模电压的幅值</w:t>
            </w:r>
            <w:r>
              <w:rPr>
                <w:sz w:val="18"/>
                <w:szCs w:val="18"/>
              </w:rPr>
            </w:r>
            <w:r/>
          </w:p>
        </w:tc>
        <w:tc>
          <w:tcPr>
            <w:tcW w:w="1229" w:type="dxa"/>
            <w:vAlign w:val="center"/>
            <w:textDirection w:val="lrTb"/>
            <w:noWrap w:val="false"/>
          </w:tcPr>
          <w:p>
            <w:pPr>
              <w:pStyle w:val="1151"/>
              <w:jc w:val="center"/>
              <w:spacing w:before="60" w:after="60"/>
              <w:rPr>
                <w:sz w:val="18"/>
                <w:szCs w:val="18"/>
              </w:rPr>
            </w:pPr>
            <w:r>
              <w:rPr>
                <w:sz w:val="18"/>
                <w:szCs w:val="18"/>
              </w:rPr>
              <w:t xml:space="preserve">kV</w:t>
            </w:r>
            <w:r>
              <w:rPr>
                <w:sz w:val="18"/>
                <w:szCs w:val="18"/>
              </w:rPr>
            </w:r>
            <w:r/>
          </w:p>
        </w:tc>
        <w:tc>
          <w:tcPr>
            <w:tcW w:w="2771" w:type="dxa"/>
            <w:vAlign w:val="center"/>
            <w:textDirection w:val="lrTb"/>
            <w:noWrap w:val="false"/>
          </w:tcPr>
          <w:p>
            <w:pPr>
              <w:pStyle w:val="1151"/>
              <w:jc w:val="center"/>
              <w:spacing w:before="60" w:after="60"/>
              <w:rPr>
                <w:sz w:val="18"/>
                <w:szCs w:val="18"/>
              </w:rPr>
            </w:pPr>
            <w:r>
              <w:rPr>
                <w:sz w:val="18"/>
                <w:szCs w:val="18"/>
              </w:rPr>
              <w:t xml:space="preserve">≤1.6</w:t>
            </w:r>
            <w:r>
              <w:rPr>
                <w:sz w:val="18"/>
                <w:szCs w:val="18"/>
              </w:rPr>
            </w:r>
            <w:r/>
          </w:p>
        </w:tc>
      </w:tr>
      <w:tr>
        <w:trPr/>
        <w:tc>
          <w:tcPr>
            <w:gridSpan w:val="5"/>
            <w:tcW w:w="9411" w:type="dxa"/>
            <w:vAlign w:val="center"/>
            <w:textDirection w:val="lrTb"/>
            <w:noWrap w:val="false"/>
          </w:tcPr>
          <w:p>
            <w:pPr>
              <w:pStyle w:val="1151"/>
              <w:ind w:left="510" w:hanging="340"/>
              <w:spacing w:before="60" w:after="60"/>
              <w:rPr>
                <w:sz w:val="18"/>
                <w:szCs w:val="18"/>
              </w:rPr>
            </w:pPr>
            <w:r>
              <w:rPr>
                <w:sz w:val="18"/>
                <w:szCs w:val="18"/>
              </w:rPr>
              <w:t xml:space="preserve">注：</w:t>
            </w:r>
            <w:r>
              <w:rPr>
                <w:spacing w:val="-3"/>
                <w:sz w:val="18"/>
                <w:szCs w:val="18"/>
              </w:rPr>
              <w:t xml:space="preserve">表中“项目需求值”为正常使用条件，超出此值时为特殊使用条件，项目单位可根据工程实际使用条件进行修改</w:t>
            </w:r>
            <w:r>
              <w:rPr>
                <w:sz w:val="18"/>
                <w:szCs w:val="18"/>
              </w:rPr>
              <w:t xml:space="preserve">。</w:t>
            </w:r>
            <w:r>
              <w:rPr>
                <w:sz w:val="18"/>
                <w:szCs w:val="18"/>
              </w:rPr>
            </w:r>
            <w:r/>
          </w:p>
        </w:tc>
      </w:tr>
    </w:tbl>
    <w:p>
      <w:pPr>
        <w:pStyle w:val="1238"/>
        <w:rPr>
          <w:rFonts w:ascii="Times New Roman" w:hAnsi="黑体"/>
        </w:rPr>
        <w:outlineLvl w:val="0"/>
      </w:pPr>
      <w:r/>
      <w:bookmarkStart w:id="478" w:name="_Toc244157946"/>
      <w:r/>
      <w:bookmarkStart w:id="479" w:name="_Toc16145"/>
      <w:r/>
      <w:bookmarkStart w:id="480" w:name="_Toc187138985"/>
      <w:r/>
      <w:bookmarkStart w:id="481" w:name="_Toc187138874"/>
      <w:r/>
      <w:bookmarkStart w:id="482" w:name="_Toc256351655"/>
      <w:r/>
      <w:bookmarkStart w:id="483" w:name="_Toc460676259"/>
      <w:r/>
      <w:bookmarkStart w:id="484" w:name="_Toc250668282"/>
      <w:r>
        <w:rPr>
          <w:rFonts w:hint="eastAsia" w:ascii="Times New Roman"/>
        </w:rPr>
        <w:t xml:space="preserve">5</w:t>
      </w:r>
      <w:r>
        <w:rPr>
          <w:rFonts w:ascii="Times New Roman" w:hAnsi="黑体"/>
        </w:rPr>
        <w:t xml:space="preserve">　</w:t>
      </w:r>
      <w:r>
        <w:rPr>
          <w:rFonts w:hint="eastAsia" w:ascii="Times New Roman"/>
        </w:rPr>
        <w:t xml:space="preserve">DTU的</w:t>
      </w:r>
      <w:r>
        <w:rPr>
          <w:rFonts w:ascii="Times New Roman" w:hAnsi="黑体"/>
        </w:rPr>
        <w:t xml:space="preserve">图纸资料提交单位及其接收单位</w:t>
      </w:r>
      <w:bookmarkEnd w:id="478"/>
      <w:r/>
      <w:bookmarkEnd w:id="479"/>
      <w:r/>
      <w:bookmarkEnd w:id="480"/>
      <w:r/>
      <w:bookmarkEnd w:id="481"/>
      <w:r/>
      <w:bookmarkEnd w:id="482"/>
      <w:r/>
      <w:bookmarkEnd w:id="483"/>
      <w:r/>
      <w:bookmarkEnd w:id="484"/>
      <w:r>
        <w:rPr>
          <w:rFonts w:ascii="Times New Roman" w:hAnsi="黑体"/>
        </w:rPr>
      </w:r>
      <w:r/>
    </w:p>
    <w:p>
      <w:pPr>
        <w:pStyle w:val="1258"/>
        <w:spacing w:after="31"/>
        <w:tabs>
          <w:tab w:val="left" w:pos="3585" w:leader="none"/>
        </w:tabs>
      </w:pPr>
      <w:r>
        <w:t xml:space="preserve">经确认的图纸资料应由卖方提交表</w:t>
      </w:r>
      <w:r>
        <w:rPr>
          <w:rFonts w:hint="eastAsia"/>
        </w:rPr>
        <w:t xml:space="preserve">5</w:t>
      </w:r>
      <w:r>
        <w:t xml:space="preserve">所列单位。</w:t>
      </w:r>
      <w:r/>
    </w:p>
    <w:p>
      <w:pPr>
        <w:pStyle w:val="1261"/>
        <w:jc w:val="center"/>
        <w:tabs>
          <w:tab w:val="center" w:pos="4706" w:leader="none"/>
          <w:tab w:val="right" w:pos="9044" w:leader="none"/>
        </w:tabs>
      </w:pPr>
      <w:r>
        <w:t xml:space="preserve">表</w:t>
      </w:r>
      <w:r>
        <w:rPr>
          <w:rFonts w:hint="eastAsia"/>
        </w:rPr>
        <w:t xml:space="preserve">5</w:t>
      </w:r>
      <w:r>
        <w:t xml:space="preserve">　卖方提交的须经确认的图纸资料及其接收单位</w:t>
      </w:r>
      <w:r/>
    </w:p>
    <w:tbl>
      <w:tblPr>
        <w:tblW w:w="9433" w:type="dxa"/>
        <w:tblInd w:w="-55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90"/>
        <w:gridCol w:w="3915"/>
        <w:gridCol w:w="745"/>
        <w:gridCol w:w="2983"/>
      </w:tblGrid>
      <w:tr>
        <w:trPr/>
        <w:tc>
          <w:tcPr>
            <w:tcMar>
              <w:left w:w="0" w:type="dxa"/>
              <w:right w:w="0" w:type="dxa"/>
            </w:tcMar>
            <w:tcW w:w="1790" w:type="dxa"/>
            <w:vAlign w:val="center"/>
            <w:textDirection w:val="lrTb"/>
            <w:noWrap w:val="false"/>
          </w:tcPr>
          <w:p>
            <w:pPr>
              <w:pStyle w:val="1151"/>
              <w:jc w:val="center"/>
              <w:rPr>
                <w:color w:val="000000"/>
                <w:sz w:val="18"/>
              </w:rPr>
            </w:pPr>
            <w:r>
              <w:rPr>
                <w:rFonts w:hAnsi="宋体"/>
                <w:color w:val="000000"/>
                <w:sz w:val="18"/>
              </w:rPr>
              <w:t xml:space="preserve">提交图纸</w:t>
            </w:r>
            <w:r>
              <w:rPr>
                <w:color w:val="000000"/>
                <w:sz w:val="18"/>
              </w:rPr>
              <w:br w:type="textWrapping" w:clear="all"/>
            </w:r>
            <w:r>
              <w:rPr>
                <w:rFonts w:hAnsi="宋体"/>
                <w:color w:val="000000"/>
                <w:sz w:val="18"/>
              </w:rPr>
              <w:t xml:space="preserve">资料名称</w:t>
            </w:r>
            <w:r>
              <w:rPr>
                <w:color w:val="000000"/>
                <w:sz w:val="18"/>
              </w:rPr>
            </w:r>
            <w:r/>
          </w:p>
        </w:tc>
        <w:tc>
          <w:tcPr>
            <w:tcMar>
              <w:left w:w="0" w:type="dxa"/>
              <w:right w:w="0" w:type="dxa"/>
            </w:tcMar>
            <w:tcW w:w="3915" w:type="dxa"/>
            <w:vAlign w:val="center"/>
            <w:textDirection w:val="lrTb"/>
            <w:noWrap w:val="false"/>
          </w:tcPr>
          <w:p>
            <w:pPr>
              <w:pStyle w:val="1151"/>
              <w:jc w:val="center"/>
              <w:rPr>
                <w:color w:val="000000"/>
                <w:sz w:val="18"/>
              </w:rPr>
            </w:pPr>
            <w:r>
              <w:rPr>
                <w:rFonts w:hAnsi="宋体"/>
                <w:color w:val="000000"/>
                <w:sz w:val="18"/>
              </w:rPr>
              <w:t xml:space="preserve">接收图纸单位名称、地址、邮编、电话</w:t>
            </w:r>
            <w:r>
              <w:rPr>
                <w:color w:val="000000"/>
                <w:sz w:val="18"/>
              </w:rPr>
            </w:r>
            <w:r/>
          </w:p>
        </w:tc>
        <w:tc>
          <w:tcPr>
            <w:tcMar>
              <w:left w:w="0" w:type="dxa"/>
              <w:right w:w="0" w:type="dxa"/>
            </w:tcMar>
            <w:tcW w:w="745" w:type="dxa"/>
            <w:vAlign w:val="center"/>
            <w:textDirection w:val="lrTb"/>
            <w:noWrap w:val="false"/>
          </w:tcPr>
          <w:p>
            <w:pPr>
              <w:pStyle w:val="1151"/>
              <w:jc w:val="center"/>
              <w:rPr>
                <w:color w:val="000000"/>
                <w:sz w:val="18"/>
              </w:rPr>
            </w:pPr>
            <w:r>
              <w:rPr>
                <w:rFonts w:hAnsi="宋体"/>
                <w:color w:val="000000"/>
                <w:sz w:val="18"/>
              </w:rPr>
              <w:t xml:space="preserve">提交</w:t>
            </w:r>
            <w:r>
              <w:rPr>
                <w:color w:val="000000"/>
                <w:sz w:val="18"/>
              </w:rPr>
              <w:br w:type="textWrapping" w:clear="all"/>
            </w:r>
            <w:r>
              <w:rPr>
                <w:rFonts w:hAnsi="宋体"/>
                <w:color w:val="000000"/>
                <w:sz w:val="18"/>
              </w:rPr>
              <w:t xml:space="preserve">份数</w:t>
            </w:r>
            <w:r>
              <w:rPr>
                <w:color w:val="000000"/>
                <w:sz w:val="18"/>
              </w:rPr>
            </w:r>
            <w:r/>
          </w:p>
        </w:tc>
        <w:tc>
          <w:tcPr>
            <w:tcMar>
              <w:left w:w="0" w:type="dxa"/>
              <w:right w:w="0" w:type="dxa"/>
            </w:tcMar>
            <w:tcW w:w="2983" w:type="dxa"/>
            <w:vAlign w:val="center"/>
            <w:textDirection w:val="lrTb"/>
            <w:noWrap w:val="false"/>
          </w:tcPr>
          <w:p>
            <w:pPr>
              <w:pStyle w:val="1151"/>
              <w:jc w:val="center"/>
              <w:rPr>
                <w:color w:val="000000"/>
                <w:sz w:val="18"/>
              </w:rPr>
            </w:pPr>
            <w:r>
              <w:rPr>
                <w:rFonts w:hAnsi="宋体"/>
                <w:color w:val="000000"/>
                <w:sz w:val="18"/>
              </w:rPr>
              <w:t xml:space="preserve">提交时间</w:t>
            </w:r>
            <w:r>
              <w:rPr>
                <w:color w:val="000000"/>
                <w:sz w:val="18"/>
              </w:rPr>
            </w:r>
            <w:r/>
          </w:p>
        </w:tc>
      </w:tr>
      <w:tr>
        <w:trPr>
          <w:trHeight w:val="985"/>
        </w:trPr>
        <w:tc>
          <w:tcPr>
            <w:tcMar>
              <w:left w:w="0" w:type="dxa"/>
              <w:right w:w="0" w:type="dxa"/>
            </w:tcMar>
            <w:tcW w:w="1790" w:type="dxa"/>
            <w:vAlign w:val="center"/>
            <w:textDirection w:val="lrTb"/>
            <w:noWrap w:val="false"/>
          </w:tcPr>
          <w:p>
            <w:pPr>
              <w:pStyle w:val="1151"/>
              <w:jc w:val="center"/>
              <w:spacing w:before="62" w:after="62" w:line="240" w:lineRule="exact"/>
              <w:rPr>
                <w:color w:val="000000"/>
                <w:sz w:val="18"/>
              </w:rPr>
            </w:pPr>
            <w:r>
              <w:rPr>
                <w:rFonts w:hAnsi="宋体"/>
                <w:color w:val="000000"/>
                <w:sz w:val="18"/>
              </w:rPr>
              <w:t xml:space="preserve">最终图</w:t>
            </w:r>
            <w:r>
              <w:rPr>
                <w:rFonts w:hint="eastAsia" w:hAnsi="宋体"/>
                <w:color w:val="000000"/>
                <w:sz w:val="18"/>
              </w:rPr>
              <w:t xml:space="preserve">、</w:t>
            </w:r>
            <w:r>
              <w:rPr>
                <w:color w:val="000000"/>
                <w:sz w:val="18"/>
              </w:rPr>
              <w:br w:type="textWrapping" w:clear="all"/>
            </w:r>
            <w:r>
              <w:rPr>
                <w:rFonts w:hAnsi="宋体"/>
                <w:color w:val="000000"/>
                <w:sz w:val="18"/>
              </w:rPr>
              <w:t xml:space="preserve">说明书（附电子文档）</w:t>
            </w:r>
            <w:r>
              <w:rPr>
                <w:color w:val="000000"/>
                <w:sz w:val="18"/>
              </w:rPr>
            </w:r>
            <w:r/>
          </w:p>
        </w:tc>
        <w:tc>
          <w:tcPr>
            <w:tcMar>
              <w:left w:w="0" w:type="dxa"/>
              <w:right w:w="0" w:type="dxa"/>
            </w:tcMar>
            <w:tcW w:w="3915" w:type="dxa"/>
            <w:vAlign w:val="center"/>
            <w:textDirection w:val="lrTb"/>
            <w:noWrap w:val="false"/>
          </w:tcPr>
          <w:p>
            <w:pPr>
              <w:pStyle w:val="1151"/>
              <w:jc w:val="center"/>
              <w:rPr>
                <w:color w:val="000000"/>
                <w:sz w:val="18"/>
              </w:rPr>
            </w:pPr>
            <w:r>
              <w:rPr>
                <w:rFonts w:hAnsi="宋体"/>
                <w:color w:val="000000"/>
                <w:sz w:val="18"/>
              </w:rPr>
              <w:t xml:space="preserve">（设计单位）</w:t>
            </w:r>
            <w:r>
              <w:rPr>
                <w:color w:val="000000"/>
                <w:sz w:val="18"/>
              </w:rPr>
            </w:r>
            <w:r/>
          </w:p>
        </w:tc>
        <w:tc>
          <w:tcPr>
            <w:tcMar>
              <w:left w:w="0" w:type="dxa"/>
              <w:right w:w="0" w:type="dxa"/>
            </w:tcMar>
            <w:tcW w:w="745" w:type="dxa"/>
            <w:vAlign w:val="center"/>
            <w:textDirection w:val="lrTb"/>
            <w:noWrap w:val="false"/>
          </w:tcPr>
          <w:p>
            <w:pPr>
              <w:pStyle w:val="1151"/>
              <w:jc w:val="center"/>
              <w:rPr>
                <w:color w:val="000000"/>
                <w:sz w:val="18"/>
              </w:rPr>
            </w:pPr>
            <w:r>
              <w:rPr>
                <w:rFonts w:hint="eastAsia"/>
                <w:sz w:val="18"/>
              </w:rPr>
              <w:t xml:space="preserve">纸质文件至少4份，电子文档1份</w:t>
            </w:r>
            <w:r>
              <w:rPr>
                <w:color w:val="000000"/>
                <w:sz w:val="18"/>
              </w:rPr>
            </w:r>
            <w:r/>
          </w:p>
        </w:tc>
        <w:tc>
          <w:tcPr>
            <w:tcMar>
              <w:left w:w="0" w:type="dxa"/>
              <w:right w:w="0" w:type="dxa"/>
            </w:tcMar>
            <w:tcW w:w="2983" w:type="dxa"/>
            <w:vAlign w:val="center"/>
            <w:vMerge w:val="restart"/>
            <w:textDirection w:val="lrTb"/>
            <w:noWrap w:val="false"/>
          </w:tcPr>
          <w:p>
            <w:pPr>
              <w:pStyle w:val="1151"/>
              <w:ind w:left="42" w:right="42" w:firstLine="180"/>
              <w:spacing w:line="240" w:lineRule="exact"/>
              <w:rPr>
                <w:color w:val="000000"/>
                <w:sz w:val="18"/>
              </w:rPr>
            </w:pPr>
            <w:r>
              <w:rPr>
                <w:color w:val="000000"/>
                <w:sz w:val="18"/>
              </w:rPr>
              <w:t xml:space="preserve">1</w:t>
            </w:r>
            <w:r>
              <w:rPr>
                <w:rFonts w:hAnsi="宋体"/>
                <w:color w:val="000000"/>
                <w:sz w:val="18"/>
              </w:rPr>
              <w:t xml:space="preserve">）技术协议签订后</w:t>
            </w:r>
            <w:r>
              <w:rPr>
                <w:color w:val="000000"/>
                <w:sz w:val="18"/>
              </w:rPr>
              <w:t xml:space="preserve">2</w:t>
            </w:r>
            <w:r>
              <w:rPr>
                <w:rFonts w:hAnsi="宋体"/>
                <w:color w:val="000000"/>
                <w:sz w:val="18"/>
              </w:rPr>
              <w:t xml:space="preserve">周内，供货商应提供认可图纸。</w:t>
            </w:r>
            <w:r>
              <w:rPr>
                <w:color w:val="000000"/>
                <w:sz w:val="18"/>
              </w:rPr>
            </w:r>
            <w:r/>
          </w:p>
          <w:p>
            <w:pPr>
              <w:pStyle w:val="1151"/>
              <w:ind w:left="42" w:right="42" w:firstLine="180"/>
              <w:spacing w:line="240" w:lineRule="exact"/>
              <w:rPr>
                <w:color w:val="000000"/>
                <w:sz w:val="18"/>
              </w:rPr>
            </w:pPr>
            <w:r>
              <w:rPr>
                <w:color w:val="000000"/>
                <w:sz w:val="18"/>
              </w:rPr>
              <w:t xml:space="preserve">2</w:t>
            </w:r>
            <w:r>
              <w:rPr>
                <w:rFonts w:hAnsi="宋体"/>
                <w:color w:val="000000"/>
                <w:sz w:val="18"/>
              </w:rPr>
              <w:t xml:space="preserve">）工程师在收到认可图纸后</w:t>
            </w:r>
            <w:r>
              <w:rPr>
                <w:color w:val="000000"/>
                <w:sz w:val="18"/>
              </w:rPr>
              <w:t xml:space="preserve">2</w:t>
            </w:r>
            <w:r>
              <w:rPr>
                <w:rFonts w:hAnsi="宋体"/>
                <w:color w:val="000000"/>
                <w:sz w:val="18"/>
              </w:rPr>
              <w:t xml:space="preserve">周内，应将经确认的</w:t>
            </w:r>
            <w:r>
              <w:rPr>
                <w:color w:val="000000"/>
                <w:sz w:val="18"/>
              </w:rPr>
              <w:t xml:space="preserve">1</w:t>
            </w:r>
            <w:r>
              <w:rPr>
                <w:rFonts w:hAnsi="宋体"/>
                <w:color w:val="000000"/>
                <w:sz w:val="18"/>
              </w:rPr>
              <w:t xml:space="preserve">份图纸寄送给供货商。</w:t>
            </w:r>
            <w:r>
              <w:rPr>
                <w:color w:val="000000"/>
                <w:sz w:val="18"/>
              </w:rPr>
            </w:r>
            <w:r/>
          </w:p>
          <w:p>
            <w:pPr>
              <w:pStyle w:val="1151"/>
              <w:ind w:left="42" w:right="42" w:firstLine="180"/>
              <w:spacing w:line="240" w:lineRule="exact"/>
              <w:rPr>
                <w:color w:val="000000"/>
                <w:sz w:val="18"/>
              </w:rPr>
            </w:pPr>
            <w:r>
              <w:rPr>
                <w:color w:val="000000"/>
                <w:sz w:val="18"/>
              </w:rPr>
              <w:t xml:space="preserve">3</w:t>
            </w:r>
            <w:r>
              <w:rPr>
                <w:rFonts w:hAnsi="宋体"/>
                <w:color w:val="000000"/>
                <w:sz w:val="18"/>
              </w:rPr>
              <w:t xml:space="preserve">）供货商收到经确认的图纸</w:t>
            </w:r>
            <w:r>
              <w:rPr>
                <w:color w:val="000000"/>
                <w:sz w:val="18"/>
              </w:rPr>
              <w:t xml:space="preserve">2</w:t>
            </w:r>
            <w:r>
              <w:rPr>
                <w:rFonts w:hAnsi="宋体"/>
                <w:color w:val="000000"/>
                <w:sz w:val="18"/>
              </w:rPr>
              <w:t xml:space="preserve">周内提出最终图</w:t>
            </w:r>
            <w:r>
              <w:rPr>
                <w:rFonts w:hint="eastAsia" w:hAnsi="宋体"/>
                <w:color w:val="000000"/>
                <w:sz w:val="18"/>
              </w:rPr>
              <w:t xml:space="preserve">纸</w:t>
            </w:r>
            <w:r>
              <w:rPr>
                <w:color w:val="000000"/>
                <w:sz w:val="18"/>
              </w:rPr>
            </w:r>
            <w:r/>
          </w:p>
        </w:tc>
      </w:tr>
      <w:tr>
        <w:trPr>
          <w:trHeight w:val="985"/>
        </w:trPr>
        <w:tc>
          <w:tcPr>
            <w:tcMar>
              <w:left w:w="0" w:type="dxa"/>
              <w:right w:w="0" w:type="dxa"/>
            </w:tcMar>
            <w:tcW w:w="1790" w:type="dxa"/>
            <w:vAlign w:val="center"/>
            <w:textDirection w:val="lrTb"/>
            <w:noWrap w:val="false"/>
          </w:tcPr>
          <w:p>
            <w:pPr>
              <w:pStyle w:val="1151"/>
              <w:jc w:val="center"/>
              <w:spacing w:before="62" w:after="62" w:line="240" w:lineRule="exact"/>
              <w:rPr>
                <w:color w:val="000000"/>
                <w:sz w:val="18"/>
              </w:rPr>
            </w:pPr>
            <w:r>
              <w:rPr>
                <w:rFonts w:hAnsi="宋体"/>
                <w:color w:val="000000"/>
                <w:sz w:val="18"/>
              </w:rPr>
              <w:t xml:space="preserve">最终图</w:t>
            </w:r>
            <w:r>
              <w:rPr>
                <w:color w:val="000000"/>
                <w:sz w:val="18"/>
              </w:rPr>
              <w:br w:type="textWrapping" w:clear="all"/>
            </w:r>
            <w:r>
              <w:rPr>
                <w:rFonts w:hAnsi="宋体"/>
                <w:color w:val="000000"/>
                <w:sz w:val="18"/>
              </w:rPr>
              <w:t xml:space="preserve">说明书</w:t>
            </w:r>
            <w:r>
              <w:rPr>
                <w:color w:val="000000"/>
                <w:sz w:val="18"/>
              </w:rPr>
              <w:br w:type="textWrapping" w:clear="all"/>
            </w:r>
            <w:r>
              <w:rPr>
                <w:rFonts w:hint="eastAsia" w:hAnsi="宋体"/>
                <w:color w:val="000000"/>
                <w:sz w:val="18"/>
              </w:rPr>
              <w:t xml:space="preserve">出厂</w:t>
            </w:r>
            <w:r>
              <w:rPr>
                <w:rFonts w:hAnsi="宋体"/>
                <w:color w:val="000000"/>
                <w:sz w:val="18"/>
              </w:rPr>
              <w:t xml:space="preserve">试验报告</w:t>
            </w:r>
            <w:r>
              <w:rPr>
                <w:color w:val="000000"/>
                <w:sz w:val="18"/>
              </w:rPr>
              <w:br w:type="textWrapping" w:clear="all"/>
            </w:r>
            <w:r>
              <w:rPr>
                <w:rFonts w:hAnsi="宋体"/>
                <w:color w:val="000000"/>
                <w:sz w:val="18"/>
              </w:rPr>
              <w:t xml:space="preserve">（附电子文档）</w:t>
            </w:r>
            <w:r>
              <w:rPr>
                <w:color w:val="000000"/>
                <w:sz w:val="18"/>
              </w:rPr>
            </w:r>
            <w:r/>
          </w:p>
        </w:tc>
        <w:tc>
          <w:tcPr>
            <w:tcMar>
              <w:left w:w="0" w:type="dxa"/>
              <w:right w:w="0" w:type="dxa"/>
            </w:tcMar>
            <w:tcW w:w="3915" w:type="dxa"/>
            <w:vAlign w:val="center"/>
            <w:textDirection w:val="lrTb"/>
            <w:noWrap w:val="false"/>
          </w:tcPr>
          <w:p>
            <w:pPr>
              <w:pStyle w:val="1151"/>
              <w:jc w:val="center"/>
              <w:rPr>
                <w:color w:val="000000"/>
                <w:sz w:val="18"/>
              </w:rPr>
            </w:pPr>
            <w:r>
              <w:rPr>
                <w:rFonts w:hAnsi="宋体"/>
                <w:color w:val="000000"/>
                <w:sz w:val="18"/>
              </w:rPr>
              <w:t xml:space="preserve">（买方）</w:t>
            </w:r>
            <w:r>
              <w:rPr>
                <w:color w:val="000000"/>
                <w:sz w:val="18"/>
              </w:rPr>
            </w:r>
            <w:r/>
          </w:p>
        </w:tc>
        <w:tc>
          <w:tcPr>
            <w:tcMar>
              <w:left w:w="0" w:type="dxa"/>
              <w:right w:w="0" w:type="dxa"/>
            </w:tcMar>
            <w:tcW w:w="745" w:type="dxa"/>
            <w:vAlign w:val="center"/>
            <w:textDirection w:val="lrTb"/>
            <w:noWrap w:val="false"/>
          </w:tcPr>
          <w:p>
            <w:pPr>
              <w:pStyle w:val="1151"/>
              <w:jc w:val="center"/>
              <w:rPr>
                <w:color w:val="000000"/>
                <w:sz w:val="18"/>
              </w:rPr>
            </w:pPr>
            <w:r>
              <w:rPr>
                <w:rFonts w:hint="eastAsia"/>
                <w:sz w:val="18"/>
              </w:rPr>
              <w:t xml:space="preserve">纸质文件至少4份，电子文档1份</w:t>
            </w:r>
            <w:r>
              <w:rPr>
                <w:color w:val="000000"/>
                <w:sz w:val="18"/>
              </w:rPr>
            </w:r>
            <w:r/>
          </w:p>
        </w:tc>
        <w:tc>
          <w:tcPr>
            <w:tcMar>
              <w:left w:w="0" w:type="dxa"/>
              <w:right w:w="0" w:type="dxa"/>
            </w:tcMar>
            <w:tcW w:w="2983" w:type="dxa"/>
            <w:vAlign w:val="center"/>
            <w:vMerge w:val="continue"/>
            <w:textDirection w:val="lrTb"/>
            <w:noWrap w:val="false"/>
          </w:tcPr>
          <w:p>
            <w:pPr>
              <w:pStyle w:val="1151"/>
              <w:jc w:val="center"/>
              <w:rPr>
                <w:color w:val="000000"/>
                <w:sz w:val="18"/>
              </w:rPr>
            </w:pPr>
            <w:r>
              <w:rPr>
                <w:color w:val="000000"/>
                <w:sz w:val="18"/>
              </w:rPr>
            </w:r>
            <w:r/>
          </w:p>
        </w:tc>
      </w:tr>
    </w:tbl>
    <w:p>
      <w:pPr>
        <w:pStyle w:val="1151"/>
        <w:spacing w:line="312" w:lineRule="exact"/>
      </w:pPr>
      <w:r/>
      <w:r/>
    </w:p>
    <w:p>
      <w:pPr>
        <w:pStyle w:val="1238"/>
        <w:rPr>
          <w:rFonts w:ascii="Times New Roman"/>
        </w:rPr>
        <w:outlineLvl w:val="0"/>
      </w:pPr>
      <w:r>
        <w:rPr>
          <w:rFonts w:ascii="Times New Roman"/>
        </w:rPr>
        <w:br w:type="page" w:clear="all"/>
      </w:r>
      <w:bookmarkStart w:id="485" w:name="_Toc47551496"/>
      <w:r/>
      <w:bookmarkStart w:id="486" w:name="_Toc18388"/>
      <w:r/>
      <w:bookmarkStart w:id="487" w:name="_Toc27685"/>
      <w:r>
        <w:rPr>
          <w:rFonts w:hint="eastAsia" w:ascii="Times New Roman"/>
        </w:rPr>
        <w:t xml:space="preserve">6</w:t>
      </w:r>
      <w:r>
        <w:rPr>
          <w:rFonts w:ascii="Times New Roman"/>
        </w:rPr>
        <w:t xml:space="preserve">　附图</w:t>
      </w:r>
      <w:bookmarkEnd w:id="485"/>
      <w:r/>
      <w:bookmarkEnd w:id="486"/>
      <w:r/>
      <w:bookmarkEnd w:id="487"/>
      <w:r>
        <w:rPr>
          <w:rFonts w:ascii="Times New Roman"/>
        </w:rPr>
      </w:r>
      <w:r/>
    </w:p>
    <w:tbl>
      <w:tblPr>
        <w:tblW w:w="739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205"/>
        <w:gridCol w:w="4185"/>
      </w:tblGrid>
      <w:tr>
        <w:trPr>
          <w:trHeight w:val="152"/>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bCs/>
                <w:sz w:val="18"/>
                <w:szCs w:val="18"/>
              </w:rPr>
              <w:t xml:space="preserve">环网</w:t>
            </w:r>
            <w:r>
              <w:rPr>
                <w:rFonts w:hint="eastAsia"/>
                <w:bCs/>
                <w:sz w:val="18"/>
                <w:szCs w:val="18"/>
              </w:rPr>
              <w:t xml:space="preserve">箱</w:t>
            </w:r>
            <w:r>
              <w:rPr>
                <w:bCs/>
                <w:sz w:val="18"/>
                <w:szCs w:val="18"/>
              </w:rPr>
              <w:t xml:space="preserve">名称</w:t>
            </w:r>
            <w:r>
              <w:rPr>
                <w:bCs/>
                <w:sz w:val="18"/>
                <w:szCs w:val="18"/>
              </w:rPr>
            </w:r>
            <w:r/>
          </w:p>
        </w:tc>
        <w:tc>
          <w:tcPr>
            <w:tcBorders>
              <w:top w:val="singl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pPr>
            <w:r>
              <w:rPr>
                <w:rFonts w:hint="eastAsia"/>
                <w:bCs/>
                <w:sz w:val="18"/>
                <w:szCs w:val="18"/>
              </w:rPr>
              <w:t xml:space="preserve">进出线断路器</w:t>
            </w:r>
            <w:r>
              <w:rPr>
                <w:bCs/>
                <w:sz w:val="18"/>
                <w:szCs w:val="18"/>
              </w:rPr>
            </w:r>
            <w:r/>
          </w:p>
        </w:tc>
      </w:tr>
      <w:tr>
        <w:trPr>
          <w:trHeight w:val="2112"/>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bCs/>
                <w:sz w:val="18"/>
                <w:szCs w:val="18"/>
              </w:rPr>
              <w:t xml:space="preserve">一次接线图</w:t>
            </w:r>
            <w:r>
              <w:rPr>
                <w:bCs/>
                <w:sz w:val="18"/>
                <w:szCs w:val="18"/>
              </w:rPr>
            </w:r>
            <w:r/>
          </w:p>
        </w:tc>
        <w:tc>
          <w:tcPr>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iCs/>
                <w:sz w:val="18"/>
                <w:szCs w:val="18"/>
              </w:rPr>
            </w:pPr>
            <w:r>
              <mc:AlternateContent>
                <mc:Choice Requires="wpg">
                  <w:drawing>
                    <wp:inline xmlns:wp="http://schemas.openxmlformats.org/drawingml/2006/wordprocessingDrawing" distT="0" distB="0" distL="0" distR="0">
                      <wp:extent cx="2514575" cy="752592"/>
                      <wp:effectExtent l="0" t="0" r="0" b="0"/>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2514575" cy="752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198.0pt;height:59.3pt;mso-wrap-distance-left:0.0pt;mso-wrap-distance-top:0.0pt;mso-wrap-distance-right:0.0pt;mso-wrap-distance-bottom:0.0pt;" stroked="f">
                      <v:path textboxrect="0,0,0,0"/>
                      <v:imagedata r:id="rId200" o:title=""/>
                    </v:shape>
                  </w:pict>
                </mc:Fallback>
              </mc:AlternateContent>
            </w:r>
            <w:r>
              <w:rPr>
                <w:bCs/>
                <w:iCs/>
                <w:sz w:val="18"/>
                <w:szCs w:val="18"/>
              </w:rPr>
            </w:r>
            <w:r/>
          </w:p>
        </w:tc>
      </w:tr>
      <w:tr>
        <w:trPr>
          <w:trHeight w:val="221"/>
        </w:trPr>
        <w:tc>
          <w:tcPr>
            <w:gridSpan w:val="2"/>
            <w:tcBorders>
              <w:top w:val="single" w:color="000000" w:sz="4" w:space="0"/>
              <w:left w:val="single" w:color="000000" w:sz="4" w:space="0"/>
              <w:bottom w:val="single" w:color="000000" w:sz="4" w:space="0"/>
              <w:right w:val="single" w:color="000000" w:sz="4" w:space="0"/>
            </w:tcBorders>
            <w:tcW w:w="7390" w:type="dxa"/>
            <w:vAlign w:val="center"/>
            <w:textDirection w:val="lrTb"/>
            <w:noWrap w:val="false"/>
          </w:tcPr>
          <w:p>
            <w:pPr>
              <w:pStyle w:val="1151"/>
              <w:jc w:val="center"/>
              <w:widowControl/>
              <w:rPr>
                <w:bCs/>
                <w:sz w:val="18"/>
                <w:szCs w:val="18"/>
              </w:rPr>
            </w:pPr>
            <w:r>
              <w:rPr>
                <w:rFonts w:hint="eastAsia"/>
                <w:bCs/>
                <w:sz w:val="18"/>
                <w:szCs w:val="18"/>
              </w:rPr>
              <w:t xml:space="preserve">断路器单元</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bCs/>
                <w:sz w:val="18"/>
                <w:szCs w:val="18"/>
              </w:rPr>
              <w:t xml:space="preserve">额定电压</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pPr>
            <w:r>
              <w:rPr>
                <w:bCs/>
                <w:sz w:val="18"/>
                <w:szCs w:val="18"/>
              </w:rPr>
              <w:t xml:space="preserve">12kV</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bCs/>
                <w:sz w:val="18"/>
                <w:szCs w:val="18"/>
              </w:rPr>
              <w:t xml:space="preserve">额定电流</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pPr>
            <w:r>
              <w:rPr>
                <w:bCs/>
                <w:sz w:val="18"/>
                <w:szCs w:val="18"/>
              </w:rPr>
              <w:t xml:space="preserve">630A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bCs/>
                <w:sz w:val="18"/>
                <w:szCs w:val="18"/>
              </w:rPr>
              <w:t xml:space="preserve">绝缘介质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pPr>
            <w:r>
              <w:rPr>
                <w:bCs/>
                <w:sz w:val="18"/>
                <w:szCs w:val="18"/>
              </w:rPr>
              <w:t xml:space="preserve">SF</w:t>
            </w:r>
            <w:r>
              <w:rPr>
                <w:bCs/>
                <w:sz w:val="18"/>
                <w:szCs w:val="18"/>
                <w:vertAlign w:val="subscript"/>
              </w:rPr>
              <w:t xml:space="preserve">6</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bCs/>
                <w:sz w:val="18"/>
                <w:szCs w:val="18"/>
              </w:rPr>
              <w:t xml:space="preserve">灭弧介质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pPr>
            <w:r>
              <w:rPr>
                <w:bCs/>
                <w:sz w:val="18"/>
                <w:szCs w:val="18"/>
              </w:rPr>
              <w:t xml:space="preserve">真空</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bCs/>
                <w:sz w:val="18"/>
                <w:szCs w:val="18"/>
              </w:rPr>
              <w:t xml:space="preserve">断路器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pPr>
            <w:r>
              <w:rPr>
                <w:bCs/>
                <w:sz w:val="18"/>
                <w:szCs w:val="18"/>
              </w:rPr>
              <w:t xml:space="preserve">630A，20kA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bCs/>
                <w:sz w:val="18"/>
                <w:szCs w:val="18"/>
              </w:rPr>
              <w:t xml:space="preserve">隔离/接地开关</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bCs/>
                <w:sz w:val="18"/>
                <w:szCs w:val="18"/>
              </w:rPr>
              <w:t xml:space="preserve">电流互感器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bCs/>
                <w:sz w:val="18"/>
                <w:szCs w:val="18"/>
              </w:rPr>
              <w:t xml:space="preserve">避雷器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bCs/>
                <w:sz w:val="18"/>
                <w:szCs w:val="18"/>
              </w:rPr>
              <w:t xml:space="preserve">带电显示器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pPr>
            <w:r>
              <w:rPr>
                <w:bCs/>
                <w:sz w:val="18"/>
                <w:szCs w:val="18"/>
              </w:rPr>
              <w:t xml:space="preserve">1组</w:t>
            </w:r>
            <w:r>
              <w:rPr>
                <w:bCs/>
                <w:sz w:val="18"/>
                <w:szCs w:val="18"/>
              </w:rPr>
            </w:r>
            <w:r/>
          </w:p>
        </w:tc>
      </w:tr>
      <w:tr>
        <w:trPr>
          <w:trHeight w:val="221"/>
        </w:trPr>
        <w:tc>
          <w:tcPr>
            <w:gridSpan w:val="2"/>
            <w:tcBorders>
              <w:top w:val="single" w:color="000000" w:sz="4" w:space="0"/>
              <w:left w:val="single" w:color="000000" w:sz="4" w:space="0"/>
              <w:bottom w:val="single" w:color="000000" w:sz="4" w:space="0"/>
              <w:right w:val="single" w:color="000000" w:sz="4" w:space="0"/>
            </w:tcBorders>
            <w:tcW w:w="7390" w:type="dxa"/>
            <w:vAlign w:val="center"/>
            <w:textDirection w:val="lrTb"/>
            <w:noWrap w:val="false"/>
          </w:tcPr>
          <w:p>
            <w:pPr>
              <w:pStyle w:val="1151"/>
              <w:jc w:val="center"/>
              <w:widowControl/>
              <w:rPr>
                <w:bCs/>
                <w:sz w:val="18"/>
                <w:szCs w:val="18"/>
              </w:rPr>
            </w:pPr>
            <w:r>
              <w:rPr>
                <w:rFonts w:hint="eastAsia"/>
                <w:bCs/>
                <w:sz w:val="18"/>
                <w:szCs w:val="18"/>
              </w:rPr>
              <w:t xml:space="preserve">电压互感器单元</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bCs/>
                <w:sz w:val="18"/>
                <w:szCs w:val="18"/>
              </w:rPr>
              <w:t xml:space="preserve">额定电压</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pPr>
            <w:r>
              <w:rPr>
                <w:bCs/>
                <w:sz w:val="18"/>
                <w:szCs w:val="18"/>
              </w:rPr>
              <w:t xml:space="preserve">12kV</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bCs/>
                <w:sz w:val="18"/>
                <w:szCs w:val="18"/>
              </w:rPr>
              <w:t xml:space="preserve">额定电流</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pPr>
            <w:r>
              <w:rPr>
                <w:bCs/>
                <w:sz w:val="18"/>
                <w:szCs w:val="18"/>
              </w:rPr>
              <w:t xml:space="preserve">630A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bCs/>
                <w:sz w:val="18"/>
                <w:szCs w:val="18"/>
              </w:rPr>
              <w:t xml:space="preserve">绝缘介质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pPr>
            <w:r>
              <w:rPr>
                <w:bCs/>
                <w:sz w:val="18"/>
                <w:szCs w:val="18"/>
              </w:rPr>
              <w:t xml:space="preserve">SF</w:t>
            </w:r>
            <w:r>
              <w:rPr>
                <w:bCs/>
                <w:sz w:val="18"/>
                <w:szCs w:val="18"/>
                <w:vertAlign w:val="subscript"/>
              </w:rPr>
              <w:t xml:space="preserve">6</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bCs/>
                <w:sz w:val="18"/>
                <w:szCs w:val="18"/>
              </w:rPr>
              <w:t xml:space="preserve">隔离/接地开关</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bCs/>
                <w:sz w:val="18"/>
                <w:szCs w:val="18"/>
              </w:rPr>
              <w:t xml:space="preserve">电</w:t>
            </w:r>
            <w:r>
              <w:rPr>
                <w:rFonts w:hint="eastAsia"/>
                <w:bCs/>
                <w:sz w:val="18"/>
                <w:szCs w:val="18"/>
              </w:rPr>
              <w:t xml:space="preserve">压</w:t>
            </w:r>
            <w:r>
              <w:rPr>
                <w:bCs/>
                <w:sz w:val="18"/>
                <w:szCs w:val="18"/>
              </w:rPr>
              <w:t xml:space="preserve">互感器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rFonts w:hint="eastAsia"/>
                <w:bCs/>
                <w:sz w:val="18"/>
                <w:szCs w:val="18"/>
              </w:rPr>
              <w:t xml:space="preserve">熔断器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bCs/>
                <w:sz w:val="18"/>
                <w:szCs w:val="18"/>
              </w:rPr>
              <w:t xml:space="preserve">避雷器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pPr>
            <w:r>
              <w:rPr>
                <w:bCs/>
                <w:sz w:val="18"/>
                <w:szCs w:val="18"/>
              </w:rPr>
              <w:t xml:space="preserve">带电显示器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pPr>
            <w:r>
              <w:rPr>
                <w:bCs/>
                <w:sz w:val="18"/>
                <w:szCs w:val="18"/>
              </w:rPr>
              <w:t xml:space="preserve">1组</w:t>
            </w:r>
            <w:r>
              <w:rPr>
                <w:bCs/>
                <w:sz w:val="18"/>
                <w:szCs w:val="18"/>
              </w:rPr>
            </w:r>
            <w:r/>
          </w:p>
        </w:tc>
      </w:tr>
    </w:tbl>
    <w:p>
      <w:pPr>
        <w:pStyle w:val="1151"/>
      </w:pPr>
      <w:r/>
      <w:r/>
    </w:p>
    <w:p>
      <w:pPr>
        <w:pStyle w:val="1151"/>
      </w:pPr>
      <w:r/>
      <w:r/>
    </w:p>
    <w:p>
      <w:pPr>
        <w:pStyle w:val="1151"/>
      </w:pPr>
      <w:r/>
      <w:r/>
    </w:p>
    <w:p>
      <w:pPr>
        <w:pStyle w:val="1151"/>
      </w:pPr>
      <w:r>
        <w:br w:type="page" w:clear="all"/>
      </w:r>
      <w:r/>
    </w:p>
    <w:tbl>
      <w:tblPr>
        <w:tblpPr w:horzAnchor="page" w:tblpX="2266" w:vertAnchor="text" w:tblpY="16" w:leftFromText="180" w:topFromText="0" w:rightFromText="180" w:bottomFromText="0"/>
        <w:tblW w:w="7390" w:type="dxa"/>
        <w:tblInd w:w="-108" w:type="dxa"/>
        <w:tblLayout w:type="fixed"/>
        <w:tblCellMar>
          <w:left w:w="108" w:type="dxa"/>
          <w:top w:w="0" w:type="dxa"/>
          <w:right w:w="108" w:type="dxa"/>
          <w:bottom w:w="0" w:type="dxa"/>
        </w:tblCellMar>
        <w:tblLook w:val="04A0" w:firstRow="1" w:lastRow="0" w:firstColumn="1" w:lastColumn="0" w:noHBand="0" w:noVBand="1"/>
      </w:tblPr>
      <w:tblGrid>
        <w:gridCol w:w="3205"/>
        <w:gridCol w:w="4185"/>
      </w:tblGrid>
      <w:tr>
        <w:trPr>
          <w:trHeight w:val="152"/>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环网</w:t>
            </w:r>
            <w:r>
              <w:rPr>
                <w:rFonts w:hint="eastAsia"/>
                <w:bCs/>
                <w:sz w:val="18"/>
                <w:szCs w:val="18"/>
              </w:rPr>
              <w:t xml:space="preserve">箱</w:t>
            </w:r>
            <w:r>
              <w:rPr>
                <w:bCs/>
                <w:sz w:val="18"/>
                <w:szCs w:val="18"/>
              </w:rPr>
              <w:t xml:space="preserve">名称</w:t>
            </w:r>
            <w:r>
              <w:rPr>
                <w:bCs/>
                <w:sz w:val="18"/>
                <w:szCs w:val="18"/>
              </w:rPr>
            </w:r>
            <w:r/>
          </w:p>
        </w:tc>
        <w:tc>
          <w:tcPr>
            <w:tcBorders>
              <w:top w:val="singl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rFonts w:hint="eastAsia"/>
                <w:bCs/>
                <w:sz w:val="18"/>
                <w:szCs w:val="18"/>
              </w:rPr>
              <w:t xml:space="preserve">进出线断路器</w:t>
            </w:r>
            <w:r>
              <w:rPr>
                <w:bCs/>
                <w:sz w:val="18"/>
                <w:szCs w:val="18"/>
              </w:rPr>
            </w:r>
            <w:r/>
          </w:p>
        </w:tc>
      </w:tr>
      <w:tr>
        <w:trPr>
          <w:trHeight w:val="2112"/>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一次接线图</w:t>
            </w:r>
            <w:r>
              <w:rPr>
                <w:bCs/>
                <w:sz w:val="18"/>
                <w:szCs w:val="18"/>
              </w:rPr>
            </w:r>
            <w:r/>
          </w:p>
        </w:tc>
        <w:tc>
          <w:tcPr>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framePr w:vAnchor="text" w:hAnchor="page" w:x="2266" w:y="16"/>
            </w:pPr>
            <w:r>
              <mc:AlternateContent>
                <mc:Choice Requires="wpg">
                  <w:drawing>
                    <wp:inline xmlns:wp="http://schemas.openxmlformats.org/drawingml/2006/wordprocessingDrawing" distT="0" distB="0" distL="0" distR="0">
                      <wp:extent cx="2514575" cy="762251"/>
                      <wp:effectExtent l="0" t="0" r="0" b="0"/>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2514575" cy="7622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198.0pt;height:60.0pt;mso-wrap-distance-left:0.0pt;mso-wrap-distance-top:0.0pt;mso-wrap-distance-right:0.0pt;mso-wrap-distance-bottom:0.0pt;" stroked="f">
                      <v:path textboxrect="0,0,0,0"/>
                      <v:imagedata r:id="rId201" o:title=""/>
                    </v:shape>
                  </w:pict>
                </mc:Fallback>
              </mc:AlternateContent>
            </w:r>
            <w:r/>
          </w:p>
        </w:tc>
      </w:tr>
      <w:tr>
        <w:trPr>
          <w:trHeight w:val="221"/>
        </w:trPr>
        <w:tc>
          <w:tcPr>
            <w:gridSpan w:val="2"/>
            <w:tcBorders>
              <w:top w:val="single" w:color="000000" w:sz="4" w:space="0"/>
              <w:left w:val="single" w:color="000000" w:sz="4" w:space="0"/>
              <w:bottom w:val="single" w:color="000000" w:sz="4" w:space="0"/>
              <w:right w:val="single" w:color="000000" w:sz="4" w:space="0"/>
            </w:tcBorders>
            <w:tcW w:w="7390" w:type="dxa"/>
            <w:vAlign w:val="center"/>
            <w:textDirection w:val="lrTb"/>
            <w:noWrap w:val="false"/>
          </w:tcPr>
          <w:p>
            <w:pPr>
              <w:pStyle w:val="1151"/>
              <w:jc w:val="center"/>
              <w:widowControl/>
              <w:rPr>
                <w:bCs/>
                <w:sz w:val="18"/>
                <w:szCs w:val="18"/>
              </w:rPr>
              <w:framePr w:vAnchor="text" w:hAnchor="page" w:x="2266" w:y="16"/>
            </w:pPr>
            <w:r>
              <w:rPr>
                <w:rFonts w:hint="eastAsia"/>
                <w:bCs/>
                <w:sz w:val="18"/>
                <w:szCs w:val="18"/>
              </w:rPr>
              <w:t xml:space="preserve">断路器单元</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额定电压</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12kV</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额定电流</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630A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绝缘介质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SF</w:t>
            </w:r>
            <w:r>
              <w:rPr>
                <w:bCs/>
                <w:sz w:val="18"/>
                <w:szCs w:val="18"/>
                <w:vertAlign w:val="subscript"/>
              </w:rPr>
              <w:t xml:space="preserve">6</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灭弧介质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真空</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断路器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630A，20kA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隔离/接地开关</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电流互感器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避雷器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带电显示器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1组</w:t>
            </w:r>
            <w:r>
              <w:rPr>
                <w:bCs/>
                <w:sz w:val="18"/>
                <w:szCs w:val="18"/>
              </w:rPr>
            </w:r>
            <w:r/>
          </w:p>
        </w:tc>
      </w:tr>
      <w:tr>
        <w:trPr>
          <w:trHeight w:val="221"/>
        </w:trPr>
        <w:tc>
          <w:tcPr>
            <w:gridSpan w:val="2"/>
            <w:tcBorders>
              <w:top w:val="single" w:color="000000" w:sz="4" w:space="0"/>
              <w:left w:val="single" w:color="000000" w:sz="4" w:space="0"/>
              <w:bottom w:val="single" w:color="000000" w:sz="4" w:space="0"/>
              <w:right w:val="single" w:color="000000" w:sz="4" w:space="0"/>
            </w:tcBorders>
            <w:tcW w:w="7390" w:type="dxa"/>
            <w:vAlign w:val="center"/>
            <w:textDirection w:val="lrTb"/>
            <w:noWrap w:val="false"/>
          </w:tcPr>
          <w:p>
            <w:pPr>
              <w:pStyle w:val="1151"/>
              <w:jc w:val="center"/>
              <w:widowControl/>
              <w:rPr>
                <w:bCs/>
                <w:sz w:val="18"/>
                <w:szCs w:val="18"/>
              </w:rPr>
              <w:framePr w:vAnchor="text" w:hAnchor="page" w:x="2266" w:y="16"/>
            </w:pPr>
            <w:r>
              <w:rPr>
                <w:rFonts w:hint="eastAsia"/>
                <w:bCs/>
                <w:sz w:val="18"/>
                <w:szCs w:val="18"/>
              </w:rPr>
              <w:t xml:space="preserve">电压互感器单元</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额定电压</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12kV</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额定电流</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630A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绝缘介质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SF</w:t>
            </w:r>
            <w:r>
              <w:rPr>
                <w:bCs/>
                <w:sz w:val="18"/>
                <w:szCs w:val="18"/>
                <w:vertAlign w:val="subscript"/>
              </w:rPr>
              <w:t xml:space="preserve">6</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rFonts w:hint="eastAsia"/>
                <w:bCs/>
                <w:sz w:val="18"/>
                <w:szCs w:val="18"/>
              </w:rPr>
              <w:t xml:space="preserve">负荷开关</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630A，20kA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隔离/接地开关</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电</w:t>
            </w:r>
            <w:r>
              <w:rPr>
                <w:rFonts w:hint="eastAsia"/>
                <w:bCs/>
                <w:sz w:val="18"/>
                <w:szCs w:val="18"/>
              </w:rPr>
              <w:t xml:space="preserve">压</w:t>
            </w:r>
            <w:r>
              <w:rPr>
                <w:bCs/>
                <w:sz w:val="18"/>
                <w:szCs w:val="18"/>
              </w:rPr>
              <w:t xml:space="preserve">互感器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rFonts w:hint="eastAsia"/>
                <w:bCs/>
                <w:sz w:val="18"/>
                <w:szCs w:val="18"/>
              </w:rPr>
              <w:t xml:space="preserve">熔断器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避雷器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带电显示器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66" w:y="16"/>
            </w:pPr>
            <w:r>
              <w:rPr>
                <w:bCs/>
                <w:sz w:val="18"/>
                <w:szCs w:val="18"/>
              </w:rPr>
              <w:t xml:space="preserve">1组</w:t>
            </w:r>
            <w:r>
              <w:rPr>
                <w:bCs/>
                <w:sz w:val="18"/>
                <w:szCs w:val="18"/>
              </w:rPr>
            </w:r>
            <w:r/>
          </w:p>
        </w:tc>
      </w:tr>
      <w:tr>
        <w:trPr>
          <w:trHeight w:val="221"/>
        </w:trPr>
        <w:tc>
          <w:tcPr>
            <w:gridSpan w:val="2"/>
            <w:tcBorders>
              <w:top w:val="single" w:color="000000" w:sz="4" w:space="0"/>
              <w:left w:val="single" w:color="000000" w:sz="4" w:space="0"/>
              <w:bottom w:val="single" w:color="000000" w:sz="4" w:space="0"/>
              <w:right w:val="single" w:color="000000" w:sz="4" w:space="0"/>
            </w:tcBorders>
            <w:tcW w:w="7390" w:type="dxa"/>
            <w:vAlign w:val="center"/>
            <w:textDirection w:val="lrTb"/>
            <w:noWrap w:val="false"/>
          </w:tcPr>
          <w:p>
            <w:pPr>
              <w:pStyle w:val="1151"/>
              <w:widowControl/>
              <w:rPr>
                <w:bCs/>
                <w:sz w:val="18"/>
                <w:szCs w:val="21"/>
              </w:rPr>
              <w:framePr w:vAnchor="text" w:hAnchor="page" w:x="2266" w:y="16"/>
            </w:pPr>
            <w:r>
              <w:rPr>
                <w:rFonts w:hint="eastAsia"/>
                <w:sz w:val="18"/>
                <w:szCs w:val="18"/>
                <w:highlight w:val="yellow"/>
              </w:rPr>
              <w:t xml:space="preserve">注：为满足户外现场作业应急取电要求，可在户外环网箱的电压互感器单元柜中集成节点开关及取电插头。</w:t>
            </w:r>
            <w:r>
              <w:rPr>
                <w:bCs/>
                <w:sz w:val="18"/>
                <w:szCs w:val="21"/>
              </w:rPr>
            </w:r>
            <w:r/>
          </w:p>
        </w:tc>
      </w:tr>
    </w:tbl>
    <w:p>
      <w:pPr>
        <w:pStyle w:val="1151"/>
      </w:pPr>
      <w:r>
        <w:br w:type="page" w:clear="all"/>
      </w:r>
      <w:r/>
    </w:p>
    <w:tbl>
      <w:tblPr>
        <w:tblpPr w:horzAnchor="page" w:tblpX="2251" w:vertAnchor="text" w:tblpY="-119" w:leftFromText="180" w:topFromText="0" w:rightFromText="180" w:bottomFromText="0"/>
        <w:tblW w:w="7390" w:type="dxa"/>
        <w:tblInd w:w="-108" w:type="dxa"/>
        <w:tblLayout w:type="fixed"/>
        <w:tblCellMar>
          <w:left w:w="108" w:type="dxa"/>
          <w:top w:w="0" w:type="dxa"/>
          <w:right w:w="108" w:type="dxa"/>
          <w:bottom w:w="0" w:type="dxa"/>
        </w:tblCellMar>
        <w:tblLook w:val="04A0" w:firstRow="1" w:lastRow="0" w:firstColumn="1" w:lastColumn="0" w:noHBand="0" w:noVBand="1"/>
      </w:tblPr>
      <w:tblGrid>
        <w:gridCol w:w="3205"/>
        <w:gridCol w:w="4185"/>
      </w:tblGrid>
      <w:tr>
        <w:trPr>
          <w:trHeight w:val="152"/>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环网</w:t>
            </w:r>
            <w:r>
              <w:rPr>
                <w:rFonts w:hint="eastAsia"/>
                <w:bCs/>
                <w:sz w:val="18"/>
                <w:szCs w:val="18"/>
              </w:rPr>
              <w:t xml:space="preserve">箱</w:t>
            </w:r>
            <w:r>
              <w:rPr>
                <w:bCs/>
                <w:sz w:val="18"/>
                <w:szCs w:val="18"/>
              </w:rPr>
              <w:t xml:space="preserve">名称</w:t>
            </w:r>
            <w:r>
              <w:rPr>
                <w:bCs/>
                <w:sz w:val="18"/>
                <w:szCs w:val="18"/>
              </w:rPr>
            </w:r>
            <w:r/>
          </w:p>
        </w:tc>
        <w:tc>
          <w:tcPr>
            <w:tcBorders>
              <w:top w:val="singl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51" w:y="-119"/>
            </w:pPr>
            <w:r>
              <w:rPr>
                <w:rFonts w:hint="eastAsia"/>
                <w:bCs/>
                <w:sz w:val="18"/>
                <w:szCs w:val="18"/>
              </w:rPr>
              <w:t xml:space="preserve">进出线断路器</w:t>
            </w:r>
            <w:r>
              <w:rPr>
                <w:bCs/>
                <w:sz w:val="18"/>
                <w:szCs w:val="18"/>
              </w:rPr>
            </w:r>
            <w:r/>
          </w:p>
        </w:tc>
      </w:tr>
      <w:tr>
        <w:trPr>
          <w:trHeight w:val="2112"/>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一次接线图</w:t>
            </w:r>
            <w:r>
              <w:rPr>
                <w:bCs/>
                <w:sz w:val="18"/>
                <w:szCs w:val="18"/>
              </w:rPr>
            </w:r>
            <w:r/>
          </w:p>
        </w:tc>
        <w:tc>
          <w:tcPr>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241"/>
              <w:rPr>
                <w:rFonts w:ascii="Times New Roman" w:hAnsi="Times New Roman" w:cs="Times New Roman"/>
                <w:bCs/>
                <w:iCs/>
                <w:sz w:val="18"/>
                <w:szCs w:val="18"/>
              </w:rPr>
              <w:framePr w:vAnchor="text" w:hAnchor="page" w:x="2251" w:y="-119"/>
            </w:pPr>
            <w:r>
              <mc:AlternateContent>
                <mc:Choice Requires="wpg">
                  <w:drawing>
                    <wp:inline xmlns:wp="http://schemas.openxmlformats.org/drawingml/2006/wordprocessingDrawing" distT="0" distB="0" distL="0" distR="0">
                      <wp:extent cx="2514638" cy="762251"/>
                      <wp:effectExtent l="0" t="0" r="0" b="0"/>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2514638" cy="7622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198.0pt;height:60.0pt;mso-wrap-distance-left:0.0pt;mso-wrap-distance-top:0.0pt;mso-wrap-distance-right:0.0pt;mso-wrap-distance-bottom:0.0pt;" stroked="f">
                      <v:path textboxrect="0,0,0,0"/>
                      <v:imagedata r:id="rId202" o:title=""/>
                    </v:shape>
                  </w:pict>
                </mc:Fallback>
              </mc:AlternateContent>
            </w:r>
            <w:r>
              <w:rPr>
                <w:rFonts w:ascii="Times New Roman" w:hAnsi="Times New Roman" w:cs="Times New Roman"/>
              </w:rPr>
              <w:fldChar w:fldCharType="begin"/>
            </w:r>
            <w:r>
              <w:rPr>
                <w:rFonts w:ascii="Times New Roman" w:hAnsi="Times New Roman" w:cs="Times New Roman"/>
              </w:rPr>
              <w:instrText xml:space="preserve"> INCLUDEPICTURE "C:\\Users\\lanjian\\AppData\\Local\\Temp\\ksohtml\\wps_clip_image-7524.png" \* MERGEFORMATINET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INCLUDEPICTURE  "C://Users/lanjian/AppData/Local/Temp/ksohtml/wps_clip_image-7524.png" \* MERGEFORMATINET </w:instrText>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bCs/>
                <w:iCs/>
                <w:sz w:val="18"/>
                <w:szCs w:val="18"/>
              </w:rPr>
            </w:r>
            <w:r/>
          </w:p>
        </w:tc>
      </w:tr>
      <w:tr>
        <w:trPr>
          <w:trHeight w:val="221"/>
        </w:trPr>
        <w:tc>
          <w:tcPr>
            <w:gridSpan w:val="2"/>
            <w:tcBorders>
              <w:top w:val="single" w:color="000000" w:sz="4" w:space="0"/>
              <w:left w:val="single" w:color="000000" w:sz="4" w:space="0"/>
              <w:bottom w:val="single" w:color="000000" w:sz="4" w:space="0"/>
              <w:right w:val="single" w:color="000000" w:sz="4" w:space="0"/>
            </w:tcBorders>
            <w:tcW w:w="7390" w:type="dxa"/>
            <w:vAlign w:val="center"/>
            <w:textDirection w:val="lrTb"/>
            <w:noWrap w:val="false"/>
          </w:tcPr>
          <w:p>
            <w:pPr>
              <w:pStyle w:val="1151"/>
              <w:jc w:val="center"/>
              <w:widowControl/>
              <w:rPr>
                <w:bCs/>
                <w:sz w:val="18"/>
                <w:szCs w:val="18"/>
              </w:rPr>
              <w:framePr w:vAnchor="text" w:hAnchor="page" w:x="2251" w:y="-119"/>
            </w:pPr>
            <w:r>
              <w:rPr>
                <w:rFonts w:hint="eastAsia"/>
                <w:bCs/>
                <w:sz w:val="18"/>
                <w:szCs w:val="18"/>
              </w:rPr>
              <w:t xml:space="preserve">断路器单元</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额定电压</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12kV</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额定电流</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630A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绝缘介质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SF</w:t>
            </w:r>
            <w:r>
              <w:rPr>
                <w:bCs/>
                <w:sz w:val="18"/>
                <w:szCs w:val="18"/>
                <w:vertAlign w:val="subscript"/>
              </w:rPr>
              <w:t xml:space="preserve">6</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灭弧介质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真空</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断路器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630A，20kA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隔离/接地开关</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电流互感器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避雷器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带电显示器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1组</w:t>
            </w:r>
            <w:r>
              <w:rPr>
                <w:bCs/>
                <w:sz w:val="18"/>
                <w:szCs w:val="18"/>
              </w:rPr>
            </w:r>
            <w:r/>
          </w:p>
        </w:tc>
      </w:tr>
      <w:tr>
        <w:trPr>
          <w:trHeight w:val="221"/>
        </w:trPr>
        <w:tc>
          <w:tcPr>
            <w:gridSpan w:val="2"/>
            <w:tcBorders>
              <w:top w:val="single" w:color="000000" w:sz="4" w:space="0"/>
              <w:left w:val="single" w:color="000000" w:sz="4" w:space="0"/>
              <w:bottom w:val="single" w:color="000000" w:sz="4" w:space="0"/>
              <w:right w:val="single" w:color="000000" w:sz="4" w:space="0"/>
            </w:tcBorders>
            <w:tcW w:w="7390" w:type="dxa"/>
            <w:vAlign w:val="center"/>
            <w:textDirection w:val="lrTb"/>
            <w:noWrap w:val="false"/>
          </w:tcPr>
          <w:p>
            <w:pPr>
              <w:pStyle w:val="1151"/>
              <w:jc w:val="center"/>
              <w:widowControl/>
              <w:rPr>
                <w:bCs/>
                <w:sz w:val="18"/>
                <w:szCs w:val="18"/>
              </w:rPr>
              <w:framePr w:vAnchor="text" w:hAnchor="page" w:x="2251" w:y="-119"/>
            </w:pPr>
            <w:r>
              <w:rPr>
                <w:rFonts w:hint="eastAsia"/>
                <w:bCs/>
                <w:sz w:val="18"/>
                <w:szCs w:val="18"/>
              </w:rPr>
              <w:t xml:space="preserve">电压互感器单元</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额定电压</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12kV</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额定电流</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630A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绝缘介质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SF</w:t>
            </w:r>
            <w:r>
              <w:rPr>
                <w:bCs/>
                <w:sz w:val="18"/>
                <w:szCs w:val="18"/>
                <w:vertAlign w:val="subscript"/>
              </w:rPr>
              <w:t xml:space="preserve">6</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隔离/接地开关</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电</w:t>
            </w:r>
            <w:r>
              <w:rPr>
                <w:rFonts w:hint="eastAsia"/>
                <w:bCs/>
                <w:sz w:val="18"/>
                <w:szCs w:val="18"/>
              </w:rPr>
              <w:t xml:space="preserve">压</w:t>
            </w:r>
            <w:r>
              <w:rPr>
                <w:bCs/>
                <w:sz w:val="18"/>
                <w:szCs w:val="18"/>
              </w:rPr>
              <w:t xml:space="preserve">互感器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rFonts w:hint="eastAsia"/>
                <w:bCs/>
                <w:sz w:val="18"/>
                <w:szCs w:val="18"/>
              </w:rPr>
              <w:t xml:space="preserve">熔断器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避雷器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带电显示器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51" w:y="-119"/>
            </w:pPr>
            <w:r>
              <w:rPr>
                <w:bCs/>
                <w:sz w:val="18"/>
                <w:szCs w:val="18"/>
              </w:rPr>
              <w:t xml:space="preserve">1组</w:t>
            </w:r>
            <w:r>
              <w:rPr>
                <w:bCs/>
                <w:sz w:val="18"/>
                <w:szCs w:val="18"/>
              </w:rPr>
            </w:r>
            <w:r/>
          </w:p>
        </w:tc>
      </w:tr>
    </w:tbl>
    <w:p>
      <w:pPr>
        <w:pStyle w:val="1151"/>
      </w:pPr>
      <w:r>
        <w:br w:type="page" w:clear="all"/>
      </w:r>
      <w:r/>
    </w:p>
    <w:tbl>
      <w:tblPr>
        <w:tblpPr w:horzAnchor="page" w:tblpX="2281" w:vertAnchor="text" w:tblpY="-89" w:leftFromText="180" w:topFromText="0" w:rightFromText="180" w:bottomFromText="0"/>
        <w:tblW w:w="7390" w:type="dxa"/>
        <w:tblInd w:w="-108" w:type="dxa"/>
        <w:tblLayout w:type="fixed"/>
        <w:tblCellMar>
          <w:left w:w="108" w:type="dxa"/>
          <w:top w:w="0" w:type="dxa"/>
          <w:right w:w="108" w:type="dxa"/>
          <w:bottom w:w="0" w:type="dxa"/>
        </w:tblCellMar>
        <w:tblLook w:val="04A0" w:firstRow="1" w:lastRow="0" w:firstColumn="1" w:lastColumn="0" w:noHBand="0" w:noVBand="1"/>
      </w:tblPr>
      <w:tblGrid>
        <w:gridCol w:w="3205"/>
        <w:gridCol w:w="4185"/>
      </w:tblGrid>
      <w:tr>
        <w:trPr>
          <w:trHeight w:val="152"/>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环网</w:t>
            </w:r>
            <w:r>
              <w:rPr>
                <w:rFonts w:hint="eastAsia"/>
                <w:bCs/>
                <w:sz w:val="18"/>
                <w:szCs w:val="18"/>
              </w:rPr>
              <w:t xml:space="preserve">箱</w:t>
            </w:r>
            <w:r>
              <w:rPr>
                <w:bCs/>
                <w:sz w:val="18"/>
                <w:szCs w:val="18"/>
              </w:rPr>
              <w:t xml:space="preserve">名称</w:t>
            </w:r>
            <w:r>
              <w:rPr>
                <w:bCs/>
                <w:sz w:val="18"/>
                <w:szCs w:val="18"/>
              </w:rPr>
            </w:r>
            <w:r/>
          </w:p>
        </w:tc>
        <w:tc>
          <w:tcPr>
            <w:tcBorders>
              <w:top w:val="singl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rFonts w:hint="eastAsia"/>
                <w:bCs/>
                <w:sz w:val="18"/>
                <w:szCs w:val="18"/>
              </w:rPr>
              <w:t xml:space="preserve">进出线断路器</w:t>
            </w:r>
            <w:r>
              <w:rPr>
                <w:bCs/>
                <w:sz w:val="18"/>
                <w:szCs w:val="18"/>
              </w:rPr>
            </w:r>
            <w:r/>
          </w:p>
        </w:tc>
      </w:tr>
      <w:tr>
        <w:trPr>
          <w:trHeight w:val="2112"/>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一次接线图</w:t>
            </w:r>
            <w:r>
              <w:rPr>
                <w:bCs/>
                <w:sz w:val="18"/>
                <w:szCs w:val="18"/>
              </w:rPr>
            </w:r>
            <w:r/>
          </w:p>
        </w:tc>
        <w:tc>
          <w:tcPr>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241"/>
              <w:jc w:val="center"/>
              <w:rPr>
                <w:rFonts w:ascii="Times New Roman" w:hAnsi="Times New Roman" w:cs="Times New Roman"/>
                <w:bCs/>
                <w:iCs/>
                <w:sz w:val="18"/>
                <w:szCs w:val="18"/>
              </w:rPr>
              <w:framePr w:vAnchor="text" w:hAnchor="page" w:x="2281" w:y="-89"/>
            </w:pPr>
            <w:r>
              <mc:AlternateContent>
                <mc:Choice Requires="wpg">
                  <w:drawing>
                    <wp:inline xmlns:wp="http://schemas.openxmlformats.org/drawingml/2006/wordprocessingDrawing" distT="0" distB="0" distL="0" distR="0">
                      <wp:extent cx="2524138" cy="762251"/>
                      <wp:effectExtent l="0" t="0" r="0" b="0"/>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2524138" cy="7622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198.8pt;height:60.0pt;mso-wrap-distance-left:0.0pt;mso-wrap-distance-top:0.0pt;mso-wrap-distance-right:0.0pt;mso-wrap-distance-bottom:0.0pt;" stroked="f">
                      <v:path textboxrect="0,0,0,0"/>
                      <v:imagedata r:id="rId203" o:title=""/>
                    </v:shape>
                  </w:pict>
                </mc:Fallback>
              </mc:AlternateContent>
            </w:r>
            <w:r>
              <w:rPr>
                <w:rFonts w:ascii="Times New Roman" w:hAnsi="Times New Roman" w:cs="Times New Roman"/>
                <w:bCs/>
                <w:iCs/>
                <w:sz w:val="18"/>
                <w:szCs w:val="18"/>
              </w:rPr>
            </w:r>
            <w:r/>
          </w:p>
        </w:tc>
      </w:tr>
      <w:tr>
        <w:trPr>
          <w:trHeight w:val="221"/>
        </w:trPr>
        <w:tc>
          <w:tcPr>
            <w:gridSpan w:val="2"/>
            <w:tcBorders>
              <w:top w:val="single" w:color="000000" w:sz="4" w:space="0"/>
              <w:left w:val="single" w:color="000000" w:sz="4" w:space="0"/>
              <w:bottom w:val="single" w:color="000000" w:sz="4" w:space="0"/>
              <w:right w:val="single" w:color="000000" w:sz="4" w:space="0"/>
            </w:tcBorders>
            <w:tcW w:w="7390" w:type="dxa"/>
            <w:vAlign w:val="center"/>
            <w:textDirection w:val="lrTb"/>
            <w:noWrap w:val="false"/>
          </w:tcPr>
          <w:p>
            <w:pPr>
              <w:pStyle w:val="1151"/>
              <w:jc w:val="center"/>
              <w:widowControl/>
              <w:rPr>
                <w:bCs/>
                <w:sz w:val="18"/>
                <w:szCs w:val="18"/>
              </w:rPr>
              <w:framePr w:vAnchor="text" w:hAnchor="page" w:x="2281" w:y="-89"/>
            </w:pPr>
            <w:r>
              <w:rPr>
                <w:rFonts w:hint="eastAsia"/>
                <w:bCs/>
                <w:sz w:val="18"/>
                <w:szCs w:val="18"/>
              </w:rPr>
              <w:t xml:space="preserve">断路器单元</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额定电压</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12kV</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额定电流</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630A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绝缘介质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SF</w:t>
            </w:r>
            <w:r>
              <w:rPr>
                <w:bCs/>
                <w:sz w:val="18"/>
                <w:szCs w:val="18"/>
                <w:vertAlign w:val="subscript"/>
              </w:rPr>
              <w:t xml:space="preserve">6</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灭弧介质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真空</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断路器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630A，20kA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隔离/接地开关</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电流互感器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避雷器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带电显示器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1组</w:t>
            </w:r>
            <w:r>
              <w:rPr>
                <w:bCs/>
                <w:sz w:val="18"/>
                <w:szCs w:val="18"/>
              </w:rPr>
            </w:r>
            <w:r/>
          </w:p>
        </w:tc>
      </w:tr>
      <w:tr>
        <w:trPr>
          <w:trHeight w:val="221"/>
        </w:trPr>
        <w:tc>
          <w:tcPr>
            <w:gridSpan w:val="2"/>
            <w:tcBorders>
              <w:top w:val="single" w:color="000000" w:sz="4" w:space="0"/>
              <w:left w:val="single" w:color="000000" w:sz="4" w:space="0"/>
              <w:bottom w:val="single" w:color="000000" w:sz="4" w:space="0"/>
              <w:right w:val="single" w:color="000000" w:sz="4" w:space="0"/>
            </w:tcBorders>
            <w:tcW w:w="7390" w:type="dxa"/>
            <w:vAlign w:val="center"/>
            <w:textDirection w:val="lrTb"/>
            <w:noWrap w:val="false"/>
          </w:tcPr>
          <w:p>
            <w:pPr>
              <w:pStyle w:val="1151"/>
              <w:jc w:val="center"/>
              <w:widowControl/>
              <w:rPr>
                <w:bCs/>
                <w:sz w:val="18"/>
                <w:szCs w:val="18"/>
              </w:rPr>
              <w:framePr w:vAnchor="text" w:hAnchor="page" w:x="2281" w:y="-89"/>
            </w:pPr>
            <w:r>
              <w:rPr>
                <w:rFonts w:hint="eastAsia"/>
                <w:bCs/>
                <w:sz w:val="18"/>
                <w:szCs w:val="18"/>
              </w:rPr>
              <w:t xml:space="preserve">电压互感器单元</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额定电压</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12kV</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额定电流</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630A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绝缘介质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SF</w:t>
            </w:r>
            <w:r>
              <w:rPr>
                <w:bCs/>
                <w:sz w:val="18"/>
                <w:szCs w:val="18"/>
                <w:vertAlign w:val="subscript"/>
              </w:rPr>
              <w:t xml:space="preserve">6</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rFonts w:hint="eastAsia"/>
                <w:bCs/>
                <w:sz w:val="18"/>
                <w:szCs w:val="18"/>
              </w:rPr>
              <w:t xml:space="preserve">负荷开关</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630A，20kA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隔离/接地开关</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电</w:t>
            </w:r>
            <w:r>
              <w:rPr>
                <w:rFonts w:hint="eastAsia"/>
                <w:bCs/>
                <w:sz w:val="18"/>
                <w:szCs w:val="18"/>
              </w:rPr>
              <w:t xml:space="preserve">压</w:t>
            </w:r>
            <w:r>
              <w:rPr>
                <w:bCs/>
                <w:sz w:val="18"/>
                <w:szCs w:val="18"/>
              </w:rPr>
              <w:t xml:space="preserve">互感器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rFonts w:hint="eastAsia"/>
                <w:bCs/>
                <w:sz w:val="18"/>
                <w:szCs w:val="18"/>
              </w:rPr>
              <w:t xml:space="preserve">熔断器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避雷器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带电显示器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81" w:y="-89"/>
            </w:pPr>
            <w:r>
              <w:rPr>
                <w:bCs/>
                <w:sz w:val="18"/>
                <w:szCs w:val="18"/>
              </w:rPr>
              <w:t xml:space="preserve">1组</w:t>
            </w:r>
            <w:r>
              <w:rPr>
                <w:bCs/>
                <w:sz w:val="18"/>
                <w:szCs w:val="18"/>
              </w:rPr>
            </w:r>
            <w:r/>
          </w:p>
        </w:tc>
      </w:tr>
      <w:tr>
        <w:trPr>
          <w:trHeight w:val="221"/>
        </w:trPr>
        <w:tc>
          <w:tcPr>
            <w:gridSpan w:val="2"/>
            <w:tcBorders>
              <w:top w:val="single" w:color="000000" w:sz="4" w:space="0"/>
              <w:left w:val="single" w:color="000000" w:sz="4" w:space="0"/>
              <w:bottom w:val="single" w:color="000000" w:sz="4" w:space="0"/>
              <w:right w:val="single" w:color="000000" w:sz="4" w:space="0"/>
            </w:tcBorders>
            <w:tcW w:w="7390" w:type="dxa"/>
            <w:vAlign w:val="center"/>
            <w:textDirection w:val="lrTb"/>
            <w:noWrap w:val="false"/>
          </w:tcPr>
          <w:p>
            <w:pPr>
              <w:pStyle w:val="1151"/>
              <w:widowControl/>
              <w:rPr>
                <w:szCs w:val="21"/>
              </w:rPr>
              <w:framePr w:vAnchor="text" w:hAnchor="page" w:x="2281" w:y="-89"/>
            </w:pPr>
            <w:r>
              <w:rPr>
                <w:rFonts w:hint="eastAsia"/>
                <w:sz w:val="18"/>
                <w:szCs w:val="18"/>
                <w:highlight w:val="yellow"/>
              </w:rPr>
              <w:t xml:space="preserve">注：为满足户外现场作业应急取电要求，可在户外环网箱的电压互感器单元柜中集成节点开关及取电插头。</w:t>
            </w:r>
            <w:r>
              <w:rPr>
                <w:szCs w:val="21"/>
              </w:rPr>
            </w:r>
            <w:r/>
          </w:p>
        </w:tc>
      </w:tr>
    </w:tbl>
    <w:p>
      <w:pPr>
        <w:pStyle w:val="1151"/>
        <w:jc w:val="center"/>
        <w:spacing w:line="360" w:lineRule="auto"/>
      </w:pPr>
      <w:r/>
      <w:r/>
    </w:p>
    <w:p>
      <w:pPr>
        <w:pStyle w:val="1151"/>
        <w:jc w:val="center"/>
        <w:spacing w:line="360" w:lineRule="auto"/>
        <w:rPr>
          <w:rFonts w:eastAsia="黑体"/>
        </w:rPr>
      </w:pPr>
      <w:r>
        <w:rPr>
          <w:rFonts w:eastAsia="黑体"/>
        </w:rPr>
        <w:br w:type="page" w:clear="all"/>
      </w:r>
      <w:r>
        <w:rPr>
          <w:rFonts w:eastAsia="黑体"/>
        </w:rPr>
      </w:r>
      <w:r/>
    </w:p>
    <w:tbl>
      <w:tblPr>
        <w:tblpPr w:horzAnchor="page" w:tblpX="2296" w:vertAnchor="text" w:tblpY="-29" w:leftFromText="180" w:topFromText="0" w:rightFromText="180" w:bottomFromText="0"/>
        <w:tblW w:w="7390" w:type="dxa"/>
        <w:tblInd w:w="-108" w:type="dxa"/>
        <w:tblLayout w:type="fixed"/>
        <w:tblCellMar>
          <w:left w:w="108" w:type="dxa"/>
          <w:top w:w="0" w:type="dxa"/>
          <w:right w:w="108" w:type="dxa"/>
          <w:bottom w:w="0" w:type="dxa"/>
        </w:tblCellMar>
        <w:tblLook w:val="04A0" w:firstRow="1" w:lastRow="0" w:firstColumn="1" w:lastColumn="0" w:noHBand="0" w:noVBand="1"/>
      </w:tblPr>
      <w:tblGrid>
        <w:gridCol w:w="3205"/>
        <w:gridCol w:w="4185"/>
      </w:tblGrid>
      <w:tr>
        <w:trPr>
          <w:trHeight w:val="152"/>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环网</w:t>
            </w:r>
            <w:r>
              <w:rPr>
                <w:rFonts w:hint="eastAsia"/>
                <w:bCs/>
                <w:sz w:val="18"/>
                <w:szCs w:val="18"/>
              </w:rPr>
              <w:t xml:space="preserve">箱</w:t>
            </w:r>
            <w:r>
              <w:rPr>
                <w:bCs/>
                <w:sz w:val="18"/>
                <w:szCs w:val="18"/>
              </w:rPr>
              <w:t xml:space="preserve">名称</w:t>
            </w:r>
            <w:r>
              <w:rPr>
                <w:bCs/>
                <w:sz w:val="18"/>
                <w:szCs w:val="18"/>
              </w:rPr>
            </w:r>
            <w:r/>
          </w:p>
        </w:tc>
        <w:tc>
          <w:tcPr>
            <w:tcBorders>
              <w:top w:val="singl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29"/>
            </w:pPr>
            <w:r>
              <w:rPr>
                <w:rFonts w:hint="eastAsia"/>
                <w:bCs/>
                <w:sz w:val="18"/>
                <w:szCs w:val="18"/>
              </w:rPr>
              <w:t xml:space="preserve">进出线断路器</w:t>
            </w:r>
            <w:r>
              <w:rPr>
                <w:bCs/>
                <w:sz w:val="18"/>
                <w:szCs w:val="18"/>
              </w:rPr>
            </w:r>
            <w:r/>
          </w:p>
        </w:tc>
      </w:tr>
      <w:tr>
        <w:trPr>
          <w:trHeight w:val="2112"/>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一次接线图</w:t>
            </w:r>
            <w:r>
              <w:rPr>
                <w:bCs/>
                <w:sz w:val="18"/>
                <w:szCs w:val="18"/>
              </w:rPr>
            </w:r>
            <w:r/>
          </w:p>
        </w:tc>
        <w:tc>
          <w:tcPr>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241"/>
              <w:rPr>
                <w:rFonts w:ascii="Times New Roman" w:hAnsi="Times New Roman" w:cs="Times New Roman"/>
                <w:bCs/>
                <w:iCs/>
                <w:sz w:val="18"/>
                <w:szCs w:val="18"/>
              </w:rPr>
              <w:framePr w:vAnchor="text" w:hAnchor="page" w:x="2296" w:y="-29"/>
            </w:pPr>
            <w:r>
              <mc:AlternateContent>
                <mc:Choice Requires="wpg">
                  <w:drawing>
                    <wp:inline xmlns:wp="http://schemas.openxmlformats.org/drawingml/2006/wordprocessingDrawing" distT="0" distB="0" distL="0" distR="0">
                      <wp:extent cx="2514600" cy="752592"/>
                      <wp:effectExtent l="0" t="0" r="0" b="0"/>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2514600" cy="752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198.0pt;height:59.3pt;mso-wrap-distance-left:0.0pt;mso-wrap-distance-top:0.0pt;mso-wrap-distance-right:0.0pt;mso-wrap-distance-bottom:0.0pt;" stroked="f">
                      <v:path textboxrect="0,0,0,0"/>
                      <v:imagedata r:id="rId204" o:title=""/>
                    </v:shape>
                  </w:pict>
                </mc:Fallback>
              </mc:AlternateContent>
            </w:r>
            <w:r>
              <w:rPr>
                <w:rFonts w:ascii="Times New Roman" w:hAnsi="Times New Roman" w:cs="Times New Roman"/>
                <w:bCs/>
                <w:iCs/>
                <w:sz w:val="18"/>
                <w:szCs w:val="18"/>
              </w:rPr>
            </w:r>
            <w:r/>
          </w:p>
        </w:tc>
      </w:tr>
      <w:tr>
        <w:trPr>
          <w:trHeight w:val="221"/>
        </w:trPr>
        <w:tc>
          <w:tcPr>
            <w:gridSpan w:val="2"/>
            <w:tcBorders>
              <w:top w:val="single" w:color="000000" w:sz="4" w:space="0"/>
              <w:left w:val="single" w:color="000000" w:sz="4" w:space="0"/>
              <w:bottom w:val="single" w:color="000000" w:sz="4" w:space="0"/>
              <w:right w:val="single" w:color="000000" w:sz="4" w:space="0"/>
            </w:tcBorders>
            <w:tcW w:w="7390" w:type="dxa"/>
            <w:vAlign w:val="center"/>
            <w:textDirection w:val="lrTb"/>
            <w:noWrap w:val="false"/>
          </w:tcPr>
          <w:p>
            <w:pPr>
              <w:pStyle w:val="1151"/>
              <w:jc w:val="center"/>
              <w:widowControl/>
              <w:rPr>
                <w:bCs/>
                <w:sz w:val="18"/>
                <w:szCs w:val="18"/>
              </w:rPr>
              <w:framePr w:vAnchor="text" w:hAnchor="page" w:x="2296" w:y="-29"/>
            </w:pPr>
            <w:r>
              <w:rPr>
                <w:rFonts w:hint="eastAsia"/>
                <w:bCs/>
                <w:sz w:val="18"/>
                <w:szCs w:val="18"/>
              </w:rPr>
              <w:t xml:space="preserve">断路器单元</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额定电压</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12kV</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额定电流</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630A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绝缘介质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SF</w:t>
            </w:r>
            <w:r>
              <w:rPr>
                <w:bCs/>
                <w:sz w:val="18"/>
                <w:szCs w:val="18"/>
                <w:vertAlign w:val="subscript"/>
              </w:rPr>
              <w:t xml:space="preserve">6</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灭弧介质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SF</w:t>
            </w:r>
            <w:r>
              <w:rPr>
                <w:bCs/>
                <w:sz w:val="18"/>
                <w:szCs w:val="18"/>
                <w:vertAlign w:val="subscript"/>
              </w:rPr>
              <w:t xml:space="preserve">6</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断路器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630A，20kA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电流互感器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避雷器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带电显示器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1组</w:t>
            </w:r>
            <w:r>
              <w:rPr>
                <w:bCs/>
                <w:sz w:val="18"/>
                <w:szCs w:val="18"/>
              </w:rPr>
            </w:r>
            <w:r/>
          </w:p>
        </w:tc>
      </w:tr>
      <w:tr>
        <w:trPr>
          <w:trHeight w:val="221"/>
        </w:trPr>
        <w:tc>
          <w:tcPr>
            <w:gridSpan w:val="2"/>
            <w:tcBorders>
              <w:top w:val="single" w:color="000000" w:sz="4" w:space="0"/>
              <w:left w:val="single" w:color="000000" w:sz="4" w:space="0"/>
              <w:bottom w:val="single" w:color="000000" w:sz="4" w:space="0"/>
              <w:right w:val="single" w:color="000000" w:sz="4" w:space="0"/>
            </w:tcBorders>
            <w:tcW w:w="7390" w:type="dxa"/>
            <w:vAlign w:val="center"/>
            <w:textDirection w:val="lrTb"/>
            <w:noWrap w:val="false"/>
          </w:tcPr>
          <w:p>
            <w:pPr>
              <w:pStyle w:val="1151"/>
              <w:jc w:val="center"/>
              <w:widowControl/>
              <w:rPr>
                <w:bCs/>
                <w:sz w:val="18"/>
                <w:szCs w:val="18"/>
              </w:rPr>
              <w:framePr w:vAnchor="text" w:hAnchor="page" w:x="2296" w:y="-29"/>
            </w:pPr>
            <w:r>
              <w:rPr>
                <w:rFonts w:hint="eastAsia"/>
                <w:bCs/>
                <w:sz w:val="18"/>
                <w:szCs w:val="18"/>
              </w:rPr>
              <w:t xml:space="preserve">电压互感器单元</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额定电压</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12kV</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额定电流</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630A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绝缘介质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SF</w:t>
            </w:r>
            <w:r>
              <w:rPr>
                <w:bCs/>
                <w:sz w:val="18"/>
                <w:szCs w:val="18"/>
                <w:vertAlign w:val="subscript"/>
              </w:rPr>
              <w:t xml:space="preserve">6</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隔离/接地开关</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电</w:t>
            </w:r>
            <w:r>
              <w:rPr>
                <w:rFonts w:hint="eastAsia"/>
                <w:bCs/>
                <w:sz w:val="18"/>
                <w:szCs w:val="18"/>
              </w:rPr>
              <w:t xml:space="preserve">压</w:t>
            </w:r>
            <w:r>
              <w:rPr>
                <w:bCs/>
                <w:sz w:val="18"/>
                <w:szCs w:val="18"/>
              </w:rPr>
              <w:t xml:space="preserve">互感器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29"/>
            </w:pPr>
            <w:r>
              <w:rPr>
                <w:rFonts w:hint="eastAsia"/>
                <w:bCs/>
                <w:sz w:val="18"/>
                <w:szCs w:val="18"/>
              </w:rPr>
              <w:t xml:space="preserve">熔断器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避雷器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带电显示器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29"/>
            </w:pPr>
            <w:r>
              <w:rPr>
                <w:bCs/>
                <w:sz w:val="18"/>
                <w:szCs w:val="18"/>
              </w:rPr>
              <w:t xml:space="preserve">1组</w:t>
            </w:r>
            <w:r>
              <w:rPr>
                <w:bCs/>
                <w:sz w:val="18"/>
                <w:szCs w:val="18"/>
              </w:rPr>
            </w:r>
            <w:r/>
          </w:p>
        </w:tc>
      </w:tr>
    </w:tbl>
    <w:p>
      <w:pPr>
        <w:pStyle w:val="1151"/>
        <w:jc w:val="center"/>
        <w:spacing w:line="360" w:lineRule="auto"/>
        <w:rPr>
          <w:rFonts w:eastAsia="黑体"/>
        </w:rPr>
      </w:pPr>
      <w:r>
        <w:rPr>
          <w:rFonts w:eastAsia="黑体"/>
        </w:rPr>
        <w:br w:type="page" w:clear="all"/>
      </w:r>
      <w:r>
        <w:rPr>
          <w:rFonts w:eastAsia="黑体"/>
        </w:rPr>
      </w:r>
      <w:r/>
    </w:p>
    <w:tbl>
      <w:tblPr>
        <w:tblpPr w:horzAnchor="page" w:tblpX="2296" w:vertAnchor="text" w:tblpY="-119" w:leftFromText="180" w:topFromText="0" w:rightFromText="180" w:bottomFromText="0"/>
        <w:tblW w:w="7390" w:type="dxa"/>
        <w:tblInd w:w="-108" w:type="dxa"/>
        <w:tblLayout w:type="fixed"/>
        <w:tblCellMar>
          <w:left w:w="108" w:type="dxa"/>
          <w:top w:w="0" w:type="dxa"/>
          <w:right w:w="108" w:type="dxa"/>
          <w:bottom w:w="0" w:type="dxa"/>
        </w:tblCellMar>
        <w:tblLook w:val="04A0" w:firstRow="1" w:lastRow="0" w:firstColumn="1" w:lastColumn="0" w:noHBand="0" w:noVBand="1"/>
      </w:tblPr>
      <w:tblGrid>
        <w:gridCol w:w="3205"/>
        <w:gridCol w:w="4185"/>
      </w:tblGrid>
      <w:tr>
        <w:trPr>
          <w:trHeight w:val="152"/>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环网</w:t>
            </w:r>
            <w:r>
              <w:rPr>
                <w:rFonts w:hint="eastAsia"/>
                <w:bCs/>
                <w:sz w:val="18"/>
                <w:szCs w:val="18"/>
              </w:rPr>
              <w:t xml:space="preserve">箱</w:t>
            </w:r>
            <w:r>
              <w:rPr>
                <w:bCs/>
                <w:sz w:val="18"/>
                <w:szCs w:val="18"/>
              </w:rPr>
              <w:t xml:space="preserve">名称</w:t>
            </w:r>
            <w:r>
              <w:rPr>
                <w:bCs/>
                <w:sz w:val="18"/>
                <w:szCs w:val="18"/>
              </w:rPr>
            </w:r>
            <w:r/>
          </w:p>
        </w:tc>
        <w:tc>
          <w:tcPr>
            <w:tcBorders>
              <w:top w:val="singl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119"/>
            </w:pPr>
            <w:r>
              <w:rPr>
                <w:rFonts w:hint="eastAsia"/>
                <w:bCs/>
                <w:sz w:val="18"/>
                <w:szCs w:val="18"/>
              </w:rPr>
              <w:t xml:space="preserve">进出线断路器</w:t>
            </w:r>
            <w:r>
              <w:rPr>
                <w:bCs/>
                <w:sz w:val="18"/>
                <w:szCs w:val="18"/>
              </w:rPr>
            </w:r>
            <w:r/>
          </w:p>
        </w:tc>
      </w:tr>
      <w:tr>
        <w:trPr>
          <w:trHeight w:val="2112"/>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一次接线图</w:t>
            </w:r>
            <w:r>
              <w:rPr>
                <w:bCs/>
                <w:sz w:val="18"/>
                <w:szCs w:val="18"/>
              </w:rPr>
            </w:r>
            <w:r/>
          </w:p>
        </w:tc>
        <w:tc>
          <w:tcPr>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241"/>
              <w:jc w:val="center"/>
              <w:rPr>
                <w:rFonts w:ascii="Times New Roman" w:hAnsi="Times New Roman" w:cs="Times New Roman"/>
                <w:bCs/>
                <w:iCs/>
                <w:sz w:val="18"/>
                <w:szCs w:val="18"/>
              </w:rPr>
              <w:framePr w:vAnchor="text" w:hAnchor="page" w:x="2296" w:y="-119"/>
            </w:pPr>
            <w:r>
              <mc:AlternateContent>
                <mc:Choice Requires="wpg">
                  <w:drawing>
                    <wp:inline xmlns:wp="http://schemas.openxmlformats.org/drawingml/2006/wordprocessingDrawing" distT="0" distB="0" distL="0" distR="0">
                      <wp:extent cx="2514575" cy="742842"/>
                      <wp:effectExtent l="0" t="0" r="0" b="0"/>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2514575" cy="7428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198.0pt;height:58.5pt;mso-wrap-distance-left:0.0pt;mso-wrap-distance-top:0.0pt;mso-wrap-distance-right:0.0pt;mso-wrap-distance-bottom:0.0pt;" stroked="f">
                      <v:path textboxrect="0,0,0,0"/>
                      <v:imagedata r:id="rId205" o:title=""/>
                    </v:shape>
                  </w:pict>
                </mc:Fallback>
              </mc:AlternateContent>
            </w:r>
            <w:r>
              <w:rPr>
                <w:rFonts w:ascii="Times New Roman" w:hAnsi="Times New Roman" w:cs="Times New Roman"/>
                <w:bCs/>
                <w:iCs/>
                <w:sz w:val="18"/>
                <w:szCs w:val="18"/>
              </w:rPr>
            </w:r>
            <w:r/>
          </w:p>
        </w:tc>
      </w:tr>
      <w:tr>
        <w:trPr>
          <w:trHeight w:val="221"/>
        </w:trPr>
        <w:tc>
          <w:tcPr>
            <w:gridSpan w:val="2"/>
            <w:tcBorders>
              <w:top w:val="single" w:color="000000" w:sz="4" w:space="0"/>
              <w:left w:val="single" w:color="000000" w:sz="4" w:space="0"/>
              <w:bottom w:val="single" w:color="000000" w:sz="4" w:space="0"/>
              <w:right w:val="single" w:color="000000" w:sz="4" w:space="0"/>
            </w:tcBorders>
            <w:tcW w:w="7390" w:type="dxa"/>
            <w:vAlign w:val="center"/>
            <w:textDirection w:val="lrTb"/>
            <w:noWrap w:val="false"/>
          </w:tcPr>
          <w:p>
            <w:pPr>
              <w:pStyle w:val="1151"/>
              <w:jc w:val="center"/>
              <w:widowControl/>
              <w:rPr>
                <w:bCs/>
                <w:sz w:val="18"/>
                <w:szCs w:val="18"/>
              </w:rPr>
              <w:framePr w:vAnchor="text" w:hAnchor="page" w:x="2296" w:y="-119"/>
            </w:pPr>
            <w:r>
              <w:rPr>
                <w:rFonts w:hint="eastAsia"/>
                <w:bCs/>
                <w:sz w:val="18"/>
                <w:szCs w:val="18"/>
              </w:rPr>
              <w:t xml:space="preserve">断路器单元</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额定电压</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12kV</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额定电流</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630A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绝缘介质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SF</w:t>
            </w:r>
            <w:r>
              <w:rPr>
                <w:bCs/>
                <w:sz w:val="18"/>
                <w:szCs w:val="18"/>
                <w:vertAlign w:val="subscript"/>
              </w:rPr>
              <w:t xml:space="preserve">6</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灭弧介质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SF</w:t>
            </w:r>
            <w:r>
              <w:rPr>
                <w:bCs/>
                <w:sz w:val="18"/>
                <w:szCs w:val="18"/>
                <w:vertAlign w:val="subscript"/>
              </w:rPr>
              <w:t xml:space="preserve">6</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断路器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630A，20kA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电流互感器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避雷器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带电显示器</w:t>
            </w:r>
            <w:r>
              <w:rPr>
                <w:bCs/>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1组</w:t>
            </w:r>
            <w:r>
              <w:rPr>
                <w:bCs/>
                <w:sz w:val="18"/>
                <w:szCs w:val="18"/>
              </w:rPr>
            </w:r>
            <w:r/>
          </w:p>
        </w:tc>
      </w:tr>
      <w:tr>
        <w:trPr>
          <w:trHeight w:val="221"/>
        </w:trPr>
        <w:tc>
          <w:tcPr>
            <w:gridSpan w:val="2"/>
            <w:tcBorders>
              <w:top w:val="single" w:color="000000" w:sz="4" w:space="0"/>
              <w:left w:val="single" w:color="000000" w:sz="4" w:space="0"/>
              <w:bottom w:val="single" w:color="000000" w:sz="4" w:space="0"/>
              <w:right w:val="single" w:color="000000" w:sz="4" w:space="0"/>
            </w:tcBorders>
            <w:tcW w:w="7390" w:type="dxa"/>
            <w:vAlign w:val="center"/>
            <w:textDirection w:val="lrTb"/>
            <w:noWrap w:val="false"/>
          </w:tcPr>
          <w:p>
            <w:pPr>
              <w:pStyle w:val="1151"/>
              <w:jc w:val="center"/>
              <w:widowControl/>
              <w:rPr>
                <w:bCs/>
                <w:sz w:val="18"/>
                <w:szCs w:val="18"/>
              </w:rPr>
              <w:framePr w:vAnchor="text" w:hAnchor="page" w:x="2296" w:y="-119"/>
            </w:pPr>
            <w:r>
              <w:rPr>
                <w:rFonts w:hint="eastAsia"/>
                <w:bCs/>
                <w:sz w:val="18"/>
                <w:szCs w:val="18"/>
              </w:rPr>
              <w:t xml:space="preserve">电压互感器单元</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额定电压</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12kV</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额定电流</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630A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绝缘介质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SF</w:t>
            </w:r>
            <w:r>
              <w:rPr>
                <w:bCs/>
                <w:sz w:val="18"/>
                <w:szCs w:val="18"/>
                <w:vertAlign w:val="subscript"/>
              </w:rPr>
              <w:t xml:space="preserve">6</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rFonts w:hint="eastAsia"/>
                <w:bCs/>
                <w:sz w:val="18"/>
                <w:szCs w:val="18"/>
              </w:rPr>
              <w:t xml:space="preserve">负荷开关</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630A，20kA</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隔离/接地开关</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电</w:t>
            </w:r>
            <w:r>
              <w:rPr>
                <w:rFonts w:hint="eastAsia"/>
                <w:bCs/>
                <w:sz w:val="18"/>
                <w:szCs w:val="18"/>
              </w:rPr>
              <w:t xml:space="preserve">压</w:t>
            </w:r>
            <w:r>
              <w:rPr>
                <w:bCs/>
                <w:sz w:val="18"/>
                <w:szCs w:val="18"/>
              </w:rPr>
              <w:t xml:space="preserve">互感器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rFonts w:hint="eastAsia"/>
                <w:bCs/>
                <w:sz w:val="18"/>
                <w:szCs w:val="18"/>
              </w:rPr>
              <w:t xml:space="preserve">熔断器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避雷器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1组</w:t>
            </w:r>
            <w:r>
              <w:rPr>
                <w:bCs/>
                <w:sz w:val="18"/>
                <w:szCs w:val="18"/>
              </w:rPr>
            </w:r>
            <w:r/>
          </w:p>
        </w:tc>
      </w:tr>
      <w:tr>
        <w:trPr>
          <w:trHeight w:val="221"/>
        </w:trPr>
        <w:tc>
          <w:tcPr>
            <w:tcBorders>
              <w:top w:val="single" w:color="000000" w:sz="4" w:space="0"/>
              <w:left w:val="single" w:color="000000" w:sz="4" w:space="0"/>
              <w:bottom w:val="single" w:color="000000" w:sz="4" w:space="0"/>
              <w:right w:val="single" w:color="000000" w:sz="4" w:space="0"/>
            </w:tcBorders>
            <w:tcW w:w="320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带电显示器</w:t>
            </w:r>
            <w:r>
              <w:rPr>
                <w:bCs/>
                <w:sz w:val="18"/>
                <w:szCs w:val="18"/>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1151"/>
              <w:jc w:val="center"/>
              <w:widowControl/>
              <w:rPr>
                <w:bCs/>
                <w:sz w:val="18"/>
                <w:szCs w:val="18"/>
              </w:rPr>
              <w:framePr w:vAnchor="text" w:hAnchor="page" w:x="2296" w:y="-119"/>
            </w:pPr>
            <w:r>
              <w:rPr>
                <w:bCs/>
                <w:sz w:val="18"/>
                <w:szCs w:val="18"/>
              </w:rPr>
              <w:t xml:space="preserve">1组</w:t>
            </w:r>
            <w:r>
              <w:rPr>
                <w:bCs/>
                <w:sz w:val="18"/>
                <w:szCs w:val="18"/>
              </w:rPr>
            </w:r>
            <w:r/>
          </w:p>
        </w:tc>
      </w:tr>
      <w:tr>
        <w:trPr>
          <w:trHeight w:val="221"/>
        </w:trPr>
        <w:tc>
          <w:tcPr>
            <w:gridSpan w:val="2"/>
            <w:tcBorders>
              <w:top w:val="single" w:color="000000" w:sz="4" w:space="0"/>
              <w:left w:val="single" w:color="000000" w:sz="4" w:space="0"/>
              <w:bottom w:val="single" w:color="000000" w:sz="4" w:space="0"/>
              <w:right w:val="single" w:color="000000" w:sz="4" w:space="0"/>
            </w:tcBorders>
            <w:tcW w:w="7390" w:type="dxa"/>
            <w:vAlign w:val="center"/>
            <w:textDirection w:val="lrTb"/>
            <w:noWrap w:val="false"/>
          </w:tcPr>
          <w:p>
            <w:pPr>
              <w:pStyle w:val="1151"/>
              <w:widowControl/>
              <w:rPr>
                <w:szCs w:val="21"/>
              </w:rPr>
              <w:framePr w:vAnchor="text" w:hAnchor="page" w:x="2296" w:y="-119"/>
            </w:pPr>
            <w:r>
              <w:rPr>
                <w:sz w:val="18"/>
                <w:szCs w:val="18"/>
              </w:rPr>
              <w:t xml:space="preserve">注：为满足户外现场作业应急取电要求，可在户外环网箱的电压互感器单元柜中集成节点开关及取电插头。</w:t>
            </w:r>
            <w:r>
              <w:rPr>
                <w:szCs w:val="21"/>
              </w:rPr>
            </w:r>
            <w:r/>
          </w:p>
        </w:tc>
      </w:tr>
    </w:tbl>
    <w:p>
      <w:pPr>
        <w:pStyle w:val="1151"/>
        <w:spacing w:line="360" w:lineRule="auto"/>
        <w:rPr>
          <w:szCs w:val="21"/>
        </w:rPr>
      </w:pPr>
      <w:r>
        <w:rPr>
          <w:szCs w:val="21"/>
        </w:rPr>
      </w:r>
      <w:r/>
    </w:p>
    <w:p>
      <w:pPr>
        <w:pStyle w:val="1210"/>
        <w:ind w:firstLine="0"/>
        <w:rPr>
          <w:rFonts w:hint="eastAsia" w:ascii="宋体" w:hAnsi="宋体" w:cs="宋体"/>
          <w:color w:val="000000"/>
        </w:rPr>
      </w:pPr>
      <w:r>
        <w:rPr>
          <w:rFonts w:hint="eastAsia" w:ascii="宋体" w:hAnsi="宋体" w:cs="宋体"/>
          <w:color w:val="000000"/>
        </w:rPr>
      </w:r>
      <w:r/>
    </w:p>
    <w:p>
      <w:pPr>
        <w:pStyle w:val="1210"/>
        <w:ind w:firstLine="0"/>
        <w:rPr>
          <w:rFonts w:hint="eastAsia" w:ascii="宋体" w:hAnsi="宋体" w:cs="宋体"/>
          <w:color w:val="000000"/>
        </w:rPr>
      </w:pPr>
      <w:r>
        <w:rPr>
          <w:rFonts w:hint="eastAsia" w:ascii="宋体" w:hAnsi="宋体" w:cs="宋体"/>
          <w:color w:val="000000"/>
        </w:rPr>
      </w:r>
      <w:r/>
    </w:p>
    <w:p>
      <w:pPr>
        <w:pStyle w:val="1210"/>
        <w:ind w:firstLine="0"/>
        <w:rPr>
          <w:rFonts w:hint="eastAsia" w:ascii="宋体" w:hAnsi="宋体" w:cs="宋体"/>
          <w:color w:val="000000"/>
        </w:rPr>
      </w:pPr>
      <w:r>
        <w:rPr>
          <w:rFonts w:hint="eastAsia" w:ascii="宋体" w:hAnsi="宋体" w:cs="宋体"/>
          <w:color w:val="000000"/>
        </w:rPr>
      </w:r>
      <w:r/>
    </w:p>
    <w:p>
      <w:pPr>
        <w:pStyle w:val="1210"/>
        <w:ind w:firstLine="0"/>
        <w:rPr>
          <w:rFonts w:hint="eastAsia" w:ascii="宋体" w:hAnsi="宋体" w:cs="宋体"/>
          <w:color w:val="000000"/>
        </w:rPr>
      </w:pPr>
      <w:r>
        <w:rPr>
          <w:rFonts w:hint="eastAsia" w:ascii="宋体" w:hAnsi="宋体" w:cs="宋体"/>
          <w:color w:val="000000"/>
        </w:rPr>
      </w:r>
      <w:r/>
    </w:p>
    <w:p>
      <w:pPr>
        <w:pStyle w:val="1210"/>
        <w:ind w:firstLine="0"/>
        <w:rPr>
          <w:rFonts w:hint="eastAsia" w:ascii="宋体" w:hAnsi="宋体" w:cs="宋体"/>
          <w:color w:val="000000"/>
        </w:rPr>
      </w:pPr>
      <w:r>
        <w:rPr>
          <w:rFonts w:hint="eastAsia" w:ascii="宋体" w:hAnsi="宋体" w:cs="宋体"/>
          <w:color w:val="000000"/>
        </w:rPr>
      </w:r>
      <w:r/>
    </w:p>
    <w:p>
      <w:pPr>
        <w:pStyle w:val="1210"/>
        <w:ind w:firstLine="0"/>
        <w:rPr>
          <w:rFonts w:hint="eastAsia" w:ascii="宋体" w:hAnsi="宋体" w:cs="宋体"/>
          <w:color w:val="000000"/>
        </w:rPr>
      </w:pPr>
      <w:r>
        <w:rPr>
          <w:rFonts w:hint="eastAsia" w:ascii="宋体" w:hAnsi="宋体" w:cs="宋体"/>
          <w:color w:val="000000"/>
        </w:rPr>
      </w:r>
      <w:r/>
    </w:p>
    <w:p>
      <w:pPr>
        <w:pStyle w:val="1210"/>
        <w:ind w:firstLine="0"/>
        <w:rPr>
          <w:rFonts w:ascii="宋体" w:hAnsi="宋体" w:eastAsia="宋体" w:cs="宋体"/>
          <w:color w:val="000000"/>
          <w:sz w:val="36"/>
          <w:szCs w:val="36"/>
          <w:lang w:val="en-US" w:eastAsia="zh-CN"/>
        </w:rPr>
      </w:pPr>
      <w:r>
        <w:rPr>
          <w:rFonts w:hint="eastAsia" w:ascii="宋体" w:hAnsi="宋体" w:cs="宋体"/>
          <w:color w:val="000000"/>
          <w:sz w:val="36"/>
          <w:szCs w:val="36"/>
          <w:lang w:eastAsia="zh-CN"/>
        </w:rPr>
        <w:t xml:space="preserve">附件</w:t>
      </w:r>
      <w:r>
        <w:rPr>
          <w:rFonts w:hint="eastAsia" w:ascii="宋体" w:hAnsi="宋体" w:cs="宋体"/>
          <w:color w:val="000000"/>
          <w:sz w:val="36"/>
          <w:szCs w:val="36"/>
          <w:lang w:val="en-US" w:eastAsia="zh-CN"/>
        </w:rPr>
        <w:t xml:space="preserve">3：</w:t>
      </w:r>
      <w:r>
        <w:rPr>
          <w:rFonts w:ascii="宋体" w:hAnsi="宋体" w:eastAsia="宋体" w:cs="宋体"/>
          <w:color w:val="000000"/>
          <w:sz w:val="36"/>
          <w:szCs w:val="36"/>
          <w:lang w:val="en-US" w:eastAsia="zh-CN"/>
        </w:rPr>
      </w:r>
      <w:r/>
    </w:p>
    <w:p>
      <w:pPr>
        <w:pStyle w:val="1151"/>
        <w:spacing w:line="360" w:lineRule="auto"/>
        <w:rPr>
          <w:rFonts w:hint="eastAsia" w:ascii="宋体" w:hAnsi="宋体"/>
          <w:b/>
          <w:sz w:val="52"/>
        </w:rPr>
      </w:pPr>
      <w:r>
        <w:rPr>
          <w:rFonts w:hint="eastAsia" w:ascii="宋体" w:hAnsi="宋体"/>
          <w:b/>
          <w:sz w:val="52"/>
        </w:rPr>
      </w:r>
      <w:r/>
    </w:p>
    <w:p>
      <w:pPr>
        <w:pStyle w:val="1151"/>
        <w:jc w:val="center"/>
        <w:spacing w:line="360" w:lineRule="auto"/>
        <w:rPr>
          <w:rFonts w:ascii="宋体"/>
          <w:b/>
          <w:sz w:val="48"/>
          <w:szCs w:val="48"/>
        </w:rPr>
      </w:pPr>
      <w:r>
        <w:rPr>
          <w:rFonts w:ascii="宋体"/>
          <w:b/>
          <w:sz w:val="48"/>
          <w:szCs w:val="48"/>
        </w:rPr>
      </w:r>
      <w:r/>
    </w:p>
    <w:p>
      <w:pPr>
        <w:pStyle w:val="1151"/>
        <w:jc w:val="center"/>
        <w:spacing w:line="360" w:lineRule="auto"/>
        <w:rPr>
          <w:rFonts w:hint="eastAsia" w:ascii="黑体" w:hAnsi="黑体" w:eastAsia="黑体"/>
          <w:sz w:val="52"/>
          <w:szCs w:val="52"/>
        </w:rPr>
      </w:pPr>
      <w:r>
        <w:rPr>
          <w:rFonts w:hint="eastAsia" w:ascii="黑体" w:hAnsi="黑体" w:eastAsia="黑体"/>
          <w:sz w:val="52"/>
          <w:szCs w:val="52"/>
        </w:rPr>
      </w:r>
      <w:r/>
    </w:p>
    <w:p>
      <w:pPr>
        <w:pStyle w:val="1151"/>
        <w:jc w:val="center"/>
        <w:spacing w:line="360" w:lineRule="auto"/>
        <w:rPr>
          <w:rFonts w:hint="eastAsia" w:ascii="黑体" w:hAnsi="黑体" w:eastAsia="黑体"/>
          <w:sz w:val="52"/>
          <w:szCs w:val="52"/>
        </w:rPr>
      </w:pPr>
      <w:r>
        <w:rPr>
          <w:rFonts w:hint="eastAsia" w:ascii="黑体" w:hAnsi="黑体" w:eastAsia="黑体"/>
          <w:sz w:val="52"/>
          <w:szCs w:val="52"/>
        </w:rPr>
        <w:t xml:space="preserve">10kV电力电缆技术规范</w:t>
      </w:r>
      <w:r>
        <w:rPr>
          <w:rFonts w:hint="eastAsia" w:ascii="黑体" w:hAnsi="黑体" w:eastAsia="黑体"/>
          <w:sz w:val="52"/>
          <w:szCs w:val="52"/>
        </w:rPr>
      </w:r>
      <w:r/>
    </w:p>
    <w:p>
      <w:pPr>
        <w:pStyle w:val="1151"/>
        <w:jc w:val="center"/>
        <w:spacing w:line="360" w:lineRule="auto"/>
        <w:rPr>
          <w:rFonts w:hint="eastAsia" w:ascii="宋体" w:hAnsi="宋体"/>
          <w:b/>
          <w:sz w:val="48"/>
          <w:szCs w:val="48"/>
        </w:rPr>
      </w:pPr>
      <w:r>
        <w:rPr>
          <w:rFonts w:hint="eastAsia" w:ascii="宋体" w:hAnsi="宋体"/>
          <w:b/>
          <w:sz w:val="48"/>
          <w:szCs w:val="48"/>
        </w:rPr>
      </w:r>
      <w:r/>
    </w:p>
    <w:p>
      <w:pPr>
        <w:pStyle w:val="1151"/>
        <w:jc w:val="center"/>
        <w:spacing w:line="360" w:lineRule="auto"/>
        <w:rPr>
          <w:rFonts w:ascii="宋体" w:hAnsi="宋体"/>
          <w:b/>
          <w:sz w:val="48"/>
          <w:szCs w:val="48"/>
        </w:rPr>
      </w:pPr>
      <w:r>
        <w:rPr>
          <w:rFonts w:ascii="宋体" w:hAnsi="宋体"/>
          <w:b/>
          <w:sz w:val="48"/>
          <w:szCs w:val="48"/>
        </w:rPr>
      </w:r>
      <w:r/>
    </w:p>
    <w:p>
      <w:pPr>
        <w:pStyle w:val="1151"/>
        <w:jc w:val="center"/>
        <w:spacing w:line="360" w:lineRule="auto"/>
        <w:rPr>
          <w:rFonts w:hint="eastAsia" w:ascii="方正小标宋简体" w:eastAsia="方正小标宋简体"/>
          <w:sz w:val="72"/>
          <w:szCs w:val="72"/>
        </w:rPr>
      </w:pPr>
      <w:r>
        <w:rPr>
          <w:rFonts w:hint="eastAsia" w:ascii="方正小标宋简体" w:eastAsia="方正小标宋简体"/>
          <w:sz w:val="72"/>
          <w:szCs w:val="72"/>
        </w:rPr>
      </w:r>
      <w:r/>
    </w:p>
    <w:p>
      <w:pPr>
        <w:pStyle w:val="1151"/>
        <w:jc w:val="center"/>
        <w:spacing w:line="360" w:lineRule="auto"/>
        <w:rPr>
          <w:rFonts w:ascii="方正小标宋简体" w:eastAsia="方正小标宋简体"/>
          <w:sz w:val="72"/>
          <w:szCs w:val="72"/>
        </w:rPr>
      </w:pPr>
      <w:r>
        <w:rPr>
          <w:rFonts w:ascii="方正小标宋简体" w:eastAsia="方正小标宋简体"/>
          <w:sz w:val="72"/>
          <w:szCs w:val="72"/>
        </w:rPr>
      </w:r>
      <w:r/>
    </w:p>
    <w:p>
      <w:pPr>
        <w:pStyle w:val="1151"/>
        <w:jc w:val="center"/>
        <w:spacing w:line="360" w:lineRule="auto"/>
        <w:rPr>
          <w:rFonts w:hint="eastAsia" w:ascii="宋体" w:hAnsi="宋体"/>
          <w:b/>
          <w:sz w:val="36"/>
          <w:szCs w:val="36"/>
        </w:rPr>
      </w:pPr>
      <w:r>
        <w:rPr>
          <w:rFonts w:hint="eastAsia" w:ascii="宋体" w:hAnsi="宋体"/>
          <w:b/>
          <w:sz w:val="36"/>
          <w:szCs w:val="36"/>
        </w:rPr>
      </w:r>
      <w:r/>
    </w:p>
    <w:p>
      <w:pPr>
        <w:pStyle w:val="1151"/>
        <w:jc w:val="center"/>
        <w:spacing w:line="360" w:lineRule="auto"/>
        <w:rPr>
          <w:rFonts w:hint="eastAsia" w:ascii="宋体" w:hAnsi="宋体"/>
          <w:b/>
          <w:sz w:val="36"/>
          <w:szCs w:val="36"/>
        </w:rPr>
      </w:pPr>
      <w:r>
        <w:rPr>
          <w:rFonts w:hint="eastAsia" w:ascii="宋体" w:hAnsi="宋体"/>
          <w:b/>
          <w:sz w:val="36"/>
          <w:szCs w:val="36"/>
        </w:rPr>
      </w:r>
      <w:r/>
    </w:p>
    <w:p>
      <w:pPr>
        <w:pStyle w:val="1151"/>
        <w:jc w:val="center"/>
        <w:spacing w:line="360" w:lineRule="auto"/>
        <w:rPr>
          <w:rFonts w:hint="eastAsia" w:ascii="宋体" w:hAnsi="宋体"/>
          <w:b/>
          <w:sz w:val="36"/>
          <w:szCs w:val="36"/>
        </w:rPr>
      </w:pPr>
      <w:r>
        <w:rPr>
          <w:rFonts w:hint="eastAsia" w:ascii="宋体" w:hAnsi="宋体"/>
          <w:b/>
          <w:sz w:val="36"/>
          <w:szCs w:val="36"/>
        </w:rPr>
      </w:r>
      <w:r/>
    </w:p>
    <w:p>
      <w:pPr>
        <w:pStyle w:val="1151"/>
        <w:jc w:val="center"/>
        <w:spacing w:line="360" w:lineRule="auto"/>
        <w:rPr>
          <w:rFonts w:hint="eastAsia" w:ascii="宋体" w:hAnsi="宋体"/>
          <w:b/>
          <w:sz w:val="36"/>
          <w:szCs w:val="36"/>
        </w:rPr>
      </w:pPr>
      <w:r>
        <w:rPr>
          <w:rFonts w:hint="eastAsia" w:ascii="宋体" w:hAnsi="宋体"/>
          <w:b/>
          <w:sz w:val="36"/>
          <w:szCs w:val="36"/>
        </w:rPr>
      </w:r>
      <w:r/>
    </w:p>
    <w:p>
      <w:pPr>
        <w:pStyle w:val="1151"/>
        <w:jc w:val="center"/>
        <w:spacing w:line="360" w:lineRule="auto"/>
        <w:rPr>
          <w:rFonts w:hint="eastAsia" w:ascii="宋体" w:hAnsi="宋体"/>
          <w:b/>
          <w:sz w:val="36"/>
          <w:szCs w:val="36"/>
        </w:rPr>
      </w:pPr>
      <w:r>
        <w:rPr>
          <w:rFonts w:hint="eastAsia" w:ascii="宋体" w:hAnsi="宋体"/>
          <w:b/>
          <w:sz w:val="36"/>
          <w:szCs w:val="36"/>
        </w:rPr>
      </w:r>
      <w:r/>
    </w:p>
    <w:p>
      <w:pPr>
        <w:pStyle w:val="1151"/>
        <w:jc w:val="center"/>
        <w:spacing w:line="360" w:lineRule="auto"/>
        <w:rPr>
          <w:rFonts w:ascii="宋体" w:hAnsi="宋体"/>
          <w:b/>
          <w:sz w:val="36"/>
          <w:szCs w:val="36"/>
        </w:rPr>
      </w:pPr>
      <w:r>
        <w:rPr>
          <w:rFonts w:ascii="宋体" w:hAnsi="宋体"/>
          <w:b/>
          <w:sz w:val="36"/>
          <w:szCs w:val="36"/>
        </w:rPr>
      </w:r>
      <w:r/>
    </w:p>
    <w:p>
      <w:pPr>
        <w:pStyle w:val="1151"/>
        <w:jc w:val="center"/>
        <w:spacing w:line="360" w:lineRule="auto"/>
        <w:rPr>
          <w:rFonts w:hint="eastAsia" w:ascii="宋体" w:hAnsi="宋体"/>
          <w:b/>
          <w:sz w:val="36"/>
          <w:szCs w:val="36"/>
        </w:rPr>
      </w:pPr>
      <w:r>
        <w:rPr>
          <w:rFonts w:hint="eastAsia" w:ascii="宋体" w:hAnsi="宋体"/>
          <w:b/>
          <w:sz w:val="36"/>
          <w:szCs w:val="36"/>
        </w:rPr>
      </w:r>
      <w:r/>
    </w:p>
    <w:p>
      <w:pPr>
        <w:pStyle w:val="1151"/>
        <w:jc w:val="center"/>
        <w:spacing w:line="360" w:lineRule="auto"/>
        <w:rPr>
          <w:rFonts w:hint="eastAsia" w:ascii="宋体" w:hAnsi="宋体"/>
          <w:b/>
          <w:sz w:val="36"/>
          <w:szCs w:val="36"/>
        </w:rPr>
      </w:pPr>
      <w:r>
        <w:rPr>
          <w:rFonts w:ascii="宋体" w:hAnsi="宋体"/>
          <w:b/>
          <w:sz w:val="36"/>
          <w:szCs w:val="36"/>
        </w:rPr>
        <w:br w:type="page" w:clear="all"/>
      </w:r>
      <w:r>
        <w:rPr>
          <w:rFonts w:hint="eastAsia" w:ascii="宋体" w:hAnsi="宋体"/>
          <w:b/>
          <w:sz w:val="36"/>
          <w:szCs w:val="36"/>
        </w:rPr>
        <w:t xml:space="preserve">目</w:t>
      </w:r>
      <w:r>
        <w:rPr>
          <w:rFonts w:ascii="宋体" w:hAnsi="宋体"/>
          <w:b/>
          <w:sz w:val="36"/>
          <w:szCs w:val="36"/>
        </w:rPr>
        <w:t xml:space="preserve"> </w:t>
      </w:r>
      <w:r>
        <w:rPr>
          <w:rFonts w:hint="eastAsia" w:ascii="宋体" w:hAnsi="宋体"/>
          <w:b/>
          <w:sz w:val="36"/>
          <w:szCs w:val="36"/>
        </w:rPr>
        <w:t xml:space="preserve">录</w:t>
      </w:r>
      <w:r>
        <w:rPr>
          <w:rFonts w:hint="eastAsia" w:ascii="宋体" w:hAnsi="宋体"/>
          <w:b/>
          <w:sz w:val="36"/>
          <w:szCs w:val="36"/>
        </w:rPr>
      </w:r>
      <w:r/>
    </w:p>
    <w:p>
      <w:pPr>
        <w:pStyle w:val="1151"/>
        <w:jc w:val="center"/>
        <w:spacing w:line="360" w:lineRule="auto"/>
        <w:rPr>
          <w:rFonts w:ascii="宋体"/>
          <w:b/>
          <w:sz w:val="36"/>
          <w:szCs w:val="36"/>
        </w:rPr>
      </w:pPr>
      <w:r>
        <w:rPr>
          <w:rFonts w:ascii="宋体"/>
          <w:b/>
          <w:sz w:val="36"/>
          <w:szCs w:val="36"/>
        </w:rPr>
      </w:r>
      <w:r/>
    </w:p>
    <w:p>
      <w:pPr>
        <w:pStyle w:val="1182"/>
        <w:tabs>
          <w:tab w:val="right" w:pos="8296" w:leader="dot"/>
        </w:tabs>
        <w:rPr>
          <w:rFonts w:ascii="Calibri" w:hAnsi="Calibri"/>
          <w:szCs w:val="22"/>
        </w:rPr>
      </w:pPr>
      <w:r>
        <w:fldChar w:fldCharType="begin"/>
      </w:r>
      <w:r>
        <w:instrText xml:space="preserve"> TOC \o "1-1" \h \z \u </w:instrText>
      </w:r>
      <w:r>
        <w:fldChar w:fldCharType="separate"/>
      </w:r>
      <w:r>
        <w:rPr>
          <w:rStyle w:val="1193"/>
        </w:rPr>
        <w:fldChar w:fldCharType="begin"/>
      </w:r>
      <w:r>
        <w:rPr>
          <w:rStyle w:val="1193"/>
        </w:rPr>
        <w:instrText xml:space="preserve"> </w:instrText>
      </w:r>
      <w:r>
        <w:instrText xml:space="preserve">HYPERLINK \l "_Toc445904008"</w:instrText>
      </w:r>
      <w:r>
        <w:rPr>
          <w:rStyle w:val="1193"/>
        </w:rPr>
        <w:instrText xml:space="preserve"> </w:instrText>
      </w:r>
      <w:r>
        <w:rPr>
          <w:rStyle w:val="1193"/>
        </w:rPr>
        <w:fldChar w:fldCharType="separate"/>
      </w:r>
      <w:r>
        <w:rPr>
          <w:rStyle w:val="1193"/>
        </w:rPr>
        <w:t xml:space="preserve">1</w:t>
      </w:r>
      <w:r>
        <w:rPr>
          <w:rStyle w:val="1193"/>
          <w:rFonts w:hint="eastAsia"/>
        </w:rPr>
        <w:t xml:space="preserve">　规范性引用文件</w:t>
      </w:r>
      <w:r>
        <w:tab/>
      </w:r>
      <w:r>
        <w:fldChar w:fldCharType="begin"/>
      </w:r>
      <w:r>
        <w:instrText xml:space="preserve"> PAGEREF _Toc445904008 \h </w:instrText>
      </w:r>
      <w:r>
        <w:fldChar w:fldCharType="separate"/>
      </w:r>
      <w:r>
        <w:t xml:space="preserve">208</w:t>
      </w:r>
      <w:r>
        <w:fldChar w:fldCharType="end"/>
      </w:r>
      <w:r>
        <w:rPr>
          <w:rStyle w:val="1193"/>
        </w:rPr>
        <w:fldChar w:fldCharType="end"/>
      </w:r>
      <w:r>
        <w:rPr>
          <w:rFonts w:ascii="Calibri" w:hAnsi="Calibri"/>
          <w:szCs w:val="22"/>
        </w:rPr>
      </w:r>
      <w:r/>
    </w:p>
    <w:p>
      <w:pPr>
        <w:pStyle w:val="1182"/>
        <w:tabs>
          <w:tab w:val="right" w:pos="8296" w:leader="dot"/>
        </w:tabs>
        <w:rPr>
          <w:rFonts w:ascii="Calibri" w:hAnsi="Calibri"/>
          <w:szCs w:val="22"/>
        </w:rPr>
      </w:pPr>
      <w:r>
        <w:rPr>
          <w:rStyle w:val="1193"/>
        </w:rPr>
        <w:fldChar w:fldCharType="begin"/>
      </w:r>
      <w:r>
        <w:rPr>
          <w:rStyle w:val="1193"/>
        </w:rPr>
        <w:instrText xml:space="preserve"> </w:instrText>
      </w:r>
      <w:r>
        <w:instrText xml:space="preserve">HYPERLINK \l "_Toc445904009"</w:instrText>
      </w:r>
      <w:r>
        <w:rPr>
          <w:rStyle w:val="1193"/>
        </w:rPr>
        <w:instrText xml:space="preserve"> </w:instrText>
      </w:r>
      <w:r>
        <w:rPr>
          <w:rStyle w:val="1193"/>
        </w:rPr>
        <w:fldChar w:fldCharType="separate"/>
      </w:r>
      <w:r>
        <w:rPr>
          <w:rStyle w:val="1193"/>
        </w:rPr>
        <w:t xml:space="preserve">2</w:t>
      </w:r>
      <w:r>
        <w:rPr>
          <w:rStyle w:val="1193"/>
          <w:rFonts w:hint="eastAsia"/>
        </w:rPr>
        <w:t xml:space="preserve">　技术参数和性能要求</w:t>
      </w:r>
      <w:r>
        <w:tab/>
      </w:r>
      <w:r>
        <w:fldChar w:fldCharType="begin"/>
      </w:r>
      <w:r>
        <w:instrText xml:space="preserve"> PAGEREF _Toc445904009 \h </w:instrText>
      </w:r>
      <w:r>
        <w:fldChar w:fldCharType="separate"/>
      </w:r>
      <w:r>
        <w:t xml:space="preserve">208</w:t>
      </w:r>
      <w:r>
        <w:fldChar w:fldCharType="end"/>
      </w:r>
      <w:r>
        <w:rPr>
          <w:rStyle w:val="1193"/>
        </w:rPr>
        <w:fldChar w:fldCharType="end"/>
      </w:r>
      <w:r>
        <w:rPr>
          <w:rFonts w:ascii="Calibri" w:hAnsi="Calibri"/>
          <w:szCs w:val="22"/>
        </w:rPr>
      </w:r>
      <w:r/>
    </w:p>
    <w:p>
      <w:pPr>
        <w:pStyle w:val="1182"/>
        <w:tabs>
          <w:tab w:val="right" w:pos="8296" w:leader="dot"/>
        </w:tabs>
        <w:rPr>
          <w:rFonts w:ascii="Calibri" w:hAnsi="Calibri"/>
          <w:szCs w:val="22"/>
        </w:rPr>
      </w:pPr>
      <w:r>
        <w:rPr>
          <w:rStyle w:val="1193"/>
        </w:rPr>
        <w:fldChar w:fldCharType="begin"/>
      </w:r>
      <w:r>
        <w:rPr>
          <w:rStyle w:val="1193"/>
        </w:rPr>
        <w:instrText xml:space="preserve"> </w:instrText>
      </w:r>
      <w:r>
        <w:instrText xml:space="preserve">HYPERLINK \l "_Toc445904010"</w:instrText>
      </w:r>
      <w:r>
        <w:rPr>
          <w:rStyle w:val="1193"/>
        </w:rPr>
        <w:instrText xml:space="preserve"> </w:instrText>
      </w:r>
      <w:r>
        <w:rPr>
          <w:rStyle w:val="1193"/>
        </w:rPr>
        <w:fldChar w:fldCharType="separate"/>
      </w:r>
      <w:r>
        <w:rPr>
          <w:rStyle w:val="1193"/>
        </w:rPr>
        <w:t xml:space="preserve">3</w:t>
      </w:r>
      <w:r>
        <w:rPr>
          <w:rStyle w:val="1193"/>
          <w:rFonts w:hint="eastAsia"/>
        </w:rPr>
        <w:t xml:space="preserve">　标准技术参数</w:t>
      </w:r>
      <w:r>
        <w:tab/>
      </w:r>
      <w:r>
        <w:fldChar w:fldCharType="begin"/>
      </w:r>
      <w:r>
        <w:instrText xml:space="preserve"> PAGEREF _Toc445904010 \h </w:instrText>
      </w:r>
      <w:r>
        <w:fldChar w:fldCharType="separate"/>
      </w:r>
      <w:r>
        <w:t xml:space="preserve">210</w:t>
      </w:r>
      <w:r>
        <w:fldChar w:fldCharType="end"/>
      </w:r>
      <w:r>
        <w:rPr>
          <w:rStyle w:val="1193"/>
        </w:rPr>
        <w:fldChar w:fldCharType="end"/>
      </w:r>
      <w:r>
        <w:rPr>
          <w:rFonts w:ascii="Calibri" w:hAnsi="Calibri"/>
          <w:szCs w:val="22"/>
        </w:rPr>
      </w:r>
      <w:r/>
    </w:p>
    <w:p>
      <w:pPr>
        <w:pStyle w:val="1182"/>
        <w:tabs>
          <w:tab w:val="right" w:pos="8296" w:leader="dot"/>
        </w:tabs>
        <w:rPr>
          <w:rFonts w:ascii="Calibri" w:hAnsi="Calibri"/>
          <w:szCs w:val="22"/>
        </w:rPr>
      </w:pPr>
      <w:r>
        <w:rPr>
          <w:rStyle w:val="1193"/>
        </w:rPr>
        <w:fldChar w:fldCharType="begin"/>
      </w:r>
      <w:r>
        <w:rPr>
          <w:rStyle w:val="1193"/>
        </w:rPr>
        <w:instrText xml:space="preserve"> </w:instrText>
      </w:r>
      <w:r>
        <w:instrText xml:space="preserve">HYPERLINK \l "_Toc445904011"</w:instrText>
      </w:r>
      <w:r>
        <w:rPr>
          <w:rStyle w:val="1193"/>
        </w:rPr>
        <w:instrText xml:space="preserve"> </w:instrText>
      </w:r>
      <w:r>
        <w:rPr>
          <w:rStyle w:val="1193"/>
        </w:rPr>
        <w:fldChar w:fldCharType="separate"/>
      </w:r>
      <w:r>
        <w:rPr>
          <w:rStyle w:val="1193"/>
        </w:rPr>
        <w:t xml:space="preserve">4</w:t>
      </w:r>
      <w:r>
        <w:rPr>
          <w:rStyle w:val="1193"/>
          <w:rFonts w:hint="eastAsia"/>
        </w:rPr>
        <w:t xml:space="preserve">　使用环境条件表</w:t>
      </w:r>
      <w:r>
        <w:tab/>
      </w:r>
      <w:r>
        <w:fldChar w:fldCharType="begin"/>
      </w:r>
      <w:r>
        <w:instrText xml:space="preserve"> PAGEREF _Toc445904011 \h </w:instrText>
      </w:r>
      <w:r>
        <w:fldChar w:fldCharType="separate"/>
      </w:r>
      <w:r>
        <w:t xml:space="preserve">213</w:t>
      </w:r>
      <w:r>
        <w:fldChar w:fldCharType="end"/>
      </w:r>
      <w:r>
        <w:rPr>
          <w:rStyle w:val="1193"/>
        </w:rPr>
        <w:fldChar w:fldCharType="end"/>
      </w:r>
      <w:r>
        <w:rPr>
          <w:rFonts w:ascii="Calibri" w:hAnsi="Calibri"/>
          <w:szCs w:val="22"/>
        </w:rPr>
      </w:r>
      <w:r/>
    </w:p>
    <w:p>
      <w:pPr>
        <w:pStyle w:val="1182"/>
        <w:tabs>
          <w:tab w:val="right" w:pos="8296" w:leader="dot"/>
        </w:tabs>
        <w:rPr>
          <w:rFonts w:ascii="Calibri" w:hAnsi="Calibri"/>
          <w:szCs w:val="22"/>
        </w:rPr>
      </w:pPr>
      <w:r>
        <w:rPr>
          <w:rStyle w:val="1193"/>
        </w:rPr>
        <w:fldChar w:fldCharType="begin"/>
      </w:r>
      <w:r>
        <w:rPr>
          <w:rStyle w:val="1193"/>
        </w:rPr>
        <w:instrText xml:space="preserve"> </w:instrText>
      </w:r>
      <w:r>
        <w:instrText xml:space="preserve">HYPERLINK \l "_Toc445904012"</w:instrText>
      </w:r>
      <w:r>
        <w:rPr>
          <w:rStyle w:val="1193"/>
        </w:rPr>
        <w:instrText xml:space="preserve"> </w:instrText>
      </w:r>
      <w:r>
        <w:rPr>
          <w:rStyle w:val="1193"/>
        </w:rPr>
        <w:fldChar w:fldCharType="separate"/>
      </w:r>
      <w:r>
        <w:rPr>
          <w:rStyle w:val="1193"/>
        </w:rPr>
        <w:t xml:space="preserve">5</w:t>
      </w:r>
      <w:r>
        <w:rPr>
          <w:rStyle w:val="1193"/>
          <w:rFonts w:hint="eastAsia"/>
        </w:rPr>
        <w:t xml:space="preserve">　试验</w:t>
      </w:r>
      <w:r>
        <w:tab/>
      </w:r>
      <w:r>
        <w:fldChar w:fldCharType="begin"/>
      </w:r>
      <w:r>
        <w:instrText xml:space="preserve"> PAGEREF _Toc445904012 \h </w:instrText>
      </w:r>
      <w:r>
        <w:fldChar w:fldCharType="separate"/>
      </w:r>
      <w:r>
        <w:t xml:space="preserve">214</w:t>
      </w:r>
      <w:r>
        <w:fldChar w:fldCharType="end"/>
      </w:r>
      <w:r>
        <w:rPr>
          <w:rStyle w:val="1193"/>
        </w:rPr>
        <w:fldChar w:fldCharType="end"/>
      </w:r>
      <w:r>
        <w:rPr>
          <w:rFonts w:ascii="Calibri" w:hAnsi="Calibri"/>
          <w:szCs w:val="22"/>
        </w:rPr>
      </w:r>
      <w:r/>
    </w:p>
    <w:p>
      <w:pPr>
        <w:pStyle w:val="1182"/>
        <w:tabs>
          <w:tab w:val="right" w:pos="8296" w:leader="dot"/>
        </w:tabs>
        <w:rPr>
          <w:rFonts w:ascii="Calibri" w:hAnsi="Calibri"/>
          <w:szCs w:val="22"/>
        </w:rPr>
      </w:pPr>
      <w:r>
        <w:rPr>
          <w:rStyle w:val="1193"/>
        </w:rPr>
        <w:fldChar w:fldCharType="begin"/>
      </w:r>
      <w:r>
        <w:rPr>
          <w:rStyle w:val="1193"/>
        </w:rPr>
        <w:instrText xml:space="preserve"> </w:instrText>
      </w:r>
      <w:r>
        <w:instrText xml:space="preserve">HYPERLINK \l "_Toc445904013"</w:instrText>
      </w:r>
      <w:r>
        <w:rPr>
          <w:rStyle w:val="1193"/>
        </w:rPr>
        <w:instrText xml:space="preserve"> </w:instrText>
      </w:r>
      <w:r>
        <w:rPr>
          <w:rStyle w:val="1193"/>
        </w:rPr>
        <w:fldChar w:fldCharType="separate"/>
      </w:r>
      <w:r>
        <w:rPr>
          <w:rStyle w:val="1193"/>
        </w:rPr>
        <w:t xml:space="preserve">6</w:t>
      </w:r>
      <w:r>
        <w:rPr>
          <w:rStyle w:val="1193"/>
          <w:rFonts w:hint="eastAsia"/>
        </w:rPr>
        <w:t xml:space="preserve">　产品标志、包装、运输和保管</w:t>
      </w:r>
      <w:r>
        <w:tab/>
      </w:r>
      <w:r>
        <w:fldChar w:fldCharType="begin"/>
      </w:r>
      <w:r>
        <w:instrText xml:space="preserve"> PAGEREF _Toc445904013 \h </w:instrText>
      </w:r>
      <w:r>
        <w:fldChar w:fldCharType="separate"/>
      </w:r>
      <w:r>
        <w:t xml:space="preserve">215</w:t>
      </w:r>
      <w:r>
        <w:fldChar w:fldCharType="end"/>
      </w:r>
      <w:r>
        <w:rPr>
          <w:rStyle w:val="1193"/>
        </w:rPr>
        <w:fldChar w:fldCharType="end"/>
      </w:r>
      <w:r>
        <w:rPr>
          <w:rFonts w:ascii="Calibri" w:hAnsi="Calibri"/>
          <w:szCs w:val="22"/>
        </w:rPr>
      </w:r>
      <w:r/>
    </w:p>
    <w:p>
      <w:pPr>
        <w:pStyle w:val="1237"/>
        <w:jc w:val="both"/>
        <w:sectPr>
          <w:footnotePr/>
          <w:endnotePr/>
          <w:type w:val="nextPage"/>
          <w:pgSz w:w="11906" w:h="16838" w:orient="portrait"/>
          <w:pgMar w:top="1440" w:right="1800" w:bottom="1440" w:left="1800" w:header="851" w:footer="992" w:gutter="0"/>
          <w:cols w:num="1" w:sep="0" w:space="1701" w:equalWidth="1"/>
          <w:docGrid w:linePitch="360"/>
        </w:sectPr>
      </w:pPr>
      <w:r>
        <w:fldChar w:fldCharType="end"/>
      </w:r>
      <w:r/>
    </w:p>
    <w:p>
      <w:pPr>
        <w:pStyle w:val="1262"/>
        <w:rPr>
          <w:rFonts w:hint="eastAsia"/>
        </w:rPr>
      </w:pPr>
      <w:r/>
      <w:bookmarkStart w:id="488" w:name="_Toc445904008"/>
      <w:r>
        <w:rPr>
          <w:rFonts w:hint="eastAsia"/>
        </w:rPr>
        <w:t xml:space="preserve">10kV电力电缆技术规范</w:t>
      </w:r>
      <w:r>
        <w:rPr>
          <w:rFonts w:hint="eastAsia"/>
        </w:rPr>
      </w:r>
      <w:r/>
    </w:p>
    <w:p>
      <w:pPr>
        <w:pStyle w:val="1238"/>
        <w:outlineLvl w:val="0"/>
      </w:pPr>
      <w:r>
        <w:rPr>
          <w:rFonts w:hint="eastAsia"/>
        </w:rPr>
        <w:t xml:space="preserve">1　规范性引用文件</w:t>
      </w:r>
      <w:bookmarkEnd w:id="488"/>
      <w:r/>
      <w:r/>
    </w:p>
    <w:p>
      <w:pPr>
        <w:pStyle w:val="1151"/>
        <w:ind w:firstLine="420"/>
        <w:spacing w:line="304" w:lineRule="exact"/>
        <w:rPr>
          <w:szCs w:val="21"/>
        </w:rPr>
      </w:pPr>
      <w:r/>
      <w:bookmarkStart w:id="489" w:name="_Toc335383506"/>
      <w:r/>
      <w:bookmarkStart w:id="490" w:name="_Toc335383571"/>
      <w:r/>
      <w:bookmarkStart w:id="491" w:name="_Toc319932330"/>
      <w:r/>
      <w:bookmarkStart w:id="492" w:name="_Toc344384429"/>
      <w:r/>
      <w:bookmarkStart w:id="493" w:name="_Toc338251394"/>
      <w:r>
        <w:rPr>
          <w:rFonts w:hint="eastAsia"/>
          <w:szCs w:val="21"/>
        </w:rPr>
        <w:t xml:space="preserve">下列文件对于本文件的应用是必不可少的。凡是注日期的引用文件，仅注日期的版本适用于本文件。凡是不注日期的引用文件，其最新版本（包括所有的修改单）适用于本文件。</w:t>
      </w:r>
      <w:bookmarkEnd w:id="489"/>
      <w:r/>
      <w:bookmarkEnd w:id="490"/>
      <w:r/>
      <w:bookmarkEnd w:id="491"/>
      <w:r/>
      <w:bookmarkEnd w:id="492"/>
      <w:r/>
      <w:bookmarkEnd w:id="493"/>
      <w:r>
        <w:rPr>
          <w:szCs w:val="21"/>
        </w:rPr>
      </w:r>
      <w:r/>
    </w:p>
    <w:p>
      <w:pPr>
        <w:pStyle w:val="1151"/>
        <w:ind w:firstLine="420"/>
        <w:spacing w:line="304" w:lineRule="exact"/>
        <w:tabs>
          <w:tab w:val="left" w:pos="2256" w:leader="none"/>
        </w:tabs>
        <w:rPr>
          <w:szCs w:val="21"/>
        </w:rPr>
      </w:pPr>
      <w:r>
        <w:rPr>
          <w:szCs w:val="21"/>
        </w:rPr>
        <w:t xml:space="preserve">GB 311.1　</w:t>
      </w:r>
      <w:r>
        <w:rPr>
          <w:rFonts w:hint="eastAsia"/>
          <w:szCs w:val="21"/>
        </w:rPr>
        <w:t xml:space="preserve">   </w:t>
      </w:r>
      <w:r>
        <w:rPr>
          <w:szCs w:val="21"/>
        </w:rPr>
        <w:t xml:space="preserve">高压输变电设备的绝缘配合</w:t>
      </w:r>
      <w:r>
        <w:rPr>
          <w:szCs w:val="21"/>
        </w:rPr>
      </w:r>
      <w:r/>
    </w:p>
    <w:p>
      <w:pPr>
        <w:pStyle w:val="1151"/>
        <w:ind w:firstLine="420"/>
        <w:spacing w:line="304" w:lineRule="exact"/>
        <w:tabs>
          <w:tab w:val="left" w:pos="2256" w:leader="none"/>
        </w:tabs>
        <w:rPr>
          <w:szCs w:val="21"/>
        </w:rPr>
      </w:pPr>
      <w:r>
        <w:rPr>
          <w:szCs w:val="21"/>
        </w:rPr>
        <w:t xml:space="preserve">GB/T 2951　</w:t>
      </w:r>
      <w:r>
        <w:rPr>
          <w:rFonts w:hint="eastAsia"/>
          <w:szCs w:val="21"/>
        </w:rPr>
        <w:t xml:space="preserve">  </w:t>
      </w:r>
      <w:r>
        <w:rPr>
          <w:szCs w:val="21"/>
        </w:rPr>
        <w:t xml:space="preserve">电缆和光缆绝缘和护套材料通用试验方法</w:t>
      </w:r>
      <w:r>
        <w:rPr>
          <w:szCs w:val="21"/>
        </w:rPr>
      </w:r>
      <w:r/>
    </w:p>
    <w:p>
      <w:pPr>
        <w:pStyle w:val="1151"/>
        <w:ind w:firstLine="420"/>
        <w:spacing w:line="304" w:lineRule="exact"/>
        <w:tabs>
          <w:tab w:val="left" w:pos="2256" w:leader="none"/>
        </w:tabs>
        <w:rPr>
          <w:szCs w:val="21"/>
        </w:rPr>
      </w:pPr>
      <w:r>
        <w:rPr>
          <w:szCs w:val="21"/>
        </w:rPr>
        <w:t xml:space="preserve">GB/T 2952　</w:t>
      </w:r>
      <w:r>
        <w:rPr>
          <w:rFonts w:hint="eastAsia"/>
          <w:szCs w:val="21"/>
        </w:rPr>
        <w:t xml:space="preserve">  </w:t>
      </w:r>
      <w:r>
        <w:rPr>
          <w:szCs w:val="21"/>
        </w:rPr>
        <w:t xml:space="preserve">电缆外护层</w:t>
      </w:r>
      <w:r>
        <w:rPr>
          <w:szCs w:val="21"/>
        </w:rPr>
      </w:r>
      <w:r/>
    </w:p>
    <w:p>
      <w:pPr>
        <w:pStyle w:val="1151"/>
        <w:ind w:firstLine="420"/>
        <w:spacing w:line="304" w:lineRule="exact"/>
        <w:tabs>
          <w:tab w:val="left" w:pos="2256" w:leader="none"/>
        </w:tabs>
        <w:rPr>
          <w:szCs w:val="21"/>
        </w:rPr>
      </w:pPr>
      <w:r>
        <w:rPr>
          <w:szCs w:val="21"/>
        </w:rPr>
        <w:t xml:space="preserve">GB/T 3048</w:t>
      </w:r>
      <w:r>
        <w:rPr>
          <w:rFonts w:hint="eastAsia"/>
          <w:szCs w:val="21"/>
        </w:rPr>
        <w:t xml:space="preserve">.10</w:t>
      </w:r>
      <w:r>
        <w:rPr>
          <w:szCs w:val="21"/>
        </w:rPr>
        <w:t xml:space="preserve">　电线电缆电性能试验方法</w:t>
      </w:r>
      <w:r>
        <w:rPr>
          <w:rFonts w:hint="eastAsia"/>
          <w:szCs w:val="21"/>
        </w:rPr>
        <w:t xml:space="preserve">  第10部分：挤出护套火花试验</w:t>
      </w:r>
      <w:r>
        <w:rPr>
          <w:szCs w:val="21"/>
        </w:rPr>
      </w:r>
      <w:r/>
    </w:p>
    <w:p>
      <w:pPr>
        <w:pStyle w:val="1151"/>
        <w:ind w:firstLine="420"/>
        <w:spacing w:line="304" w:lineRule="exact"/>
        <w:tabs>
          <w:tab w:val="left" w:pos="2256" w:leader="none"/>
        </w:tabs>
        <w:rPr>
          <w:szCs w:val="21"/>
        </w:rPr>
      </w:pPr>
      <w:r>
        <w:rPr>
          <w:rFonts w:hint="eastAsia"/>
          <w:szCs w:val="21"/>
        </w:rPr>
        <w:t xml:space="preserve">GB/T 3048.12　电线电缆电性能试验方法  第12部分：局部放电试验</w:t>
      </w:r>
      <w:r>
        <w:rPr>
          <w:szCs w:val="21"/>
        </w:rPr>
      </w:r>
      <w:r/>
    </w:p>
    <w:p>
      <w:pPr>
        <w:pStyle w:val="1151"/>
        <w:ind w:firstLine="420"/>
        <w:spacing w:line="304" w:lineRule="exact"/>
        <w:tabs>
          <w:tab w:val="left" w:pos="2256" w:leader="none"/>
        </w:tabs>
        <w:rPr>
          <w:szCs w:val="21"/>
        </w:rPr>
      </w:pPr>
      <w:r>
        <w:rPr>
          <w:szCs w:val="21"/>
        </w:rPr>
        <w:t xml:space="preserve">GB/T 3956　</w:t>
      </w:r>
      <w:r>
        <w:rPr>
          <w:rFonts w:hint="eastAsia"/>
          <w:szCs w:val="21"/>
        </w:rPr>
        <w:t xml:space="preserve">   </w:t>
      </w:r>
      <w:r>
        <w:rPr>
          <w:szCs w:val="21"/>
        </w:rPr>
        <w:t xml:space="preserve">电缆的导体</w:t>
      </w:r>
      <w:r>
        <w:rPr>
          <w:szCs w:val="21"/>
        </w:rPr>
      </w:r>
      <w:r/>
    </w:p>
    <w:p>
      <w:pPr>
        <w:pStyle w:val="1151"/>
        <w:ind w:firstLine="420"/>
        <w:spacing w:line="304" w:lineRule="exact"/>
        <w:tabs>
          <w:tab w:val="left" w:pos="2256" w:leader="none"/>
        </w:tabs>
        <w:rPr>
          <w:szCs w:val="21"/>
        </w:rPr>
      </w:pPr>
      <w:r>
        <w:rPr>
          <w:szCs w:val="21"/>
        </w:rPr>
        <w:t xml:space="preserve">GB</w:t>
      </w:r>
      <w:r>
        <w:rPr>
          <w:rFonts w:hint="eastAsia"/>
          <w:szCs w:val="21"/>
        </w:rPr>
        <w:t xml:space="preserve">/T</w:t>
      </w:r>
      <w:r>
        <w:rPr>
          <w:szCs w:val="21"/>
        </w:rPr>
        <w:t xml:space="preserve"> 6995　</w:t>
      </w:r>
      <w:r>
        <w:rPr>
          <w:rFonts w:hint="eastAsia"/>
          <w:szCs w:val="21"/>
        </w:rPr>
        <w:t xml:space="preserve">   </w:t>
      </w:r>
      <w:r>
        <w:rPr>
          <w:szCs w:val="21"/>
        </w:rPr>
        <w:t xml:space="preserve">电线电缆识别标志方法</w:t>
      </w:r>
      <w:r>
        <w:rPr>
          <w:szCs w:val="21"/>
        </w:rPr>
      </w:r>
      <w:r/>
    </w:p>
    <w:p>
      <w:pPr>
        <w:pStyle w:val="1151"/>
        <w:ind w:firstLine="420"/>
        <w:spacing w:line="304" w:lineRule="exact"/>
        <w:tabs>
          <w:tab w:val="left" w:pos="2256" w:leader="none"/>
        </w:tabs>
        <w:rPr>
          <w:szCs w:val="21"/>
        </w:rPr>
      </w:pPr>
      <w:r>
        <w:rPr>
          <w:szCs w:val="21"/>
        </w:rPr>
        <w:t xml:space="preserve">GB/T </w:t>
      </w:r>
      <w:r>
        <w:rPr>
          <w:rFonts w:hint="eastAsia"/>
          <w:szCs w:val="21"/>
        </w:rPr>
        <w:t xml:space="preserve">11019</w:t>
      </w:r>
      <w:r>
        <w:rPr>
          <w:szCs w:val="21"/>
        </w:rPr>
        <w:t xml:space="preserve">　</w:t>
      </w:r>
      <w:r>
        <w:rPr>
          <w:rFonts w:hint="eastAsia"/>
          <w:szCs w:val="21"/>
        </w:rPr>
        <w:t xml:space="preserve">  电缆用铝带</w:t>
      </w:r>
      <w:r>
        <w:rPr>
          <w:szCs w:val="21"/>
        </w:rPr>
      </w:r>
      <w:r/>
    </w:p>
    <w:p>
      <w:pPr>
        <w:pStyle w:val="1151"/>
        <w:ind w:firstLine="420"/>
        <w:spacing w:line="304" w:lineRule="exact"/>
        <w:tabs>
          <w:tab w:val="left" w:pos="2256" w:leader="none"/>
        </w:tabs>
        <w:rPr>
          <w:szCs w:val="21"/>
        </w:rPr>
      </w:pPr>
      <w:r>
        <w:rPr>
          <w:szCs w:val="21"/>
        </w:rPr>
        <w:t xml:space="preserve">GB/T 12706.2　额定电压1kV（</w:t>
      </w:r>
      <w:r>
        <w:rPr>
          <w:i/>
          <w:szCs w:val="21"/>
        </w:rPr>
        <w:t xml:space="preserve">U</w:t>
      </w:r>
      <w:r>
        <w:rPr>
          <w:szCs w:val="21"/>
          <w:vertAlign w:val="subscript"/>
        </w:rPr>
        <w:t xml:space="preserve">m</w:t>
      </w:r>
      <w:r>
        <w:rPr>
          <w:szCs w:val="21"/>
        </w:rPr>
        <w:t xml:space="preserve">=1.2kV）到35kV（</w:t>
      </w:r>
      <w:r>
        <w:rPr>
          <w:i/>
          <w:szCs w:val="21"/>
        </w:rPr>
        <w:t xml:space="preserve">U</w:t>
      </w:r>
      <w:r>
        <w:rPr>
          <w:szCs w:val="21"/>
          <w:vertAlign w:val="subscript"/>
        </w:rPr>
        <w:t xml:space="preserve">m</w:t>
      </w:r>
      <w:r>
        <w:rPr>
          <w:szCs w:val="21"/>
        </w:rPr>
        <w:t xml:space="preserve">=40.5kV）挤包绝缘电力电缆及其附件　第2部分：额定电压6kV（</w:t>
      </w:r>
      <w:r>
        <w:rPr>
          <w:i/>
          <w:szCs w:val="21"/>
        </w:rPr>
        <w:t xml:space="preserve">U</w:t>
      </w:r>
      <w:r>
        <w:rPr>
          <w:szCs w:val="21"/>
          <w:vertAlign w:val="subscript"/>
        </w:rPr>
        <w:t xml:space="preserve">m</w:t>
      </w:r>
      <w:r>
        <w:rPr>
          <w:szCs w:val="21"/>
        </w:rPr>
        <w:t xml:space="preserve">=7.2kV）到30kV（</w:t>
      </w:r>
      <w:r>
        <w:rPr>
          <w:i/>
          <w:szCs w:val="21"/>
        </w:rPr>
        <w:t xml:space="preserve">U</w:t>
      </w:r>
      <w:r>
        <w:rPr>
          <w:szCs w:val="21"/>
          <w:vertAlign w:val="subscript"/>
        </w:rPr>
        <w:t xml:space="preserve">m</w:t>
      </w:r>
      <w:r>
        <w:rPr>
          <w:szCs w:val="21"/>
        </w:rPr>
        <w:t xml:space="preserve">=36kV）电缆</w:t>
      </w:r>
      <w:r>
        <w:rPr>
          <w:szCs w:val="21"/>
        </w:rPr>
      </w:r>
      <w:r/>
    </w:p>
    <w:p>
      <w:pPr>
        <w:pStyle w:val="1151"/>
        <w:ind w:firstLine="420"/>
        <w:spacing w:line="304" w:lineRule="exact"/>
        <w:tabs>
          <w:tab w:val="left" w:pos="2256" w:leader="none"/>
        </w:tabs>
        <w:rPr>
          <w:szCs w:val="21"/>
        </w:rPr>
      </w:pPr>
      <w:r>
        <w:rPr>
          <w:szCs w:val="21"/>
        </w:rPr>
        <w:t xml:space="preserve">GB</w:t>
      </w:r>
      <w:r>
        <w:rPr>
          <w:rFonts w:hint="eastAsia"/>
          <w:szCs w:val="21"/>
        </w:rPr>
        <w:t xml:space="preserve">/T</w:t>
      </w:r>
      <w:r>
        <w:rPr>
          <w:szCs w:val="21"/>
        </w:rPr>
        <w:t xml:space="preserve"> 14315　</w:t>
      </w:r>
      <w:r>
        <w:rPr>
          <w:rFonts w:hint="eastAsia"/>
          <w:szCs w:val="21"/>
        </w:rPr>
        <w:t xml:space="preserve">  </w:t>
      </w:r>
      <w:r>
        <w:rPr>
          <w:szCs w:val="21"/>
        </w:rPr>
        <w:t xml:space="preserve">电力电缆导体用压接型铜、铝接线端子和连接管</w:t>
      </w:r>
      <w:r>
        <w:rPr>
          <w:szCs w:val="21"/>
        </w:rPr>
      </w:r>
      <w:r/>
    </w:p>
    <w:p>
      <w:pPr>
        <w:pStyle w:val="1201"/>
        <w:ind w:firstLine="420"/>
        <w:spacing w:line="306" w:lineRule="exact"/>
        <w:widowControl w:val="off"/>
        <w:rPr>
          <w:szCs w:val="21"/>
        </w:rPr>
      </w:pPr>
      <w:r>
        <w:rPr>
          <w:rFonts w:hint="eastAsia" w:ascii="Times New Roman"/>
          <w:szCs w:val="21"/>
        </w:rPr>
        <w:t xml:space="preserve">GB/T 19001    质量管理体系要求</w:t>
      </w:r>
      <w:r>
        <w:rPr>
          <w:szCs w:val="21"/>
        </w:rPr>
      </w:r>
      <w:r/>
    </w:p>
    <w:p>
      <w:pPr>
        <w:pStyle w:val="1151"/>
        <w:ind w:firstLine="420"/>
        <w:spacing w:line="304" w:lineRule="exact"/>
        <w:tabs>
          <w:tab w:val="left" w:pos="2256" w:leader="none"/>
        </w:tabs>
        <w:rPr>
          <w:szCs w:val="21"/>
        </w:rPr>
      </w:pPr>
      <w:r>
        <w:rPr>
          <w:szCs w:val="21"/>
        </w:rPr>
        <w:t xml:space="preserve">GB/T 19666　</w:t>
      </w:r>
      <w:r>
        <w:rPr>
          <w:rFonts w:hint="eastAsia"/>
          <w:szCs w:val="21"/>
        </w:rPr>
        <w:t xml:space="preserve">  </w:t>
      </w:r>
      <w:r>
        <w:rPr>
          <w:szCs w:val="21"/>
        </w:rPr>
        <w:t xml:space="preserve">阻燃和耐火电线电缆通则</w:t>
      </w:r>
      <w:r>
        <w:rPr>
          <w:szCs w:val="21"/>
        </w:rPr>
      </w:r>
      <w:r/>
    </w:p>
    <w:p>
      <w:pPr>
        <w:pStyle w:val="1151"/>
        <w:ind w:firstLine="420"/>
        <w:spacing w:line="304" w:lineRule="exact"/>
        <w:tabs>
          <w:tab w:val="left" w:pos="2256" w:leader="none"/>
        </w:tabs>
        <w:rPr>
          <w:szCs w:val="21"/>
        </w:rPr>
      </w:pPr>
      <w:r>
        <w:rPr>
          <w:rFonts w:hint="eastAsia"/>
          <w:szCs w:val="21"/>
        </w:rPr>
        <w:t xml:space="preserve">JB/T 8137     电线电缆交货盘</w:t>
      </w:r>
      <w:r>
        <w:rPr>
          <w:szCs w:val="21"/>
        </w:rPr>
      </w:r>
      <w:r/>
    </w:p>
    <w:p>
      <w:pPr>
        <w:pStyle w:val="1238"/>
        <w:outlineLvl w:val="0"/>
      </w:pPr>
      <w:r/>
      <w:bookmarkStart w:id="494" w:name="_Toc445904009"/>
      <w:r>
        <w:rPr>
          <w:rFonts w:hint="eastAsia"/>
        </w:rPr>
        <w:t xml:space="preserve">2　技术参数和性能要求</w:t>
      </w:r>
      <w:bookmarkEnd w:id="494"/>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2</w:t>
      </w:r>
      <w:r>
        <w:rPr>
          <w:rFonts w:ascii="宋体" w:hAnsi="宋体" w:eastAsia="宋体"/>
        </w:rPr>
        <w:t xml:space="preserve">.1</w:t>
      </w:r>
      <w:r>
        <w:rPr>
          <w:rFonts w:hint="eastAsia" w:ascii="宋体" w:hAnsi="宋体" w:eastAsia="宋体"/>
        </w:rPr>
        <w:t xml:space="preserve">　</w:t>
      </w:r>
      <w:r>
        <w:rPr>
          <w:rFonts w:ascii="宋体" w:hAnsi="宋体" w:eastAsia="宋体"/>
        </w:rPr>
        <w:t xml:space="preserve">电缆结构</w:t>
      </w:r>
      <w:r>
        <w:rPr>
          <w:rFonts w:ascii="宋体" w:hAnsi="宋体" w:eastAsia="宋体"/>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2.1.1　</w:t>
      </w:r>
      <w:r>
        <w:rPr>
          <w:rFonts w:ascii="宋体" w:hAnsi="宋体" w:eastAsia="宋体"/>
        </w:rPr>
        <w:t xml:space="preserve">导体</w:t>
      </w:r>
      <w:r>
        <w:rPr>
          <w:rFonts w:ascii="宋体" w:hAnsi="宋体" w:eastAsia="宋体"/>
        </w:rPr>
      </w:r>
      <w:r/>
    </w:p>
    <w:p>
      <w:pPr>
        <w:pStyle w:val="1151"/>
        <w:ind w:firstLine="420"/>
        <w:spacing w:line="306" w:lineRule="exact"/>
        <w:rPr>
          <w:szCs w:val="21"/>
        </w:rPr>
      </w:pPr>
      <w:r>
        <w:rPr>
          <w:szCs w:val="21"/>
        </w:rPr>
        <w:t xml:space="preserve">导体表面应光洁、无油污、无损伤屏蔽及绝缘的毛刺、锐边，无凸起或断裂的单线。导体应为圆形并绞合紧压，紧压系数不小于0.9</w:t>
      </w:r>
      <w:r>
        <w:rPr>
          <w:rFonts w:hint="eastAsia"/>
          <w:szCs w:val="21"/>
        </w:rPr>
        <w:t xml:space="preserve">，其他应符合GB/T 3956的规定。</w:t>
      </w:r>
      <w:r>
        <w:rPr>
          <w:szCs w:val="21"/>
        </w:rPr>
      </w:r>
      <w:r/>
    </w:p>
    <w:p>
      <w:pPr>
        <w:pStyle w:val="1151"/>
        <w:ind w:firstLine="420"/>
        <w:spacing w:line="306" w:lineRule="exact"/>
        <w:rPr>
          <w:szCs w:val="21"/>
        </w:rPr>
      </w:pPr>
      <w:r>
        <w:rPr>
          <w:rFonts w:hint="eastAsia"/>
          <w:szCs w:val="21"/>
        </w:rPr>
        <w:t xml:space="preserve">800mm</w:t>
      </w:r>
      <w:r>
        <w:rPr>
          <w:rFonts w:hint="eastAsia"/>
          <w:szCs w:val="21"/>
          <w:vertAlign w:val="superscript"/>
        </w:rPr>
        <w:t xml:space="preserve">2</w:t>
      </w:r>
      <w:r>
        <w:rPr>
          <w:rFonts w:hint="eastAsia"/>
          <w:szCs w:val="21"/>
        </w:rPr>
        <w:t xml:space="preserve">以下导体应采用紧压圆形导体结构；</w:t>
      </w:r>
      <w:r>
        <w:rPr>
          <w:szCs w:val="21"/>
        </w:rPr>
        <w:t xml:space="preserve">800mm</w:t>
      </w:r>
      <w:r>
        <w:rPr>
          <w:szCs w:val="21"/>
          <w:vertAlign w:val="superscript"/>
        </w:rPr>
        <w:t xml:space="preserve">2</w:t>
      </w:r>
      <w:r>
        <w:rPr>
          <w:rFonts w:hint="eastAsia"/>
          <w:szCs w:val="21"/>
        </w:rPr>
        <w:t xml:space="preserve">的导体可任选紧压导体或分割导体结构，1000mm</w:t>
      </w:r>
      <w:r>
        <w:rPr>
          <w:szCs w:val="21"/>
          <w:vertAlign w:val="superscript"/>
        </w:rPr>
        <w:t xml:space="preserve">2</w:t>
      </w:r>
      <w:r>
        <w:rPr>
          <w:rFonts w:hint="eastAsia"/>
          <w:szCs w:val="21"/>
        </w:rPr>
        <w:t xml:space="preserve">及以上应采用分割导体结构。</w:t>
      </w:r>
      <w:r>
        <w:rPr>
          <w:szCs w:val="21"/>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2.1.2　</w:t>
      </w:r>
      <w:r>
        <w:rPr>
          <w:rFonts w:ascii="宋体" w:hAnsi="宋体" w:eastAsia="宋体"/>
        </w:rPr>
        <w:t xml:space="preserve">挤出交联工艺</w:t>
      </w:r>
      <w:r>
        <w:rPr>
          <w:rFonts w:ascii="宋体" w:hAnsi="宋体" w:eastAsia="宋体"/>
        </w:rPr>
      </w:r>
      <w:r/>
    </w:p>
    <w:p>
      <w:pPr>
        <w:pStyle w:val="1151"/>
        <w:ind w:firstLine="420"/>
        <w:spacing w:line="306" w:lineRule="exact"/>
        <w:rPr>
          <w:rFonts w:ascii="宋体" w:hAnsi="宋体"/>
          <w:spacing w:val="-2"/>
          <w:szCs w:val="21"/>
        </w:rPr>
      </w:pPr>
      <w:r>
        <w:rPr>
          <w:rFonts w:ascii="宋体" w:hAnsi="宋体"/>
          <w:spacing w:val="-2"/>
          <w:szCs w:val="21"/>
        </w:rPr>
        <w:t xml:space="preserve">导体屏蔽、绝缘、绝缘屏蔽应采用三层共挤工艺，全封闭化学交联。绝缘料采用交联聚乙烯料，半导电屏蔽料采用交联型材料，绝缘料和半导电料从生产之日到使用不应超过半年。生产厂家提供对产品工艺制造水平的描述，包括干式交联流水线方式，生产设备中的测偏装置、干式交联，冷却装置的描述等。</w:t>
      </w:r>
      <w:r>
        <w:rPr>
          <w:rFonts w:ascii="宋体" w:hAnsi="宋体"/>
          <w:spacing w:val="-2"/>
          <w:szCs w:val="21"/>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2.1.3　</w:t>
      </w:r>
      <w:r>
        <w:rPr>
          <w:rFonts w:ascii="宋体" w:hAnsi="宋体" w:eastAsia="宋体"/>
        </w:rPr>
        <w:t xml:space="preserve">导体屏蔽</w:t>
      </w:r>
      <w:r>
        <w:rPr>
          <w:rFonts w:ascii="宋体" w:hAnsi="宋体" w:eastAsia="宋体"/>
        </w:rPr>
      </w:r>
      <w:r/>
    </w:p>
    <w:p>
      <w:pPr>
        <w:pStyle w:val="1151"/>
        <w:ind w:firstLine="420"/>
        <w:spacing w:line="306" w:lineRule="exact"/>
        <w:rPr>
          <w:rFonts w:ascii="宋体" w:hAnsi="宋体"/>
          <w:szCs w:val="21"/>
        </w:rPr>
      </w:pPr>
      <w:r>
        <w:rPr>
          <w:rFonts w:ascii="宋体" w:hAnsi="宋体"/>
          <w:szCs w:val="21"/>
        </w:rPr>
        <w:t xml:space="preserve">导体屏蔽</w:t>
      </w:r>
      <w:r>
        <w:rPr>
          <w:rFonts w:hint="eastAsia" w:ascii="宋体" w:hAnsi="宋体"/>
          <w:szCs w:val="21"/>
        </w:rPr>
        <w:t xml:space="preserve">应</w:t>
      </w:r>
      <w:r>
        <w:rPr>
          <w:rFonts w:ascii="宋体" w:hAnsi="宋体"/>
          <w:szCs w:val="21"/>
        </w:rPr>
        <w:t xml:space="preserve">为挤包</w:t>
      </w:r>
      <w:r>
        <w:rPr>
          <w:rFonts w:hint="eastAsia" w:ascii="宋体" w:hAnsi="宋体"/>
          <w:szCs w:val="21"/>
        </w:rPr>
        <w:t xml:space="preserve">的</w:t>
      </w:r>
      <w:r>
        <w:rPr>
          <w:rFonts w:ascii="宋体" w:hAnsi="宋体"/>
          <w:szCs w:val="21"/>
        </w:rPr>
        <w:t xml:space="preserve">半导电层，电阻率不大于1</w:t>
      </w:r>
      <w:r>
        <w:rPr>
          <w:rFonts w:hint="eastAsia" w:ascii="宋体" w:hAnsi="宋体"/>
          <w:szCs w:val="21"/>
        </w:rPr>
        <w:t xml:space="preserve">0</w:t>
      </w:r>
      <w:r>
        <w:rPr>
          <w:rFonts w:ascii="宋体" w:hAnsi="宋体"/>
          <w:szCs w:val="21"/>
        </w:rPr>
        <w:t xml:space="preserve">00</w:t>
      </w:r>
      <w:r>
        <w:rPr>
          <w:rFonts w:ascii="Symbol" w:hAnsi="Symbol"/>
          <w:szCs w:val="21"/>
        </w:rPr>
        <w:t xml:space="preserve"></w:t>
      </w:r>
      <w:r>
        <w:rPr>
          <w:rFonts w:hint="eastAsia" w:ascii="宋体" w:hAnsi="宋体"/>
          <w:szCs w:val="21"/>
        </w:rPr>
        <w:t xml:space="preserve">·</w:t>
      </w:r>
      <w:r>
        <w:rPr>
          <w:rFonts w:ascii="宋体" w:hAnsi="宋体"/>
          <w:szCs w:val="21"/>
        </w:rPr>
        <w:t xml:space="preserve">cm。半导电层应均匀地包覆在导体上，并</w:t>
      </w:r>
      <w:r>
        <w:rPr>
          <w:rFonts w:hint="eastAsia" w:ascii="宋体" w:hAnsi="宋体"/>
          <w:szCs w:val="21"/>
        </w:rPr>
        <w:t xml:space="preserve">与</w:t>
      </w:r>
      <w:r>
        <w:rPr>
          <w:rFonts w:ascii="宋体" w:hAnsi="宋体"/>
          <w:szCs w:val="21"/>
        </w:rPr>
        <w:t xml:space="preserve">绝缘紧密结合，表面光滑，无明显绞线凸纹，不应有尖角、颗粒、烧焦或擦伤的痕迹。</w:t>
      </w:r>
      <w:r>
        <w:rPr>
          <w:rFonts w:ascii="宋体" w:hAnsi="宋体"/>
          <w:szCs w:val="21"/>
        </w:rPr>
      </w:r>
      <w:r/>
    </w:p>
    <w:p>
      <w:pPr>
        <w:pStyle w:val="1151"/>
        <w:ind w:firstLine="420"/>
        <w:spacing w:line="306" w:lineRule="exact"/>
        <w:rPr>
          <w:rFonts w:ascii="宋体" w:hAnsi="宋体"/>
          <w:szCs w:val="21"/>
        </w:rPr>
      </w:pPr>
      <w:r>
        <w:rPr>
          <w:rFonts w:hint="eastAsia" w:ascii="宋体" w:hAnsi="宋体"/>
          <w:szCs w:val="21"/>
        </w:rPr>
        <w:t xml:space="preserve">标称截面积为500mm</w:t>
      </w:r>
      <w:r>
        <w:rPr>
          <w:rFonts w:hint="eastAsia" w:ascii="宋体" w:hAnsi="宋体"/>
          <w:szCs w:val="21"/>
          <w:vertAlign w:val="superscript"/>
        </w:rPr>
        <w:t xml:space="preserve">2</w:t>
      </w:r>
      <w:r>
        <w:rPr>
          <w:rFonts w:hint="eastAsia" w:ascii="宋体" w:hAnsi="宋体"/>
          <w:szCs w:val="21"/>
        </w:rPr>
        <w:t xml:space="preserve">及以上电缆导体屏蔽应由半导电带和挤包半导电层复合组成。</w:t>
      </w:r>
      <w:r>
        <w:rPr>
          <w:rFonts w:ascii="宋体" w:hAnsi="宋体"/>
          <w:szCs w:val="21"/>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2.1.4　</w:t>
      </w:r>
      <w:r>
        <w:rPr>
          <w:rFonts w:ascii="宋体" w:hAnsi="宋体" w:eastAsia="宋体"/>
        </w:rPr>
        <w:t xml:space="preserve">绝缘</w:t>
      </w:r>
      <w:r>
        <w:rPr>
          <w:rFonts w:ascii="宋体" w:hAnsi="宋体" w:eastAsia="宋体"/>
        </w:rPr>
      </w:r>
      <w:r/>
    </w:p>
    <w:p>
      <w:pPr>
        <w:pStyle w:val="1151"/>
        <w:ind w:firstLine="420"/>
        <w:spacing w:line="306" w:lineRule="exact"/>
        <w:rPr>
          <w:rFonts w:ascii="宋体" w:hAnsi="宋体"/>
          <w:szCs w:val="21"/>
          <w:highlight w:val="yellow"/>
        </w:rPr>
      </w:pPr>
      <w:r>
        <w:rPr>
          <w:rFonts w:ascii="宋体" w:hAnsi="宋体"/>
          <w:szCs w:val="21"/>
        </w:rPr>
        <w:t xml:space="preserve">绝缘标称厚度</w:t>
      </w:r>
      <w:r>
        <w:rPr>
          <w:rFonts w:ascii="宋体" w:hAnsi="宋体"/>
          <w:i/>
          <w:szCs w:val="21"/>
        </w:rPr>
        <w:t xml:space="preserve">t</w:t>
      </w:r>
      <w:r>
        <w:rPr>
          <w:rFonts w:ascii="宋体" w:hAnsi="宋体"/>
          <w:szCs w:val="21"/>
          <w:vertAlign w:val="subscript"/>
        </w:rPr>
        <w:t xml:space="preserve">n</w:t>
      </w:r>
      <w:r>
        <w:rPr>
          <w:rFonts w:hint="eastAsia" w:ascii="宋体" w:hAnsi="宋体"/>
          <w:szCs w:val="21"/>
        </w:rPr>
        <w:t xml:space="preserve">为</w:t>
      </w:r>
      <w:r>
        <w:rPr>
          <w:rFonts w:ascii="宋体" w:hAnsi="宋体"/>
          <w:szCs w:val="21"/>
        </w:rPr>
        <w:t xml:space="preserve">4.5mm，绝缘厚度平均值应不小于标称值，任一点最小测量厚度应不小于标称</w:t>
      </w:r>
      <w:r>
        <w:rPr>
          <w:rFonts w:hint="eastAsia" w:ascii="宋体" w:hAnsi="宋体"/>
          <w:szCs w:val="21"/>
        </w:rPr>
        <w:t xml:space="preserve">厚度</w:t>
      </w:r>
      <w:r>
        <w:rPr>
          <w:rFonts w:hint="eastAsia" w:ascii="宋体" w:hAnsi="宋体"/>
          <w:i/>
          <w:szCs w:val="21"/>
        </w:rPr>
        <w:t xml:space="preserve">t</w:t>
      </w:r>
      <w:r>
        <w:rPr>
          <w:rFonts w:hint="eastAsia" w:ascii="宋体" w:hAnsi="宋体"/>
          <w:szCs w:val="21"/>
          <w:vertAlign w:val="subscript"/>
        </w:rPr>
        <w:t xml:space="preserve">n</w:t>
      </w:r>
      <w:r>
        <w:rPr>
          <w:rFonts w:ascii="宋体" w:hAnsi="宋体"/>
          <w:szCs w:val="21"/>
        </w:rPr>
        <w:t xml:space="preserve">的90%。任一断面的偏心率</w:t>
      </w:r>
      <w:r>
        <w:rPr>
          <w:rFonts w:hint="eastAsia" w:ascii="宋体" w:hAnsi="宋体"/>
          <w:szCs w:val="21"/>
        </w:rPr>
        <w:t xml:space="preserve">［</w:t>
      </w:r>
      <w:r>
        <w:rPr>
          <w:rFonts w:ascii="宋体" w:hAnsi="宋体"/>
          <w:szCs w:val="21"/>
        </w:rPr>
        <w:t xml:space="preserve">（最大测量厚度－最小测量厚度）/最大测量厚度</w:t>
      </w:r>
      <w:r>
        <w:rPr>
          <w:rFonts w:hint="eastAsia" w:ascii="宋体" w:hAnsi="宋体"/>
          <w:szCs w:val="21"/>
        </w:rPr>
        <w:t xml:space="preserve">］</w:t>
      </w:r>
      <w:r>
        <w:rPr>
          <w:rFonts w:ascii="宋体" w:hAnsi="宋体"/>
          <w:szCs w:val="21"/>
        </w:rPr>
        <w:t xml:space="preserve">应不大于10%。</w:t>
      </w:r>
      <w:r>
        <w:rPr>
          <w:rFonts w:ascii="宋体" w:hAnsi="宋体"/>
          <w:szCs w:val="21"/>
          <w:highlight w:val="yellow"/>
        </w:rPr>
      </w:r>
      <w:r/>
    </w:p>
    <w:p>
      <w:pPr>
        <w:pStyle w:val="1151"/>
        <w:ind w:firstLine="420"/>
        <w:spacing w:line="306" w:lineRule="exact"/>
        <w:rPr>
          <w:szCs w:val="21"/>
        </w:rPr>
      </w:pPr>
      <w:r>
        <w:rPr>
          <w:szCs w:val="21"/>
        </w:rPr>
        <w:t xml:space="preserve">电缆的绝缘偏心度应符合下式规定</w:t>
      </w:r>
      <w:r>
        <w:rPr>
          <w:rFonts w:hint="eastAsia"/>
          <w:szCs w:val="21"/>
        </w:rPr>
        <w:t xml:space="preserve">：</w:t>
      </w:r>
      <w:r>
        <w:rPr>
          <w:szCs w:val="21"/>
        </w:rPr>
      </w:r>
      <w:r/>
    </w:p>
    <w:p>
      <w:pPr>
        <w:pStyle w:val="1151"/>
        <w:spacing w:line="306" w:lineRule="exact"/>
        <w:rPr>
          <w:szCs w:val="21"/>
        </w:rPr>
      </w:pPr>
      <w:r>
        <w:rPr>
          <w:szCs w:val="21"/>
        </w:rPr>
        <w:t xml:space="preserve">(</w:t>
      </w:r>
      <w:r>
        <w:rPr>
          <w:i/>
          <w:szCs w:val="21"/>
        </w:rPr>
        <w:t xml:space="preserve">t</w:t>
      </w:r>
      <w:r>
        <w:rPr>
          <w:szCs w:val="21"/>
          <w:vertAlign w:val="subscript"/>
        </w:rPr>
        <w:t xml:space="preserve">max</w:t>
      </w:r>
      <w:r>
        <w:rPr>
          <w:rFonts w:ascii="Symbol" w:hAnsi="Symbol"/>
          <w:szCs w:val="21"/>
        </w:rPr>
        <w:t xml:space="preserve"></w:t>
      </w:r>
      <w:r>
        <w:rPr>
          <w:i/>
          <w:szCs w:val="21"/>
        </w:rPr>
        <w:t xml:space="preserve">t</w:t>
      </w:r>
      <w:r>
        <w:rPr>
          <w:szCs w:val="21"/>
          <w:vertAlign w:val="subscript"/>
        </w:rPr>
        <w:t xml:space="preserve">min</w:t>
      </w:r>
      <w:r>
        <w:rPr>
          <w:szCs w:val="21"/>
        </w:rPr>
        <w:t xml:space="preserve">)/</w:t>
      </w:r>
      <w:r>
        <w:rPr>
          <w:i/>
          <w:szCs w:val="21"/>
        </w:rPr>
        <w:t xml:space="preserve">t</w:t>
      </w:r>
      <w:r>
        <w:rPr>
          <w:szCs w:val="21"/>
          <w:vertAlign w:val="subscript"/>
        </w:rPr>
        <w:t xml:space="preserve">max</w:t>
      </w:r>
      <w:r>
        <w:rPr>
          <w:rFonts w:hint="eastAsia"/>
          <w:szCs w:val="21"/>
        </w:rPr>
        <w:t xml:space="preserve">≤</w:t>
      </w:r>
      <w:r>
        <w:rPr>
          <w:szCs w:val="21"/>
        </w:rPr>
        <w:t xml:space="preserve">10%</w:t>
      </w:r>
      <w:r>
        <w:rPr>
          <w:szCs w:val="21"/>
        </w:rPr>
      </w:r>
      <w:r/>
    </w:p>
    <w:p>
      <w:pPr>
        <w:pStyle w:val="1151"/>
        <w:ind w:firstLine="420"/>
        <w:spacing w:line="306" w:lineRule="exact"/>
        <w:tabs>
          <w:tab w:val="left" w:pos="1414" w:leader="none"/>
        </w:tabs>
        <w:rPr>
          <w:szCs w:val="21"/>
        </w:rPr>
      </w:pPr>
      <w:r>
        <w:rPr>
          <w:rFonts w:hint="eastAsia"/>
          <w:szCs w:val="21"/>
        </w:rPr>
        <w:t xml:space="preserve">式中　</w:t>
      </w:r>
      <w:r>
        <w:rPr>
          <w:i/>
          <w:szCs w:val="21"/>
        </w:rPr>
        <w:t xml:space="preserve">t</w:t>
      </w:r>
      <w:r>
        <w:rPr>
          <w:szCs w:val="21"/>
          <w:vertAlign w:val="subscript"/>
        </w:rPr>
        <w:t xml:space="preserve">max</w:t>
      </w:r>
      <w:r>
        <w:rPr>
          <w:rFonts w:hint="eastAsia"/>
          <w:szCs w:val="21"/>
          <w:vertAlign w:val="subscript"/>
        </w:rPr>
        <w:tab/>
      </w:r>
      <w:r>
        <w:rPr>
          <w:rFonts w:hint="eastAsia"/>
          <w:szCs w:val="21"/>
        </w:rPr>
        <w:t xml:space="preserve">——</w:t>
      </w:r>
      <w:r>
        <w:rPr>
          <w:szCs w:val="21"/>
        </w:rPr>
        <w:t xml:space="preserve">绝缘最大厚度，mm；</w:t>
      </w:r>
      <w:r>
        <w:rPr>
          <w:szCs w:val="21"/>
        </w:rPr>
      </w:r>
      <w:r/>
    </w:p>
    <w:p>
      <w:pPr>
        <w:pStyle w:val="1151"/>
        <w:ind w:firstLine="420"/>
        <w:spacing w:line="306" w:lineRule="exact"/>
        <w:tabs>
          <w:tab w:val="left" w:pos="1414" w:leader="none"/>
        </w:tabs>
        <w:rPr>
          <w:szCs w:val="21"/>
        </w:rPr>
      </w:pPr>
      <w:r>
        <w:rPr>
          <w:rFonts w:hint="eastAsia"/>
          <w:i/>
          <w:szCs w:val="21"/>
        </w:rPr>
        <w:t xml:space="preserve">      </w:t>
      </w:r>
      <w:r>
        <w:rPr>
          <w:i/>
          <w:szCs w:val="21"/>
        </w:rPr>
        <w:t xml:space="preserve">t</w:t>
      </w:r>
      <w:r>
        <w:rPr>
          <w:szCs w:val="21"/>
          <w:vertAlign w:val="subscript"/>
        </w:rPr>
        <w:t xml:space="preserve">min</w:t>
      </w:r>
      <w:r>
        <w:rPr>
          <w:rFonts w:hint="eastAsia"/>
          <w:szCs w:val="21"/>
          <w:vertAlign w:val="subscript"/>
        </w:rPr>
        <w:tab/>
      </w:r>
      <w:r>
        <w:rPr>
          <w:rFonts w:hint="eastAsia"/>
          <w:szCs w:val="21"/>
        </w:rPr>
        <w:t xml:space="preserve">——</w:t>
      </w:r>
      <w:r>
        <w:rPr>
          <w:szCs w:val="21"/>
        </w:rPr>
        <w:t xml:space="preserve">绝缘最小厚度，mm</w:t>
      </w:r>
      <w:r>
        <w:rPr>
          <w:rFonts w:hint="eastAsia"/>
          <w:szCs w:val="21"/>
        </w:rPr>
        <w:t xml:space="preserve">。</w:t>
      </w:r>
      <w:r>
        <w:rPr>
          <w:szCs w:val="21"/>
        </w:rPr>
      </w:r>
      <w:r/>
    </w:p>
    <w:p>
      <w:pPr>
        <w:pStyle w:val="1151"/>
        <w:ind w:firstLine="420"/>
        <w:spacing w:line="306" w:lineRule="exact"/>
        <w:tabs>
          <w:tab w:val="left" w:pos="1414" w:leader="none"/>
        </w:tabs>
        <w:rPr>
          <w:szCs w:val="21"/>
        </w:rPr>
      </w:pPr>
      <w:r>
        <w:rPr>
          <w:i/>
          <w:szCs w:val="21"/>
        </w:rPr>
        <w:t xml:space="preserve">t</w:t>
      </w:r>
      <w:r>
        <w:rPr>
          <w:szCs w:val="21"/>
          <w:vertAlign w:val="subscript"/>
        </w:rPr>
        <w:t xml:space="preserve">max</w:t>
      </w:r>
      <w:r>
        <w:rPr>
          <w:szCs w:val="21"/>
        </w:rPr>
        <w:t xml:space="preserve">和</w:t>
      </w:r>
      <w:r>
        <w:rPr>
          <w:i/>
          <w:szCs w:val="21"/>
        </w:rPr>
        <w:t xml:space="preserve">t</w:t>
      </w:r>
      <w:r>
        <w:rPr>
          <w:szCs w:val="21"/>
          <w:vertAlign w:val="subscript"/>
        </w:rPr>
        <w:t xml:space="preserve">min</w:t>
      </w:r>
      <w:r>
        <w:rPr>
          <w:szCs w:val="21"/>
        </w:rPr>
        <w:t xml:space="preserve">在绝缘同一断面上测得。</w:t>
      </w:r>
      <w:r>
        <w:rPr>
          <w:szCs w:val="21"/>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2.1.5　</w:t>
      </w:r>
      <w:r>
        <w:rPr>
          <w:rFonts w:ascii="宋体" w:hAnsi="宋体" w:eastAsia="宋体"/>
        </w:rPr>
        <w:t xml:space="preserve">绝缘屏蔽</w:t>
      </w:r>
      <w:r>
        <w:rPr>
          <w:rFonts w:ascii="宋体" w:hAnsi="宋体" w:eastAsia="宋体"/>
        </w:rPr>
      </w:r>
      <w:r/>
    </w:p>
    <w:p>
      <w:pPr>
        <w:pStyle w:val="1151"/>
        <w:ind w:firstLine="420"/>
        <w:spacing w:line="306" w:lineRule="exact"/>
        <w:rPr>
          <w:rFonts w:ascii="宋体" w:hAnsi="宋体"/>
          <w:szCs w:val="21"/>
        </w:rPr>
      </w:pPr>
      <w:r>
        <w:rPr>
          <w:rFonts w:ascii="宋体" w:hAnsi="宋体"/>
          <w:spacing w:val="6"/>
          <w:szCs w:val="21"/>
        </w:rPr>
        <w:t xml:space="preserve">绝缘屏蔽为</w:t>
      </w:r>
      <w:r>
        <w:rPr>
          <w:rFonts w:hint="eastAsia" w:ascii="宋体" w:hAnsi="宋体"/>
          <w:spacing w:val="6"/>
          <w:szCs w:val="21"/>
        </w:rPr>
        <w:t xml:space="preserve">可剥离或不可剥离</w:t>
      </w:r>
      <w:r>
        <w:rPr>
          <w:rFonts w:ascii="宋体" w:hAnsi="宋体"/>
          <w:spacing w:val="6"/>
          <w:szCs w:val="21"/>
        </w:rPr>
        <w:t xml:space="preserve">挤包半导电层，电阻率不</w:t>
      </w:r>
      <w:r>
        <w:rPr>
          <w:rFonts w:ascii="宋体" w:hAnsi="宋体"/>
          <w:spacing w:val="4"/>
          <w:szCs w:val="21"/>
        </w:rPr>
        <w:t xml:space="preserve">大于</w:t>
      </w:r>
      <w:r>
        <w:rPr>
          <w:rFonts w:hint="eastAsia" w:ascii="宋体" w:hAnsi="宋体"/>
          <w:spacing w:val="4"/>
          <w:szCs w:val="21"/>
        </w:rPr>
        <w:t xml:space="preserve">500</w:t>
      </w:r>
      <w:r>
        <w:rPr>
          <w:rFonts w:ascii="宋体" w:hAnsi="宋体"/>
          <w:spacing w:val="4"/>
          <w:szCs w:val="21"/>
        </w:rPr>
        <w:t xml:space="preserve"></w:t>
      </w:r>
      <w:r>
        <w:rPr>
          <w:rFonts w:hint="eastAsia" w:ascii="宋体" w:hAnsi="宋体"/>
          <w:spacing w:val="4"/>
          <w:szCs w:val="21"/>
        </w:rPr>
        <w:t xml:space="preserve">·</w:t>
      </w:r>
      <w:r>
        <w:rPr>
          <w:rFonts w:ascii="宋体" w:hAnsi="宋体"/>
          <w:spacing w:val="4"/>
          <w:szCs w:val="21"/>
        </w:rPr>
        <w:t xml:space="preserve">cm</w:t>
      </w:r>
      <w:r>
        <w:rPr>
          <w:rFonts w:hint="eastAsia" w:ascii="宋体" w:hAnsi="宋体"/>
          <w:spacing w:val="4"/>
          <w:szCs w:val="21"/>
        </w:rPr>
        <w:t xml:space="preserve">，</w:t>
      </w:r>
      <w:r>
        <w:rPr>
          <w:rFonts w:ascii="宋体" w:hAnsi="宋体"/>
          <w:spacing w:val="4"/>
          <w:szCs w:val="21"/>
        </w:rPr>
        <w:t xml:space="preserve">半导电层应均匀地包覆</w:t>
      </w:r>
      <w:r>
        <w:rPr>
          <w:rFonts w:ascii="宋体" w:hAnsi="宋体"/>
          <w:szCs w:val="21"/>
        </w:rPr>
        <w:t xml:space="preserve">在绝缘表面，表面应光滑，不应有尖角</w:t>
      </w:r>
      <w:r>
        <w:rPr>
          <w:rFonts w:hint="eastAsia" w:ascii="宋体" w:hAnsi="宋体"/>
          <w:szCs w:val="21"/>
        </w:rPr>
        <w:t xml:space="preserve">、</w:t>
      </w:r>
      <w:r>
        <w:rPr>
          <w:rFonts w:ascii="宋体" w:hAnsi="宋体"/>
          <w:szCs w:val="21"/>
        </w:rPr>
        <w:t xml:space="preserve">颗粒、烧焦或擦伤的痕迹。</w:t>
      </w:r>
      <w:r>
        <w:rPr>
          <w:rFonts w:hint="eastAsia" w:ascii="宋体" w:hAnsi="宋体"/>
          <w:szCs w:val="21"/>
        </w:rPr>
        <w:t xml:space="preserve">从老化前后的试样绝缘上剥下挤包半导电屏蔽的剥离力应不小于8N和不大于45N，绝缘表面应无损伤及残留的半导电屏蔽痕迹</w:t>
      </w:r>
      <w:r>
        <w:rPr>
          <w:rFonts w:ascii="宋体" w:hAnsi="宋体"/>
          <w:szCs w:val="21"/>
        </w:rPr>
        <w:t xml:space="preserve">。</w:t>
      </w:r>
      <w:r>
        <w:rPr>
          <w:rFonts w:ascii="宋体" w:hAnsi="宋体"/>
          <w:szCs w:val="21"/>
        </w:rPr>
      </w:r>
      <w:r/>
    </w:p>
    <w:p>
      <w:pPr>
        <w:pStyle w:val="1151"/>
        <w:ind w:firstLine="420"/>
        <w:spacing w:line="306" w:lineRule="exact"/>
        <w:rPr>
          <w:rFonts w:ascii="宋体" w:hAnsi="宋体"/>
          <w:szCs w:val="21"/>
        </w:rPr>
      </w:pPr>
      <w:r>
        <w:rPr>
          <w:rFonts w:ascii="宋体" w:hAnsi="宋体"/>
          <w:szCs w:val="21"/>
        </w:rPr>
        <w:t xml:space="preserve">三芯电缆绝缘屏蔽与金属屏蔽之间应有沿缆芯纵向的相色（黄绿红）标志带，其宽度不小于2mm。</w:t>
      </w:r>
      <w:r>
        <w:rPr>
          <w:rFonts w:ascii="宋体" w:hAnsi="宋体"/>
          <w:szCs w:val="21"/>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2.1.6</w:t>
      </w:r>
      <w:r>
        <w:rPr>
          <w:rFonts w:ascii="宋体" w:hAnsi="宋体" w:eastAsia="宋体"/>
        </w:rPr>
        <w:t xml:space="preserve">　金属屏蔽</w:t>
      </w:r>
      <w:r>
        <w:rPr>
          <w:rFonts w:ascii="宋体" w:hAnsi="宋体" w:eastAsia="宋体"/>
        </w:rPr>
      </w:r>
      <w:r/>
    </w:p>
    <w:p>
      <w:pPr>
        <w:pStyle w:val="1151"/>
        <w:rPr>
          <w:rFonts w:ascii="宋体" w:hAnsi="宋体"/>
          <w:szCs w:val="21"/>
        </w:rPr>
      </w:pPr>
      <w:r>
        <w:rPr>
          <w:rFonts w:hint="eastAsia" w:ascii="宋体" w:hAnsi="宋体"/>
          <w:spacing w:val="20"/>
          <w:szCs w:val="21"/>
        </w:rPr>
        <w:t xml:space="preserve">2.1.6.1</w:t>
      </w:r>
      <w:r>
        <w:rPr>
          <w:rFonts w:hint="eastAsia" w:ascii="宋体" w:hAnsi="宋体"/>
          <w:szCs w:val="21"/>
        </w:rPr>
        <w:t xml:space="preserve">金属屏蔽应由一根或多根金属带、金属编织带、金属丝的同心层或金属丝与金属带的组合结构组成。</w:t>
      </w:r>
      <w:r>
        <w:rPr>
          <w:rFonts w:ascii="宋体" w:hAnsi="宋体"/>
          <w:szCs w:val="21"/>
        </w:rPr>
      </w:r>
      <w:r/>
    </w:p>
    <w:p>
      <w:pPr>
        <w:pStyle w:val="1151"/>
        <w:spacing w:line="312" w:lineRule="exact"/>
        <w:rPr>
          <w:rFonts w:ascii="宋体" w:hAnsi="宋体"/>
          <w:spacing w:val="-6"/>
          <w:szCs w:val="21"/>
        </w:rPr>
      </w:pPr>
      <w:r>
        <w:rPr>
          <w:rFonts w:hint="eastAsia" w:ascii="宋体" w:hAnsi="宋体"/>
          <w:szCs w:val="21"/>
        </w:rPr>
        <w:t xml:space="preserve">2</w:t>
      </w:r>
      <w:r>
        <w:rPr>
          <w:rFonts w:hint="eastAsia" w:ascii="宋体" w:hAnsi="宋体"/>
          <w:spacing w:val="20"/>
          <w:szCs w:val="21"/>
        </w:rPr>
        <w:t xml:space="preserve">.</w:t>
      </w:r>
      <w:r>
        <w:rPr>
          <w:rFonts w:hint="eastAsia" w:ascii="宋体" w:hAnsi="宋体"/>
          <w:szCs w:val="21"/>
        </w:rPr>
        <w:t xml:space="preserve">1</w:t>
      </w:r>
      <w:r>
        <w:rPr>
          <w:rFonts w:hint="eastAsia" w:ascii="宋体" w:hAnsi="宋体"/>
          <w:spacing w:val="20"/>
          <w:szCs w:val="21"/>
        </w:rPr>
        <w:t xml:space="preserve">.</w:t>
      </w:r>
      <w:r>
        <w:rPr>
          <w:rFonts w:hint="eastAsia" w:ascii="宋体" w:hAnsi="宋体"/>
          <w:szCs w:val="21"/>
        </w:rPr>
        <w:t xml:space="preserve">6</w:t>
      </w:r>
      <w:r>
        <w:rPr>
          <w:rFonts w:hint="eastAsia" w:ascii="宋体" w:hAnsi="宋体"/>
          <w:spacing w:val="20"/>
          <w:szCs w:val="21"/>
        </w:rPr>
        <w:t xml:space="preserve">.</w:t>
      </w:r>
      <w:r>
        <w:rPr>
          <w:rFonts w:hint="eastAsia" w:ascii="宋体" w:hAnsi="宋体"/>
          <w:szCs w:val="21"/>
        </w:rPr>
        <w:t xml:space="preserve">2　</w:t>
      </w:r>
      <w:r>
        <w:rPr>
          <w:rFonts w:hint="eastAsia" w:ascii="宋体" w:hAnsi="宋体"/>
          <w:spacing w:val="-6"/>
          <w:szCs w:val="21"/>
        </w:rPr>
        <w:t xml:space="preserve">金属屏蔽中铜丝的电阻应符合GB/T</w:t>
      </w:r>
      <w:r>
        <w:rPr>
          <w:rFonts w:ascii="宋体" w:hAnsi="宋体"/>
          <w:spacing w:val="-6"/>
          <w:szCs w:val="21"/>
        </w:rPr>
        <w:t xml:space="preserve"> </w:t>
      </w:r>
      <w:r>
        <w:rPr>
          <w:rFonts w:hint="eastAsia" w:ascii="宋体" w:hAnsi="宋体"/>
          <w:spacing w:val="-6"/>
          <w:szCs w:val="21"/>
        </w:rPr>
        <w:t xml:space="preserve">3956的要求。铜丝屏蔽的标称截面积应根据故障电流容量确定。</w:t>
      </w:r>
      <w:r>
        <w:rPr>
          <w:rFonts w:ascii="宋体" w:hAnsi="宋体"/>
          <w:spacing w:val="-6"/>
          <w:szCs w:val="21"/>
        </w:rPr>
      </w:r>
      <w:r/>
    </w:p>
    <w:p>
      <w:pPr>
        <w:pStyle w:val="1151"/>
        <w:spacing w:line="312" w:lineRule="exact"/>
        <w:rPr>
          <w:rFonts w:ascii="宋体" w:hAnsi="宋体"/>
          <w:szCs w:val="21"/>
        </w:rPr>
      </w:pPr>
      <w:r>
        <w:rPr>
          <w:rFonts w:hint="eastAsia" w:ascii="宋体" w:hAnsi="宋体"/>
          <w:szCs w:val="21"/>
        </w:rPr>
        <w:t xml:space="preserve">2</w:t>
      </w:r>
      <w:r>
        <w:rPr>
          <w:rFonts w:hint="eastAsia" w:ascii="宋体" w:hAnsi="宋体"/>
          <w:spacing w:val="20"/>
          <w:szCs w:val="21"/>
        </w:rPr>
        <w:t xml:space="preserve">.</w:t>
      </w:r>
      <w:r>
        <w:rPr>
          <w:rFonts w:hint="eastAsia" w:ascii="宋体" w:hAnsi="宋体"/>
          <w:szCs w:val="21"/>
        </w:rPr>
        <w:t xml:space="preserve">1</w:t>
      </w:r>
      <w:r>
        <w:rPr>
          <w:rFonts w:hint="eastAsia" w:ascii="宋体" w:hAnsi="宋体"/>
          <w:spacing w:val="20"/>
          <w:szCs w:val="21"/>
        </w:rPr>
        <w:t xml:space="preserve">.</w:t>
      </w:r>
      <w:r>
        <w:rPr>
          <w:rFonts w:hint="eastAsia" w:ascii="宋体" w:hAnsi="宋体"/>
          <w:szCs w:val="21"/>
        </w:rPr>
        <w:t xml:space="preserve">6</w:t>
      </w:r>
      <w:r>
        <w:rPr>
          <w:rFonts w:hint="eastAsia" w:ascii="宋体" w:hAnsi="宋体"/>
          <w:spacing w:val="20"/>
          <w:szCs w:val="21"/>
        </w:rPr>
        <w:t xml:space="preserve">.</w:t>
      </w:r>
      <w:r>
        <w:rPr>
          <w:rFonts w:hint="eastAsia" w:ascii="宋体" w:hAnsi="宋体"/>
          <w:szCs w:val="21"/>
        </w:rPr>
        <w:t xml:space="preserve">3　铜丝屏蔽由疏绕的软铜线组成，其表面应用反向绕包的铜丝或铜带扎紧，相邻铜丝的平均间隙应不大于4mm。</w:t>
      </w:r>
      <w:r>
        <w:rPr>
          <w:rFonts w:ascii="宋体" w:hAnsi="宋体"/>
          <w:szCs w:val="21"/>
        </w:rPr>
      </w:r>
      <w:r/>
    </w:p>
    <w:p>
      <w:pPr>
        <w:pStyle w:val="1151"/>
        <w:spacing w:line="312" w:lineRule="exact"/>
        <w:rPr>
          <w:rFonts w:ascii="宋体" w:hAnsi="宋体"/>
          <w:spacing w:val="-2"/>
          <w:szCs w:val="21"/>
        </w:rPr>
      </w:pPr>
      <w:r>
        <w:rPr>
          <w:rFonts w:hint="eastAsia" w:ascii="宋体" w:hAnsi="宋体"/>
          <w:szCs w:val="21"/>
        </w:rPr>
        <w:t xml:space="preserve">2</w:t>
      </w:r>
      <w:r>
        <w:rPr>
          <w:rFonts w:hint="eastAsia" w:ascii="宋体" w:hAnsi="宋体"/>
          <w:spacing w:val="20"/>
          <w:szCs w:val="21"/>
        </w:rPr>
        <w:t xml:space="preserve">.</w:t>
      </w:r>
      <w:r>
        <w:rPr>
          <w:rFonts w:hint="eastAsia" w:ascii="宋体" w:hAnsi="宋体"/>
          <w:szCs w:val="21"/>
        </w:rPr>
        <w:t xml:space="preserve">1</w:t>
      </w:r>
      <w:r>
        <w:rPr>
          <w:rFonts w:hint="eastAsia" w:ascii="宋体" w:hAnsi="宋体"/>
          <w:spacing w:val="20"/>
          <w:szCs w:val="21"/>
        </w:rPr>
        <w:t xml:space="preserve">.</w:t>
      </w:r>
      <w:r>
        <w:rPr>
          <w:rFonts w:hint="eastAsia" w:ascii="宋体" w:hAnsi="宋体"/>
          <w:szCs w:val="21"/>
        </w:rPr>
        <w:t xml:space="preserve">6</w:t>
      </w:r>
      <w:r>
        <w:rPr>
          <w:rFonts w:hint="eastAsia" w:ascii="宋体" w:hAnsi="宋体"/>
          <w:spacing w:val="20"/>
          <w:szCs w:val="21"/>
        </w:rPr>
        <w:t xml:space="preserve">.</w:t>
      </w:r>
      <w:r>
        <w:rPr>
          <w:rFonts w:hint="eastAsia" w:ascii="宋体" w:hAnsi="宋体"/>
          <w:szCs w:val="21"/>
        </w:rPr>
        <w:t xml:space="preserve">4　</w:t>
      </w:r>
      <w:r>
        <w:rPr>
          <w:rFonts w:hint="eastAsia" w:ascii="宋体" w:hAnsi="宋体"/>
          <w:spacing w:val="-2"/>
          <w:szCs w:val="21"/>
        </w:rPr>
        <w:t xml:space="preserve">铜带屏蔽由一层重叠绕包的软铜带组成，</w:t>
      </w:r>
      <w:r>
        <w:rPr>
          <w:rFonts w:ascii="宋体" w:hAnsi="宋体"/>
          <w:spacing w:val="-2"/>
          <w:szCs w:val="21"/>
        </w:rPr>
        <w:t xml:space="preserve">绕包连续均匀</w:t>
      </w:r>
      <w:r>
        <w:rPr>
          <w:rFonts w:hint="eastAsia" w:ascii="宋体" w:hAnsi="宋体"/>
          <w:spacing w:val="-2"/>
          <w:szCs w:val="21"/>
        </w:rPr>
        <w:t xml:space="preserve">、</w:t>
      </w:r>
      <w:r>
        <w:rPr>
          <w:rFonts w:ascii="宋体" w:hAnsi="宋体"/>
          <w:spacing w:val="-2"/>
          <w:szCs w:val="21"/>
        </w:rPr>
        <w:t xml:space="preserve">平整光滑</w:t>
      </w:r>
      <w:r>
        <w:rPr>
          <w:rFonts w:hint="eastAsia" w:ascii="宋体" w:hAnsi="宋体"/>
          <w:spacing w:val="-2"/>
          <w:szCs w:val="21"/>
        </w:rPr>
        <w:t xml:space="preserve">、</w:t>
      </w:r>
      <w:r>
        <w:rPr>
          <w:rFonts w:ascii="宋体" w:hAnsi="宋体"/>
          <w:spacing w:val="-2"/>
          <w:szCs w:val="21"/>
        </w:rPr>
        <w:t xml:space="preserve">没有断裂，</w:t>
      </w:r>
      <w:r>
        <w:rPr>
          <w:rFonts w:hint="eastAsia" w:ascii="宋体" w:hAnsi="宋体"/>
          <w:spacing w:val="-2"/>
          <w:szCs w:val="21"/>
        </w:rPr>
        <w:t xml:space="preserve">铜带间的平均搭盖率应不小于15</w:t>
      </w:r>
      <w:r>
        <w:rPr>
          <w:rFonts w:ascii="宋体" w:hAnsi="宋体"/>
          <w:spacing w:val="-2"/>
          <w:szCs w:val="21"/>
        </w:rPr>
        <w:t xml:space="preserve">%</w:t>
      </w:r>
      <w:r>
        <w:rPr>
          <w:rFonts w:hint="eastAsia" w:ascii="宋体" w:hAnsi="宋体"/>
          <w:spacing w:val="-2"/>
          <w:szCs w:val="21"/>
        </w:rPr>
        <w:t xml:space="preserve"> （标称值），其最小搭盖率应不小于5</w:t>
      </w:r>
      <w:r>
        <w:rPr>
          <w:rFonts w:ascii="宋体" w:hAnsi="宋体"/>
          <w:spacing w:val="-2"/>
          <w:szCs w:val="21"/>
        </w:rPr>
        <w:t xml:space="preserve">%</w:t>
      </w:r>
      <w:r>
        <w:rPr>
          <w:rFonts w:hint="eastAsia" w:ascii="宋体" w:hAnsi="宋体"/>
          <w:spacing w:val="-2"/>
          <w:szCs w:val="21"/>
        </w:rPr>
        <w:t xml:space="preserve">。软铜带应符合GB/T</w:t>
      </w:r>
      <w:r>
        <w:rPr>
          <w:rFonts w:ascii="宋体" w:hAnsi="宋体"/>
          <w:spacing w:val="-2"/>
          <w:szCs w:val="21"/>
        </w:rPr>
        <w:t xml:space="preserve"> </w:t>
      </w:r>
      <w:r>
        <w:rPr>
          <w:rFonts w:hint="eastAsia" w:ascii="宋体" w:hAnsi="宋体"/>
          <w:spacing w:val="-2"/>
          <w:szCs w:val="21"/>
        </w:rPr>
        <w:t xml:space="preserve">11091，铜带标称厚度为：</w:t>
      </w:r>
      <w:r>
        <w:rPr>
          <w:rFonts w:ascii="宋体" w:hAnsi="宋体"/>
          <w:spacing w:val="-2"/>
          <w:szCs w:val="21"/>
        </w:rPr>
      </w:r>
      <w:r/>
    </w:p>
    <w:p>
      <w:pPr>
        <w:pStyle w:val="1151"/>
        <w:ind w:firstLine="420"/>
        <w:rPr>
          <w:rFonts w:ascii="宋体" w:hAnsi="宋体"/>
          <w:szCs w:val="21"/>
        </w:rPr>
      </w:pPr>
      <w:r>
        <w:rPr>
          <w:rFonts w:hint="eastAsia" w:ascii="宋体" w:hAnsi="宋体"/>
          <w:szCs w:val="21"/>
        </w:rPr>
        <w:t xml:space="preserve">——三芯电缆：≥0.10mm。</w:t>
      </w:r>
      <w:r>
        <w:rPr>
          <w:rFonts w:ascii="宋体" w:hAnsi="宋体"/>
          <w:szCs w:val="21"/>
        </w:rPr>
      </w:r>
      <w:r/>
    </w:p>
    <w:p>
      <w:pPr>
        <w:pStyle w:val="1151"/>
        <w:ind w:firstLine="420"/>
        <w:rPr>
          <w:rFonts w:ascii="宋体" w:hAnsi="宋体"/>
          <w:szCs w:val="21"/>
        </w:rPr>
      </w:pPr>
      <w:r>
        <w:rPr>
          <w:rFonts w:hint="eastAsia" w:ascii="宋体" w:hAnsi="宋体"/>
          <w:szCs w:val="21"/>
        </w:rPr>
        <w:t xml:space="preserve">铜带的最小厚度应不小于标称值的90</w:t>
      </w:r>
      <w:r>
        <w:rPr>
          <w:rFonts w:ascii="宋体" w:hAnsi="宋体"/>
          <w:szCs w:val="21"/>
        </w:rPr>
        <w:t xml:space="preserve">%</w:t>
      </w:r>
      <w:r>
        <w:rPr>
          <w:rFonts w:hint="eastAsia" w:ascii="宋体" w:hAnsi="宋体"/>
          <w:szCs w:val="21"/>
        </w:rPr>
        <w:t xml:space="preserve">。</w:t>
      </w:r>
      <w:r>
        <w:rPr>
          <w:rFonts w:ascii="宋体" w:hAnsi="宋体"/>
          <w:szCs w:val="21"/>
        </w:rPr>
      </w:r>
      <w:r/>
    </w:p>
    <w:p>
      <w:pPr>
        <w:pStyle w:val="1151"/>
        <w:spacing w:line="312" w:lineRule="exact"/>
        <w:rPr>
          <w:rFonts w:ascii="宋体" w:hAnsi="宋体"/>
          <w:szCs w:val="21"/>
        </w:rPr>
      </w:pPr>
      <w:r>
        <w:rPr>
          <w:rFonts w:hint="eastAsia" w:ascii="宋体" w:hAnsi="宋体"/>
          <w:szCs w:val="21"/>
        </w:rPr>
        <w:t xml:space="preserve">2</w:t>
      </w:r>
      <w:r>
        <w:rPr>
          <w:rFonts w:hint="eastAsia" w:ascii="宋体" w:hAnsi="宋体"/>
          <w:spacing w:val="20"/>
          <w:szCs w:val="21"/>
        </w:rPr>
        <w:t xml:space="preserve">.</w:t>
      </w:r>
      <w:r>
        <w:rPr>
          <w:rFonts w:hint="eastAsia" w:ascii="宋体" w:hAnsi="宋体"/>
          <w:szCs w:val="21"/>
        </w:rPr>
        <w:t xml:space="preserve">1</w:t>
      </w:r>
      <w:r>
        <w:rPr>
          <w:rFonts w:hint="eastAsia" w:ascii="宋体" w:hAnsi="宋体"/>
          <w:spacing w:val="20"/>
          <w:szCs w:val="21"/>
        </w:rPr>
        <w:t xml:space="preserve">.</w:t>
      </w:r>
      <w:r>
        <w:rPr>
          <w:rFonts w:hint="eastAsia" w:ascii="宋体" w:hAnsi="宋体"/>
          <w:szCs w:val="21"/>
        </w:rPr>
        <w:t xml:space="preserve">6</w:t>
      </w:r>
      <w:r>
        <w:rPr>
          <w:rFonts w:hint="eastAsia" w:ascii="宋体" w:hAnsi="宋体"/>
          <w:spacing w:val="20"/>
          <w:szCs w:val="21"/>
        </w:rPr>
        <w:t xml:space="preserve">.</w:t>
      </w:r>
      <w:r>
        <w:rPr>
          <w:rFonts w:hint="eastAsia" w:ascii="宋体" w:hAnsi="宋体"/>
          <w:szCs w:val="21"/>
        </w:rPr>
        <w:t xml:space="preserve">5　标称截面积为500mm</w:t>
      </w:r>
      <w:r>
        <w:rPr>
          <w:rFonts w:hint="eastAsia" w:ascii="宋体" w:hAnsi="宋体"/>
          <w:szCs w:val="21"/>
          <w:vertAlign w:val="superscript"/>
        </w:rPr>
        <w:t xml:space="preserve">2</w:t>
      </w:r>
      <w:r>
        <w:rPr>
          <w:rFonts w:hint="eastAsia" w:ascii="宋体" w:hAnsi="宋体"/>
          <w:szCs w:val="21"/>
        </w:rPr>
        <w:t xml:space="preserve">及以上电缆的金属屏蔽应采用铜丝屏蔽结构，金属屏蔽中铜丝的电阻应符合GB/T 3956 的要求。</w:t>
      </w:r>
      <w:r>
        <w:rPr>
          <w:rFonts w:ascii="宋体" w:hAnsi="宋体"/>
          <w:szCs w:val="21"/>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2.1.7</w:t>
      </w:r>
      <w:r>
        <w:rPr>
          <w:rFonts w:ascii="宋体" w:hAnsi="宋体" w:eastAsia="宋体"/>
        </w:rPr>
        <w:t xml:space="preserve">　</w:t>
      </w:r>
      <w:r>
        <w:rPr>
          <w:rFonts w:hint="eastAsia" w:ascii="宋体" w:hAnsi="宋体" w:eastAsia="宋体"/>
        </w:rPr>
        <w:t xml:space="preserve">内衬层与填充</w:t>
      </w:r>
      <w:r>
        <w:rPr>
          <w:rFonts w:ascii="宋体" w:hAnsi="宋体" w:eastAsia="宋体"/>
        </w:rPr>
      </w:r>
      <w:r/>
    </w:p>
    <w:p>
      <w:pPr>
        <w:pStyle w:val="1151"/>
        <w:ind w:firstLine="420"/>
        <w:rPr>
          <w:rFonts w:ascii="宋体" w:hAnsi="宋体"/>
          <w:szCs w:val="21"/>
        </w:rPr>
      </w:pPr>
      <w:r>
        <w:rPr>
          <w:rFonts w:hint="eastAsia" w:ascii="宋体" w:hAnsi="宋体"/>
          <w:szCs w:val="21"/>
        </w:rPr>
        <w:t xml:space="preserve">内衬层可以挤包或绕包，圆形绝缘线芯电缆只有在绝缘线芯间的间隙被密实填充时，才允许采用绕包内衬层，挤包内衬层前允许用合适的带子扎紧。</w:t>
      </w:r>
      <w:r>
        <w:rPr>
          <w:rFonts w:ascii="宋体" w:hAnsi="宋体"/>
          <w:szCs w:val="21"/>
        </w:rPr>
      </w:r>
      <w:r/>
    </w:p>
    <w:p>
      <w:pPr>
        <w:pStyle w:val="1151"/>
        <w:ind w:firstLine="420"/>
        <w:rPr>
          <w:rFonts w:ascii="宋体" w:hAnsi="宋体"/>
          <w:szCs w:val="21"/>
        </w:rPr>
      </w:pPr>
      <w:r>
        <w:rPr>
          <w:rFonts w:hint="eastAsia" w:ascii="宋体" w:hAnsi="宋体"/>
          <w:szCs w:val="21"/>
        </w:rPr>
        <w:t xml:space="preserve">挤包内衬层的近似厚度应符合GB/T 12706.2的要求，有防水要求时，宜选用PE内衬层。</w:t>
      </w:r>
      <w:r>
        <w:rPr>
          <w:rFonts w:ascii="宋体" w:hAnsi="宋体"/>
          <w:szCs w:val="21"/>
        </w:rPr>
      </w:r>
      <w:r/>
    </w:p>
    <w:p>
      <w:pPr>
        <w:pStyle w:val="1151"/>
        <w:ind w:firstLine="420"/>
        <w:rPr>
          <w:rFonts w:ascii="宋体" w:hAnsi="宋体"/>
          <w:szCs w:val="21"/>
        </w:rPr>
      </w:pPr>
      <w:r>
        <w:rPr>
          <w:rFonts w:ascii="宋体" w:hAnsi="宋体"/>
          <w:szCs w:val="21"/>
        </w:rPr>
        <w:t xml:space="preserve">采用与电缆运行温度相适应的非吸湿性</w:t>
      </w:r>
      <w:r>
        <w:rPr>
          <w:rFonts w:hint="eastAsia" w:ascii="宋体" w:hAnsi="宋体"/>
          <w:szCs w:val="21"/>
        </w:rPr>
        <w:t xml:space="preserve">材料</w:t>
      </w:r>
      <w:r>
        <w:rPr>
          <w:rFonts w:ascii="宋体" w:hAnsi="宋体"/>
          <w:szCs w:val="21"/>
        </w:rPr>
        <w:t xml:space="preserve">填充，应</w:t>
      </w:r>
      <w:r>
        <w:rPr>
          <w:rFonts w:hint="eastAsia" w:ascii="宋体" w:hAnsi="宋体"/>
          <w:szCs w:val="21"/>
        </w:rPr>
        <w:t xml:space="preserve">密实、圆整</w:t>
      </w:r>
      <w:r>
        <w:rPr>
          <w:rFonts w:ascii="宋体" w:hAnsi="宋体"/>
          <w:szCs w:val="21"/>
        </w:rPr>
        <w:t xml:space="preserve">，并保证在成品电缆段附加老化试验后不粉化</w:t>
      </w:r>
      <w:r>
        <w:rPr>
          <w:rFonts w:hint="eastAsia" w:ascii="宋体" w:hAnsi="宋体"/>
          <w:szCs w:val="21"/>
        </w:rPr>
        <w:t xml:space="preserve">，</w:t>
      </w:r>
      <w:r>
        <w:rPr>
          <w:rFonts w:ascii="宋体" w:hAnsi="宋体"/>
          <w:szCs w:val="21"/>
        </w:rPr>
        <w:t xml:space="preserve">三芯成缆后外</w:t>
      </w:r>
      <w:r>
        <w:rPr>
          <w:rFonts w:hint="eastAsia" w:ascii="宋体" w:hAnsi="宋体"/>
          <w:szCs w:val="21"/>
        </w:rPr>
        <w:t xml:space="preserve">形</w:t>
      </w:r>
      <w:r>
        <w:rPr>
          <w:rFonts w:ascii="宋体" w:hAnsi="宋体"/>
          <w:szCs w:val="21"/>
        </w:rPr>
        <w:t xml:space="preserve">应圆整。</w:t>
      </w:r>
      <w:r>
        <w:rPr>
          <w:rFonts w:ascii="宋体" w:hAnsi="宋体"/>
          <w:szCs w:val="21"/>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2.1.8</w:t>
      </w:r>
      <w:r>
        <w:rPr>
          <w:rFonts w:ascii="宋体" w:hAnsi="宋体" w:eastAsia="宋体"/>
        </w:rPr>
        <w:t xml:space="preserve">　</w:t>
      </w:r>
      <w:r>
        <w:rPr>
          <w:rFonts w:hint="eastAsia" w:ascii="宋体" w:hAnsi="宋体" w:eastAsia="宋体"/>
        </w:rPr>
        <w:t xml:space="preserve">金属</w:t>
      </w:r>
      <w:r>
        <w:rPr>
          <w:rFonts w:ascii="宋体" w:hAnsi="宋体" w:eastAsia="宋体"/>
        </w:rPr>
        <w:t xml:space="preserve">铠装</w:t>
      </w:r>
      <w:r>
        <w:rPr>
          <w:rFonts w:ascii="宋体" w:hAnsi="宋体" w:eastAsia="宋体"/>
        </w:rPr>
      </w:r>
      <w:r/>
    </w:p>
    <w:p>
      <w:pPr>
        <w:pStyle w:val="1151"/>
        <w:ind w:firstLine="420"/>
        <w:spacing w:line="304" w:lineRule="exact"/>
        <w:tabs>
          <w:tab w:val="left" w:pos="26001" w:leader="none"/>
          <w:tab w:val="left" w:pos="30932" w:leader="none"/>
          <w:tab w:val="left" w:pos="31600" w:leader="none"/>
          <w:tab w:val="left" w:pos="31620" w:leader="none"/>
          <w:tab w:val="left" w:pos="31640" w:leader="none"/>
          <w:tab w:val="left" w:pos="31660" w:leader="none"/>
          <w:tab w:val="left" w:pos="31680" w:leader="none"/>
        </w:tabs>
        <w:rPr>
          <w:rFonts w:ascii="宋体" w:hAnsi="宋体"/>
          <w:szCs w:val="21"/>
        </w:rPr>
      </w:pPr>
      <w:r>
        <w:rPr>
          <w:rFonts w:hint="eastAsia" w:ascii="宋体" w:hAnsi="宋体"/>
          <w:szCs w:val="21"/>
        </w:rPr>
        <w:t xml:space="preserve">金属铠装分为金属带和金属丝两种。</w:t>
      </w:r>
      <w:r>
        <w:rPr>
          <w:rFonts w:ascii="宋体" w:hAnsi="宋体"/>
          <w:szCs w:val="21"/>
        </w:rPr>
      </w:r>
      <w:r/>
    </w:p>
    <w:p>
      <w:pPr>
        <w:pStyle w:val="1151"/>
        <w:ind w:firstLine="420"/>
        <w:spacing w:line="304" w:lineRule="exact"/>
        <w:tabs>
          <w:tab w:val="left" w:pos="26001" w:leader="none"/>
          <w:tab w:val="left" w:pos="30932" w:leader="none"/>
          <w:tab w:val="left" w:pos="31600" w:leader="none"/>
          <w:tab w:val="left" w:pos="31620" w:leader="none"/>
          <w:tab w:val="left" w:pos="31640" w:leader="none"/>
          <w:tab w:val="left" w:pos="31660" w:leader="none"/>
          <w:tab w:val="left" w:pos="31680" w:leader="none"/>
        </w:tabs>
        <w:rPr>
          <w:rFonts w:ascii="宋体" w:hAnsi="宋体"/>
          <w:szCs w:val="21"/>
        </w:rPr>
      </w:pPr>
      <w:r>
        <w:rPr>
          <w:rFonts w:hint="eastAsia" w:ascii="宋体" w:hAnsi="宋体"/>
          <w:szCs w:val="21"/>
        </w:rPr>
        <w:t xml:space="preserve">金属带</w:t>
      </w:r>
      <w:r>
        <w:rPr>
          <w:rFonts w:ascii="宋体" w:hAnsi="宋体"/>
          <w:szCs w:val="21"/>
        </w:rPr>
        <w:t xml:space="preserve">铠装采用双层镀锌钢带</w:t>
      </w:r>
      <w:r>
        <w:rPr>
          <w:rFonts w:hint="eastAsia" w:ascii="宋体" w:hAnsi="宋体"/>
          <w:szCs w:val="21"/>
        </w:rPr>
        <w:t xml:space="preserve">或涂漆钢带</w:t>
      </w:r>
      <w:r>
        <w:rPr>
          <w:rFonts w:ascii="宋体" w:hAnsi="宋体"/>
          <w:szCs w:val="21"/>
        </w:rPr>
        <w:t xml:space="preserve">，螺旋绕包两层，外层钢带的中间大致在内层钢带间隙上方，包带间隙应不大于钢带宽度的50%，绕包应平整光滑，3</w:t>
      </w:r>
      <w:r>
        <w:rPr>
          <w:rFonts w:hint="eastAsia" w:ascii="宋体" w:hAnsi="宋体"/>
          <w:szCs w:val="21"/>
        </w:rPr>
        <w:t xml:space="preserve">×</w:t>
      </w:r>
      <w:r>
        <w:rPr>
          <w:rFonts w:ascii="宋体" w:hAnsi="宋体"/>
          <w:szCs w:val="21"/>
        </w:rPr>
        <w:t xml:space="preserve">240mm</w:t>
      </w:r>
      <w:r>
        <w:rPr>
          <w:rFonts w:ascii="宋体" w:hAnsi="宋体"/>
          <w:szCs w:val="21"/>
          <w:vertAlign w:val="superscript"/>
        </w:rPr>
        <w:t xml:space="preserve">2</w:t>
      </w:r>
      <w:r>
        <w:rPr>
          <w:rFonts w:ascii="宋体" w:hAnsi="宋体"/>
          <w:szCs w:val="21"/>
        </w:rPr>
        <w:t xml:space="preserve">及以上电缆的钢带标称厚度为0.8mm，3</w:t>
      </w:r>
      <w:r>
        <w:rPr>
          <w:rFonts w:hint="eastAsia" w:ascii="宋体" w:hAnsi="宋体"/>
          <w:szCs w:val="21"/>
        </w:rPr>
        <w:t xml:space="preserve">×</w:t>
      </w:r>
      <w:r>
        <w:rPr>
          <w:rFonts w:ascii="宋体" w:hAnsi="宋体"/>
          <w:szCs w:val="21"/>
        </w:rPr>
        <w:t xml:space="preserve">240mm</w:t>
      </w:r>
      <w:r>
        <w:rPr>
          <w:rFonts w:ascii="宋体" w:hAnsi="宋体"/>
          <w:szCs w:val="21"/>
          <w:vertAlign w:val="superscript"/>
        </w:rPr>
        <w:t xml:space="preserve">2</w:t>
      </w:r>
      <w:r>
        <w:rPr>
          <w:rFonts w:ascii="宋体" w:hAnsi="宋体"/>
          <w:szCs w:val="21"/>
        </w:rPr>
        <w:t xml:space="preserve">以下电缆的钢带标称厚度为0.5mm。</w:t>
      </w:r>
      <w:r>
        <w:rPr>
          <w:rFonts w:ascii="宋体" w:hAnsi="宋体"/>
          <w:szCs w:val="21"/>
        </w:rPr>
      </w:r>
      <w:r/>
    </w:p>
    <w:p>
      <w:pPr>
        <w:pStyle w:val="1151"/>
        <w:ind w:firstLine="420"/>
        <w:spacing w:line="304" w:lineRule="exact"/>
        <w:tabs>
          <w:tab w:val="left" w:pos="26001" w:leader="none"/>
          <w:tab w:val="left" w:pos="30932" w:leader="none"/>
          <w:tab w:val="left" w:pos="31600" w:leader="none"/>
          <w:tab w:val="left" w:pos="31620" w:leader="none"/>
          <w:tab w:val="left" w:pos="31640" w:leader="none"/>
          <w:tab w:val="left" w:pos="31660" w:leader="none"/>
          <w:tab w:val="left" w:pos="31680" w:leader="none"/>
        </w:tabs>
        <w:rPr>
          <w:rFonts w:ascii="宋体" w:hAnsi="宋体"/>
          <w:szCs w:val="21"/>
        </w:rPr>
      </w:pPr>
      <w:r>
        <w:rPr>
          <w:rFonts w:hint="eastAsia" w:ascii="宋体" w:hAnsi="宋体"/>
          <w:szCs w:val="21"/>
        </w:rPr>
        <w:t xml:space="preserve">金属丝铠装应紧密，必要时可在铠装外疏绕一条最小厚度为0.3mm的镀锌钢带，钢丝直径应符合GB/T 12706.2的要求。</w:t>
      </w:r>
      <w:r>
        <w:rPr>
          <w:rFonts w:ascii="宋体" w:hAnsi="宋体"/>
          <w:szCs w:val="21"/>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2.1.9</w:t>
      </w:r>
      <w:r>
        <w:rPr>
          <w:rFonts w:ascii="宋体" w:hAnsi="宋体" w:eastAsia="宋体"/>
        </w:rPr>
        <w:t xml:space="preserve">　外护套</w:t>
      </w:r>
      <w:r>
        <w:rPr>
          <w:rFonts w:ascii="宋体" w:hAnsi="宋体" w:eastAsia="宋体"/>
        </w:rPr>
      </w:r>
      <w:r/>
    </w:p>
    <w:p>
      <w:pPr>
        <w:pStyle w:val="1151"/>
        <w:ind w:firstLine="425"/>
        <w:spacing w:line="312" w:lineRule="exact"/>
        <w:rPr>
          <w:rFonts w:hint="eastAsia" w:ascii="宋体" w:hAnsi="宋体"/>
          <w:szCs w:val="21"/>
        </w:rPr>
      </w:pPr>
      <w:r>
        <w:rPr>
          <w:rFonts w:ascii="宋体" w:hAnsi="宋体"/>
          <w:szCs w:val="21"/>
        </w:rPr>
        <w:t xml:space="preserve">外护套应采用聚氯乙烯或聚乙烯料挤包</w:t>
      </w:r>
      <w:r>
        <w:rPr>
          <w:rFonts w:hint="eastAsia" w:ascii="宋体" w:hAnsi="宋体"/>
          <w:szCs w:val="21"/>
        </w:rPr>
        <w:t xml:space="preserve">，有特殊要求时可使用化学添加剂，但所使用的添加剂不应包括对人类及环境有害的材料</w:t>
      </w:r>
      <w:r>
        <w:rPr>
          <w:rFonts w:ascii="宋体" w:hAnsi="宋体"/>
          <w:szCs w:val="21"/>
        </w:rPr>
        <w:t xml:space="preserve">。外护套</w:t>
      </w:r>
      <w:r>
        <w:rPr>
          <w:rFonts w:hint="eastAsia" w:ascii="宋体" w:hAnsi="宋体"/>
          <w:szCs w:val="21"/>
        </w:rPr>
        <w:t xml:space="preserve">根据项目单位要求设置</w:t>
      </w:r>
      <w:r>
        <w:rPr>
          <w:rFonts w:ascii="宋体" w:hAnsi="宋体"/>
          <w:szCs w:val="21"/>
        </w:rPr>
        <w:t xml:space="preserve">导电层，导电层应均匀、光滑、牢固、不脱落，在敷设和长期运行条件下应牢固包覆在绝缘外护套上</w:t>
      </w:r>
      <w:r>
        <w:rPr>
          <w:rFonts w:hint="eastAsia" w:ascii="宋体" w:hAnsi="宋体"/>
          <w:szCs w:val="21"/>
        </w:rPr>
        <w:t xml:space="preserve">。如</w:t>
      </w:r>
      <w:r>
        <w:rPr>
          <w:rFonts w:ascii="宋体" w:hAnsi="宋体"/>
          <w:szCs w:val="21"/>
        </w:rPr>
        <w:t xml:space="preserve">选择挤出外电极方式，外电极最大电阻率</w:t>
      </w:r>
      <w:r>
        <w:rPr>
          <w:rFonts w:hint="eastAsia" w:ascii="宋体" w:hAnsi="宋体"/>
          <w:szCs w:val="21"/>
        </w:rPr>
        <w:t xml:space="preserve">不大于500</w:t>
      </w:r>
      <w:r>
        <w:rPr>
          <w:rFonts w:ascii="Symbol" w:hAnsi="Symbol"/>
          <w:szCs w:val="21"/>
        </w:rPr>
        <w:t xml:space="preserve"></w:t>
      </w:r>
      <w:r>
        <w:rPr>
          <w:rFonts w:hint="eastAsia" w:ascii="宋体" w:hAnsi="宋体"/>
          <w:szCs w:val="21"/>
        </w:rPr>
        <w:t xml:space="preserve">·m</w:t>
      </w:r>
      <w:r>
        <w:rPr>
          <w:rFonts w:ascii="宋体" w:hAnsi="宋体"/>
          <w:szCs w:val="21"/>
        </w:rPr>
        <w:t xml:space="preserve">。</w:t>
      </w:r>
      <w:r>
        <w:rPr>
          <w:rFonts w:hint="eastAsia" w:ascii="宋体" w:hAnsi="宋体"/>
          <w:szCs w:val="21"/>
        </w:rPr>
        <w:t xml:space="preserve">三芯电缆外护套标称厚度见表1。</w:t>
      </w:r>
      <w:r>
        <w:rPr>
          <w:rFonts w:hint="eastAsia" w:ascii="宋体" w:hAnsi="宋体"/>
          <w:szCs w:val="21"/>
        </w:rPr>
      </w:r>
      <w:r/>
    </w:p>
    <w:p>
      <w:pPr>
        <w:pStyle w:val="1239"/>
        <w:spacing w:before="156" w:after="156"/>
      </w:pPr>
      <w:r>
        <w:rPr>
          <w:rFonts w:hint="eastAsia"/>
        </w:rPr>
        <w:t xml:space="preserve">表1　三芯电缆外护套标称厚度</w:t>
      </w:r>
      <w:r/>
    </w:p>
    <w:tbl>
      <w:tblPr>
        <w:tblW w:w="9411"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81"/>
        <w:gridCol w:w="2159"/>
        <w:gridCol w:w="2006"/>
        <w:gridCol w:w="2165"/>
      </w:tblGrid>
      <w:tr>
        <w:trPr/>
        <w:tc>
          <w:tcPr>
            <w:tcW w:w="3081" w:type="dxa"/>
            <w:vAlign w:val="center"/>
            <w:vMerge w:val="restart"/>
            <w:textDirection w:val="lrTb"/>
            <w:noWrap w:val="false"/>
          </w:tcPr>
          <w:p>
            <w:pPr>
              <w:pStyle w:val="1151"/>
              <w:jc w:val="center"/>
              <w:spacing w:before="30" w:after="30"/>
              <w:rPr>
                <w:sz w:val="18"/>
                <w:szCs w:val="21"/>
              </w:rPr>
            </w:pPr>
            <w:r>
              <w:rPr>
                <w:rFonts w:hint="eastAsia"/>
                <w:sz w:val="18"/>
                <w:szCs w:val="21"/>
              </w:rPr>
              <w:t xml:space="preserve">电缆截面积</w:t>
            </w:r>
            <w:r>
              <w:rPr>
                <w:sz w:val="18"/>
                <w:szCs w:val="21"/>
              </w:rPr>
              <w:t xml:space="preserve">（mm</w:t>
            </w:r>
            <w:r>
              <w:rPr>
                <w:sz w:val="18"/>
                <w:szCs w:val="21"/>
                <w:vertAlign w:val="superscript"/>
              </w:rPr>
              <w:t xml:space="preserve">2</w:t>
            </w:r>
            <w:r>
              <w:rPr>
                <w:sz w:val="18"/>
                <w:szCs w:val="21"/>
              </w:rPr>
              <w:t xml:space="preserve">）</w:t>
            </w:r>
            <w:r>
              <w:rPr>
                <w:sz w:val="18"/>
                <w:szCs w:val="21"/>
              </w:rPr>
            </w:r>
            <w:r/>
          </w:p>
        </w:tc>
        <w:tc>
          <w:tcPr>
            <w:gridSpan w:val="3"/>
            <w:tcW w:w="6330" w:type="dxa"/>
            <w:vAlign w:val="center"/>
            <w:textDirection w:val="lrTb"/>
            <w:noWrap w:val="false"/>
          </w:tcPr>
          <w:p>
            <w:pPr>
              <w:pStyle w:val="1151"/>
              <w:jc w:val="center"/>
              <w:spacing w:before="30" w:after="30"/>
              <w:rPr>
                <w:sz w:val="18"/>
                <w:szCs w:val="21"/>
              </w:rPr>
            </w:pPr>
            <w:r>
              <w:rPr>
                <w:rFonts w:hint="eastAsia"/>
                <w:sz w:val="18"/>
                <w:szCs w:val="21"/>
              </w:rPr>
              <w:t xml:space="preserve">外护套标称厚度（mm）</w:t>
            </w:r>
            <w:r>
              <w:rPr>
                <w:sz w:val="18"/>
                <w:szCs w:val="21"/>
              </w:rPr>
            </w:r>
            <w:r/>
          </w:p>
        </w:tc>
      </w:tr>
      <w:tr>
        <w:trPr/>
        <w:tc>
          <w:tcPr>
            <w:tcW w:w="3081" w:type="dxa"/>
            <w:vAlign w:val="center"/>
            <w:vMerge w:val="continue"/>
            <w:textDirection w:val="lrTb"/>
            <w:noWrap w:val="false"/>
          </w:tcPr>
          <w:p>
            <w:pPr>
              <w:pStyle w:val="1151"/>
              <w:jc w:val="center"/>
              <w:spacing w:before="30" w:after="30"/>
              <w:rPr>
                <w:sz w:val="18"/>
                <w:szCs w:val="21"/>
              </w:rPr>
            </w:pPr>
            <w:r>
              <w:rPr>
                <w:sz w:val="18"/>
                <w:szCs w:val="21"/>
              </w:rPr>
            </w:r>
            <w:r/>
          </w:p>
        </w:tc>
        <w:tc>
          <w:tcPr>
            <w:tcW w:w="2159" w:type="dxa"/>
            <w:vAlign w:val="center"/>
            <w:vMerge w:val="restart"/>
            <w:textDirection w:val="lrTb"/>
            <w:noWrap w:val="false"/>
          </w:tcPr>
          <w:p>
            <w:pPr>
              <w:pStyle w:val="1151"/>
              <w:jc w:val="center"/>
              <w:spacing w:before="30" w:after="30"/>
              <w:rPr>
                <w:sz w:val="18"/>
                <w:szCs w:val="21"/>
              </w:rPr>
            </w:pPr>
            <w:r>
              <w:rPr>
                <w:rFonts w:hint="eastAsia"/>
                <w:sz w:val="18"/>
                <w:szCs w:val="21"/>
              </w:rPr>
              <w:t xml:space="preserve">无铠装</w:t>
            </w:r>
            <w:r>
              <w:rPr>
                <w:sz w:val="18"/>
                <w:szCs w:val="21"/>
              </w:rPr>
            </w:r>
            <w:r/>
          </w:p>
        </w:tc>
        <w:tc>
          <w:tcPr>
            <w:gridSpan w:val="2"/>
            <w:tcW w:w="4171" w:type="dxa"/>
            <w:vAlign w:val="center"/>
            <w:textDirection w:val="lrTb"/>
            <w:noWrap w:val="false"/>
          </w:tcPr>
          <w:p>
            <w:pPr>
              <w:pStyle w:val="1151"/>
              <w:jc w:val="center"/>
              <w:spacing w:before="30" w:after="30"/>
              <w:rPr>
                <w:sz w:val="18"/>
                <w:szCs w:val="21"/>
              </w:rPr>
            </w:pPr>
            <w:r>
              <w:rPr>
                <w:rFonts w:hint="eastAsia"/>
                <w:sz w:val="18"/>
                <w:szCs w:val="21"/>
              </w:rPr>
              <w:t xml:space="preserve">有铠装</w:t>
            </w:r>
            <w:r>
              <w:rPr>
                <w:sz w:val="18"/>
                <w:szCs w:val="21"/>
              </w:rPr>
            </w:r>
            <w:r/>
          </w:p>
        </w:tc>
      </w:tr>
      <w:tr>
        <w:trPr/>
        <w:tc>
          <w:tcPr>
            <w:tcW w:w="3081" w:type="dxa"/>
            <w:vAlign w:val="center"/>
            <w:vMerge w:val="continue"/>
            <w:textDirection w:val="lrTb"/>
            <w:noWrap w:val="false"/>
          </w:tcPr>
          <w:p>
            <w:pPr>
              <w:pStyle w:val="1151"/>
              <w:jc w:val="center"/>
              <w:spacing w:before="30" w:after="30"/>
              <w:rPr>
                <w:sz w:val="18"/>
                <w:szCs w:val="21"/>
              </w:rPr>
            </w:pPr>
            <w:r>
              <w:rPr>
                <w:sz w:val="18"/>
                <w:szCs w:val="21"/>
              </w:rPr>
            </w:r>
            <w:r/>
          </w:p>
        </w:tc>
        <w:tc>
          <w:tcPr>
            <w:tcW w:w="2159" w:type="dxa"/>
            <w:vAlign w:val="center"/>
            <w:vMerge w:val="continue"/>
            <w:textDirection w:val="lrTb"/>
            <w:noWrap w:val="false"/>
          </w:tcPr>
          <w:p>
            <w:pPr>
              <w:pStyle w:val="1151"/>
              <w:jc w:val="center"/>
              <w:spacing w:before="30" w:after="30"/>
              <w:rPr>
                <w:sz w:val="18"/>
                <w:szCs w:val="21"/>
              </w:rPr>
            </w:pPr>
            <w:r>
              <w:rPr>
                <w:sz w:val="18"/>
                <w:szCs w:val="21"/>
              </w:rPr>
            </w:r>
            <w:r/>
          </w:p>
        </w:tc>
        <w:tc>
          <w:tcPr>
            <w:tcW w:w="2006" w:type="dxa"/>
            <w:vAlign w:val="center"/>
            <w:textDirection w:val="lrTb"/>
            <w:noWrap w:val="false"/>
          </w:tcPr>
          <w:p>
            <w:pPr>
              <w:pStyle w:val="1151"/>
              <w:jc w:val="center"/>
              <w:spacing w:before="30" w:after="30"/>
              <w:rPr>
                <w:sz w:val="18"/>
                <w:szCs w:val="21"/>
              </w:rPr>
            </w:pPr>
            <w:r>
              <w:rPr>
                <w:rFonts w:hint="eastAsia"/>
                <w:sz w:val="18"/>
                <w:szCs w:val="21"/>
              </w:rPr>
              <w:t xml:space="preserve">金属带</w:t>
            </w:r>
            <w:r>
              <w:rPr>
                <w:sz w:val="18"/>
                <w:szCs w:val="21"/>
              </w:rPr>
            </w:r>
            <w:r/>
          </w:p>
        </w:tc>
        <w:tc>
          <w:tcPr>
            <w:tcW w:w="2165" w:type="dxa"/>
            <w:vAlign w:val="center"/>
            <w:textDirection w:val="lrTb"/>
            <w:noWrap w:val="false"/>
          </w:tcPr>
          <w:p>
            <w:pPr>
              <w:pStyle w:val="1151"/>
              <w:jc w:val="center"/>
              <w:spacing w:before="30" w:after="30"/>
              <w:rPr>
                <w:sz w:val="18"/>
                <w:szCs w:val="21"/>
              </w:rPr>
            </w:pPr>
            <w:r>
              <w:rPr>
                <w:rFonts w:hint="eastAsia"/>
                <w:sz w:val="18"/>
                <w:szCs w:val="21"/>
              </w:rPr>
              <w:t xml:space="preserve">金属丝</w:t>
            </w:r>
            <w:r>
              <w:rPr>
                <w:sz w:val="18"/>
                <w:szCs w:val="21"/>
              </w:rPr>
            </w:r>
            <w:r/>
          </w:p>
        </w:tc>
      </w:tr>
      <w:tr>
        <w:trPr/>
        <w:tc>
          <w:tcPr>
            <w:tcW w:w="3081" w:type="dxa"/>
            <w:vAlign w:val="center"/>
            <w:textDirection w:val="lrTb"/>
            <w:noWrap w:val="false"/>
          </w:tcPr>
          <w:p>
            <w:pPr>
              <w:pStyle w:val="1151"/>
              <w:jc w:val="center"/>
              <w:spacing w:before="30" w:after="30"/>
              <w:rPr>
                <w:sz w:val="18"/>
                <w:szCs w:val="21"/>
              </w:rPr>
            </w:pPr>
            <w:r>
              <w:rPr>
                <w:rFonts w:hint="eastAsia"/>
                <w:sz w:val="18"/>
                <w:szCs w:val="21"/>
              </w:rPr>
              <w:t xml:space="preserve">35</w:t>
            </w:r>
            <w:r>
              <w:rPr>
                <w:sz w:val="18"/>
                <w:szCs w:val="21"/>
              </w:rPr>
            </w:r>
            <w:r/>
          </w:p>
        </w:tc>
        <w:tc>
          <w:tcPr>
            <w:tcW w:w="2159" w:type="dxa"/>
            <w:vAlign w:val="center"/>
            <w:textDirection w:val="lrTb"/>
            <w:noWrap w:val="false"/>
          </w:tcPr>
          <w:p>
            <w:pPr>
              <w:pStyle w:val="1151"/>
              <w:jc w:val="center"/>
              <w:spacing w:before="30" w:after="30"/>
              <w:rPr>
                <w:sz w:val="18"/>
                <w:szCs w:val="21"/>
              </w:rPr>
            </w:pPr>
            <w:r>
              <w:rPr>
                <w:rFonts w:hint="eastAsia"/>
                <w:sz w:val="18"/>
                <w:szCs w:val="21"/>
              </w:rPr>
              <w:t xml:space="preserve">2.5</w:t>
            </w:r>
            <w:r>
              <w:rPr>
                <w:sz w:val="18"/>
                <w:szCs w:val="21"/>
              </w:rPr>
            </w:r>
            <w:r/>
          </w:p>
        </w:tc>
        <w:tc>
          <w:tcPr>
            <w:tcW w:w="2006" w:type="dxa"/>
            <w:vAlign w:val="center"/>
            <w:textDirection w:val="lrTb"/>
            <w:noWrap w:val="false"/>
          </w:tcPr>
          <w:p>
            <w:pPr>
              <w:pStyle w:val="1151"/>
              <w:jc w:val="center"/>
              <w:spacing w:before="30" w:after="30"/>
              <w:rPr>
                <w:sz w:val="18"/>
                <w:szCs w:val="21"/>
              </w:rPr>
            </w:pPr>
            <w:r>
              <w:rPr>
                <w:rFonts w:hint="eastAsia"/>
                <w:sz w:val="18"/>
                <w:szCs w:val="21"/>
              </w:rPr>
              <w:t xml:space="preserve">2.7</w:t>
            </w:r>
            <w:r>
              <w:rPr>
                <w:sz w:val="18"/>
                <w:szCs w:val="21"/>
              </w:rPr>
            </w:r>
            <w:r/>
          </w:p>
        </w:tc>
        <w:tc>
          <w:tcPr>
            <w:tcW w:w="2165" w:type="dxa"/>
            <w:vAlign w:val="center"/>
            <w:textDirection w:val="lrTb"/>
            <w:noWrap w:val="false"/>
          </w:tcPr>
          <w:p>
            <w:pPr>
              <w:pStyle w:val="1151"/>
              <w:jc w:val="center"/>
              <w:spacing w:before="30" w:after="30"/>
              <w:rPr>
                <w:sz w:val="18"/>
                <w:szCs w:val="21"/>
              </w:rPr>
            </w:pPr>
            <w:r>
              <w:rPr>
                <w:rFonts w:hint="eastAsia"/>
                <w:sz w:val="18"/>
                <w:szCs w:val="21"/>
              </w:rPr>
              <w:t xml:space="preserve">2.8</w:t>
            </w:r>
            <w:r>
              <w:rPr>
                <w:sz w:val="18"/>
                <w:szCs w:val="21"/>
              </w:rPr>
            </w:r>
            <w:r/>
          </w:p>
        </w:tc>
      </w:tr>
      <w:tr>
        <w:trPr/>
        <w:tc>
          <w:tcPr>
            <w:tcW w:w="3081" w:type="dxa"/>
            <w:vAlign w:val="center"/>
            <w:textDirection w:val="lrTb"/>
            <w:noWrap w:val="false"/>
          </w:tcPr>
          <w:p>
            <w:pPr>
              <w:pStyle w:val="1151"/>
              <w:jc w:val="center"/>
              <w:spacing w:before="30" w:after="30"/>
              <w:rPr>
                <w:sz w:val="18"/>
                <w:szCs w:val="21"/>
              </w:rPr>
            </w:pPr>
            <w:r>
              <w:rPr>
                <w:rFonts w:hint="eastAsia"/>
                <w:sz w:val="18"/>
                <w:szCs w:val="21"/>
              </w:rPr>
              <w:t xml:space="preserve">70</w:t>
            </w:r>
            <w:r>
              <w:rPr>
                <w:sz w:val="18"/>
                <w:szCs w:val="21"/>
              </w:rPr>
            </w:r>
            <w:r/>
          </w:p>
        </w:tc>
        <w:tc>
          <w:tcPr>
            <w:tcW w:w="2159" w:type="dxa"/>
            <w:vAlign w:val="center"/>
            <w:textDirection w:val="lrTb"/>
            <w:noWrap w:val="false"/>
          </w:tcPr>
          <w:p>
            <w:pPr>
              <w:pStyle w:val="1151"/>
              <w:jc w:val="center"/>
              <w:spacing w:before="30" w:after="30"/>
              <w:rPr>
                <w:sz w:val="18"/>
                <w:szCs w:val="21"/>
              </w:rPr>
            </w:pPr>
            <w:r>
              <w:rPr>
                <w:rFonts w:hint="eastAsia"/>
                <w:sz w:val="18"/>
                <w:szCs w:val="21"/>
              </w:rPr>
              <w:t xml:space="preserve">2.7</w:t>
            </w:r>
            <w:r>
              <w:rPr>
                <w:sz w:val="18"/>
                <w:szCs w:val="21"/>
              </w:rPr>
            </w:r>
            <w:r/>
          </w:p>
        </w:tc>
        <w:tc>
          <w:tcPr>
            <w:tcW w:w="2006" w:type="dxa"/>
            <w:vAlign w:val="center"/>
            <w:textDirection w:val="lrTb"/>
            <w:noWrap w:val="false"/>
          </w:tcPr>
          <w:p>
            <w:pPr>
              <w:pStyle w:val="1151"/>
              <w:jc w:val="center"/>
              <w:spacing w:before="30" w:after="30"/>
              <w:rPr>
                <w:sz w:val="18"/>
                <w:szCs w:val="21"/>
              </w:rPr>
            </w:pPr>
            <w:r>
              <w:rPr>
                <w:rFonts w:hint="eastAsia"/>
                <w:sz w:val="18"/>
                <w:szCs w:val="21"/>
              </w:rPr>
              <w:t xml:space="preserve">2.9</w:t>
            </w:r>
            <w:r>
              <w:rPr>
                <w:sz w:val="18"/>
                <w:szCs w:val="21"/>
              </w:rPr>
            </w:r>
            <w:r/>
          </w:p>
        </w:tc>
        <w:tc>
          <w:tcPr>
            <w:tcW w:w="2165" w:type="dxa"/>
            <w:vAlign w:val="center"/>
            <w:textDirection w:val="lrTb"/>
            <w:noWrap w:val="false"/>
          </w:tcPr>
          <w:p>
            <w:pPr>
              <w:pStyle w:val="1151"/>
              <w:jc w:val="center"/>
              <w:spacing w:before="30" w:after="30"/>
              <w:rPr>
                <w:sz w:val="18"/>
                <w:szCs w:val="21"/>
              </w:rPr>
            </w:pPr>
            <w:r>
              <w:rPr>
                <w:rFonts w:hint="eastAsia"/>
                <w:sz w:val="18"/>
                <w:szCs w:val="21"/>
              </w:rPr>
              <w:t xml:space="preserve">3.0</w:t>
            </w:r>
            <w:r>
              <w:rPr>
                <w:sz w:val="18"/>
                <w:szCs w:val="21"/>
              </w:rPr>
            </w:r>
            <w:r/>
          </w:p>
        </w:tc>
      </w:tr>
      <w:tr>
        <w:trPr/>
        <w:tc>
          <w:tcPr>
            <w:tcW w:w="3081" w:type="dxa"/>
            <w:vAlign w:val="center"/>
            <w:textDirection w:val="lrTb"/>
            <w:noWrap w:val="false"/>
          </w:tcPr>
          <w:p>
            <w:pPr>
              <w:pStyle w:val="1151"/>
              <w:jc w:val="center"/>
              <w:spacing w:before="30" w:after="30"/>
              <w:rPr>
                <w:sz w:val="18"/>
                <w:szCs w:val="21"/>
              </w:rPr>
            </w:pPr>
            <w:r>
              <w:rPr>
                <w:rFonts w:hint="eastAsia"/>
                <w:sz w:val="18"/>
                <w:szCs w:val="21"/>
              </w:rPr>
              <w:t xml:space="preserve">95</w:t>
            </w:r>
            <w:r>
              <w:rPr>
                <w:sz w:val="18"/>
                <w:szCs w:val="21"/>
              </w:rPr>
            </w:r>
            <w:r/>
          </w:p>
        </w:tc>
        <w:tc>
          <w:tcPr>
            <w:tcW w:w="2159" w:type="dxa"/>
            <w:vAlign w:val="center"/>
            <w:textDirection w:val="lrTb"/>
            <w:noWrap w:val="false"/>
          </w:tcPr>
          <w:p>
            <w:pPr>
              <w:pStyle w:val="1151"/>
              <w:jc w:val="center"/>
              <w:spacing w:before="30" w:after="30"/>
              <w:rPr>
                <w:sz w:val="18"/>
                <w:szCs w:val="21"/>
              </w:rPr>
            </w:pPr>
            <w:r>
              <w:rPr>
                <w:rFonts w:hint="eastAsia"/>
                <w:sz w:val="18"/>
                <w:szCs w:val="21"/>
              </w:rPr>
              <w:t xml:space="preserve">2.8</w:t>
            </w:r>
            <w:r>
              <w:rPr>
                <w:sz w:val="18"/>
                <w:szCs w:val="21"/>
              </w:rPr>
            </w:r>
            <w:r/>
          </w:p>
        </w:tc>
        <w:tc>
          <w:tcPr>
            <w:tcW w:w="2006" w:type="dxa"/>
            <w:vAlign w:val="center"/>
            <w:textDirection w:val="lrTb"/>
            <w:noWrap w:val="false"/>
          </w:tcPr>
          <w:p>
            <w:pPr>
              <w:pStyle w:val="1151"/>
              <w:jc w:val="center"/>
              <w:spacing w:before="30" w:after="30"/>
              <w:rPr>
                <w:sz w:val="18"/>
                <w:szCs w:val="21"/>
              </w:rPr>
            </w:pPr>
            <w:r>
              <w:rPr>
                <w:rFonts w:hint="eastAsia"/>
                <w:sz w:val="18"/>
                <w:szCs w:val="21"/>
              </w:rPr>
              <w:t xml:space="preserve">3.1</w:t>
            </w:r>
            <w:r>
              <w:rPr>
                <w:sz w:val="18"/>
                <w:szCs w:val="21"/>
              </w:rPr>
            </w:r>
            <w:r/>
          </w:p>
        </w:tc>
        <w:tc>
          <w:tcPr>
            <w:tcW w:w="2165" w:type="dxa"/>
            <w:vAlign w:val="center"/>
            <w:textDirection w:val="lrTb"/>
            <w:noWrap w:val="false"/>
          </w:tcPr>
          <w:p>
            <w:pPr>
              <w:pStyle w:val="1151"/>
              <w:jc w:val="center"/>
              <w:spacing w:before="30" w:after="30"/>
              <w:rPr>
                <w:sz w:val="18"/>
                <w:szCs w:val="21"/>
              </w:rPr>
            </w:pPr>
            <w:r>
              <w:rPr>
                <w:rFonts w:hint="eastAsia"/>
                <w:sz w:val="18"/>
                <w:szCs w:val="21"/>
              </w:rPr>
              <w:t xml:space="preserve">3.2</w:t>
            </w:r>
            <w:r>
              <w:rPr>
                <w:sz w:val="18"/>
                <w:szCs w:val="21"/>
              </w:rPr>
            </w:r>
            <w:r/>
          </w:p>
        </w:tc>
      </w:tr>
      <w:tr>
        <w:trPr/>
        <w:tc>
          <w:tcPr>
            <w:tcW w:w="3081" w:type="dxa"/>
            <w:vAlign w:val="center"/>
            <w:textDirection w:val="lrTb"/>
            <w:noWrap w:val="false"/>
          </w:tcPr>
          <w:p>
            <w:pPr>
              <w:pStyle w:val="1151"/>
              <w:jc w:val="center"/>
              <w:spacing w:before="40" w:after="40"/>
              <w:rPr>
                <w:sz w:val="18"/>
                <w:szCs w:val="21"/>
              </w:rPr>
            </w:pPr>
            <w:r>
              <w:rPr>
                <w:rFonts w:hint="eastAsia"/>
                <w:sz w:val="18"/>
                <w:szCs w:val="21"/>
              </w:rPr>
              <w:t xml:space="preserve">120</w:t>
            </w:r>
            <w:r>
              <w:rPr>
                <w:sz w:val="18"/>
                <w:szCs w:val="21"/>
              </w:rPr>
            </w:r>
            <w:r/>
          </w:p>
        </w:tc>
        <w:tc>
          <w:tcPr>
            <w:tcW w:w="2159" w:type="dxa"/>
            <w:vAlign w:val="center"/>
            <w:textDirection w:val="lrTb"/>
            <w:noWrap w:val="false"/>
          </w:tcPr>
          <w:p>
            <w:pPr>
              <w:pStyle w:val="1151"/>
              <w:jc w:val="center"/>
              <w:spacing w:before="40" w:after="40"/>
              <w:rPr>
                <w:sz w:val="18"/>
                <w:szCs w:val="21"/>
              </w:rPr>
            </w:pPr>
            <w:r>
              <w:rPr>
                <w:rFonts w:hint="eastAsia"/>
                <w:sz w:val="18"/>
                <w:szCs w:val="21"/>
              </w:rPr>
              <w:t xml:space="preserve">2.9</w:t>
            </w:r>
            <w:r>
              <w:rPr>
                <w:sz w:val="18"/>
                <w:szCs w:val="21"/>
              </w:rPr>
            </w:r>
            <w:r/>
          </w:p>
        </w:tc>
        <w:tc>
          <w:tcPr>
            <w:tcW w:w="2006" w:type="dxa"/>
            <w:vAlign w:val="center"/>
            <w:textDirection w:val="lrTb"/>
            <w:noWrap w:val="false"/>
          </w:tcPr>
          <w:p>
            <w:pPr>
              <w:pStyle w:val="1151"/>
              <w:jc w:val="center"/>
              <w:spacing w:before="40" w:after="40"/>
              <w:rPr>
                <w:sz w:val="18"/>
                <w:szCs w:val="21"/>
              </w:rPr>
            </w:pPr>
            <w:r>
              <w:rPr>
                <w:rFonts w:hint="eastAsia"/>
                <w:sz w:val="18"/>
                <w:szCs w:val="21"/>
              </w:rPr>
              <w:t xml:space="preserve">3.2</w:t>
            </w:r>
            <w:r>
              <w:rPr>
                <w:sz w:val="18"/>
                <w:szCs w:val="21"/>
              </w:rPr>
            </w:r>
            <w:r/>
          </w:p>
        </w:tc>
        <w:tc>
          <w:tcPr>
            <w:tcW w:w="2165" w:type="dxa"/>
            <w:vAlign w:val="center"/>
            <w:textDirection w:val="lrTb"/>
            <w:noWrap w:val="false"/>
          </w:tcPr>
          <w:p>
            <w:pPr>
              <w:pStyle w:val="1151"/>
              <w:jc w:val="center"/>
              <w:spacing w:before="40" w:after="40"/>
              <w:rPr>
                <w:sz w:val="18"/>
                <w:szCs w:val="21"/>
              </w:rPr>
            </w:pPr>
            <w:r>
              <w:rPr>
                <w:rFonts w:hint="eastAsia"/>
                <w:sz w:val="18"/>
                <w:szCs w:val="21"/>
              </w:rPr>
              <w:t xml:space="preserve">3.3</w:t>
            </w:r>
            <w:r>
              <w:rPr>
                <w:sz w:val="18"/>
                <w:szCs w:val="21"/>
              </w:rPr>
            </w:r>
            <w:r/>
          </w:p>
        </w:tc>
      </w:tr>
      <w:tr>
        <w:trPr/>
        <w:tc>
          <w:tcPr>
            <w:tcW w:w="3081" w:type="dxa"/>
            <w:vAlign w:val="center"/>
            <w:textDirection w:val="lrTb"/>
            <w:noWrap w:val="false"/>
          </w:tcPr>
          <w:p>
            <w:pPr>
              <w:pStyle w:val="1151"/>
              <w:jc w:val="center"/>
              <w:spacing w:before="40" w:after="40"/>
              <w:rPr>
                <w:sz w:val="18"/>
                <w:szCs w:val="21"/>
              </w:rPr>
            </w:pPr>
            <w:r>
              <w:rPr>
                <w:rFonts w:hint="eastAsia"/>
                <w:sz w:val="18"/>
                <w:szCs w:val="21"/>
              </w:rPr>
              <w:t xml:space="preserve">150</w:t>
            </w:r>
            <w:r>
              <w:rPr>
                <w:sz w:val="18"/>
                <w:szCs w:val="21"/>
              </w:rPr>
            </w:r>
            <w:r/>
          </w:p>
        </w:tc>
        <w:tc>
          <w:tcPr>
            <w:tcW w:w="2159" w:type="dxa"/>
            <w:vAlign w:val="center"/>
            <w:textDirection w:val="lrTb"/>
            <w:noWrap w:val="false"/>
          </w:tcPr>
          <w:p>
            <w:pPr>
              <w:pStyle w:val="1151"/>
              <w:jc w:val="center"/>
              <w:spacing w:before="40" w:after="40"/>
              <w:rPr>
                <w:sz w:val="18"/>
                <w:szCs w:val="21"/>
              </w:rPr>
            </w:pPr>
            <w:r>
              <w:rPr>
                <w:rFonts w:hint="eastAsia"/>
                <w:sz w:val="18"/>
                <w:szCs w:val="21"/>
              </w:rPr>
              <w:t xml:space="preserve">3.0</w:t>
            </w:r>
            <w:r>
              <w:rPr>
                <w:sz w:val="18"/>
                <w:szCs w:val="21"/>
              </w:rPr>
            </w:r>
            <w:r/>
          </w:p>
        </w:tc>
        <w:tc>
          <w:tcPr>
            <w:tcW w:w="2006" w:type="dxa"/>
            <w:vAlign w:val="center"/>
            <w:textDirection w:val="lrTb"/>
            <w:noWrap w:val="false"/>
          </w:tcPr>
          <w:p>
            <w:pPr>
              <w:pStyle w:val="1151"/>
              <w:jc w:val="center"/>
              <w:spacing w:before="40" w:after="40"/>
              <w:rPr>
                <w:sz w:val="18"/>
                <w:szCs w:val="21"/>
              </w:rPr>
            </w:pPr>
            <w:r>
              <w:rPr>
                <w:rFonts w:hint="eastAsia"/>
                <w:sz w:val="18"/>
                <w:szCs w:val="21"/>
              </w:rPr>
              <w:t xml:space="preserve">3.3</w:t>
            </w:r>
            <w:r>
              <w:rPr>
                <w:sz w:val="18"/>
                <w:szCs w:val="21"/>
              </w:rPr>
            </w:r>
            <w:r/>
          </w:p>
        </w:tc>
        <w:tc>
          <w:tcPr>
            <w:tcW w:w="2165" w:type="dxa"/>
            <w:vAlign w:val="center"/>
            <w:textDirection w:val="lrTb"/>
            <w:noWrap w:val="false"/>
          </w:tcPr>
          <w:p>
            <w:pPr>
              <w:pStyle w:val="1151"/>
              <w:jc w:val="center"/>
              <w:spacing w:before="40" w:after="40"/>
              <w:rPr>
                <w:sz w:val="18"/>
                <w:szCs w:val="21"/>
              </w:rPr>
            </w:pPr>
            <w:r>
              <w:rPr>
                <w:rFonts w:hint="eastAsia"/>
                <w:sz w:val="18"/>
                <w:szCs w:val="21"/>
              </w:rPr>
              <w:t xml:space="preserve">3.4</w:t>
            </w:r>
            <w:r>
              <w:rPr>
                <w:sz w:val="18"/>
                <w:szCs w:val="21"/>
              </w:rPr>
            </w:r>
            <w:r/>
          </w:p>
        </w:tc>
      </w:tr>
      <w:tr>
        <w:trPr/>
        <w:tc>
          <w:tcPr>
            <w:tcW w:w="3081" w:type="dxa"/>
            <w:vAlign w:val="center"/>
            <w:textDirection w:val="lrTb"/>
            <w:noWrap w:val="false"/>
          </w:tcPr>
          <w:p>
            <w:pPr>
              <w:pStyle w:val="1151"/>
              <w:jc w:val="center"/>
              <w:spacing w:before="40" w:after="40"/>
              <w:rPr>
                <w:sz w:val="18"/>
                <w:szCs w:val="21"/>
              </w:rPr>
            </w:pPr>
            <w:r>
              <w:rPr>
                <w:rFonts w:hint="eastAsia"/>
                <w:sz w:val="18"/>
                <w:szCs w:val="21"/>
              </w:rPr>
              <w:t xml:space="preserve">185</w:t>
            </w:r>
            <w:r>
              <w:rPr>
                <w:sz w:val="18"/>
                <w:szCs w:val="21"/>
              </w:rPr>
            </w:r>
            <w:r/>
          </w:p>
        </w:tc>
        <w:tc>
          <w:tcPr>
            <w:tcW w:w="2159" w:type="dxa"/>
            <w:vAlign w:val="center"/>
            <w:textDirection w:val="lrTb"/>
            <w:noWrap w:val="false"/>
          </w:tcPr>
          <w:p>
            <w:pPr>
              <w:pStyle w:val="1151"/>
              <w:jc w:val="center"/>
              <w:spacing w:before="40" w:after="40"/>
              <w:rPr>
                <w:sz w:val="18"/>
                <w:szCs w:val="21"/>
              </w:rPr>
            </w:pPr>
            <w:r>
              <w:rPr>
                <w:rFonts w:hint="eastAsia"/>
                <w:sz w:val="18"/>
                <w:szCs w:val="21"/>
              </w:rPr>
              <w:t xml:space="preserve">3.1</w:t>
            </w:r>
            <w:r>
              <w:rPr>
                <w:sz w:val="18"/>
                <w:szCs w:val="21"/>
              </w:rPr>
            </w:r>
            <w:r/>
          </w:p>
        </w:tc>
        <w:tc>
          <w:tcPr>
            <w:tcW w:w="2006" w:type="dxa"/>
            <w:vAlign w:val="center"/>
            <w:textDirection w:val="lrTb"/>
            <w:noWrap w:val="false"/>
          </w:tcPr>
          <w:p>
            <w:pPr>
              <w:pStyle w:val="1151"/>
              <w:jc w:val="center"/>
              <w:spacing w:before="40" w:after="40"/>
              <w:rPr>
                <w:sz w:val="18"/>
                <w:szCs w:val="21"/>
              </w:rPr>
            </w:pPr>
            <w:r>
              <w:rPr>
                <w:rFonts w:hint="eastAsia"/>
                <w:sz w:val="18"/>
                <w:szCs w:val="21"/>
              </w:rPr>
              <w:t xml:space="preserve">3.4</w:t>
            </w:r>
            <w:r>
              <w:rPr>
                <w:sz w:val="18"/>
                <w:szCs w:val="21"/>
              </w:rPr>
            </w:r>
            <w:r/>
          </w:p>
        </w:tc>
        <w:tc>
          <w:tcPr>
            <w:tcW w:w="2165" w:type="dxa"/>
            <w:vAlign w:val="center"/>
            <w:textDirection w:val="lrTb"/>
            <w:noWrap w:val="false"/>
          </w:tcPr>
          <w:p>
            <w:pPr>
              <w:pStyle w:val="1151"/>
              <w:jc w:val="center"/>
              <w:spacing w:before="40" w:after="40"/>
              <w:rPr>
                <w:sz w:val="18"/>
                <w:szCs w:val="21"/>
              </w:rPr>
            </w:pPr>
            <w:r>
              <w:rPr>
                <w:rFonts w:hint="eastAsia"/>
                <w:sz w:val="18"/>
                <w:szCs w:val="21"/>
              </w:rPr>
              <w:t xml:space="preserve">3.5</w:t>
            </w:r>
            <w:r>
              <w:rPr>
                <w:sz w:val="18"/>
                <w:szCs w:val="21"/>
              </w:rPr>
            </w:r>
            <w:r/>
          </w:p>
        </w:tc>
      </w:tr>
      <w:tr>
        <w:trPr/>
        <w:tc>
          <w:tcPr>
            <w:tcW w:w="3081" w:type="dxa"/>
            <w:vAlign w:val="center"/>
            <w:textDirection w:val="lrTb"/>
            <w:noWrap w:val="false"/>
          </w:tcPr>
          <w:p>
            <w:pPr>
              <w:pStyle w:val="1151"/>
              <w:jc w:val="center"/>
              <w:spacing w:before="40" w:after="40"/>
              <w:rPr>
                <w:sz w:val="18"/>
                <w:szCs w:val="21"/>
              </w:rPr>
            </w:pPr>
            <w:r>
              <w:rPr>
                <w:rFonts w:hint="eastAsia"/>
                <w:sz w:val="18"/>
                <w:szCs w:val="21"/>
              </w:rPr>
              <w:t xml:space="preserve">240</w:t>
            </w:r>
            <w:r>
              <w:rPr>
                <w:sz w:val="18"/>
                <w:szCs w:val="21"/>
              </w:rPr>
            </w:r>
            <w:r/>
          </w:p>
        </w:tc>
        <w:tc>
          <w:tcPr>
            <w:tcW w:w="2159" w:type="dxa"/>
            <w:vAlign w:val="center"/>
            <w:textDirection w:val="lrTb"/>
            <w:noWrap w:val="false"/>
          </w:tcPr>
          <w:p>
            <w:pPr>
              <w:pStyle w:val="1151"/>
              <w:jc w:val="center"/>
              <w:spacing w:before="40" w:after="40"/>
              <w:rPr>
                <w:sz w:val="18"/>
                <w:szCs w:val="21"/>
              </w:rPr>
            </w:pPr>
            <w:r>
              <w:rPr>
                <w:rFonts w:hint="eastAsia"/>
                <w:sz w:val="18"/>
                <w:szCs w:val="21"/>
              </w:rPr>
              <w:t xml:space="preserve">3.3</w:t>
            </w:r>
            <w:r>
              <w:rPr>
                <w:sz w:val="18"/>
                <w:szCs w:val="21"/>
              </w:rPr>
            </w:r>
            <w:r/>
          </w:p>
        </w:tc>
        <w:tc>
          <w:tcPr>
            <w:tcW w:w="2006" w:type="dxa"/>
            <w:vAlign w:val="center"/>
            <w:textDirection w:val="lrTb"/>
            <w:noWrap w:val="false"/>
          </w:tcPr>
          <w:p>
            <w:pPr>
              <w:pStyle w:val="1151"/>
              <w:jc w:val="center"/>
              <w:spacing w:before="40" w:after="40"/>
              <w:rPr>
                <w:sz w:val="18"/>
                <w:szCs w:val="21"/>
              </w:rPr>
            </w:pPr>
            <w:r>
              <w:rPr>
                <w:rFonts w:hint="eastAsia"/>
                <w:sz w:val="18"/>
                <w:szCs w:val="21"/>
              </w:rPr>
              <w:t xml:space="preserve">3.6</w:t>
            </w:r>
            <w:r>
              <w:rPr>
                <w:sz w:val="18"/>
                <w:szCs w:val="21"/>
              </w:rPr>
            </w:r>
            <w:r/>
          </w:p>
        </w:tc>
        <w:tc>
          <w:tcPr>
            <w:tcW w:w="2165" w:type="dxa"/>
            <w:vAlign w:val="center"/>
            <w:textDirection w:val="lrTb"/>
            <w:noWrap w:val="false"/>
          </w:tcPr>
          <w:p>
            <w:pPr>
              <w:pStyle w:val="1151"/>
              <w:jc w:val="center"/>
              <w:spacing w:before="40" w:after="40"/>
              <w:rPr>
                <w:sz w:val="18"/>
                <w:szCs w:val="21"/>
              </w:rPr>
            </w:pPr>
            <w:r>
              <w:rPr>
                <w:rFonts w:hint="eastAsia"/>
                <w:sz w:val="18"/>
                <w:szCs w:val="21"/>
              </w:rPr>
              <w:t xml:space="preserve">3.7</w:t>
            </w:r>
            <w:r>
              <w:rPr>
                <w:sz w:val="18"/>
                <w:szCs w:val="21"/>
              </w:rPr>
            </w:r>
            <w:r/>
          </w:p>
        </w:tc>
      </w:tr>
      <w:tr>
        <w:trPr/>
        <w:tc>
          <w:tcPr>
            <w:tcW w:w="3081" w:type="dxa"/>
            <w:vAlign w:val="center"/>
            <w:textDirection w:val="lrTb"/>
            <w:noWrap w:val="false"/>
          </w:tcPr>
          <w:p>
            <w:pPr>
              <w:pStyle w:val="1151"/>
              <w:jc w:val="center"/>
              <w:spacing w:before="40" w:after="40"/>
              <w:rPr>
                <w:sz w:val="18"/>
                <w:szCs w:val="21"/>
              </w:rPr>
            </w:pPr>
            <w:r>
              <w:rPr>
                <w:rFonts w:hint="eastAsia"/>
                <w:sz w:val="18"/>
                <w:szCs w:val="21"/>
              </w:rPr>
              <w:t xml:space="preserve">300</w:t>
            </w:r>
            <w:r>
              <w:rPr>
                <w:sz w:val="18"/>
                <w:szCs w:val="21"/>
              </w:rPr>
            </w:r>
            <w:r/>
          </w:p>
        </w:tc>
        <w:tc>
          <w:tcPr>
            <w:tcW w:w="2159" w:type="dxa"/>
            <w:vAlign w:val="center"/>
            <w:textDirection w:val="lrTb"/>
            <w:noWrap w:val="false"/>
          </w:tcPr>
          <w:p>
            <w:pPr>
              <w:pStyle w:val="1151"/>
              <w:jc w:val="center"/>
              <w:spacing w:before="40" w:after="40"/>
              <w:rPr>
                <w:sz w:val="18"/>
                <w:szCs w:val="21"/>
              </w:rPr>
            </w:pPr>
            <w:r>
              <w:rPr>
                <w:rFonts w:hint="eastAsia"/>
                <w:sz w:val="18"/>
                <w:szCs w:val="21"/>
              </w:rPr>
              <w:t xml:space="preserve">3.4</w:t>
            </w:r>
            <w:r>
              <w:rPr>
                <w:sz w:val="18"/>
                <w:szCs w:val="21"/>
              </w:rPr>
            </w:r>
            <w:r/>
          </w:p>
        </w:tc>
        <w:tc>
          <w:tcPr>
            <w:tcW w:w="2006" w:type="dxa"/>
            <w:vAlign w:val="center"/>
            <w:textDirection w:val="lrTb"/>
            <w:noWrap w:val="false"/>
          </w:tcPr>
          <w:p>
            <w:pPr>
              <w:pStyle w:val="1151"/>
              <w:jc w:val="center"/>
              <w:spacing w:before="40" w:after="40"/>
              <w:rPr>
                <w:sz w:val="18"/>
                <w:szCs w:val="21"/>
              </w:rPr>
            </w:pPr>
            <w:r>
              <w:rPr>
                <w:rFonts w:hint="eastAsia"/>
                <w:sz w:val="18"/>
                <w:szCs w:val="21"/>
              </w:rPr>
              <w:t xml:space="preserve">3.8</w:t>
            </w:r>
            <w:r>
              <w:rPr>
                <w:sz w:val="18"/>
                <w:szCs w:val="21"/>
              </w:rPr>
            </w:r>
            <w:r/>
          </w:p>
        </w:tc>
        <w:tc>
          <w:tcPr>
            <w:tcW w:w="2165" w:type="dxa"/>
            <w:vAlign w:val="center"/>
            <w:textDirection w:val="lrTb"/>
            <w:noWrap w:val="false"/>
          </w:tcPr>
          <w:p>
            <w:pPr>
              <w:pStyle w:val="1151"/>
              <w:jc w:val="center"/>
              <w:spacing w:before="40" w:after="40"/>
              <w:rPr>
                <w:sz w:val="18"/>
                <w:szCs w:val="21"/>
              </w:rPr>
            </w:pPr>
            <w:r>
              <w:rPr>
                <w:rFonts w:hint="eastAsia"/>
                <w:sz w:val="18"/>
                <w:szCs w:val="21"/>
              </w:rPr>
              <w:t xml:space="preserve">3.9</w:t>
            </w:r>
            <w:r>
              <w:rPr>
                <w:sz w:val="18"/>
                <w:szCs w:val="21"/>
              </w:rPr>
            </w:r>
            <w:r/>
          </w:p>
        </w:tc>
      </w:tr>
      <w:tr>
        <w:trPr/>
        <w:tc>
          <w:tcPr>
            <w:tcW w:w="3081" w:type="dxa"/>
            <w:vAlign w:val="center"/>
            <w:textDirection w:val="lrTb"/>
            <w:noWrap w:val="false"/>
          </w:tcPr>
          <w:p>
            <w:pPr>
              <w:pStyle w:val="1151"/>
              <w:jc w:val="center"/>
              <w:spacing w:before="40" w:after="40"/>
              <w:rPr>
                <w:sz w:val="18"/>
                <w:szCs w:val="21"/>
              </w:rPr>
            </w:pPr>
            <w:r>
              <w:rPr>
                <w:rFonts w:hint="eastAsia"/>
                <w:sz w:val="18"/>
                <w:szCs w:val="21"/>
              </w:rPr>
              <w:t xml:space="preserve">400</w:t>
            </w:r>
            <w:r>
              <w:rPr>
                <w:sz w:val="18"/>
                <w:szCs w:val="21"/>
              </w:rPr>
            </w:r>
            <w:r/>
          </w:p>
        </w:tc>
        <w:tc>
          <w:tcPr>
            <w:tcW w:w="2159" w:type="dxa"/>
            <w:vAlign w:val="center"/>
            <w:textDirection w:val="lrTb"/>
            <w:noWrap w:val="false"/>
          </w:tcPr>
          <w:p>
            <w:pPr>
              <w:pStyle w:val="1151"/>
              <w:jc w:val="center"/>
              <w:spacing w:before="40" w:after="40"/>
              <w:rPr>
                <w:sz w:val="18"/>
                <w:szCs w:val="21"/>
              </w:rPr>
            </w:pPr>
            <w:r>
              <w:rPr>
                <w:rFonts w:hint="eastAsia"/>
                <w:sz w:val="18"/>
                <w:szCs w:val="21"/>
              </w:rPr>
              <w:t xml:space="preserve">3.7</w:t>
            </w:r>
            <w:r>
              <w:rPr>
                <w:sz w:val="18"/>
                <w:szCs w:val="21"/>
              </w:rPr>
            </w:r>
            <w:r/>
          </w:p>
        </w:tc>
        <w:tc>
          <w:tcPr>
            <w:tcW w:w="2006" w:type="dxa"/>
            <w:vAlign w:val="center"/>
            <w:textDirection w:val="lrTb"/>
            <w:noWrap w:val="false"/>
          </w:tcPr>
          <w:p>
            <w:pPr>
              <w:pStyle w:val="1151"/>
              <w:jc w:val="center"/>
              <w:spacing w:before="40" w:after="40"/>
              <w:rPr>
                <w:sz w:val="18"/>
                <w:szCs w:val="21"/>
              </w:rPr>
            </w:pPr>
            <w:r>
              <w:rPr>
                <w:rFonts w:hint="eastAsia"/>
                <w:sz w:val="18"/>
                <w:szCs w:val="21"/>
              </w:rPr>
              <w:t xml:space="preserve">4.1</w:t>
            </w:r>
            <w:r>
              <w:rPr>
                <w:sz w:val="18"/>
                <w:szCs w:val="21"/>
              </w:rPr>
            </w:r>
            <w:r/>
          </w:p>
        </w:tc>
        <w:tc>
          <w:tcPr>
            <w:tcW w:w="2165" w:type="dxa"/>
            <w:vAlign w:val="center"/>
            <w:textDirection w:val="lrTb"/>
            <w:noWrap w:val="false"/>
          </w:tcPr>
          <w:p>
            <w:pPr>
              <w:pStyle w:val="1151"/>
              <w:jc w:val="center"/>
              <w:spacing w:before="40" w:after="40"/>
              <w:rPr>
                <w:sz w:val="18"/>
                <w:szCs w:val="21"/>
              </w:rPr>
            </w:pPr>
            <w:r>
              <w:rPr>
                <w:rFonts w:hint="eastAsia"/>
                <w:sz w:val="18"/>
                <w:szCs w:val="21"/>
              </w:rPr>
              <w:t xml:space="preserve">4.2</w:t>
            </w:r>
            <w:r>
              <w:rPr>
                <w:sz w:val="18"/>
                <w:szCs w:val="21"/>
              </w:rPr>
            </w:r>
            <w:r/>
          </w:p>
        </w:tc>
      </w:tr>
    </w:tbl>
    <w:p>
      <w:pPr>
        <w:pStyle w:val="1151"/>
      </w:pPr>
      <w:r/>
      <w:r/>
    </w:p>
    <w:p>
      <w:pPr>
        <w:pStyle w:val="1151"/>
        <w:ind w:firstLine="420"/>
        <w:spacing w:line="306" w:lineRule="exact"/>
        <w:rPr>
          <w:szCs w:val="21"/>
        </w:rPr>
      </w:pPr>
      <w:r>
        <w:rPr>
          <w:szCs w:val="21"/>
        </w:rPr>
        <w:t xml:space="preserve">外护套厚度平均值应不小于标称值，任一点最小厚度应不小于标称值的90%。</w:t>
      </w:r>
      <w:r>
        <w:rPr>
          <w:szCs w:val="21"/>
        </w:rPr>
      </w:r>
      <w:r/>
    </w:p>
    <w:p>
      <w:pPr>
        <w:pStyle w:val="1151"/>
        <w:ind w:firstLine="420"/>
        <w:spacing w:line="306" w:lineRule="exact"/>
        <w:rPr>
          <w:szCs w:val="21"/>
        </w:rPr>
      </w:pPr>
      <w:r>
        <w:rPr>
          <w:szCs w:val="21"/>
        </w:rPr>
        <w:t xml:space="preserve">外护套通常为黑色</w:t>
      </w:r>
      <w:r>
        <w:rPr>
          <w:rFonts w:hint="eastAsia"/>
          <w:szCs w:val="21"/>
        </w:rPr>
        <w:t xml:space="preserve">或</w:t>
      </w:r>
      <w:r>
        <w:rPr>
          <w:szCs w:val="21"/>
        </w:rPr>
        <w:t xml:space="preserve">红色，也可以按照制造方和买方协议采用黑色以外的其他颜色，以适应电缆使用的特定环境。外护套应经受GB/T 3048.10规定的火花试验。</w:t>
      </w:r>
      <w:r>
        <w:rPr>
          <w:szCs w:val="21"/>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2.1.10</w:t>
      </w:r>
      <w:r>
        <w:rPr>
          <w:rFonts w:ascii="宋体" w:hAnsi="宋体" w:eastAsia="宋体"/>
        </w:rPr>
        <w:t xml:space="preserve">　电缆不圆度</w:t>
      </w:r>
      <w:r>
        <w:rPr>
          <w:rFonts w:ascii="宋体" w:hAnsi="宋体" w:eastAsia="宋体"/>
        </w:rPr>
      </w:r>
      <w:r/>
    </w:p>
    <w:p>
      <w:pPr>
        <w:pStyle w:val="1151"/>
        <w:ind w:firstLine="420"/>
        <w:spacing w:line="306" w:lineRule="exact"/>
        <w:rPr>
          <w:szCs w:val="21"/>
        </w:rPr>
      </w:pPr>
      <w:r>
        <w:rPr>
          <w:szCs w:val="21"/>
        </w:rPr>
        <w:t xml:space="preserve">电缆不圆度应不大于10%。</w:t>
      </w:r>
      <w:r>
        <w:rPr>
          <w:szCs w:val="21"/>
        </w:rPr>
      </w:r>
      <w:r/>
    </w:p>
    <w:p>
      <w:pPr>
        <w:pStyle w:val="1151"/>
        <w:ind w:firstLine="420"/>
        <w:spacing w:line="306" w:lineRule="exact"/>
        <w:rPr>
          <w:szCs w:val="21"/>
        </w:rPr>
      </w:pPr>
      <w:r>
        <w:rPr>
          <w:rFonts w:hint="eastAsia"/>
          <w:szCs w:val="21"/>
        </w:rPr>
        <w:t xml:space="preserve">电缆不圆度的计算公式为：</w:t>
      </w:r>
      <w:r>
        <w:rPr>
          <w:szCs w:val="21"/>
        </w:rPr>
      </w:r>
      <w:r/>
    </w:p>
    <w:p>
      <w:pPr>
        <w:pStyle w:val="1151"/>
        <w:jc w:val="center"/>
        <w:rPr>
          <w:szCs w:val="21"/>
          <w:highlight w:val="yellow"/>
        </w:rPr>
      </w:pPr>
      <w:r>
        <w:rPr>
          <w:szCs w:val="21"/>
        </w:rPr>
        <w:t xml:space="preserve">电缆不圆度=</w:t>
      </w:r>
      <w:r>
        <w:rPr>
          <w:position w:val="-24"/>
          <w:szCs w:val="21"/>
        </w:rPr>
        <w:object w:dxaOrig="2640" w:dyaOrig="57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132.0pt;height:29.2pt;mso-wrap-distance-left:0.0pt;mso-wrap-distance-top:0.0pt;mso-wrap-distance-right:0.0pt;mso-wrap-distance-bottom:0.0pt;" filled="f" stroked="f">
            <v:path textboxrect="0,0,0,0"/>
            <v:imagedata r:id="rId206" o:title=""/>
          </v:shape>
          <o:OLEObject DrawAspect="Content" r:id="rId207" ObjectID="_152504192" ProgID="Equation.DSMT4" ShapeID="_x0000_i192" Type="Embed"/>
        </w:object>
      </w:r>
      <w:r>
        <w:rPr>
          <w:rFonts w:hint="eastAsia"/>
          <w:szCs w:val="21"/>
        </w:rPr>
        <w:t xml:space="preserve">×</w:t>
      </w:r>
      <w:r>
        <w:rPr>
          <w:szCs w:val="21"/>
        </w:rPr>
        <w:t xml:space="preserve">100%</w:t>
      </w:r>
      <w:r>
        <w:rPr>
          <w:szCs w:val="21"/>
          <w:highlight w:val="yellow"/>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2</w:t>
      </w:r>
      <w:r>
        <w:rPr>
          <w:rFonts w:hint="eastAsia" w:ascii="宋体" w:hAnsi="宋体" w:eastAsia="宋体"/>
          <w:spacing w:val="20"/>
        </w:rPr>
        <w:t xml:space="preserve">.</w:t>
      </w:r>
      <w:r>
        <w:rPr>
          <w:rFonts w:hint="eastAsia" w:ascii="宋体" w:hAnsi="宋体" w:eastAsia="宋体"/>
        </w:rPr>
        <w:t xml:space="preserve">1</w:t>
      </w:r>
      <w:r>
        <w:rPr>
          <w:rFonts w:hint="eastAsia" w:ascii="宋体" w:hAnsi="宋体" w:eastAsia="宋体"/>
          <w:spacing w:val="20"/>
        </w:rPr>
        <w:t xml:space="preserve">.</w:t>
      </w:r>
      <w:r>
        <w:rPr>
          <w:rFonts w:hint="eastAsia" w:ascii="宋体" w:hAnsi="宋体" w:eastAsia="宋体"/>
        </w:rPr>
        <w:t xml:space="preserve">11</w:t>
      </w:r>
      <w:r>
        <w:rPr>
          <w:rFonts w:ascii="宋体" w:hAnsi="宋体" w:eastAsia="宋体"/>
        </w:rPr>
        <w:t xml:space="preserve">　电缆阻燃要求</w:t>
      </w:r>
      <w:r>
        <w:rPr>
          <w:rFonts w:ascii="宋体" w:hAnsi="宋体" w:eastAsia="宋体"/>
        </w:rPr>
      </w:r>
      <w:r/>
    </w:p>
    <w:p>
      <w:pPr>
        <w:pStyle w:val="1151"/>
        <w:ind w:firstLine="420"/>
        <w:spacing w:line="306" w:lineRule="exact"/>
        <w:rPr>
          <w:rFonts w:hint="eastAsia" w:ascii="宋体" w:hAnsi="宋体"/>
          <w:szCs w:val="21"/>
        </w:rPr>
      </w:pPr>
      <w:r>
        <w:rPr>
          <w:rFonts w:ascii="宋体" w:hAnsi="宋体"/>
          <w:szCs w:val="21"/>
        </w:rPr>
        <w:t xml:space="preserve">采用阻燃电缆时，电缆的阻燃特性和技术参数要求需符合GB/T 19666的相关规定。</w:t>
      </w:r>
      <w:r>
        <w:rPr>
          <w:rFonts w:hint="eastAsia" w:ascii="宋体" w:hAnsi="宋体"/>
          <w:szCs w:val="21"/>
        </w:rPr>
      </w:r>
      <w:r/>
    </w:p>
    <w:p>
      <w:pPr>
        <w:pStyle w:val="1199"/>
        <w:jc w:val="both"/>
        <w:spacing w:line="312" w:lineRule="exact"/>
        <w:tabs>
          <w:tab w:val="left" w:pos="810" w:leader="none"/>
          <w:tab w:val="left" w:pos="907" w:leader="none"/>
          <w:tab w:val="left" w:pos="1265" w:leader="none"/>
        </w:tabs>
        <w:rPr>
          <w:rFonts w:hint="eastAsia" w:ascii="宋体" w:hAnsi="宋体" w:eastAsia="宋体"/>
        </w:rPr>
      </w:pPr>
      <w:r>
        <w:rPr>
          <w:rFonts w:hint="eastAsia" w:ascii="宋体" w:hAnsi="宋体" w:eastAsia="宋体"/>
        </w:rPr>
        <w:t xml:space="preserve">2.1.12 电缆阻水要求</w:t>
      </w:r>
      <w:r>
        <w:rPr>
          <w:rFonts w:hint="eastAsia" w:ascii="宋体" w:hAnsi="宋体" w:eastAsia="宋体"/>
        </w:rPr>
      </w:r>
      <w:r/>
    </w:p>
    <w:p>
      <w:pPr>
        <w:pStyle w:val="1238"/>
        <w:ind w:firstLine="420"/>
        <w:spacing w:line="306" w:lineRule="exact"/>
        <w:rPr>
          <w:rFonts w:hint="eastAsia" w:ascii="宋体" w:hAnsi="宋体" w:eastAsia="宋体"/>
        </w:rPr>
        <w:outlineLvl w:val="0"/>
      </w:pPr>
      <w:r>
        <w:rPr>
          <w:rFonts w:hint="eastAsia" w:ascii="宋体" w:hAnsi="宋体" w:eastAsia="宋体"/>
        </w:rPr>
        <w:t xml:space="preserve">阻水电缆可采用金属塑料复合阻水层或金属套等径向防水构造，电缆的阻水特性要求需符合GB/T 12706.2、GB/T 11017.1及GB/Z18890. 1的相关规定。</w:t>
      </w:r>
      <w:r>
        <w:rPr>
          <w:rFonts w:hint="eastAsia" w:ascii="宋体" w:hAnsi="宋体" w:eastAsia="宋体"/>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2</w:t>
      </w:r>
      <w:r>
        <w:rPr>
          <w:rFonts w:ascii="宋体" w:hAnsi="宋体" w:eastAsia="宋体"/>
        </w:rPr>
        <w:t xml:space="preserve">.2　</w:t>
      </w:r>
      <w:r>
        <w:rPr>
          <w:rFonts w:hint="eastAsia" w:ascii="宋体" w:hAnsi="宋体" w:eastAsia="宋体"/>
        </w:rPr>
        <w:t xml:space="preserve">密封和牵引头</w:t>
      </w:r>
      <w:r>
        <w:rPr>
          <w:rFonts w:ascii="宋体" w:hAnsi="宋体" w:eastAsia="宋体"/>
        </w:rPr>
      </w:r>
      <w:r/>
    </w:p>
    <w:p>
      <w:pPr>
        <w:pStyle w:val="1151"/>
        <w:ind w:firstLine="420"/>
        <w:spacing w:line="306" w:lineRule="exact"/>
        <w:rPr>
          <w:rFonts w:ascii="宋体" w:hAnsi="宋体"/>
          <w:szCs w:val="21"/>
        </w:rPr>
      </w:pPr>
      <w:r>
        <w:rPr>
          <w:rFonts w:ascii="宋体" w:hAnsi="宋体"/>
          <w:szCs w:val="21"/>
        </w:rPr>
        <w:t xml:space="preserve">电缆两端应用防水密封套密封，密封套和电缆的重叠长度</w:t>
      </w:r>
      <w:r>
        <w:rPr>
          <w:rFonts w:hint="eastAsia" w:ascii="宋体" w:hAnsi="宋体"/>
          <w:szCs w:val="21"/>
        </w:rPr>
        <w:t xml:space="preserve">应</w:t>
      </w:r>
      <w:r>
        <w:rPr>
          <w:rFonts w:ascii="宋体" w:hAnsi="宋体"/>
          <w:szCs w:val="21"/>
        </w:rPr>
        <w:t xml:space="preserve">不小于200mm</w:t>
      </w:r>
      <w:r>
        <w:rPr>
          <w:rFonts w:hint="eastAsia" w:ascii="宋体" w:hAnsi="宋体"/>
          <w:szCs w:val="21"/>
        </w:rPr>
        <w:t xml:space="preserve">。</w:t>
      </w:r>
      <w:r>
        <w:rPr>
          <w:rFonts w:ascii="宋体" w:hAnsi="宋体"/>
          <w:szCs w:val="21"/>
        </w:rPr>
        <w:t xml:space="preserve">如有要求安装牵引头，牵</w:t>
      </w:r>
      <w:r>
        <w:rPr>
          <w:rFonts w:ascii="宋体" w:hAnsi="宋体"/>
          <w:spacing w:val="-4"/>
          <w:szCs w:val="21"/>
        </w:rPr>
        <w:t xml:space="preserve">引头应与线芯采用围压的连接方式并与电缆可靠密封，在运输、储存、敷设过程中保证电缆密封不失效。</w:t>
      </w:r>
      <w:r>
        <w:rPr>
          <w:rFonts w:ascii="宋体" w:hAnsi="宋体"/>
          <w:szCs w:val="21"/>
        </w:rPr>
      </w:r>
      <w:r/>
    </w:p>
    <w:p>
      <w:pPr>
        <w:pStyle w:val="1238"/>
        <w:outlineLvl w:val="0"/>
      </w:pPr>
      <w:r/>
      <w:bookmarkStart w:id="495" w:name="_Toc445904010"/>
      <w:r>
        <w:rPr>
          <w:rFonts w:hint="eastAsia"/>
        </w:rPr>
        <w:t xml:space="preserve">3　</w:t>
      </w:r>
      <w:bookmarkStart w:id="496" w:name="_Toc362271087"/>
      <w:r>
        <w:rPr>
          <w:rFonts w:hint="eastAsia"/>
        </w:rPr>
        <w:t xml:space="preserve">标准技术参数</w:t>
      </w:r>
      <w:bookmarkEnd w:id="495"/>
      <w:r/>
      <w:bookmarkEnd w:id="496"/>
      <w:r/>
      <w:r/>
    </w:p>
    <w:p>
      <w:pPr>
        <w:pStyle w:val="1151"/>
        <w:ind w:firstLine="425"/>
        <w:spacing w:line="312" w:lineRule="exact"/>
      </w:pPr>
      <w:r>
        <w:rPr>
          <w:rFonts w:hint="eastAsia"/>
          <w:szCs w:val="21"/>
        </w:rPr>
        <w:t xml:space="preserve">技术参数特性表是对采购设备的基础技术参数要求，供货方应对技术参数特性表中标准参数值进行响应。10kV三芯电力电缆技术参数特性见表2。</w:t>
      </w:r>
      <w:r/>
    </w:p>
    <w:p>
      <w:pPr>
        <w:pStyle w:val="1239"/>
      </w:pPr>
      <w:r>
        <w:rPr>
          <w:rFonts w:hint="eastAsia"/>
        </w:rPr>
        <w:t xml:space="preserve">表2　</w:t>
      </w:r>
      <w:r>
        <w:rPr>
          <w:rFonts w:hint="eastAsia"/>
          <w:spacing w:val="30"/>
        </w:rPr>
        <w:t xml:space="preserve">技术参数特性</w:t>
      </w:r>
      <w:r>
        <w:rPr>
          <w:rFonts w:hint="eastAsia"/>
        </w:rPr>
        <w:t xml:space="preserve">表</w:t>
      </w:r>
      <w:r/>
    </w:p>
    <w:tbl>
      <w:tblPr>
        <w:tblW w:w="88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7"/>
        <w:gridCol w:w="545"/>
        <w:gridCol w:w="587"/>
        <w:gridCol w:w="2016"/>
        <w:gridCol w:w="1214"/>
        <w:gridCol w:w="881"/>
        <w:gridCol w:w="879"/>
        <w:gridCol w:w="1722"/>
      </w:tblGrid>
      <w:tr>
        <w:trPr>
          <w:cantSplit/>
          <w:tblHeader/>
        </w:trPr>
        <w:tc>
          <w:tcPr>
            <w:gridSpan w:val="9"/>
            <w:tcW w:w="8809" w:type="dxa"/>
            <w:vAlign w:val="center"/>
            <w:textDirection w:val="lrTb"/>
            <w:noWrap w:val="false"/>
          </w:tcPr>
          <w:p>
            <w:pPr>
              <w:pStyle w:val="1151"/>
              <w:jc w:val="center"/>
              <w:spacing w:before="60" w:after="60"/>
              <w:rPr>
                <w:sz w:val="18"/>
                <w:szCs w:val="21"/>
                <w:highlight w:val="none"/>
              </w:rPr>
            </w:pPr>
            <w:r>
              <w:rPr>
                <w:rFonts w:hint="eastAsia"/>
                <w:sz w:val="18"/>
                <w:szCs w:val="21"/>
                <w:highlight w:val="none"/>
              </w:rPr>
              <w:t xml:space="preserve">电缆结构技术参数</w:t>
            </w:r>
            <w:r>
              <w:rPr>
                <w:sz w:val="18"/>
                <w:szCs w:val="21"/>
                <w:highlight w:val="none"/>
              </w:rPr>
            </w:r>
            <w:r/>
          </w:p>
        </w:tc>
      </w:tr>
      <w:tr>
        <w:trPr>
          <w:cantSplit/>
        </w:trPr>
        <w:tc>
          <w:tcPr>
            <w:gridSpan w:val="5"/>
            <w:tcW w:w="4113" w:type="dxa"/>
            <w:vAlign w:val="center"/>
            <w:textDirection w:val="lrTb"/>
            <w:noWrap w:val="false"/>
          </w:tcPr>
          <w:p>
            <w:pPr>
              <w:pStyle w:val="1151"/>
              <w:jc w:val="center"/>
              <w:spacing w:before="60" w:after="60"/>
              <w:rPr>
                <w:sz w:val="18"/>
                <w:szCs w:val="21"/>
                <w:highlight w:val="none"/>
              </w:rPr>
            </w:pPr>
            <w:r>
              <w:rPr>
                <w:rFonts w:hint="eastAsia"/>
                <w:sz w:val="18"/>
                <w:szCs w:val="21"/>
                <w:highlight w:val="none"/>
              </w:rPr>
              <w:t xml:space="preserve">绝缘水平（U0/U）</w:t>
            </w:r>
            <w:r>
              <w:rPr>
                <w:sz w:val="18"/>
                <w:szCs w:val="21"/>
                <w:highlight w:val="none"/>
              </w:rPr>
            </w:r>
            <w:r/>
          </w:p>
        </w:tc>
        <w:tc>
          <w:tcPr>
            <w:gridSpan w:val="4"/>
            <w:tcW w:w="4696" w:type="dxa"/>
            <w:vAlign w:val="center"/>
            <w:textDirection w:val="lrTb"/>
            <w:noWrap w:val="false"/>
          </w:tcPr>
          <w:p>
            <w:pPr>
              <w:pStyle w:val="1151"/>
              <w:jc w:val="center"/>
              <w:spacing w:before="60" w:after="60"/>
              <w:rPr>
                <w:sz w:val="18"/>
                <w:szCs w:val="21"/>
                <w:highlight w:val="none"/>
              </w:rPr>
            </w:pPr>
            <w:r>
              <w:rPr>
                <w:rFonts w:hint="eastAsia"/>
                <w:sz w:val="18"/>
                <w:szCs w:val="21"/>
                <w:highlight w:val="none"/>
              </w:rPr>
              <w:t xml:space="preserve">8.7/15kV</w:t>
            </w:r>
            <w:r>
              <w:rPr>
                <w:sz w:val="18"/>
                <w:szCs w:val="21"/>
                <w:highlight w:val="none"/>
              </w:rPr>
            </w:r>
            <w:r/>
          </w:p>
        </w:tc>
      </w:tr>
      <w:tr>
        <w:trPr>
          <w:cantSplit/>
        </w:trPr>
        <w:tc>
          <w:tcPr>
            <w:gridSpan w:val="3"/>
            <w:tcW w:w="1510" w:type="dxa"/>
            <w:vAlign w:val="center"/>
            <w:textDirection w:val="lrTb"/>
            <w:noWrap w:val="false"/>
          </w:tcPr>
          <w:p>
            <w:pPr>
              <w:pStyle w:val="1151"/>
              <w:jc w:val="center"/>
              <w:spacing w:before="60" w:after="60"/>
              <w:rPr>
                <w:sz w:val="18"/>
                <w:szCs w:val="21"/>
                <w:highlight w:val="none"/>
              </w:rPr>
            </w:pPr>
            <w:r>
              <w:rPr>
                <w:rFonts w:hint="eastAsia"/>
                <w:sz w:val="18"/>
                <w:szCs w:val="21"/>
                <w:highlight w:val="none"/>
              </w:rPr>
              <w:t xml:space="preserve">铜</w:t>
            </w:r>
            <w:r>
              <w:rPr>
                <w:sz w:val="18"/>
                <w:szCs w:val="21"/>
                <w:highlight w:val="none"/>
              </w:rPr>
              <w:t xml:space="preserve">导体</w:t>
            </w:r>
            <w:r>
              <w:rPr>
                <w:sz w:val="18"/>
                <w:szCs w:val="21"/>
                <w:highlight w:val="none"/>
              </w:rPr>
            </w:r>
            <w:r/>
          </w:p>
        </w:tc>
        <w:tc>
          <w:tcPr>
            <w:gridSpan w:val="2"/>
            <w:tcW w:w="2603" w:type="dxa"/>
            <w:vAlign w:val="center"/>
            <w:textDirection w:val="lrTb"/>
            <w:noWrap w:val="false"/>
          </w:tcPr>
          <w:p>
            <w:pPr>
              <w:pStyle w:val="1151"/>
              <w:jc w:val="center"/>
              <w:spacing w:before="60" w:after="60"/>
              <w:rPr>
                <w:sz w:val="18"/>
                <w:szCs w:val="21"/>
                <w:highlight w:val="none"/>
              </w:rPr>
            </w:pPr>
            <w:r>
              <w:rPr>
                <w:sz w:val="18"/>
                <w:szCs w:val="21"/>
                <w:highlight w:val="none"/>
              </w:rPr>
              <w:t xml:space="preserve">材料</w:t>
            </w:r>
            <w:r>
              <w:rPr>
                <w:sz w:val="18"/>
                <w:szCs w:val="21"/>
                <w:highlight w:val="none"/>
              </w:rPr>
            </w:r>
            <w:r/>
          </w:p>
        </w:tc>
        <w:tc>
          <w:tcPr>
            <w:tcW w:w="1214" w:type="dxa"/>
            <w:vAlign w:val="center"/>
            <w:textDirection w:val="lrTb"/>
            <w:noWrap w:val="false"/>
          </w:tcPr>
          <w:p>
            <w:pPr>
              <w:pStyle w:val="1151"/>
              <w:jc w:val="center"/>
              <w:spacing w:before="60" w:after="6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0" w:after="60"/>
              <w:rPr>
                <w:sz w:val="18"/>
                <w:szCs w:val="21"/>
                <w:highlight w:val="none"/>
              </w:rPr>
            </w:pPr>
            <w:r>
              <w:rPr>
                <w:rFonts w:hint="eastAsia"/>
                <w:sz w:val="18"/>
                <w:szCs w:val="21"/>
                <w:highlight w:val="none"/>
              </w:rPr>
              <w:t xml:space="preserve">铜</w:t>
            </w:r>
            <w:r>
              <w:rPr>
                <w:sz w:val="18"/>
                <w:szCs w:val="21"/>
                <w:highlight w:val="none"/>
              </w:rPr>
            </w:r>
            <w:r/>
          </w:p>
        </w:tc>
        <w:tc>
          <w:tcPr>
            <w:tcW w:w="1722" w:type="dxa"/>
            <w:vAlign w:val="center"/>
            <w:textDirection w:val="lrTb"/>
            <w:noWrap w:val="false"/>
          </w:tcPr>
          <w:p>
            <w:pPr>
              <w:pStyle w:val="1151"/>
              <w:jc w:val="center"/>
              <w:spacing w:before="60" w:after="60"/>
              <w:rPr>
                <w:sz w:val="18"/>
                <w:szCs w:val="21"/>
                <w:highlight w:val="none"/>
              </w:rPr>
            </w:pPr>
            <w:r>
              <w:rPr>
                <w:sz w:val="18"/>
                <w:szCs w:val="21"/>
                <w:highlight w:val="none"/>
              </w:rPr>
            </w:r>
            <w:r/>
          </w:p>
        </w:tc>
      </w:tr>
      <w:tr>
        <w:trPr>
          <w:cantSplit/>
        </w:trPr>
        <w:tc>
          <w:tcPr>
            <w:gridSpan w:val="5"/>
            <w:tcW w:w="4113" w:type="dxa"/>
            <w:vAlign w:val="center"/>
            <w:textDirection w:val="lrTb"/>
            <w:noWrap w:val="false"/>
          </w:tcPr>
          <w:p>
            <w:pPr>
              <w:pStyle w:val="1151"/>
              <w:jc w:val="center"/>
              <w:spacing w:before="60" w:after="60"/>
              <w:rPr>
                <w:sz w:val="18"/>
                <w:szCs w:val="21"/>
                <w:highlight w:val="none"/>
              </w:rPr>
            </w:pPr>
            <w:r>
              <w:rPr>
                <w:sz w:val="18"/>
                <w:szCs w:val="21"/>
                <w:highlight w:val="none"/>
              </w:rPr>
              <w:t xml:space="preserve">项　　目</w:t>
            </w:r>
            <w:r>
              <w:rPr>
                <w:sz w:val="18"/>
                <w:szCs w:val="21"/>
                <w:highlight w:val="none"/>
              </w:rPr>
            </w:r>
            <w:r/>
          </w:p>
        </w:tc>
        <w:tc>
          <w:tcPr>
            <w:tcW w:w="1214" w:type="dxa"/>
            <w:vAlign w:val="center"/>
            <w:textDirection w:val="lrTb"/>
            <w:noWrap w:val="false"/>
          </w:tcPr>
          <w:p>
            <w:pPr>
              <w:pStyle w:val="1151"/>
              <w:jc w:val="center"/>
              <w:spacing w:before="60" w:after="60"/>
              <w:rPr>
                <w:sz w:val="18"/>
                <w:szCs w:val="21"/>
                <w:highlight w:val="none"/>
              </w:rPr>
            </w:pPr>
            <w:r>
              <w:rPr>
                <w:sz w:val="18"/>
                <w:szCs w:val="21"/>
                <w:highlight w:val="none"/>
              </w:rPr>
              <w:t xml:space="preserve">单位</w:t>
            </w:r>
            <w:r>
              <w:rPr>
                <w:sz w:val="18"/>
                <w:szCs w:val="21"/>
                <w:highlight w:val="none"/>
              </w:rPr>
            </w:r>
            <w:r/>
          </w:p>
        </w:tc>
        <w:tc>
          <w:tcPr>
            <w:gridSpan w:val="2"/>
            <w:tcW w:w="1760" w:type="dxa"/>
            <w:vAlign w:val="center"/>
            <w:textDirection w:val="lrTb"/>
            <w:noWrap w:val="false"/>
          </w:tcPr>
          <w:p>
            <w:pPr>
              <w:pStyle w:val="1151"/>
              <w:jc w:val="center"/>
              <w:spacing w:before="60" w:after="60"/>
              <w:rPr>
                <w:sz w:val="18"/>
                <w:szCs w:val="21"/>
                <w:highlight w:val="none"/>
              </w:rPr>
            </w:pPr>
            <w:r>
              <w:rPr>
                <w:rFonts w:hint="eastAsia"/>
                <w:sz w:val="18"/>
                <w:szCs w:val="21"/>
                <w:highlight w:val="none"/>
              </w:rPr>
              <w:t xml:space="preserve">标准参数值</w:t>
            </w:r>
            <w:r>
              <w:rPr>
                <w:sz w:val="18"/>
                <w:szCs w:val="21"/>
                <w:highlight w:val="none"/>
              </w:rPr>
            </w:r>
            <w:r/>
          </w:p>
        </w:tc>
        <w:tc>
          <w:tcPr>
            <w:tcW w:w="1722" w:type="dxa"/>
            <w:vAlign w:val="center"/>
            <w:textDirection w:val="lrTb"/>
            <w:noWrap w:val="false"/>
          </w:tcPr>
          <w:p>
            <w:pPr>
              <w:pStyle w:val="1151"/>
              <w:jc w:val="center"/>
              <w:spacing w:before="60" w:after="60"/>
              <w:rPr>
                <w:sz w:val="18"/>
                <w:szCs w:val="21"/>
                <w:highlight w:val="none"/>
              </w:rPr>
            </w:pPr>
            <w:r>
              <w:rPr>
                <w:rFonts w:hint="eastAsia"/>
                <w:sz w:val="18"/>
                <w:szCs w:val="21"/>
                <w:highlight w:val="none"/>
              </w:rPr>
              <w:t xml:space="preserve">备注 </w:t>
            </w:r>
            <w:r>
              <w:rPr>
                <w:sz w:val="18"/>
                <w:szCs w:val="21"/>
                <w:highlight w:val="none"/>
              </w:rPr>
            </w:r>
            <w:r/>
          </w:p>
        </w:tc>
      </w:tr>
      <w:tr>
        <w:trPr>
          <w:cantSplit/>
        </w:trPr>
        <w:tc>
          <w:tcPr>
            <w:gridSpan w:val="3"/>
            <w:tcW w:w="1510" w:type="dxa"/>
            <w:vAlign w:val="center"/>
            <w:vMerge w:val="restart"/>
            <w:textDirection w:val="lrTb"/>
            <w:noWrap w:val="false"/>
          </w:tcPr>
          <w:p>
            <w:pPr>
              <w:pStyle w:val="1151"/>
              <w:jc w:val="center"/>
              <w:spacing w:before="60" w:after="60"/>
              <w:rPr>
                <w:sz w:val="18"/>
                <w:szCs w:val="21"/>
                <w:highlight w:val="none"/>
              </w:rPr>
            </w:pPr>
            <w:r>
              <w:rPr>
                <w:rFonts w:hint="eastAsia"/>
                <w:sz w:val="18"/>
                <w:szCs w:val="21"/>
                <w:highlight w:val="none"/>
              </w:rPr>
              <w:t xml:space="preserve">铜</w:t>
            </w:r>
            <w:r>
              <w:rPr>
                <w:sz w:val="18"/>
                <w:szCs w:val="21"/>
                <w:highlight w:val="none"/>
              </w:rPr>
              <w:t xml:space="preserve">导体</w:t>
            </w:r>
            <w:r>
              <w:rPr>
                <w:sz w:val="18"/>
                <w:szCs w:val="21"/>
                <w:highlight w:val="none"/>
              </w:rPr>
            </w:r>
            <w:r/>
          </w:p>
        </w:tc>
        <w:tc>
          <w:tcPr>
            <w:gridSpan w:val="2"/>
            <w:tcW w:w="2603" w:type="dxa"/>
            <w:vAlign w:val="center"/>
            <w:vMerge w:val="restart"/>
            <w:textDirection w:val="lrTb"/>
            <w:noWrap w:val="false"/>
          </w:tcPr>
          <w:p>
            <w:pPr>
              <w:pStyle w:val="1151"/>
              <w:jc w:val="center"/>
              <w:spacing w:before="60" w:after="60"/>
              <w:rPr>
                <w:sz w:val="18"/>
                <w:szCs w:val="21"/>
                <w:highlight w:val="none"/>
              </w:rPr>
            </w:pPr>
            <w:r>
              <w:rPr>
                <w:rFonts w:hint="eastAsia"/>
                <w:sz w:val="18"/>
                <w:szCs w:val="21"/>
                <w:highlight w:val="none"/>
              </w:rPr>
              <w:t xml:space="preserve">芯数×</w:t>
            </w:r>
            <w:r>
              <w:rPr>
                <w:sz w:val="18"/>
                <w:szCs w:val="21"/>
                <w:highlight w:val="none"/>
              </w:rPr>
              <w:t xml:space="preserve">标称截面</w:t>
            </w:r>
            <w:r>
              <w:rPr>
                <w:sz w:val="18"/>
                <w:szCs w:val="21"/>
                <w:highlight w:val="none"/>
              </w:rPr>
            </w:r>
            <w:r/>
          </w:p>
        </w:tc>
        <w:tc>
          <w:tcPr>
            <w:tcW w:w="1214" w:type="dxa"/>
            <w:vAlign w:val="center"/>
            <w:vMerge w:val="restart"/>
            <w:textDirection w:val="lrTb"/>
            <w:noWrap w:val="false"/>
          </w:tcPr>
          <w:p>
            <w:pPr>
              <w:pStyle w:val="1151"/>
              <w:jc w:val="center"/>
              <w:spacing w:before="60" w:after="60"/>
              <w:rPr>
                <w:sz w:val="18"/>
                <w:szCs w:val="21"/>
                <w:highlight w:val="none"/>
              </w:rPr>
            </w:pPr>
            <w:r>
              <w:rPr>
                <w:rFonts w:hint="eastAsia"/>
                <w:sz w:val="18"/>
                <w:szCs w:val="21"/>
                <w:highlight w:val="none"/>
              </w:rPr>
              <w:t xml:space="preserve">芯×</w:t>
            </w:r>
            <w:r>
              <w:rPr>
                <w:sz w:val="18"/>
                <w:szCs w:val="21"/>
                <w:highlight w:val="none"/>
              </w:rPr>
              <w:t xml:space="preserve">mm</w:t>
            </w:r>
            <w:r>
              <w:rPr>
                <w:sz w:val="18"/>
                <w:szCs w:val="21"/>
                <w:highlight w:val="none"/>
                <w:vertAlign w:val="superscript"/>
              </w:rPr>
              <w:t xml:space="preserve">2</w:t>
            </w:r>
            <w:r>
              <w:rPr>
                <w:sz w:val="18"/>
                <w:szCs w:val="21"/>
                <w:highlight w:val="none"/>
              </w:rPr>
            </w:r>
            <w:r/>
          </w:p>
        </w:tc>
        <w:tc>
          <w:tcPr>
            <w:gridSpan w:val="2"/>
            <w:tcW w:w="1760" w:type="dxa"/>
            <w:vAlign w:val="center"/>
            <w:vMerge w:val="restart"/>
            <w:textDirection w:val="lrTb"/>
            <w:noWrap w:val="false"/>
          </w:tcPr>
          <w:p>
            <w:pPr>
              <w:pStyle w:val="1151"/>
              <w:jc w:val="center"/>
              <w:spacing w:before="60" w:after="60"/>
              <w:rPr>
                <w:sz w:val="18"/>
                <w:szCs w:val="21"/>
                <w:highlight w:val="none"/>
              </w:rPr>
            </w:pPr>
            <w:r>
              <w:rPr>
                <w:rFonts w:hint="eastAsia"/>
                <w:sz w:val="18"/>
                <w:szCs w:val="21"/>
                <w:highlight w:val="none"/>
              </w:rPr>
              <w:t xml:space="preserve">3×35</w:t>
            </w:r>
            <w:r>
              <w:rPr>
                <w:sz w:val="18"/>
                <w:szCs w:val="21"/>
                <w:highlight w:val="none"/>
              </w:rPr>
            </w:r>
            <w:r/>
          </w:p>
        </w:tc>
        <w:tc>
          <w:tcPr>
            <w:tcW w:w="1722" w:type="dxa"/>
            <w:vAlign w:val="center"/>
            <w:textDirection w:val="lrTb"/>
            <w:noWrap w:val="false"/>
          </w:tcPr>
          <w:p>
            <w:pPr>
              <w:pStyle w:val="1151"/>
              <w:jc w:val="center"/>
              <w:spacing w:before="60" w:after="6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0" w:after="60"/>
              <w:rPr>
                <w:sz w:val="18"/>
                <w:szCs w:val="21"/>
                <w:highlight w:val="none"/>
              </w:rPr>
            </w:pPr>
            <w:r>
              <w:rPr>
                <w:rFonts w:hint="eastAsia"/>
                <w:sz w:val="18"/>
                <w:szCs w:val="21"/>
                <w:highlight w:val="none"/>
              </w:rPr>
              <w:t xml:space="preserve">3×70</w:t>
            </w:r>
            <w:r>
              <w:rPr>
                <w:sz w:val="18"/>
                <w:szCs w:val="21"/>
                <w:highlight w:val="none"/>
              </w:rPr>
            </w:r>
            <w:r/>
          </w:p>
        </w:tc>
        <w:tc>
          <w:tcPr>
            <w:tcW w:w="1722" w:type="dxa"/>
            <w:vAlign w:val="center"/>
            <w:textDirection w:val="lrTb"/>
            <w:noWrap w:val="false"/>
          </w:tcPr>
          <w:p>
            <w:pPr>
              <w:pStyle w:val="1151"/>
              <w:jc w:val="center"/>
              <w:spacing w:before="60" w:after="6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0" w:after="60"/>
              <w:rPr>
                <w:sz w:val="18"/>
                <w:szCs w:val="21"/>
                <w:highlight w:val="none"/>
              </w:rPr>
            </w:pPr>
            <w:r>
              <w:rPr>
                <w:rFonts w:hint="eastAsia"/>
                <w:sz w:val="18"/>
                <w:szCs w:val="21"/>
                <w:highlight w:val="none"/>
              </w:rPr>
              <w:t xml:space="preserve">3×95</w:t>
            </w:r>
            <w:r>
              <w:rPr>
                <w:sz w:val="18"/>
                <w:szCs w:val="21"/>
                <w:highlight w:val="none"/>
              </w:rPr>
            </w:r>
            <w:r/>
          </w:p>
        </w:tc>
        <w:tc>
          <w:tcPr>
            <w:tcW w:w="1722" w:type="dxa"/>
            <w:vAlign w:val="center"/>
            <w:textDirection w:val="lrTb"/>
            <w:noWrap w:val="false"/>
          </w:tcPr>
          <w:p>
            <w:pPr>
              <w:pStyle w:val="1151"/>
              <w:jc w:val="center"/>
              <w:spacing w:before="60" w:after="6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0" w:after="60"/>
              <w:rPr>
                <w:sz w:val="18"/>
                <w:szCs w:val="21"/>
                <w:highlight w:val="none"/>
              </w:rPr>
            </w:pPr>
            <w:r>
              <w:rPr>
                <w:rFonts w:hint="eastAsia"/>
                <w:sz w:val="18"/>
                <w:szCs w:val="21"/>
                <w:highlight w:val="none"/>
              </w:rPr>
              <w:t xml:space="preserve">3×120</w:t>
            </w:r>
            <w:r>
              <w:rPr>
                <w:sz w:val="18"/>
                <w:szCs w:val="21"/>
                <w:highlight w:val="none"/>
              </w:rPr>
            </w:r>
            <w:r/>
          </w:p>
        </w:tc>
        <w:tc>
          <w:tcPr>
            <w:tcW w:w="1722" w:type="dxa"/>
            <w:vAlign w:val="center"/>
            <w:textDirection w:val="lrTb"/>
            <w:noWrap w:val="false"/>
          </w:tcPr>
          <w:p>
            <w:pPr>
              <w:pStyle w:val="1151"/>
              <w:jc w:val="center"/>
              <w:spacing w:before="60" w:after="6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0" w:after="60"/>
              <w:rPr>
                <w:sz w:val="18"/>
                <w:szCs w:val="21"/>
                <w:highlight w:val="none"/>
              </w:rPr>
            </w:pPr>
            <w:r>
              <w:rPr>
                <w:rFonts w:hint="eastAsia"/>
                <w:sz w:val="18"/>
                <w:szCs w:val="21"/>
                <w:highlight w:val="none"/>
              </w:rPr>
              <w:t xml:space="preserve">3×150</w:t>
            </w:r>
            <w:r>
              <w:rPr>
                <w:sz w:val="18"/>
                <w:szCs w:val="21"/>
                <w:highlight w:val="none"/>
              </w:rPr>
            </w:r>
            <w:r/>
          </w:p>
        </w:tc>
        <w:tc>
          <w:tcPr>
            <w:tcW w:w="1722" w:type="dxa"/>
            <w:vAlign w:val="center"/>
            <w:textDirection w:val="lrTb"/>
            <w:noWrap w:val="false"/>
          </w:tcPr>
          <w:p>
            <w:pPr>
              <w:pStyle w:val="1151"/>
              <w:jc w:val="center"/>
              <w:spacing w:before="60" w:after="6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0" w:after="60"/>
              <w:rPr>
                <w:sz w:val="18"/>
                <w:szCs w:val="21"/>
                <w:highlight w:val="none"/>
              </w:rPr>
            </w:pPr>
            <w:r>
              <w:rPr>
                <w:rFonts w:hint="eastAsia"/>
                <w:sz w:val="18"/>
                <w:szCs w:val="21"/>
                <w:highlight w:val="none"/>
              </w:rPr>
              <w:t xml:space="preserve">3×185</w:t>
            </w:r>
            <w:r>
              <w:rPr>
                <w:sz w:val="18"/>
                <w:szCs w:val="21"/>
                <w:highlight w:val="none"/>
              </w:rPr>
            </w:r>
            <w:r/>
          </w:p>
        </w:tc>
        <w:tc>
          <w:tcPr>
            <w:tcW w:w="1722" w:type="dxa"/>
            <w:vAlign w:val="center"/>
            <w:textDirection w:val="lrTb"/>
            <w:noWrap w:val="false"/>
          </w:tcPr>
          <w:p>
            <w:pPr>
              <w:pStyle w:val="1151"/>
              <w:jc w:val="center"/>
              <w:spacing w:before="60" w:after="6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0" w:after="60"/>
              <w:rPr>
                <w:sz w:val="18"/>
                <w:szCs w:val="21"/>
                <w:highlight w:val="none"/>
              </w:rPr>
            </w:pPr>
            <w:r>
              <w:rPr>
                <w:rFonts w:hint="eastAsia"/>
                <w:sz w:val="18"/>
                <w:szCs w:val="21"/>
                <w:highlight w:val="none"/>
              </w:rPr>
              <w:t xml:space="preserve">3×240</w:t>
            </w:r>
            <w:r>
              <w:rPr>
                <w:sz w:val="18"/>
                <w:szCs w:val="21"/>
                <w:highlight w:val="none"/>
              </w:rPr>
            </w:r>
            <w:r/>
          </w:p>
        </w:tc>
        <w:tc>
          <w:tcPr>
            <w:tcW w:w="1722" w:type="dxa"/>
            <w:vAlign w:val="center"/>
            <w:textDirection w:val="lrTb"/>
            <w:noWrap w:val="false"/>
          </w:tcPr>
          <w:p>
            <w:pPr>
              <w:pStyle w:val="1151"/>
              <w:jc w:val="center"/>
              <w:spacing w:before="60" w:after="6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0" w:after="60"/>
              <w:rPr>
                <w:sz w:val="18"/>
                <w:szCs w:val="21"/>
                <w:highlight w:val="none"/>
              </w:rPr>
            </w:pPr>
            <w:r>
              <w:rPr>
                <w:rFonts w:hint="eastAsia"/>
                <w:sz w:val="18"/>
                <w:szCs w:val="21"/>
                <w:highlight w:val="none"/>
              </w:rPr>
              <w:t xml:space="preserve">3×300</w:t>
            </w:r>
            <w:r>
              <w:rPr>
                <w:sz w:val="18"/>
                <w:szCs w:val="21"/>
                <w:highlight w:val="none"/>
              </w:rPr>
            </w:r>
            <w:r/>
          </w:p>
        </w:tc>
        <w:tc>
          <w:tcPr>
            <w:tcW w:w="1722" w:type="dxa"/>
            <w:vAlign w:val="center"/>
            <w:textDirection w:val="lrTb"/>
            <w:noWrap w:val="false"/>
          </w:tcPr>
          <w:p>
            <w:pPr>
              <w:pStyle w:val="1151"/>
              <w:jc w:val="center"/>
              <w:spacing w:before="60" w:after="6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0" w:after="60"/>
              <w:rPr>
                <w:sz w:val="18"/>
                <w:szCs w:val="21"/>
                <w:highlight w:val="none"/>
              </w:rPr>
            </w:pPr>
            <w:r>
              <w:rPr>
                <w:rFonts w:hint="eastAsia"/>
                <w:sz w:val="18"/>
                <w:szCs w:val="21"/>
                <w:highlight w:val="none"/>
              </w:rPr>
              <w:t xml:space="preserve">3×400</w:t>
            </w:r>
            <w:r>
              <w:rPr>
                <w:sz w:val="18"/>
                <w:szCs w:val="21"/>
                <w:highlight w:val="none"/>
              </w:rPr>
            </w:r>
            <w:r/>
          </w:p>
        </w:tc>
        <w:tc>
          <w:tcPr>
            <w:tcW w:w="1722" w:type="dxa"/>
            <w:vAlign w:val="center"/>
            <w:textDirection w:val="lrTb"/>
            <w:noWrap w:val="false"/>
          </w:tcPr>
          <w:p>
            <w:pPr>
              <w:pStyle w:val="1151"/>
              <w:jc w:val="center"/>
              <w:spacing w:before="60" w:after="6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60" w:after="60"/>
              <w:rPr>
                <w:sz w:val="18"/>
                <w:szCs w:val="21"/>
                <w:highlight w:val="none"/>
              </w:rPr>
            </w:pPr>
            <w:r>
              <w:rPr>
                <w:rFonts w:hint="eastAsia"/>
                <w:sz w:val="18"/>
                <w:szCs w:val="21"/>
                <w:highlight w:val="none"/>
              </w:rPr>
              <w:t xml:space="preserve">结构形式</w:t>
            </w:r>
            <w:r>
              <w:rPr>
                <w:sz w:val="18"/>
                <w:szCs w:val="21"/>
                <w:highlight w:val="none"/>
              </w:rPr>
            </w:r>
            <w:r/>
          </w:p>
        </w:tc>
        <w:tc>
          <w:tcPr>
            <w:tcW w:w="1214" w:type="dxa"/>
            <w:vAlign w:val="center"/>
            <w:textDirection w:val="lrTb"/>
            <w:noWrap w:val="false"/>
          </w:tcPr>
          <w:p>
            <w:pPr>
              <w:pStyle w:val="1151"/>
              <w:jc w:val="center"/>
              <w:spacing w:before="60" w:after="6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0" w:after="60"/>
              <w:rPr>
                <w:sz w:val="18"/>
                <w:szCs w:val="21"/>
                <w:highlight w:val="none"/>
              </w:rPr>
            </w:pPr>
            <w:r>
              <w:rPr>
                <w:rFonts w:hint="eastAsia"/>
                <w:sz w:val="18"/>
                <w:szCs w:val="21"/>
                <w:highlight w:val="none"/>
              </w:rPr>
              <w:t xml:space="preserve">紧压圆形</w:t>
            </w:r>
            <w:r>
              <w:rPr>
                <w:sz w:val="18"/>
                <w:szCs w:val="21"/>
                <w:highlight w:val="none"/>
              </w:rPr>
            </w:r>
            <w:r/>
          </w:p>
        </w:tc>
        <w:tc>
          <w:tcPr>
            <w:tcW w:w="1722" w:type="dxa"/>
            <w:vAlign w:val="center"/>
            <w:textDirection w:val="lrTb"/>
            <w:noWrap w:val="false"/>
          </w:tcPr>
          <w:p>
            <w:pPr>
              <w:pStyle w:val="1151"/>
              <w:jc w:val="center"/>
              <w:spacing w:before="60" w:after="6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restart"/>
            <w:textDirection w:val="lrTb"/>
            <w:noWrap w:val="false"/>
          </w:tcPr>
          <w:p>
            <w:pPr>
              <w:pStyle w:val="1151"/>
              <w:jc w:val="center"/>
              <w:spacing w:before="66" w:after="66"/>
              <w:rPr>
                <w:sz w:val="18"/>
                <w:szCs w:val="21"/>
                <w:highlight w:val="none"/>
              </w:rPr>
            </w:pPr>
            <w:r>
              <w:rPr>
                <w:sz w:val="18"/>
                <w:szCs w:val="21"/>
                <w:highlight w:val="none"/>
              </w:rPr>
              <w:t xml:space="preserve">最少单线根数</w:t>
            </w:r>
            <w:r>
              <w:rPr>
                <w:sz w:val="18"/>
                <w:szCs w:val="21"/>
                <w:highlight w:val="none"/>
              </w:rPr>
            </w:r>
            <w:r/>
          </w:p>
        </w:tc>
        <w:tc>
          <w:tcPr>
            <w:tcW w:w="1214" w:type="dxa"/>
            <w:vAlign w:val="center"/>
            <w:vMerge w:val="restart"/>
            <w:textDirection w:val="lrTb"/>
            <w:noWrap w:val="false"/>
          </w:tcPr>
          <w:p>
            <w:pPr>
              <w:pStyle w:val="1151"/>
              <w:jc w:val="center"/>
              <w:spacing w:before="66" w:after="66"/>
              <w:rPr>
                <w:sz w:val="18"/>
                <w:szCs w:val="21"/>
                <w:highlight w:val="none"/>
              </w:rPr>
            </w:pPr>
            <w:r>
              <w:rPr>
                <w:sz w:val="18"/>
                <w:szCs w:val="21"/>
                <w:highlight w:val="none"/>
              </w:rPr>
              <w:t xml:space="preserve">根</w:t>
            </w:r>
            <w:r>
              <w:rPr>
                <w:sz w:val="18"/>
                <w:szCs w:val="21"/>
                <w:highlight w:val="none"/>
              </w:rPr>
            </w:r>
            <w:r/>
          </w:p>
        </w:tc>
        <w:tc>
          <w:tcPr>
            <w:gridSpan w:val="2"/>
            <w:tcW w:w="1760" w:type="dxa"/>
            <w:vAlign w:val="center"/>
            <w:vMerge w:val="restart"/>
            <w:textDirection w:val="lrTb"/>
            <w:noWrap w:val="false"/>
          </w:tcPr>
          <w:p>
            <w:pPr>
              <w:pStyle w:val="1151"/>
              <w:jc w:val="center"/>
              <w:spacing w:before="66" w:after="66"/>
              <w:rPr>
                <w:sz w:val="18"/>
                <w:szCs w:val="21"/>
                <w:highlight w:val="none"/>
              </w:rPr>
            </w:pPr>
            <w:r>
              <w:rPr>
                <w:rFonts w:hint="eastAsia"/>
                <w:sz w:val="18"/>
                <w:szCs w:val="21"/>
                <w:highlight w:val="none"/>
              </w:rPr>
              <w:t xml:space="preserve">6</w:t>
            </w:r>
            <w:r>
              <w:rPr>
                <w:sz w:val="18"/>
                <w:szCs w:val="21"/>
                <w:highlight w:val="none"/>
              </w:rPr>
            </w:r>
            <w:r/>
          </w:p>
        </w:tc>
        <w:tc>
          <w:tcPr>
            <w:tcW w:w="1722" w:type="dxa"/>
            <w:vAlign w:val="center"/>
            <w:textDirection w:val="lrTb"/>
            <w:noWrap w:val="false"/>
          </w:tcPr>
          <w:p>
            <w:pPr>
              <w:pStyle w:val="1151"/>
              <w:jc w:val="center"/>
              <w:spacing w:before="66" w:after="66"/>
              <w:rPr>
                <w:sz w:val="18"/>
                <w:szCs w:val="21"/>
                <w:highlight w:val="none"/>
              </w:rPr>
            </w:pPr>
            <w:r>
              <w:rPr>
                <w:sz w:val="18"/>
                <w:szCs w:val="21"/>
                <w:highlight w:val="none"/>
              </w:rPr>
              <w:t xml:space="preserve">对应</w:t>
            </w:r>
            <w:r>
              <w:rPr>
                <w:rFonts w:hint="eastAsia"/>
                <w:sz w:val="18"/>
                <w:szCs w:val="21"/>
                <w:highlight w:val="none"/>
              </w:rPr>
              <w:t xml:space="preserve">35mm</w:t>
            </w:r>
            <w:r>
              <w:rPr>
                <w:rFonts w:hint="eastAsia"/>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66" w:after="66"/>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66" w:after="66"/>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6" w:after="66"/>
              <w:rPr>
                <w:sz w:val="18"/>
                <w:szCs w:val="21"/>
                <w:highlight w:val="none"/>
              </w:rPr>
            </w:pPr>
            <w:r>
              <w:rPr>
                <w:rFonts w:hint="eastAsia"/>
                <w:sz w:val="18"/>
                <w:szCs w:val="21"/>
                <w:highlight w:val="none"/>
              </w:rPr>
              <w:t xml:space="preserve">12</w:t>
            </w:r>
            <w:r>
              <w:rPr>
                <w:sz w:val="18"/>
                <w:szCs w:val="21"/>
                <w:highlight w:val="none"/>
              </w:rPr>
            </w:r>
            <w:r/>
          </w:p>
        </w:tc>
        <w:tc>
          <w:tcPr>
            <w:tcW w:w="1722" w:type="dxa"/>
            <w:vAlign w:val="center"/>
            <w:textDirection w:val="lrTb"/>
            <w:noWrap w:val="false"/>
          </w:tcPr>
          <w:p>
            <w:pPr>
              <w:pStyle w:val="1151"/>
              <w:jc w:val="center"/>
              <w:spacing w:before="66" w:after="66"/>
              <w:rPr>
                <w:sz w:val="18"/>
                <w:szCs w:val="21"/>
                <w:highlight w:val="none"/>
              </w:rPr>
            </w:pPr>
            <w:r>
              <w:rPr>
                <w:sz w:val="18"/>
                <w:szCs w:val="21"/>
                <w:highlight w:val="none"/>
              </w:rPr>
              <w:t xml:space="preserve">对应70</w:t>
            </w:r>
            <w:r>
              <w:rPr>
                <w:rFonts w:hint="eastAsia"/>
                <w:sz w:val="18"/>
                <w:szCs w:val="21"/>
                <w:highlight w:val="none"/>
              </w:rPr>
              <w:t xml:space="preserve">mm</w:t>
            </w:r>
            <w:r>
              <w:rPr>
                <w:rFonts w:hint="eastAsia"/>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66" w:after="66"/>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66" w:after="66"/>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6" w:after="66"/>
              <w:rPr>
                <w:sz w:val="18"/>
                <w:szCs w:val="21"/>
                <w:highlight w:val="none"/>
              </w:rPr>
            </w:pPr>
            <w:r>
              <w:rPr>
                <w:rFonts w:hint="eastAsia"/>
                <w:sz w:val="18"/>
                <w:szCs w:val="21"/>
                <w:highlight w:val="none"/>
              </w:rPr>
              <w:t xml:space="preserve">15</w:t>
            </w:r>
            <w:r>
              <w:rPr>
                <w:sz w:val="18"/>
                <w:szCs w:val="21"/>
                <w:highlight w:val="none"/>
              </w:rPr>
            </w:r>
            <w:r/>
          </w:p>
        </w:tc>
        <w:tc>
          <w:tcPr>
            <w:tcW w:w="1722" w:type="dxa"/>
            <w:vAlign w:val="center"/>
            <w:textDirection w:val="lrTb"/>
            <w:noWrap w:val="false"/>
          </w:tcPr>
          <w:p>
            <w:pPr>
              <w:pStyle w:val="1151"/>
              <w:jc w:val="center"/>
              <w:spacing w:before="66" w:after="66"/>
              <w:rPr>
                <w:sz w:val="18"/>
                <w:szCs w:val="21"/>
                <w:highlight w:val="none"/>
              </w:rPr>
            </w:pPr>
            <w:r>
              <w:rPr>
                <w:sz w:val="18"/>
                <w:szCs w:val="21"/>
                <w:highlight w:val="none"/>
              </w:rPr>
              <w:t xml:space="preserve">对应</w:t>
            </w:r>
            <w:r>
              <w:rPr>
                <w:rFonts w:hint="eastAsia"/>
                <w:sz w:val="18"/>
                <w:szCs w:val="21"/>
                <w:highlight w:val="none"/>
              </w:rPr>
              <w:t xml:space="preserve">95mm</w:t>
            </w:r>
            <w:r>
              <w:rPr>
                <w:rFonts w:hint="eastAsia"/>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66" w:after="66"/>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66" w:after="66"/>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6" w:after="66"/>
              <w:rPr>
                <w:sz w:val="18"/>
                <w:szCs w:val="21"/>
                <w:highlight w:val="none"/>
              </w:rPr>
            </w:pPr>
            <w:r>
              <w:rPr>
                <w:rFonts w:hint="eastAsia"/>
                <w:sz w:val="18"/>
                <w:szCs w:val="21"/>
                <w:highlight w:val="none"/>
              </w:rPr>
              <w:t xml:space="preserve">18</w:t>
            </w:r>
            <w:r>
              <w:rPr>
                <w:sz w:val="18"/>
                <w:szCs w:val="21"/>
                <w:highlight w:val="none"/>
              </w:rPr>
            </w:r>
            <w:r/>
          </w:p>
        </w:tc>
        <w:tc>
          <w:tcPr>
            <w:tcW w:w="1722" w:type="dxa"/>
            <w:vAlign w:val="center"/>
            <w:textDirection w:val="lrTb"/>
            <w:noWrap w:val="false"/>
          </w:tcPr>
          <w:p>
            <w:pPr>
              <w:pStyle w:val="1151"/>
              <w:jc w:val="center"/>
              <w:spacing w:before="66" w:after="66"/>
              <w:rPr>
                <w:sz w:val="18"/>
                <w:szCs w:val="21"/>
                <w:highlight w:val="none"/>
              </w:rPr>
            </w:pPr>
            <w:r>
              <w:rPr>
                <w:sz w:val="18"/>
                <w:szCs w:val="21"/>
                <w:highlight w:val="none"/>
              </w:rPr>
              <w:t xml:space="preserve">对应</w:t>
            </w:r>
            <w:r>
              <w:rPr>
                <w:rFonts w:hint="eastAsia"/>
                <w:sz w:val="18"/>
                <w:szCs w:val="21"/>
                <w:highlight w:val="none"/>
              </w:rPr>
              <w:t xml:space="preserve">12</w:t>
            </w:r>
            <w:r>
              <w:rPr>
                <w:sz w:val="18"/>
                <w:szCs w:val="21"/>
                <w:highlight w:val="none"/>
              </w:rPr>
              <w:t xml:space="preserve">0</w:t>
            </w:r>
            <w:r>
              <w:rPr>
                <w:rFonts w:hint="eastAsia"/>
                <w:sz w:val="18"/>
                <w:szCs w:val="21"/>
                <w:highlight w:val="none"/>
              </w:rPr>
              <w:t xml:space="preserve">mm</w:t>
            </w:r>
            <w:r>
              <w:rPr>
                <w:rFonts w:hint="eastAsia"/>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66" w:after="66"/>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66" w:after="66"/>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6" w:after="66"/>
              <w:rPr>
                <w:sz w:val="18"/>
                <w:szCs w:val="21"/>
                <w:highlight w:val="none"/>
              </w:rPr>
            </w:pPr>
            <w:r>
              <w:rPr>
                <w:rFonts w:hint="eastAsia"/>
                <w:sz w:val="18"/>
                <w:szCs w:val="21"/>
                <w:highlight w:val="none"/>
              </w:rPr>
              <w:t xml:space="preserve">18</w:t>
            </w:r>
            <w:r>
              <w:rPr>
                <w:sz w:val="18"/>
                <w:szCs w:val="21"/>
                <w:highlight w:val="none"/>
              </w:rPr>
            </w:r>
            <w:r/>
          </w:p>
        </w:tc>
        <w:tc>
          <w:tcPr>
            <w:tcW w:w="1722" w:type="dxa"/>
            <w:vAlign w:val="center"/>
            <w:textDirection w:val="lrTb"/>
            <w:noWrap w:val="false"/>
          </w:tcPr>
          <w:p>
            <w:pPr>
              <w:pStyle w:val="1151"/>
              <w:jc w:val="center"/>
              <w:spacing w:before="66" w:after="66"/>
              <w:rPr>
                <w:sz w:val="18"/>
                <w:szCs w:val="21"/>
                <w:highlight w:val="none"/>
              </w:rPr>
            </w:pPr>
            <w:r>
              <w:rPr>
                <w:sz w:val="18"/>
                <w:szCs w:val="21"/>
                <w:highlight w:val="none"/>
              </w:rPr>
              <w:t xml:space="preserve">对应</w:t>
            </w:r>
            <w:r>
              <w:rPr>
                <w:rFonts w:hint="eastAsia"/>
                <w:sz w:val="18"/>
                <w:szCs w:val="21"/>
                <w:highlight w:val="none"/>
              </w:rPr>
              <w:t xml:space="preserve">15</w:t>
            </w:r>
            <w:r>
              <w:rPr>
                <w:sz w:val="18"/>
                <w:szCs w:val="21"/>
                <w:highlight w:val="none"/>
              </w:rPr>
              <w:t xml:space="preserve">0</w:t>
            </w:r>
            <w:r>
              <w:rPr>
                <w:rFonts w:hint="eastAsia"/>
                <w:sz w:val="18"/>
                <w:szCs w:val="21"/>
                <w:highlight w:val="none"/>
              </w:rPr>
              <w:t xml:space="preserve">mm</w:t>
            </w:r>
            <w:r>
              <w:rPr>
                <w:rFonts w:hint="eastAsia"/>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66" w:after="66"/>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66" w:after="66"/>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6" w:after="66"/>
              <w:rPr>
                <w:sz w:val="18"/>
                <w:szCs w:val="21"/>
                <w:highlight w:val="none"/>
              </w:rPr>
            </w:pPr>
            <w:r>
              <w:rPr>
                <w:rFonts w:hint="eastAsia"/>
                <w:sz w:val="18"/>
                <w:szCs w:val="21"/>
                <w:highlight w:val="none"/>
              </w:rPr>
              <w:t xml:space="preserve">30</w:t>
            </w:r>
            <w:r>
              <w:rPr>
                <w:sz w:val="18"/>
                <w:szCs w:val="21"/>
                <w:highlight w:val="none"/>
              </w:rPr>
            </w:r>
            <w:r/>
          </w:p>
        </w:tc>
        <w:tc>
          <w:tcPr>
            <w:tcW w:w="1722" w:type="dxa"/>
            <w:vAlign w:val="center"/>
            <w:textDirection w:val="lrTb"/>
            <w:noWrap w:val="false"/>
          </w:tcPr>
          <w:p>
            <w:pPr>
              <w:pStyle w:val="1151"/>
              <w:jc w:val="center"/>
              <w:spacing w:before="66" w:after="66"/>
              <w:rPr>
                <w:sz w:val="18"/>
                <w:szCs w:val="21"/>
                <w:highlight w:val="none"/>
              </w:rPr>
            </w:pPr>
            <w:r>
              <w:rPr>
                <w:sz w:val="18"/>
                <w:szCs w:val="21"/>
                <w:highlight w:val="none"/>
              </w:rPr>
              <w:t xml:space="preserve">对应1</w:t>
            </w:r>
            <w:r>
              <w:rPr>
                <w:rFonts w:hint="eastAsia"/>
                <w:sz w:val="18"/>
                <w:szCs w:val="21"/>
                <w:highlight w:val="none"/>
              </w:rPr>
              <w:t xml:space="preserve">85mm</w:t>
            </w:r>
            <w:r>
              <w:rPr>
                <w:rFonts w:hint="eastAsia"/>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66" w:after="66"/>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66" w:after="66"/>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6" w:after="66"/>
              <w:rPr>
                <w:sz w:val="18"/>
                <w:szCs w:val="21"/>
                <w:highlight w:val="none"/>
              </w:rPr>
            </w:pPr>
            <w:r>
              <w:rPr>
                <w:sz w:val="18"/>
                <w:szCs w:val="21"/>
                <w:highlight w:val="none"/>
              </w:rPr>
              <w:t xml:space="preserve">34</w:t>
            </w:r>
            <w:r>
              <w:rPr>
                <w:sz w:val="18"/>
                <w:szCs w:val="21"/>
                <w:highlight w:val="none"/>
              </w:rPr>
            </w:r>
            <w:r/>
          </w:p>
        </w:tc>
        <w:tc>
          <w:tcPr>
            <w:tcW w:w="1722" w:type="dxa"/>
            <w:vAlign w:val="center"/>
            <w:textDirection w:val="lrTb"/>
            <w:noWrap w:val="false"/>
          </w:tcPr>
          <w:p>
            <w:pPr>
              <w:pStyle w:val="1151"/>
              <w:jc w:val="center"/>
              <w:spacing w:before="66" w:after="66"/>
              <w:rPr>
                <w:sz w:val="18"/>
                <w:szCs w:val="21"/>
                <w:highlight w:val="none"/>
              </w:rPr>
            </w:pPr>
            <w:r>
              <w:rPr>
                <w:sz w:val="18"/>
                <w:szCs w:val="21"/>
                <w:highlight w:val="none"/>
              </w:rPr>
              <w:t xml:space="preserve">对应240</w:t>
            </w:r>
            <w:r>
              <w:rPr>
                <w:rFonts w:hint="eastAsia"/>
                <w:sz w:val="18"/>
                <w:szCs w:val="21"/>
                <w:highlight w:val="none"/>
              </w:rPr>
              <w:t xml:space="preserve">mm</w:t>
            </w:r>
            <w:r>
              <w:rPr>
                <w:rFonts w:hint="eastAsia"/>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66" w:after="66"/>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66" w:after="66"/>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6" w:after="66"/>
              <w:rPr>
                <w:sz w:val="18"/>
                <w:szCs w:val="21"/>
                <w:highlight w:val="none"/>
              </w:rPr>
            </w:pPr>
            <w:r>
              <w:rPr>
                <w:sz w:val="18"/>
                <w:szCs w:val="21"/>
                <w:highlight w:val="none"/>
              </w:rPr>
              <w:t xml:space="preserve">34</w:t>
            </w:r>
            <w:r>
              <w:rPr>
                <w:sz w:val="18"/>
                <w:szCs w:val="21"/>
                <w:highlight w:val="none"/>
              </w:rPr>
            </w:r>
            <w:r/>
          </w:p>
        </w:tc>
        <w:tc>
          <w:tcPr>
            <w:tcW w:w="1722" w:type="dxa"/>
            <w:vAlign w:val="center"/>
            <w:textDirection w:val="lrTb"/>
            <w:noWrap w:val="false"/>
          </w:tcPr>
          <w:p>
            <w:pPr>
              <w:pStyle w:val="1151"/>
              <w:jc w:val="center"/>
              <w:spacing w:before="66" w:after="66"/>
              <w:rPr>
                <w:sz w:val="18"/>
                <w:szCs w:val="21"/>
                <w:highlight w:val="none"/>
              </w:rPr>
            </w:pPr>
            <w:r>
              <w:rPr>
                <w:sz w:val="18"/>
                <w:szCs w:val="21"/>
                <w:highlight w:val="none"/>
              </w:rPr>
              <w:t xml:space="preserve">对应300</w:t>
            </w:r>
            <w:r>
              <w:rPr>
                <w:rFonts w:hint="eastAsia"/>
                <w:sz w:val="18"/>
                <w:szCs w:val="21"/>
                <w:highlight w:val="none"/>
              </w:rPr>
              <w:t xml:space="preserve">mm</w:t>
            </w:r>
            <w:r>
              <w:rPr>
                <w:rFonts w:hint="eastAsia"/>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66" w:after="66"/>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66" w:after="66"/>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sz w:val="18"/>
                <w:szCs w:val="21"/>
                <w:highlight w:val="none"/>
              </w:rPr>
              <w:t xml:space="preserve">53</w:t>
            </w:r>
            <w:r>
              <w:rPr>
                <w:sz w:val="18"/>
                <w:szCs w:val="21"/>
                <w:highlight w:val="none"/>
              </w:rPr>
            </w:r>
            <w:r/>
          </w:p>
        </w:tc>
        <w:tc>
          <w:tcPr>
            <w:tcW w:w="1722" w:type="dxa"/>
            <w:vAlign w:val="center"/>
            <w:textDirection w:val="lrTb"/>
            <w:noWrap w:val="false"/>
          </w:tcPr>
          <w:p>
            <w:pPr>
              <w:pStyle w:val="1151"/>
              <w:jc w:val="center"/>
              <w:spacing w:before="66" w:after="66"/>
              <w:rPr>
                <w:sz w:val="18"/>
                <w:szCs w:val="21"/>
                <w:highlight w:val="none"/>
              </w:rPr>
            </w:pPr>
            <w:r>
              <w:rPr>
                <w:sz w:val="18"/>
                <w:szCs w:val="21"/>
                <w:highlight w:val="none"/>
              </w:rPr>
              <w:t xml:space="preserve">对应400</w:t>
            </w:r>
            <w:r>
              <w:rPr>
                <w:rFonts w:hint="eastAsia"/>
                <w:sz w:val="18"/>
                <w:szCs w:val="21"/>
                <w:highlight w:val="none"/>
              </w:rPr>
              <w:t xml:space="preserve">mm</w:t>
            </w:r>
            <w:r>
              <w:rPr>
                <w:rFonts w:hint="eastAsia"/>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restart"/>
            <w:textDirection w:val="lrTb"/>
            <w:noWrap w:val="false"/>
          </w:tcPr>
          <w:p>
            <w:pPr>
              <w:pStyle w:val="1151"/>
              <w:jc w:val="center"/>
              <w:spacing w:before="70" w:after="70"/>
              <w:rPr>
                <w:sz w:val="18"/>
                <w:szCs w:val="21"/>
                <w:highlight w:val="none"/>
              </w:rPr>
            </w:pPr>
            <w:r>
              <w:rPr>
                <w:sz w:val="18"/>
                <w:szCs w:val="21"/>
                <w:highlight w:val="none"/>
              </w:rPr>
              <w:t xml:space="preserve">导体外径</w:t>
            </w:r>
            <w:r>
              <w:rPr>
                <w:sz w:val="18"/>
                <w:szCs w:val="21"/>
                <w:highlight w:val="none"/>
              </w:rPr>
            </w:r>
            <w:r/>
          </w:p>
        </w:tc>
        <w:tc>
          <w:tcPr>
            <w:tcW w:w="1214" w:type="dxa"/>
            <w:vAlign w:val="center"/>
            <w:vMerge w:val="restart"/>
            <w:textDirection w:val="lrTb"/>
            <w:noWrap w:val="false"/>
          </w:tcPr>
          <w:p>
            <w:pPr>
              <w:pStyle w:val="1151"/>
              <w:jc w:val="center"/>
              <w:spacing w:before="70" w:after="70"/>
              <w:rPr>
                <w:sz w:val="18"/>
                <w:szCs w:val="21"/>
                <w:highlight w:val="none"/>
              </w:rPr>
            </w:pPr>
            <w:r>
              <w:rPr>
                <w:sz w:val="18"/>
                <w:szCs w:val="21"/>
                <w:highlight w:val="none"/>
              </w:rPr>
              <w:t xml:space="preserve">mm</w:t>
            </w:r>
            <w:r>
              <w:rPr>
                <w:sz w:val="18"/>
                <w:szCs w:val="21"/>
                <w:highlight w:val="none"/>
              </w:rPr>
            </w:r>
            <w:r/>
          </w:p>
        </w:tc>
        <w:tc>
          <w:tcPr>
            <w:gridSpan w:val="2"/>
            <w:tcW w:w="1760" w:type="dxa"/>
            <w:vAlign w:val="center"/>
            <w:vMerge w:val="restart"/>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66" w:after="66"/>
              <w:rPr>
                <w:sz w:val="18"/>
                <w:szCs w:val="21"/>
                <w:highlight w:val="none"/>
              </w:rPr>
            </w:pPr>
            <w:r>
              <w:rPr>
                <w:sz w:val="18"/>
                <w:szCs w:val="21"/>
                <w:highlight w:val="none"/>
              </w:rPr>
              <w:t xml:space="preserve">对应</w:t>
            </w:r>
            <w:r>
              <w:rPr>
                <w:rFonts w:hint="eastAsia"/>
                <w:sz w:val="18"/>
                <w:szCs w:val="21"/>
                <w:highlight w:val="none"/>
              </w:rPr>
              <w:t xml:space="preserve">35mm</w:t>
            </w:r>
            <w:r>
              <w:rPr>
                <w:rFonts w:hint="eastAsia"/>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对应70</w:t>
            </w:r>
            <w:r>
              <w:rPr>
                <w:rFonts w:hint="eastAsia"/>
                <w:sz w:val="18"/>
                <w:szCs w:val="21"/>
                <w:highlight w:val="none"/>
              </w:rPr>
              <w:t xml:space="preserve">mm</w:t>
            </w:r>
            <w:r>
              <w:rPr>
                <w:rFonts w:hint="eastAsia"/>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w:t>
            </w:r>
            <w:r>
              <w:rPr>
                <w:rFonts w:hint="eastAsia"/>
                <w:sz w:val="18"/>
                <w:szCs w:val="21"/>
                <w:highlight w:val="none"/>
              </w:rPr>
              <w:t xml:space="preserve">95mm</w:t>
            </w:r>
            <w:r>
              <w:rPr>
                <w:rFonts w:hint="eastAsia"/>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w:t>
            </w:r>
            <w:r>
              <w:rPr>
                <w:rFonts w:hint="eastAsia"/>
                <w:sz w:val="18"/>
                <w:szCs w:val="21"/>
                <w:highlight w:val="none"/>
              </w:rPr>
              <w:t xml:space="preserve">12</w:t>
            </w:r>
            <w:r>
              <w:rPr>
                <w:sz w:val="18"/>
                <w:szCs w:val="21"/>
                <w:highlight w:val="none"/>
              </w:rPr>
              <w:t xml:space="preserve">0</w:t>
            </w:r>
            <w:r>
              <w:rPr>
                <w:rFonts w:hint="eastAsia"/>
                <w:sz w:val="18"/>
                <w:szCs w:val="21"/>
                <w:highlight w:val="none"/>
              </w:rPr>
              <w:t xml:space="preserve">mm</w:t>
            </w:r>
            <w:r>
              <w:rPr>
                <w:rFonts w:hint="eastAsia"/>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w:t>
            </w:r>
            <w:r>
              <w:rPr>
                <w:rFonts w:hint="eastAsia"/>
                <w:sz w:val="18"/>
                <w:szCs w:val="21"/>
                <w:highlight w:val="none"/>
              </w:rPr>
              <w:t xml:space="preserve">15</w:t>
            </w:r>
            <w:r>
              <w:rPr>
                <w:sz w:val="18"/>
                <w:szCs w:val="21"/>
                <w:highlight w:val="none"/>
              </w:rPr>
              <w:t xml:space="preserve">0</w:t>
            </w:r>
            <w:r>
              <w:rPr>
                <w:rFonts w:hint="eastAsia"/>
                <w:sz w:val="18"/>
                <w:szCs w:val="21"/>
                <w:highlight w:val="none"/>
              </w:rPr>
              <w:t xml:space="preserve">mm</w:t>
            </w:r>
            <w:r>
              <w:rPr>
                <w:rFonts w:hint="eastAsia"/>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对应1</w:t>
            </w:r>
            <w:r>
              <w:rPr>
                <w:rFonts w:hint="eastAsia"/>
                <w:sz w:val="18"/>
                <w:szCs w:val="21"/>
                <w:highlight w:val="none"/>
              </w:rPr>
              <w:t xml:space="preserve">85mm</w:t>
            </w:r>
            <w:r>
              <w:rPr>
                <w:rFonts w:hint="eastAsia"/>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对应240</w:t>
            </w:r>
            <w:r>
              <w:rPr>
                <w:rFonts w:hint="eastAsia"/>
                <w:sz w:val="18"/>
                <w:szCs w:val="21"/>
                <w:highlight w:val="none"/>
              </w:rPr>
              <w:t xml:space="preserve">mm</w:t>
            </w:r>
            <w:r>
              <w:rPr>
                <w:rFonts w:hint="eastAsia"/>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vMerge w:val="restart"/>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对应300</w:t>
            </w:r>
            <w:r>
              <w:rPr>
                <w:rFonts w:hint="eastAsia"/>
                <w:sz w:val="18"/>
                <w:szCs w:val="21"/>
                <w:highlight w:val="none"/>
              </w:rPr>
              <w:t xml:space="preserve">mm</w:t>
            </w:r>
            <w:r>
              <w:rPr>
                <w:rFonts w:hint="eastAsia"/>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对应400</w:t>
            </w:r>
            <w:r>
              <w:rPr>
                <w:rFonts w:hint="eastAsia"/>
                <w:sz w:val="18"/>
                <w:szCs w:val="21"/>
                <w:highlight w:val="none"/>
              </w:rPr>
              <w:t xml:space="preserve">mm</w:t>
            </w:r>
            <w:r>
              <w:rPr>
                <w:rFonts w:hint="eastAsia"/>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60" w:after="6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紧压系数</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≥0.9</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restart"/>
            <w:textDirection w:val="lrTb"/>
            <w:noWrap w:val="false"/>
          </w:tcPr>
          <w:p>
            <w:pPr>
              <w:pStyle w:val="1151"/>
              <w:jc w:val="center"/>
              <w:spacing w:before="70" w:after="70"/>
              <w:rPr>
                <w:sz w:val="18"/>
                <w:szCs w:val="21"/>
                <w:highlight w:val="none"/>
              </w:rPr>
            </w:pPr>
            <w:r>
              <w:rPr>
                <w:sz w:val="18"/>
                <w:szCs w:val="21"/>
                <w:highlight w:val="none"/>
              </w:rPr>
              <w:t xml:space="preserve">导体屏蔽</w:t>
            </w: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挤包半导电厚度</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mm</w:t>
            </w: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外径</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mm</w:t>
            </w: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restart"/>
            <w:textDirection w:val="lrTb"/>
            <w:noWrap w:val="false"/>
          </w:tcPr>
          <w:p>
            <w:pPr>
              <w:pStyle w:val="1151"/>
              <w:jc w:val="center"/>
              <w:spacing w:before="70" w:after="70"/>
              <w:rPr>
                <w:sz w:val="18"/>
                <w:szCs w:val="21"/>
                <w:highlight w:val="none"/>
              </w:rPr>
            </w:pPr>
            <w:r>
              <w:rPr>
                <w:sz w:val="18"/>
                <w:szCs w:val="21"/>
                <w:highlight w:val="none"/>
              </w:rPr>
              <w:t xml:space="preserve">绝缘</w:t>
            </w: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材料</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XLPE</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平均厚度不小于标称厚度 </w:t>
            </w:r>
            <w:r>
              <w:rPr>
                <w:i/>
                <w:sz w:val="18"/>
                <w:szCs w:val="21"/>
                <w:highlight w:val="none"/>
              </w:rPr>
              <w:t xml:space="preserve">t</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mm</w:t>
            </w: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4.5</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最薄点厚度不小于</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mm</w:t>
            </w: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4</w:t>
            </w:r>
            <w:r>
              <w:rPr>
                <w:rFonts w:hint="eastAsia"/>
                <w:sz w:val="18"/>
                <w:szCs w:val="21"/>
                <w:highlight w:val="none"/>
              </w:rPr>
              <w:t xml:space="preserve">.1</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偏心度</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w:t>
            </w: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10</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restart"/>
            <w:textDirection w:val="lrTb"/>
            <w:noWrap w:val="false"/>
          </w:tcPr>
          <w:p>
            <w:pPr>
              <w:pStyle w:val="1151"/>
              <w:jc w:val="center"/>
              <w:spacing w:before="70" w:after="70"/>
              <w:rPr>
                <w:sz w:val="18"/>
                <w:szCs w:val="21"/>
                <w:highlight w:val="none"/>
              </w:rPr>
            </w:pPr>
            <w:r>
              <w:rPr>
                <w:sz w:val="18"/>
                <w:szCs w:val="21"/>
                <w:highlight w:val="none"/>
              </w:rPr>
              <w:t xml:space="preserve">绝缘屏蔽层</w:t>
            </w:r>
            <w:r>
              <w:rPr>
                <w:rFonts w:hint="eastAsia"/>
                <w:sz w:val="18"/>
                <w:szCs w:val="21"/>
                <w:highlight w:val="none"/>
              </w:rPr>
              <w:br w:type="textWrapping" w:clear="all"/>
            </w: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最小</w:t>
            </w:r>
            <w:r>
              <w:rPr>
                <w:sz w:val="18"/>
                <w:szCs w:val="21"/>
                <w:highlight w:val="none"/>
              </w:rPr>
              <w:t xml:space="preserve">厚度</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mm</w:t>
            </w: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外径</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mm</w:t>
            </w: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restart"/>
            <w:textDirection w:val="lrTb"/>
            <w:noWrap w:val="false"/>
          </w:tcPr>
          <w:p>
            <w:pPr>
              <w:pStyle w:val="1151"/>
              <w:jc w:val="center"/>
              <w:spacing w:before="70" w:after="70"/>
              <w:rPr>
                <w:sz w:val="18"/>
                <w:szCs w:val="21"/>
                <w:highlight w:val="none"/>
              </w:rPr>
            </w:pPr>
            <w:r>
              <w:rPr>
                <w:sz w:val="18"/>
                <w:szCs w:val="21"/>
                <w:highlight w:val="none"/>
              </w:rPr>
              <w:t xml:space="preserve">金属屏蔽</w:t>
            </w: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铜带</w:t>
            </w:r>
            <w:r>
              <w:rPr>
                <w:sz w:val="18"/>
                <w:szCs w:val="21"/>
                <w:highlight w:val="none"/>
              </w:rPr>
              <w:t xml:space="preserve">层数</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1</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铜带最小</w:t>
            </w:r>
            <w:r>
              <w:rPr>
                <w:sz w:val="18"/>
                <w:szCs w:val="21"/>
                <w:highlight w:val="none"/>
              </w:rPr>
              <w:t xml:space="preserve">厚度</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mm</w:t>
            </w: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0.1</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平均搭盖率</w:t>
            </w:r>
            <w:r>
              <w:rPr>
                <w:sz w:val="18"/>
                <w:szCs w:val="21"/>
                <w:highlight w:val="none"/>
              </w:rPr>
              <w:t xml:space="preserve">不小于</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w:t>
            </w: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15</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最小搭盖率</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w:t>
            </w: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5</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铜丝直径×根数</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m</w:t>
            </w:r>
            <w:r>
              <w:rPr>
                <w:sz w:val="18"/>
                <w:szCs w:val="21"/>
                <w:highlight w:val="none"/>
              </w:rPr>
              <w:t xml:space="preserve">m</w:t>
            </w:r>
            <w:r>
              <w:rPr>
                <w:rFonts w:hint="eastAsia"/>
                <w:sz w:val="18"/>
                <w:szCs w:val="21"/>
                <w:highlight w:val="none"/>
              </w:rPr>
              <w:t xml:space="preserve">×根</w:t>
            </w: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20</w:t>
            </w:r>
            <w:r>
              <w:rPr>
                <w:rFonts w:hint="eastAsia" w:cs="宋体"/>
                <w:sz w:val="18"/>
                <w:szCs w:val="21"/>
                <w:highlight w:val="none"/>
              </w:rPr>
              <w:t xml:space="preserve">℃</w:t>
            </w:r>
            <w:r>
              <w:rPr>
                <w:sz w:val="18"/>
                <w:szCs w:val="21"/>
                <w:highlight w:val="none"/>
              </w:rPr>
              <w:t xml:space="preserve">时最大直流电阻</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rFonts w:ascii="Symbol" w:hAnsi="Symbol"/>
                <w:sz w:val="18"/>
                <w:szCs w:val="21"/>
                <w:highlight w:val="none"/>
              </w:rPr>
              <w:t xml:space="preserve"></w:t>
            </w:r>
            <w:r>
              <w:rPr>
                <w:sz w:val="18"/>
                <w:szCs w:val="21"/>
                <w:highlight w:val="none"/>
              </w:rPr>
              <w:t xml:space="preserve">/km</w:t>
            </w:r>
            <w:r>
              <w:rPr>
                <w:rFonts w:hint="eastAsia"/>
                <w:sz w:val="18"/>
                <w:szCs w:val="21"/>
                <w:highlight w:val="none"/>
              </w:rPr>
              <w:t xml:space="preserve"> </w:t>
            </w: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填充层</w:t>
            </w: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填充材料</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rFonts w:hint="eastAsia" w:cs="Arial"/>
                <w:sz w:val="18"/>
                <w:szCs w:val="21"/>
                <w:highlight w:val="none"/>
              </w:rPr>
              <w:t xml:space="preserve">供货方</w:t>
            </w:r>
            <w:r>
              <w:rPr>
                <w:rFonts w:hint="eastAsia"/>
                <w:sz w:val="18"/>
                <w:szCs w:val="21"/>
                <w:highlight w:val="none"/>
              </w:rPr>
              <w:t xml:space="preserve">提供（聚丙烯膜或聚丙烯绳）</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restart"/>
            <w:textDirection w:val="lrTb"/>
            <w:noWrap w:val="false"/>
          </w:tcPr>
          <w:p>
            <w:pPr>
              <w:pStyle w:val="1151"/>
              <w:jc w:val="center"/>
              <w:spacing w:before="70" w:after="70"/>
              <w:rPr>
                <w:sz w:val="18"/>
                <w:szCs w:val="21"/>
                <w:highlight w:val="none"/>
              </w:rPr>
            </w:pPr>
            <w:r>
              <w:rPr>
                <w:sz w:val="18"/>
                <w:szCs w:val="21"/>
                <w:highlight w:val="none"/>
              </w:rPr>
              <w:t xml:space="preserve">隔离套</w:t>
            </w: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挤包材料</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最小</w:t>
            </w:r>
            <w:r>
              <w:rPr>
                <w:sz w:val="18"/>
                <w:szCs w:val="21"/>
                <w:highlight w:val="none"/>
              </w:rPr>
              <w:t xml:space="preserve">厚度不小于标称厚度 </w:t>
            </w:r>
            <w:r>
              <w:rPr>
                <w:rFonts w:hint="eastAsia"/>
                <w:i/>
                <w:sz w:val="18"/>
                <w:szCs w:val="21"/>
                <w:highlight w:val="none"/>
              </w:rPr>
              <w:t xml:space="preserve">t</w:t>
            </w:r>
            <w:r>
              <w:rPr>
                <w:rFonts w:hint="eastAsia"/>
                <w:sz w:val="18"/>
                <w:szCs w:val="21"/>
                <w:highlight w:val="none"/>
              </w:rPr>
              <w:t xml:space="preserve">（铠装）</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mm</w:t>
            </w:r>
            <w:r>
              <w:rPr>
                <w:sz w:val="18"/>
                <w:szCs w:val="21"/>
                <w:highlight w:val="none"/>
              </w:rPr>
            </w:r>
            <w:r/>
          </w:p>
        </w:tc>
        <w:tc>
          <w:tcPr>
            <w:gridSpan w:val="2"/>
            <w:tcW w:w="1760" w:type="dxa"/>
            <w:vAlign w:val="center"/>
            <w:textDirection w:val="lrTb"/>
            <w:noWrap w:val="false"/>
          </w:tcPr>
          <w:p>
            <w:pPr>
              <w:pStyle w:val="1151"/>
              <w:jc w:val="center"/>
              <w:spacing w:before="70" w:after="70"/>
              <w:rPr>
                <w:rFonts w:cs="Arial"/>
                <w:sz w:val="18"/>
                <w:szCs w:val="21"/>
                <w:highlight w:val="none"/>
              </w:rPr>
            </w:pPr>
            <w:r>
              <w:rPr>
                <w:rFonts w:hint="eastAsia"/>
                <w:sz w:val="18"/>
                <w:szCs w:val="21"/>
                <w:highlight w:val="none"/>
              </w:rPr>
              <w:t xml:space="preserve">80%</w:t>
            </w:r>
            <w:r>
              <w:rPr>
                <w:rFonts w:hint="eastAsia"/>
                <w:i/>
                <w:sz w:val="18"/>
                <w:szCs w:val="21"/>
                <w:highlight w:val="none"/>
              </w:rPr>
              <w:t xml:space="preserve">t</w:t>
            </w:r>
            <w:r>
              <w:rPr>
                <w:rFonts w:cs="Arial"/>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最小</w:t>
            </w:r>
            <w:r>
              <w:rPr>
                <w:sz w:val="18"/>
                <w:szCs w:val="21"/>
                <w:highlight w:val="none"/>
              </w:rPr>
              <w:t xml:space="preserve">厚度不小于标称厚度 </w:t>
            </w:r>
            <w:r>
              <w:rPr>
                <w:rFonts w:hint="eastAsia"/>
                <w:i/>
                <w:sz w:val="18"/>
                <w:szCs w:val="21"/>
                <w:highlight w:val="none"/>
              </w:rPr>
              <w:t xml:space="preserve">t</w:t>
            </w:r>
            <w:r>
              <w:rPr>
                <w:rFonts w:hint="eastAsia"/>
                <w:sz w:val="18"/>
                <w:szCs w:val="21"/>
                <w:highlight w:val="none"/>
              </w:rPr>
              <w:t xml:space="preserve">（无铠装）</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mm</w:t>
            </w: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85%</w:t>
            </w:r>
            <w:r>
              <w:rPr>
                <w:rFonts w:hint="eastAsia"/>
                <w:i/>
                <w:sz w:val="18"/>
                <w:szCs w:val="21"/>
                <w:highlight w:val="none"/>
              </w:rPr>
              <w:t xml:space="preserve">t</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restart"/>
            <w:textDirection w:val="lrTb"/>
            <w:noWrap w:val="false"/>
          </w:tcPr>
          <w:p>
            <w:pPr>
              <w:pStyle w:val="1151"/>
              <w:jc w:val="center"/>
              <w:spacing w:before="70" w:after="70"/>
              <w:rPr>
                <w:sz w:val="18"/>
                <w:szCs w:val="21"/>
                <w:highlight w:val="none"/>
              </w:rPr>
            </w:pPr>
            <w:r>
              <w:rPr>
                <w:rFonts w:hint="eastAsia"/>
                <w:sz w:val="18"/>
                <w:szCs w:val="21"/>
                <w:highlight w:val="none"/>
              </w:rPr>
              <w:t xml:space="preserve">内衬层</w:t>
            </w: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材料</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厚度</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mm</w:t>
            </w: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restart"/>
            <w:textDirection w:val="lrTb"/>
            <w:noWrap w:val="false"/>
          </w:tcPr>
          <w:p>
            <w:pPr>
              <w:pStyle w:val="1151"/>
              <w:jc w:val="center"/>
              <w:spacing w:before="70" w:after="70"/>
              <w:rPr>
                <w:sz w:val="18"/>
                <w:szCs w:val="21"/>
                <w:highlight w:val="none"/>
              </w:rPr>
            </w:pPr>
            <w:r>
              <w:rPr>
                <w:sz w:val="18"/>
                <w:szCs w:val="21"/>
                <w:highlight w:val="none"/>
              </w:rPr>
              <w:t xml:space="preserve">铠装</w:t>
            </w:r>
            <w:r>
              <w:rPr>
                <w:rFonts w:hint="eastAsia"/>
                <w:sz w:val="18"/>
                <w:szCs w:val="21"/>
                <w:highlight w:val="none"/>
              </w:rPr>
              <w:t xml:space="preserve">层</w:t>
            </w: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材料</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与供货需求表一致</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钢带</w:t>
            </w:r>
            <w:r>
              <w:rPr>
                <w:sz w:val="18"/>
                <w:szCs w:val="21"/>
                <w:highlight w:val="none"/>
              </w:rPr>
              <w:t xml:space="preserve">厚度/</w:t>
            </w:r>
            <w:r>
              <w:rPr>
                <w:rFonts w:hint="eastAsia"/>
                <w:sz w:val="18"/>
                <w:szCs w:val="21"/>
                <w:highlight w:val="none"/>
              </w:rPr>
              <w:t xml:space="preserve">钢丝直径</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mm</w:t>
            </w: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钢带</w:t>
            </w:r>
            <w:r>
              <w:rPr>
                <w:sz w:val="18"/>
                <w:szCs w:val="21"/>
                <w:highlight w:val="none"/>
              </w:rPr>
              <w:t xml:space="preserve">层数</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层</w:t>
            </w: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2</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钢带</w:t>
            </w:r>
            <w:r>
              <w:rPr>
                <w:sz w:val="18"/>
                <w:szCs w:val="21"/>
                <w:highlight w:val="none"/>
              </w:rPr>
              <w:t xml:space="preserve">宽度</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mm</w:t>
            </w: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3"/>
            <w:tcW w:w="1510" w:type="dxa"/>
            <w:vAlign w:val="center"/>
            <w:vMerge w:val="restart"/>
            <w:textDirection w:val="lrTb"/>
            <w:noWrap w:val="false"/>
          </w:tcPr>
          <w:p>
            <w:pPr>
              <w:pStyle w:val="1151"/>
              <w:jc w:val="center"/>
              <w:spacing w:before="70" w:after="70"/>
              <w:rPr>
                <w:sz w:val="18"/>
                <w:szCs w:val="21"/>
                <w:highlight w:val="none"/>
              </w:rPr>
            </w:pPr>
            <w:r>
              <w:rPr>
                <w:sz w:val="18"/>
                <w:szCs w:val="21"/>
                <w:highlight w:val="none"/>
              </w:rPr>
              <w:t xml:space="preserve">外护套</w:t>
            </w: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材料</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YJLV及YJV型电缆选用PVC，YJY型电缆选用PE</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颜色</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黑色</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标称厚度</w:t>
            </w:r>
            <w:r>
              <w:rPr>
                <w:rFonts w:hint="eastAsia"/>
                <w:i/>
                <w:sz w:val="18"/>
                <w:szCs w:val="21"/>
                <w:highlight w:val="none"/>
              </w:rPr>
              <w:t xml:space="preserve">t</w:t>
            </w:r>
            <w:r>
              <w:rPr>
                <w:rFonts w:hint="eastAsia"/>
                <w:sz w:val="18"/>
                <w:szCs w:val="21"/>
                <w:highlight w:val="none"/>
              </w:rPr>
              <w:t xml:space="preserve">（无铠装）</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mm</w:t>
            </w: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参照通用选择</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标称厚度</w:t>
            </w:r>
            <w:r>
              <w:rPr>
                <w:rFonts w:hint="eastAsia"/>
                <w:i/>
                <w:sz w:val="18"/>
                <w:szCs w:val="21"/>
                <w:highlight w:val="none"/>
              </w:rPr>
              <w:t xml:space="preserve">t</w:t>
            </w:r>
            <w:r>
              <w:rPr>
                <w:rFonts w:hint="eastAsia"/>
                <w:sz w:val="18"/>
                <w:szCs w:val="21"/>
                <w:highlight w:val="none"/>
              </w:rPr>
              <w:t xml:space="preserve">（有铠装）</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mm</w:t>
            </w: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参照通用选择</w:t>
            </w:r>
            <w:r>
              <w:rPr>
                <w:sz w:val="18"/>
                <w:szCs w:val="21"/>
                <w:highlight w:val="none"/>
              </w:rPr>
            </w:r>
            <w:r/>
          </w:p>
        </w:tc>
      </w:tr>
      <w:tr>
        <w:trPr>
          <w:cantSplit/>
        </w:trPr>
        <w:tc>
          <w:tcPr>
            <w:gridSpan w:val="3"/>
            <w:tcW w:w="1510"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2603"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最薄点厚度不小于</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mm</w:t>
            </w: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90</w:t>
            </w:r>
            <w:r>
              <w:rPr>
                <w:sz w:val="18"/>
                <w:szCs w:val="21"/>
                <w:highlight w:val="none"/>
              </w:rPr>
              <w:t xml:space="preserve">%</w:t>
            </w:r>
            <w:r>
              <w:rPr>
                <w:i/>
                <w:sz w:val="18"/>
                <w:szCs w:val="21"/>
                <w:highlight w:val="none"/>
              </w:rPr>
              <w:t xml:space="preserve">t</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5"/>
            <w:tcW w:w="4113"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电缆外径</w:t>
            </w:r>
            <w:r>
              <w:rPr>
                <w:rFonts w:hint="eastAsia"/>
                <w:i/>
                <w:sz w:val="18"/>
                <w:szCs w:val="21"/>
                <w:highlight w:val="none"/>
              </w:rPr>
              <w:t xml:space="preserve">D</w:t>
            </w:r>
            <w:r>
              <w:rPr>
                <w:sz w:val="18"/>
                <w:szCs w:val="21"/>
                <w:highlight w:val="none"/>
              </w:rPr>
            </w:r>
            <w:r/>
          </w:p>
        </w:tc>
        <w:tc>
          <w:tcPr>
            <w:tcW w:w="1214"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mm</w:t>
            </w: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r>
            <w:r/>
          </w:p>
        </w:tc>
      </w:tr>
      <w:tr>
        <w:trPr>
          <w:cantSplit/>
        </w:trPr>
        <w:tc>
          <w:tcPr>
            <w:gridSpan w:val="5"/>
            <w:tcW w:w="4113" w:type="dxa"/>
            <w:vAlign w:val="center"/>
            <w:vMerge w:val="restart"/>
            <w:textDirection w:val="lrTb"/>
            <w:noWrap w:val="false"/>
          </w:tcPr>
          <w:p>
            <w:pPr>
              <w:pStyle w:val="1151"/>
              <w:jc w:val="center"/>
              <w:spacing w:before="70" w:after="70"/>
              <w:rPr>
                <w:sz w:val="18"/>
                <w:szCs w:val="21"/>
                <w:highlight w:val="none"/>
              </w:rPr>
            </w:pPr>
            <w:r>
              <w:rPr>
                <w:sz w:val="18"/>
                <w:szCs w:val="21"/>
                <w:highlight w:val="none"/>
              </w:rPr>
              <w:t xml:space="preserve">20</w:t>
            </w:r>
            <w:r>
              <w:rPr>
                <w:rFonts w:hint="eastAsia" w:cs="宋体"/>
                <w:sz w:val="18"/>
                <w:szCs w:val="21"/>
                <w:highlight w:val="none"/>
              </w:rPr>
              <w:t xml:space="preserve">℃</w:t>
            </w:r>
            <w:r>
              <w:rPr>
                <w:sz w:val="18"/>
                <w:szCs w:val="21"/>
                <w:highlight w:val="none"/>
              </w:rPr>
              <w:t xml:space="preserve">时</w:t>
            </w:r>
            <w:r>
              <w:rPr>
                <w:rFonts w:hint="eastAsia"/>
                <w:sz w:val="18"/>
                <w:szCs w:val="21"/>
                <w:highlight w:val="none"/>
              </w:rPr>
              <w:t xml:space="preserve">铜</w:t>
            </w:r>
            <w:r>
              <w:rPr>
                <w:sz w:val="18"/>
                <w:szCs w:val="21"/>
                <w:highlight w:val="none"/>
              </w:rPr>
              <w:t xml:space="preserve">导体最大直流电阻</w:t>
            </w:r>
            <w:r>
              <w:rPr>
                <w:sz w:val="18"/>
                <w:szCs w:val="21"/>
                <w:highlight w:val="none"/>
              </w:rPr>
            </w:r>
            <w:r/>
          </w:p>
        </w:tc>
        <w:tc>
          <w:tcPr>
            <w:tcW w:w="1214" w:type="dxa"/>
            <w:vAlign w:val="center"/>
            <w:vMerge w:val="restart"/>
            <w:textDirection w:val="lrTb"/>
            <w:noWrap w:val="false"/>
          </w:tcPr>
          <w:p>
            <w:pPr>
              <w:pStyle w:val="1151"/>
              <w:jc w:val="center"/>
              <w:spacing w:before="70" w:after="70"/>
              <w:rPr>
                <w:sz w:val="18"/>
                <w:szCs w:val="21"/>
                <w:highlight w:val="none"/>
              </w:rPr>
            </w:pPr>
            <w:r>
              <w:rPr>
                <w:rFonts w:ascii="Symbol" w:hAnsi="Symbol"/>
                <w:sz w:val="18"/>
                <w:szCs w:val="21"/>
                <w:highlight w:val="none"/>
              </w:rPr>
              <w:t xml:space="preserve"></w:t>
            </w:r>
            <w:r>
              <w:rPr>
                <w:sz w:val="18"/>
                <w:szCs w:val="21"/>
                <w:highlight w:val="none"/>
              </w:rPr>
              <w:t xml:space="preserve">/km</w:t>
            </w: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0.524</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w:t>
            </w:r>
            <w:r>
              <w:rPr>
                <w:rFonts w:hint="eastAsia"/>
                <w:sz w:val="18"/>
                <w:szCs w:val="21"/>
                <w:highlight w:val="none"/>
              </w:rPr>
              <w:t xml:space="preserve">35</w:t>
            </w:r>
            <w:r>
              <w:rPr>
                <w:sz w:val="18"/>
                <w:szCs w:val="21"/>
                <w:highlight w:val="none"/>
              </w:rPr>
              <w:t xml:space="preserve">mm</w:t>
            </w:r>
            <w:r>
              <w:rPr>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5"/>
            <w:tcW w:w="411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0.268</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w:t>
            </w:r>
            <w:r>
              <w:rPr>
                <w:rFonts w:hint="eastAsia"/>
                <w:sz w:val="18"/>
                <w:szCs w:val="21"/>
                <w:highlight w:val="none"/>
              </w:rPr>
              <w:t xml:space="preserve">70</w:t>
            </w:r>
            <w:r>
              <w:rPr>
                <w:sz w:val="18"/>
                <w:szCs w:val="21"/>
                <w:highlight w:val="none"/>
              </w:rPr>
              <w:t xml:space="preserve">mm</w:t>
            </w:r>
            <w:r>
              <w:rPr>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5"/>
            <w:tcW w:w="411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0.193</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w:t>
            </w:r>
            <w:r>
              <w:rPr>
                <w:rFonts w:hint="eastAsia"/>
                <w:sz w:val="18"/>
                <w:szCs w:val="21"/>
                <w:highlight w:val="none"/>
              </w:rPr>
              <w:t xml:space="preserve">95</w:t>
            </w:r>
            <w:r>
              <w:rPr>
                <w:sz w:val="18"/>
                <w:szCs w:val="21"/>
                <w:highlight w:val="none"/>
              </w:rPr>
              <w:t xml:space="preserve">mm</w:t>
            </w:r>
            <w:r>
              <w:rPr>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5"/>
            <w:tcW w:w="411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0.153</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w:t>
            </w:r>
            <w:r>
              <w:rPr>
                <w:rFonts w:hint="eastAsia"/>
                <w:sz w:val="18"/>
                <w:szCs w:val="21"/>
                <w:highlight w:val="none"/>
              </w:rPr>
              <w:t xml:space="preserve">120</w:t>
            </w:r>
            <w:r>
              <w:rPr>
                <w:sz w:val="18"/>
                <w:szCs w:val="21"/>
                <w:highlight w:val="none"/>
              </w:rPr>
              <w:t xml:space="preserve">mm</w:t>
            </w:r>
            <w:r>
              <w:rPr>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5"/>
            <w:tcW w:w="411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0.124</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w:t>
            </w:r>
            <w:r>
              <w:rPr>
                <w:rFonts w:hint="eastAsia"/>
                <w:sz w:val="18"/>
                <w:szCs w:val="21"/>
                <w:highlight w:val="none"/>
              </w:rPr>
              <w:t xml:space="preserve">150</w:t>
            </w:r>
            <w:r>
              <w:rPr>
                <w:sz w:val="18"/>
                <w:szCs w:val="21"/>
                <w:highlight w:val="none"/>
              </w:rPr>
              <w:t xml:space="preserve">mm</w:t>
            </w:r>
            <w:r>
              <w:rPr>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5"/>
            <w:tcW w:w="411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0.099</w:t>
            </w:r>
            <w:r>
              <w:rPr>
                <w:rFonts w:hint="eastAsia"/>
                <w:sz w:val="18"/>
                <w:szCs w:val="21"/>
                <w:highlight w:val="none"/>
              </w:rPr>
              <w:t xml:space="preserve"> </w:t>
            </w:r>
            <w:r>
              <w:rPr>
                <w:sz w:val="18"/>
                <w:szCs w:val="21"/>
                <w:highlight w:val="none"/>
              </w:rPr>
              <w:t xml:space="preserve">1</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对应185mm</w:t>
            </w:r>
            <w:r>
              <w:rPr>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5"/>
            <w:tcW w:w="411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rFonts w:hint="eastAsia"/>
                <w:sz w:val="18"/>
                <w:szCs w:val="21"/>
                <w:highlight w:val="none"/>
              </w:rPr>
              <w:t xml:space="preserve">0.075 4</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对应240mm</w:t>
            </w:r>
            <w:r>
              <w:rPr>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5"/>
            <w:tcW w:w="411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0.060</w:t>
            </w:r>
            <w:r>
              <w:rPr>
                <w:rFonts w:hint="eastAsia"/>
                <w:sz w:val="18"/>
                <w:szCs w:val="21"/>
                <w:highlight w:val="none"/>
              </w:rPr>
              <w:t xml:space="preserve"> </w:t>
            </w:r>
            <w:r>
              <w:rPr>
                <w:sz w:val="18"/>
                <w:szCs w:val="21"/>
                <w:highlight w:val="none"/>
              </w:rPr>
              <w:t xml:space="preserve">1</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对应300mm</w:t>
            </w:r>
            <w:r>
              <w:rPr>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5"/>
            <w:tcW w:w="411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0.047</w:t>
            </w:r>
            <w:r>
              <w:rPr>
                <w:rFonts w:hint="eastAsia"/>
                <w:sz w:val="18"/>
                <w:szCs w:val="21"/>
                <w:highlight w:val="none"/>
              </w:rPr>
              <w:t xml:space="preserve"> </w:t>
            </w:r>
            <w:r>
              <w:rPr>
                <w:sz w:val="18"/>
                <w:szCs w:val="21"/>
                <w:highlight w:val="none"/>
              </w:rPr>
              <w:t xml:space="preserve">0</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对应400mm</w:t>
            </w:r>
            <w:r>
              <w:rPr>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5"/>
            <w:tcW w:w="4113" w:type="dxa"/>
            <w:vAlign w:val="center"/>
            <w:vMerge w:val="restart"/>
            <w:textDirection w:val="lrTb"/>
            <w:noWrap w:val="false"/>
          </w:tcPr>
          <w:p>
            <w:pPr>
              <w:pStyle w:val="1151"/>
              <w:jc w:val="center"/>
              <w:spacing w:before="70" w:after="70"/>
              <w:rPr>
                <w:sz w:val="18"/>
                <w:szCs w:val="21"/>
                <w:highlight w:val="none"/>
              </w:rPr>
            </w:pPr>
            <w:r>
              <w:rPr>
                <w:sz w:val="18"/>
                <w:szCs w:val="21"/>
                <w:highlight w:val="none"/>
              </w:rPr>
              <w:t xml:space="preserve">90</w:t>
            </w:r>
            <w:r>
              <w:rPr>
                <w:rFonts w:hint="eastAsia" w:cs="宋体"/>
                <w:sz w:val="18"/>
                <w:szCs w:val="21"/>
                <w:highlight w:val="none"/>
              </w:rPr>
              <w:t xml:space="preserve">℃</w:t>
            </w:r>
            <w:r>
              <w:rPr>
                <w:sz w:val="18"/>
                <w:szCs w:val="21"/>
                <w:highlight w:val="none"/>
              </w:rPr>
              <w:t xml:space="preserve">时</w:t>
            </w:r>
            <w:r>
              <w:rPr>
                <w:rFonts w:hint="eastAsia"/>
                <w:sz w:val="18"/>
                <w:szCs w:val="21"/>
                <w:highlight w:val="none"/>
              </w:rPr>
              <w:t xml:space="preserve">铜</w:t>
            </w:r>
            <w:r>
              <w:rPr>
                <w:sz w:val="18"/>
                <w:szCs w:val="21"/>
                <w:highlight w:val="none"/>
              </w:rPr>
              <w:t xml:space="preserve">导体最大交流电阻</w:t>
            </w:r>
            <w:r>
              <w:rPr>
                <w:sz w:val="18"/>
                <w:szCs w:val="21"/>
                <w:highlight w:val="none"/>
              </w:rPr>
            </w:r>
            <w:r/>
          </w:p>
        </w:tc>
        <w:tc>
          <w:tcPr>
            <w:tcW w:w="1214" w:type="dxa"/>
            <w:vAlign w:val="center"/>
            <w:vMerge w:val="restart"/>
            <w:textDirection w:val="lrTb"/>
            <w:noWrap w:val="false"/>
          </w:tcPr>
          <w:p>
            <w:pPr>
              <w:pStyle w:val="1151"/>
              <w:jc w:val="center"/>
              <w:spacing w:before="70" w:after="70"/>
              <w:rPr>
                <w:sz w:val="18"/>
                <w:szCs w:val="21"/>
                <w:highlight w:val="none"/>
              </w:rPr>
            </w:pPr>
            <w:r>
              <w:rPr>
                <w:rFonts w:ascii="Symbol" w:hAnsi="Symbol"/>
                <w:sz w:val="18"/>
                <w:szCs w:val="21"/>
                <w:highlight w:val="none"/>
              </w:rPr>
              <w:t xml:space="preserve"></w:t>
            </w:r>
            <w:r>
              <w:rPr>
                <w:sz w:val="18"/>
                <w:szCs w:val="21"/>
                <w:highlight w:val="none"/>
              </w:rPr>
              <w:t xml:space="preserve">/km</w:t>
            </w: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w:t>
            </w:r>
            <w:r>
              <w:rPr>
                <w:rFonts w:hint="eastAsia"/>
                <w:sz w:val="18"/>
                <w:szCs w:val="21"/>
                <w:highlight w:val="none"/>
              </w:rPr>
              <w:t xml:space="preserve">35</w:t>
            </w:r>
            <w:r>
              <w:rPr>
                <w:sz w:val="18"/>
                <w:szCs w:val="21"/>
                <w:highlight w:val="none"/>
              </w:rPr>
              <w:t xml:space="preserve">mm</w:t>
            </w:r>
            <w:r>
              <w:rPr>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5"/>
            <w:tcW w:w="411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w:t>
            </w:r>
            <w:r>
              <w:rPr>
                <w:rFonts w:hint="eastAsia"/>
                <w:sz w:val="18"/>
                <w:szCs w:val="21"/>
                <w:highlight w:val="none"/>
              </w:rPr>
              <w:t xml:space="preserve">70</w:t>
            </w:r>
            <w:r>
              <w:rPr>
                <w:sz w:val="18"/>
                <w:szCs w:val="21"/>
                <w:highlight w:val="none"/>
              </w:rPr>
              <w:t xml:space="preserve">mm</w:t>
            </w:r>
            <w:r>
              <w:rPr>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5"/>
            <w:tcW w:w="411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w:t>
            </w:r>
            <w:r>
              <w:rPr>
                <w:rFonts w:hint="eastAsia"/>
                <w:sz w:val="18"/>
                <w:szCs w:val="21"/>
                <w:highlight w:val="none"/>
              </w:rPr>
              <w:t xml:space="preserve">95</w:t>
            </w:r>
            <w:r>
              <w:rPr>
                <w:sz w:val="18"/>
                <w:szCs w:val="21"/>
                <w:highlight w:val="none"/>
              </w:rPr>
              <w:t xml:space="preserve">mm</w:t>
            </w:r>
            <w:r>
              <w:rPr>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5"/>
            <w:tcW w:w="411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w:t>
            </w:r>
            <w:r>
              <w:rPr>
                <w:rFonts w:hint="eastAsia"/>
                <w:sz w:val="18"/>
                <w:szCs w:val="21"/>
                <w:highlight w:val="none"/>
              </w:rPr>
              <w:t xml:space="preserve">120</w:t>
            </w:r>
            <w:r>
              <w:rPr>
                <w:sz w:val="18"/>
                <w:szCs w:val="21"/>
                <w:highlight w:val="none"/>
              </w:rPr>
              <w:t xml:space="preserve">mm</w:t>
            </w:r>
            <w:r>
              <w:rPr>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5"/>
            <w:tcW w:w="411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w:t>
            </w:r>
            <w:r>
              <w:rPr>
                <w:rFonts w:hint="eastAsia"/>
                <w:sz w:val="18"/>
                <w:szCs w:val="21"/>
                <w:highlight w:val="none"/>
              </w:rPr>
              <w:t xml:space="preserve">150</w:t>
            </w:r>
            <w:r>
              <w:rPr>
                <w:sz w:val="18"/>
                <w:szCs w:val="21"/>
                <w:highlight w:val="none"/>
              </w:rPr>
              <w:t xml:space="preserve">mm</w:t>
            </w:r>
            <w:r>
              <w:rPr>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5"/>
            <w:tcW w:w="411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对应185mm</w:t>
            </w:r>
            <w:r>
              <w:rPr>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5"/>
            <w:tcW w:w="411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对应240mm</w:t>
            </w:r>
            <w:r>
              <w:rPr>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5"/>
            <w:tcW w:w="411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对应300mm</w:t>
            </w:r>
            <w:r>
              <w:rPr>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5"/>
            <w:tcW w:w="4113"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tcW w:w="1214" w:type="dxa"/>
            <w:vAlign w:val="center"/>
            <w:vMerge w:val="continue"/>
            <w:textDirection w:val="lrTb"/>
            <w:noWrap w:val="false"/>
          </w:tcPr>
          <w:p>
            <w:pPr>
              <w:pStyle w:val="1151"/>
              <w:jc w:val="center"/>
              <w:spacing w:before="70" w:after="7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70" w:after="70"/>
              <w:rPr>
                <w:sz w:val="18"/>
                <w:szCs w:val="21"/>
                <w:highlight w:val="none"/>
              </w:rPr>
            </w:pPr>
            <w:r>
              <w:rPr>
                <w:sz w:val="18"/>
                <w:szCs w:val="21"/>
                <w:highlight w:val="none"/>
              </w:rPr>
              <w:t xml:space="preserve">对应400mm</w:t>
            </w:r>
            <w:r>
              <w:rPr>
                <w:sz w:val="18"/>
                <w:szCs w:val="21"/>
                <w:highlight w:val="none"/>
                <w:vertAlign w:val="superscript"/>
              </w:rPr>
              <w:t xml:space="preserve">2</w:t>
            </w:r>
            <w:r>
              <w:rPr>
                <w:sz w:val="18"/>
                <w:szCs w:val="21"/>
                <w:highlight w:val="none"/>
              </w:rPr>
              <w:t xml:space="preserve">截面</w:t>
            </w:r>
            <w:r>
              <w:rPr>
                <w:sz w:val="18"/>
                <w:szCs w:val="21"/>
                <w:highlight w:val="none"/>
              </w:rPr>
            </w:r>
            <w:r/>
          </w:p>
        </w:tc>
      </w:tr>
      <w:tr>
        <w:trPr>
          <w:cantSplit/>
        </w:trPr>
        <w:tc>
          <w:tcPr>
            <w:gridSpan w:val="5"/>
            <w:tcW w:w="4113" w:type="dxa"/>
            <w:vAlign w:val="center"/>
            <w:textDirection w:val="lrTb"/>
            <w:noWrap w:val="false"/>
          </w:tcPr>
          <w:p>
            <w:pPr>
              <w:pStyle w:val="1151"/>
              <w:jc w:val="center"/>
              <w:spacing w:before="50" w:after="50"/>
              <w:rPr>
                <w:sz w:val="18"/>
                <w:szCs w:val="21"/>
                <w:highlight w:val="none"/>
              </w:rPr>
            </w:pPr>
            <w:r>
              <w:rPr>
                <w:rFonts w:hint="eastAsia"/>
                <w:sz w:val="18"/>
                <w:szCs w:val="21"/>
                <w:highlight w:val="none"/>
              </w:rPr>
              <w:t xml:space="preserve">电缆电容值</w:t>
            </w:r>
            <w:r>
              <w:rPr>
                <w:sz w:val="18"/>
                <w:szCs w:val="21"/>
                <w:highlight w:val="none"/>
              </w:rPr>
            </w:r>
            <w:r/>
          </w:p>
        </w:tc>
        <w:tc>
          <w:tcPr>
            <w:tcW w:w="1214" w:type="dxa"/>
            <w:vAlign w:val="center"/>
            <w:textDirection w:val="lrTb"/>
            <w:noWrap w:val="false"/>
          </w:tcPr>
          <w:p>
            <w:pPr>
              <w:pStyle w:val="1151"/>
              <w:jc w:val="center"/>
              <w:spacing w:before="50" w:after="50"/>
              <w:rPr>
                <w:sz w:val="18"/>
                <w:szCs w:val="21"/>
                <w:highlight w:val="none"/>
              </w:rPr>
            </w:pPr>
            <w:r>
              <w:rPr>
                <w:rFonts w:ascii="Symbol" w:hAnsi="Symbol"/>
                <w:sz w:val="18"/>
                <w:szCs w:val="21"/>
                <w:highlight w:val="none"/>
              </w:rPr>
              <w:t xml:space="preserve"></w:t>
            </w:r>
            <w:r>
              <w:rPr>
                <w:sz w:val="18"/>
                <w:szCs w:val="21"/>
                <w:highlight w:val="none"/>
              </w:rPr>
              <w:t xml:space="preserve">F/km</w:t>
            </w: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50" w:after="50"/>
              <w:rPr>
                <w:sz w:val="18"/>
                <w:szCs w:val="21"/>
                <w:highlight w:val="none"/>
              </w:rPr>
            </w:pPr>
            <w:r>
              <w:rPr>
                <w:sz w:val="18"/>
                <w:szCs w:val="21"/>
                <w:highlight w:val="none"/>
              </w:rPr>
            </w:r>
            <w:r/>
          </w:p>
        </w:tc>
      </w:tr>
      <w:tr>
        <w:trPr>
          <w:cantSplit/>
        </w:trPr>
        <w:tc>
          <w:tcPr>
            <w:gridSpan w:val="5"/>
            <w:tcW w:w="4113" w:type="dxa"/>
            <w:vAlign w:val="center"/>
            <w:textDirection w:val="lrTb"/>
            <w:noWrap w:val="false"/>
          </w:tcPr>
          <w:p>
            <w:pPr>
              <w:pStyle w:val="1151"/>
              <w:jc w:val="center"/>
              <w:spacing w:before="60" w:after="60"/>
              <w:rPr>
                <w:sz w:val="18"/>
                <w:szCs w:val="21"/>
                <w:highlight w:val="none"/>
              </w:rPr>
            </w:pPr>
            <w:r>
              <w:rPr>
                <w:rFonts w:hint="eastAsia"/>
                <w:sz w:val="18"/>
                <w:szCs w:val="21"/>
                <w:highlight w:val="none"/>
              </w:rPr>
              <w:t xml:space="preserve">电缆电感值</w:t>
            </w:r>
            <w:r>
              <w:rPr>
                <w:sz w:val="18"/>
                <w:szCs w:val="21"/>
                <w:highlight w:val="none"/>
              </w:rPr>
            </w:r>
            <w:r/>
          </w:p>
        </w:tc>
        <w:tc>
          <w:tcPr>
            <w:tcW w:w="1214" w:type="dxa"/>
            <w:vAlign w:val="center"/>
            <w:textDirection w:val="lrTb"/>
            <w:noWrap w:val="false"/>
          </w:tcPr>
          <w:p>
            <w:pPr>
              <w:pStyle w:val="1151"/>
              <w:jc w:val="center"/>
              <w:spacing w:before="60" w:after="60"/>
              <w:rPr>
                <w:sz w:val="18"/>
                <w:szCs w:val="21"/>
                <w:highlight w:val="none"/>
              </w:rPr>
            </w:pPr>
            <w:r>
              <w:rPr>
                <w:rFonts w:ascii="Symbol" w:hAnsi="Symbol"/>
                <w:sz w:val="18"/>
                <w:szCs w:val="21"/>
                <w:highlight w:val="none"/>
              </w:rPr>
              <w:t xml:space="preserve"></w:t>
            </w:r>
            <w:r>
              <w:rPr>
                <w:rFonts w:hint="eastAsia"/>
                <w:sz w:val="18"/>
                <w:szCs w:val="21"/>
                <w:highlight w:val="none"/>
              </w:rPr>
              <w:t xml:space="preserve">H</w:t>
            </w:r>
            <w:r>
              <w:rPr>
                <w:sz w:val="18"/>
                <w:szCs w:val="21"/>
                <w:highlight w:val="none"/>
              </w:rPr>
              <w:t xml:space="preserve">/km</w:t>
            </w: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60" w:after="60"/>
              <w:rPr>
                <w:sz w:val="18"/>
                <w:szCs w:val="21"/>
                <w:highlight w:val="none"/>
              </w:rPr>
            </w:pPr>
            <w:r>
              <w:rPr>
                <w:sz w:val="18"/>
                <w:szCs w:val="21"/>
                <w:highlight w:val="none"/>
              </w:rPr>
            </w:r>
            <w:r/>
          </w:p>
        </w:tc>
      </w:tr>
      <w:tr>
        <w:trPr>
          <w:cantSplit/>
        </w:trPr>
        <w:tc>
          <w:tcPr>
            <w:gridSpan w:val="5"/>
            <w:tcW w:w="4113" w:type="dxa"/>
            <w:vAlign w:val="center"/>
            <w:textDirection w:val="lrTb"/>
            <w:noWrap w:val="false"/>
          </w:tcPr>
          <w:p>
            <w:pPr>
              <w:pStyle w:val="1151"/>
              <w:jc w:val="center"/>
              <w:spacing w:before="60" w:after="60"/>
              <w:rPr>
                <w:sz w:val="18"/>
                <w:szCs w:val="21"/>
                <w:highlight w:val="none"/>
              </w:rPr>
            </w:pPr>
            <w:r>
              <w:rPr>
                <w:rFonts w:hint="eastAsia"/>
                <w:sz w:val="18"/>
                <w:szCs w:val="21"/>
                <w:highlight w:val="none"/>
              </w:rPr>
              <w:t xml:space="preserve">电缆长期允许载流量</w:t>
            </w:r>
            <w:r>
              <w:rPr>
                <w:sz w:val="18"/>
                <w:szCs w:val="21"/>
                <w:highlight w:val="none"/>
              </w:rPr>
            </w:r>
            <w:r/>
          </w:p>
        </w:tc>
        <w:tc>
          <w:tcPr>
            <w:tcW w:w="1214" w:type="dxa"/>
            <w:vAlign w:val="center"/>
            <w:textDirection w:val="lrTb"/>
            <w:noWrap w:val="false"/>
          </w:tcPr>
          <w:p>
            <w:pPr>
              <w:pStyle w:val="1151"/>
              <w:jc w:val="center"/>
              <w:spacing w:before="60" w:after="60"/>
              <w:rPr>
                <w:sz w:val="18"/>
                <w:szCs w:val="21"/>
                <w:highlight w:val="none"/>
              </w:rPr>
            </w:pPr>
            <w:r>
              <w:rPr>
                <w:rFonts w:hint="eastAsia"/>
                <w:sz w:val="18"/>
                <w:szCs w:val="21"/>
                <w:highlight w:val="none"/>
              </w:rPr>
              <w:t xml:space="preserve">A</w:t>
            </w: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60" w:after="60"/>
              <w:rPr>
                <w:sz w:val="18"/>
                <w:szCs w:val="21"/>
                <w:highlight w:val="none"/>
              </w:rPr>
            </w:pPr>
            <w:r>
              <w:rPr>
                <w:sz w:val="18"/>
                <w:szCs w:val="21"/>
                <w:highlight w:val="none"/>
              </w:rPr>
            </w:r>
            <w:r/>
          </w:p>
        </w:tc>
      </w:tr>
      <w:tr>
        <w:trPr>
          <w:cantSplit/>
        </w:trPr>
        <w:tc>
          <w:tcPr>
            <w:gridSpan w:val="5"/>
            <w:tcW w:w="4113" w:type="dxa"/>
            <w:vAlign w:val="center"/>
            <w:textDirection w:val="lrTb"/>
            <w:noWrap w:val="false"/>
          </w:tcPr>
          <w:p>
            <w:pPr>
              <w:pStyle w:val="1151"/>
              <w:jc w:val="center"/>
              <w:spacing w:before="60" w:after="60"/>
              <w:rPr>
                <w:sz w:val="18"/>
                <w:szCs w:val="21"/>
                <w:highlight w:val="none"/>
              </w:rPr>
            </w:pPr>
            <w:r>
              <w:rPr>
                <w:sz w:val="18"/>
                <w:szCs w:val="21"/>
                <w:highlight w:val="none"/>
              </w:rPr>
              <w:t xml:space="preserve">局部放电（</w:t>
            </w:r>
            <w:r>
              <w:rPr>
                <w:rFonts w:hint="eastAsia"/>
                <w:sz w:val="18"/>
                <w:szCs w:val="21"/>
                <w:highlight w:val="none"/>
              </w:rPr>
              <w:t xml:space="preserve">试验</w:t>
            </w:r>
            <w:r>
              <w:rPr>
                <w:sz w:val="18"/>
                <w:szCs w:val="21"/>
                <w:highlight w:val="none"/>
              </w:rPr>
              <w:t xml:space="preserve">灵敏度</w:t>
            </w:r>
            <w:r>
              <w:rPr>
                <w:rFonts w:hint="eastAsia"/>
                <w:sz w:val="18"/>
                <w:szCs w:val="21"/>
                <w:highlight w:val="none"/>
              </w:rPr>
              <w:t xml:space="preserve">10</w:t>
            </w:r>
            <w:r>
              <w:rPr>
                <w:sz w:val="18"/>
                <w:szCs w:val="21"/>
                <w:highlight w:val="none"/>
              </w:rPr>
              <w:t xml:space="preserve">pC或更优，15kV下）</w:t>
            </w:r>
            <w:r>
              <w:rPr>
                <w:sz w:val="18"/>
                <w:szCs w:val="21"/>
                <w:highlight w:val="none"/>
              </w:rPr>
            </w:r>
            <w:r/>
          </w:p>
        </w:tc>
        <w:tc>
          <w:tcPr>
            <w:tcW w:w="1214" w:type="dxa"/>
            <w:vAlign w:val="center"/>
            <w:textDirection w:val="lrTb"/>
            <w:noWrap w:val="false"/>
          </w:tcPr>
          <w:p>
            <w:pPr>
              <w:pStyle w:val="1151"/>
              <w:jc w:val="center"/>
              <w:spacing w:before="60" w:after="60"/>
              <w:rPr>
                <w:sz w:val="18"/>
                <w:szCs w:val="21"/>
                <w:highlight w:val="none"/>
              </w:rPr>
            </w:pPr>
            <w:r>
              <w:rPr>
                <w:sz w:val="18"/>
                <w:szCs w:val="21"/>
                <w:highlight w:val="none"/>
              </w:rPr>
              <w:t xml:space="preserve">pC</w:t>
            </w:r>
            <w:r>
              <w:rPr>
                <w:sz w:val="18"/>
                <w:szCs w:val="21"/>
                <w:highlight w:val="none"/>
              </w:rPr>
            </w:r>
            <w:r/>
          </w:p>
        </w:tc>
        <w:tc>
          <w:tcPr>
            <w:gridSpan w:val="2"/>
            <w:tcW w:w="1760" w:type="dxa"/>
            <w:vAlign w:val="center"/>
            <w:textDirection w:val="lrTb"/>
            <w:noWrap w:val="false"/>
          </w:tcPr>
          <w:p>
            <w:pPr>
              <w:pStyle w:val="1151"/>
              <w:jc w:val="center"/>
              <w:spacing w:before="60" w:after="60"/>
              <w:rPr>
                <w:sz w:val="18"/>
                <w:szCs w:val="21"/>
                <w:highlight w:val="none"/>
              </w:rPr>
            </w:pPr>
            <w:r>
              <w:rPr>
                <w:rFonts w:hint="eastAsia"/>
                <w:sz w:val="18"/>
                <w:szCs w:val="21"/>
                <w:highlight w:val="none"/>
              </w:rPr>
              <w:t xml:space="preserve">无可检测放电</w:t>
            </w:r>
            <w:r>
              <w:rPr>
                <w:sz w:val="18"/>
                <w:szCs w:val="21"/>
                <w:highlight w:val="none"/>
              </w:rPr>
            </w:r>
            <w:r/>
          </w:p>
        </w:tc>
        <w:tc>
          <w:tcPr>
            <w:tcW w:w="1722" w:type="dxa"/>
            <w:vAlign w:val="center"/>
            <w:textDirection w:val="lrTb"/>
            <w:noWrap w:val="false"/>
          </w:tcPr>
          <w:p>
            <w:pPr>
              <w:pStyle w:val="1151"/>
              <w:jc w:val="center"/>
              <w:spacing w:before="60" w:after="60"/>
              <w:rPr>
                <w:sz w:val="18"/>
                <w:szCs w:val="21"/>
                <w:highlight w:val="none"/>
              </w:rPr>
            </w:pPr>
            <w:r>
              <w:rPr>
                <w:sz w:val="18"/>
                <w:szCs w:val="21"/>
                <w:highlight w:val="none"/>
              </w:rPr>
            </w:r>
            <w:r/>
          </w:p>
        </w:tc>
      </w:tr>
      <w:tr>
        <w:trPr>
          <w:cantSplit/>
        </w:trPr>
        <w:tc>
          <w:tcPr>
            <w:gridSpan w:val="5"/>
            <w:tcW w:w="4113" w:type="dxa"/>
            <w:vAlign w:val="center"/>
            <w:textDirection w:val="lrTb"/>
            <w:noWrap w:val="false"/>
          </w:tcPr>
          <w:p>
            <w:pPr>
              <w:pStyle w:val="1151"/>
              <w:jc w:val="center"/>
              <w:spacing w:before="60" w:after="60"/>
              <w:rPr>
                <w:sz w:val="18"/>
                <w:szCs w:val="21"/>
                <w:highlight w:val="none"/>
              </w:rPr>
            </w:pPr>
            <w:r>
              <w:rPr>
                <w:sz w:val="18"/>
                <w:szCs w:val="21"/>
                <w:highlight w:val="none"/>
              </w:rPr>
              <w:t xml:space="preserve">tan</w:t>
            </w:r>
            <w:r>
              <w:rPr>
                <w:rFonts w:ascii="Symbol" w:hAnsi="Symbol"/>
                <w:i/>
                <w:sz w:val="18"/>
                <w:szCs w:val="21"/>
                <w:highlight w:val="none"/>
              </w:rPr>
              <w:t xml:space="preserve"></w:t>
            </w:r>
            <w:r>
              <w:rPr>
                <w:sz w:val="18"/>
                <w:szCs w:val="21"/>
                <w:highlight w:val="none"/>
              </w:rPr>
              <w:t xml:space="preserve">（导体温度95</w:t>
            </w:r>
            <w:r>
              <w:rPr>
                <w:rFonts w:hint="eastAsia" w:cs="宋体"/>
                <w:sz w:val="18"/>
                <w:szCs w:val="21"/>
                <w:highlight w:val="none"/>
              </w:rPr>
              <w:t xml:space="preserve">℃</w:t>
            </w:r>
            <w:r>
              <w:rPr>
                <w:sz w:val="18"/>
                <w:szCs w:val="21"/>
                <w:highlight w:val="none"/>
              </w:rPr>
              <w:t xml:space="preserve">～100</w:t>
            </w:r>
            <w:r>
              <w:rPr>
                <w:rFonts w:hint="eastAsia" w:cs="宋体"/>
                <w:sz w:val="18"/>
                <w:szCs w:val="21"/>
                <w:highlight w:val="none"/>
              </w:rPr>
              <w:t xml:space="preserve">℃</w:t>
            </w:r>
            <w:r>
              <w:rPr>
                <w:sz w:val="18"/>
                <w:szCs w:val="21"/>
                <w:highlight w:val="none"/>
              </w:rPr>
              <w:t xml:space="preserve">下）</w:t>
            </w:r>
            <w:r>
              <w:rPr>
                <w:sz w:val="18"/>
                <w:szCs w:val="21"/>
                <w:highlight w:val="none"/>
              </w:rPr>
            </w:r>
            <w:r/>
          </w:p>
        </w:tc>
        <w:tc>
          <w:tcPr>
            <w:tcW w:w="1214" w:type="dxa"/>
            <w:vAlign w:val="center"/>
            <w:textDirection w:val="lrTb"/>
            <w:noWrap w:val="false"/>
          </w:tcPr>
          <w:p>
            <w:pPr>
              <w:pStyle w:val="1151"/>
              <w:jc w:val="center"/>
              <w:spacing w:before="60" w:after="60"/>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60" w:after="60"/>
              <w:rPr>
                <w:sz w:val="18"/>
                <w:szCs w:val="21"/>
                <w:highlight w:val="none"/>
              </w:rPr>
            </w:pPr>
            <w:r>
              <w:rPr>
                <w:rFonts w:hint="eastAsia"/>
                <w:sz w:val="18"/>
                <w:szCs w:val="21"/>
                <w:highlight w:val="none"/>
              </w:rPr>
              <w:t xml:space="preserve">≤</w:t>
            </w:r>
            <w:r>
              <w:rPr>
                <w:sz w:val="18"/>
                <w:szCs w:val="21"/>
                <w:highlight w:val="none"/>
              </w:rPr>
              <w:t xml:space="preserve">8</w:t>
            </w:r>
            <w:r>
              <w:rPr>
                <w:rFonts w:hint="eastAsia"/>
                <w:sz w:val="18"/>
                <w:szCs w:val="21"/>
                <w:highlight w:val="none"/>
              </w:rPr>
              <w:t xml:space="preserve">×</w:t>
            </w:r>
            <w:r>
              <w:rPr>
                <w:sz w:val="18"/>
                <w:szCs w:val="21"/>
                <w:highlight w:val="none"/>
              </w:rPr>
              <w:t xml:space="preserve">10</w:t>
            </w:r>
            <w:r>
              <w:rPr>
                <w:rFonts w:ascii="Symbol" w:hAnsi="Symbol"/>
                <w:sz w:val="18"/>
                <w:szCs w:val="21"/>
                <w:highlight w:val="none"/>
                <w:vertAlign w:val="superscript"/>
              </w:rPr>
              <w:t xml:space="preserve"></w:t>
            </w:r>
            <w:r>
              <w:rPr>
                <w:sz w:val="18"/>
                <w:szCs w:val="21"/>
                <w:highlight w:val="none"/>
                <w:vertAlign w:val="superscript"/>
              </w:rPr>
              <w:t xml:space="preserve">4</w:t>
            </w:r>
            <w:r>
              <w:rPr>
                <w:sz w:val="18"/>
                <w:szCs w:val="21"/>
                <w:highlight w:val="none"/>
              </w:rPr>
            </w:r>
            <w:r/>
          </w:p>
        </w:tc>
        <w:tc>
          <w:tcPr>
            <w:tcW w:w="1722" w:type="dxa"/>
            <w:vAlign w:val="center"/>
            <w:textDirection w:val="lrTb"/>
            <w:noWrap w:val="false"/>
          </w:tcPr>
          <w:p>
            <w:pPr>
              <w:pStyle w:val="1151"/>
              <w:jc w:val="center"/>
              <w:spacing w:before="60" w:after="60"/>
              <w:rPr>
                <w:sz w:val="18"/>
                <w:szCs w:val="21"/>
                <w:highlight w:val="none"/>
              </w:rPr>
            </w:pPr>
            <w:r>
              <w:rPr>
                <w:sz w:val="18"/>
                <w:szCs w:val="21"/>
                <w:highlight w:val="none"/>
              </w:rPr>
            </w:r>
            <w:r/>
          </w:p>
        </w:tc>
      </w:tr>
      <w:tr>
        <w:trPr>
          <w:cantSplit/>
        </w:trPr>
        <w:tc>
          <w:tcPr>
            <w:gridSpan w:val="5"/>
            <w:tcW w:w="4113" w:type="dxa"/>
            <w:vAlign w:val="center"/>
            <w:textDirection w:val="lrTb"/>
            <w:noWrap w:val="false"/>
          </w:tcPr>
          <w:p>
            <w:pPr>
              <w:pStyle w:val="1151"/>
              <w:jc w:val="center"/>
              <w:spacing w:before="60" w:after="60"/>
              <w:rPr>
                <w:sz w:val="18"/>
                <w:szCs w:val="21"/>
                <w:highlight w:val="none"/>
              </w:rPr>
            </w:pPr>
            <w:r>
              <w:rPr>
                <w:sz w:val="18"/>
                <w:szCs w:val="21"/>
                <w:highlight w:val="none"/>
              </w:rPr>
              <w:t xml:space="preserve">导体屏蔽层老化前后90</w:t>
            </w:r>
            <w:r>
              <w:rPr>
                <w:rFonts w:hint="eastAsia" w:cs="宋体"/>
                <w:sz w:val="18"/>
                <w:szCs w:val="21"/>
                <w:highlight w:val="none"/>
              </w:rPr>
              <w:t xml:space="preserve">℃</w:t>
            </w:r>
            <w:r>
              <w:rPr>
                <w:rFonts w:cs="Arial"/>
                <w:sz w:val="18"/>
                <w:szCs w:val="21"/>
                <w:highlight w:val="none"/>
              </w:rPr>
              <w:t xml:space="preserve"> </w:t>
            </w:r>
            <w:r>
              <w:rPr>
                <w:sz w:val="18"/>
                <w:szCs w:val="21"/>
                <w:highlight w:val="none"/>
              </w:rPr>
              <w:t xml:space="preserve">时电阻率</w:t>
            </w:r>
            <w:r>
              <w:rPr>
                <w:sz w:val="18"/>
                <w:szCs w:val="21"/>
                <w:highlight w:val="none"/>
              </w:rPr>
            </w:r>
            <w:r/>
          </w:p>
        </w:tc>
        <w:tc>
          <w:tcPr>
            <w:tcW w:w="1214" w:type="dxa"/>
            <w:vAlign w:val="center"/>
            <w:textDirection w:val="lrTb"/>
            <w:noWrap w:val="false"/>
          </w:tcPr>
          <w:p>
            <w:pPr>
              <w:pStyle w:val="1151"/>
              <w:jc w:val="center"/>
              <w:spacing w:before="60" w:after="60"/>
              <w:rPr>
                <w:sz w:val="18"/>
                <w:szCs w:val="21"/>
                <w:highlight w:val="none"/>
              </w:rPr>
            </w:pPr>
            <w:r>
              <w:rPr>
                <w:rFonts w:ascii="Symbol" w:hAnsi="Symbol"/>
                <w:sz w:val="18"/>
                <w:szCs w:val="21"/>
                <w:highlight w:val="none"/>
              </w:rPr>
              <w:t xml:space="preserve"></w:t>
            </w:r>
            <w:r>
              <w:rPr>
                <w:rFonts w:hint="eastAsia"/>
                <w:sz w:val="18"/>
                <w:szCs w:val="21"/>
                <w:highlight w:val="none"/>
              </w:rPr>
              <w:t xml:space="preserve">·</w:t>
            </w:r>
            <w:r>
              <w:rPr>
                <w:sz w:val="18"/>
                <w:szCs w:val="21"/>
                <w:highlight w:val="none"/>
              </w:rPr>
              <w:t xml:space="preserve">m</w:t>
            </w:r>
            <w:r>
              <w:rPr>
                <w:sz w:val="18"/>
                <w:szCs w:val="21"/>
                <w:highlight w:val="none"/>
              </w:rPr>
            </w:r>
            <w:r/>
          </w:p>
        </w:tc>
        <w:tc>
          <w:tcPr>
            <w:gridSpan w:val="2"/>
            <w:tcW w:w="1760" w:type="dxa"/>
            <w:vAlign w:val="center"/>
            <w:textDirection w:val="lrTb"/>
            <w:noWrap w:val="false"/>
          </w:tcPr>
          <w:p>
            <w:pPr>
              <w:pStyle w:val="1151"/>
              <w:jc w:val="center"/>
              <w:spacing w:before="60" w:after="60"/>
              <w:rPr>
                <w:sz w:val="18"/>
                <w:szCs w:val="21"/>
                <w:highlight w:val="none"/>
              </w:rPr>
            </w:pPr>
            <w:r>
              <w:rPr>
                <w:rFonts w:hint="eastAsia"/>
                <w:sz w:val="18"/>
                <w:szCs w:val="21"/>
                <w:highlight w:val="none"/>
              </w:rPr>
              <w:t xml:space="preserve">≤</w:t>
            </w:r>
            <w:r>
              <w:rPr>
                <w:sz w:val="18"/>
                <w:szCs w:val="21"/>
                <w:highlight w:val="none"/>
              </w:rPr>
              <w:t xml:space="preserve">1000</w:t>
            </w:r>
            <w:r>
              <w:rPr>
                <w:sz w:val="18"/>
                <w:szCs w:val="21"/>
                <w:highlight w:val="none"/>
              </w:rPr>
            </w:r>
            <w:r/>
          </w:p>
        </w:tc>
        <w:tc>
          <w:tcPr>
            <w:tcW w:w="1722" w:type="dxa"/>
            <w:vAlign w:val="center"/>
            <w:textDirection w:val="lrTb"/>
            <w:noWrap w:val="false"/>
          </w:tcPr>
          <w:p>
            <w:pPr>
              <w:pStyle w:val="1151"/>
              <w:jc w:val="center"/>
              <w:spacing w:before="60" w:after="60"/>
              <w:rPr>
                <w:sz w:val="18"/>
                <w:szCs w:val="21"/>
                <w:highlight w:val="none"/>
              </w:rPr>
            </w:pPr>
            <w:r>
              <w:rPr>
                <w:sz w:val="18"/>
                <w:szCs w:val="21"/>
                <w:highlight w:val="none"/>
              </w:rPr>
            </w:r>
            <w:r/>
          </w:p>
        </w:tc>
      </w:tr>
      <w:tr>
        <w:trPr>
          <w:cantSplit/>
        </w:trPr>
        <w:tc>
          <w:tcPr>
            <w:gridSpan w:val="5"/>
            <w:tcW w:w="4113" w:type="dxa"/>
            <w:vAlign w:val="center"/>
            <w:textDirection w:val="lrTb"/>
            <w:noWrap w:val="false"/>
          </w:tcPr>
          <w:p>
            <w:pPr>
              <w:pStyle w:val="1151"/>
              <w:jc w:val="center"/>
              <w:spacing w:before="60" w:after="60"/>
              <w:rPr>
                <w:sz w:val="18"/>
                <w:szCs w:val="21"/>
                <w:highlight w:val="none"/>
              </w:rPr>
            </w:pPr>
            <w:r>
              <w:rPr>
                <w:sz w:val="18"/>
                <w:szCs w:val="21"/>
                <w:highlight w:val="none"/>
              </w:rPr>
              <w:t xml:space="preserve">绝缘屏蔽层老化前后90</w:t>
            </w:r>
            <w:r>
              <w:rPr>
                <w:rFonts w:hint="eastAsia" w:cs="宋体"/>
                <w:sz w:val="18"/>
                <w:szCs w:val="21"/>
                <w:highlight w:val="none"/>
              </w:rPr>
              <w:t xml:space="preserve">℃</w:t>
            </w:r>
            <w:r>
              <w:rPr>
                <w:rFonts w:cs="Arial"/>
                <w:sz w:val="18"/>
                <w:szCs w:val="21"/>
                <w:highlight w:val="none"/>
              </w:rPr>
              <w:t xml:space="preserve"> </w:t>
            </w:r>
            <w:r>
              <w:rPr>
                <w:sz w:val="18"/>
                <w:szCs w:val="21"/>
                <w:highlight w:val="none"/>
              </w:rPr>
              <w:t xml:space="preserve">时电阻率</w:t>
            </w:r>
            <w:r>
              <w:rPr>
                <w:sz w:val="18"/>
                <w:szCs w:val="21"/>
                <w:highlight w:val="none"/>
              </w:rPr>
            </w:r>
            <w:r/>
          </w:p>
        </w:tc>
        <w:tc>
          <w:tcPr>
            <w:tcW w:w="1214" w:type="dxa"/>
            <w:vAlign w:val="center"/>
            <w:textDirection w:val="lrTb"/>
            <w:noWrap w:val="false"/>
          </w:tcPr>
          <w:p>
            <w:pPr>
              <w:pStyle w:val="1151"/>
              <w:jc w:val="center"/>
              <w:spacing w:before="60" w:after="60"/>
              <w:rPr>
                <w:sz w:val="18"/>
                <w:szCs w:val="21"/>
                <w:highlight w:val="none"/>
              </w:rPr>
            </w:pPr>
            <w:r>
              <w:rPr>
                <w:rFonts w:ascii="Symbol" w:hAnsi="Symbol"/>
                <w:sz w:val="18"/>
                <w:szCs w:val="21"/>
                <w:highlight w:val="none"/>
              </w:rPr>
              <w:t xml:space="preserve"></w:t>
            </w:r>
            <w:r>
              <w:rPr>
                <w:rFonts w:hint="eastAsia"/>
                <w:sz w:val="18"/>
                <w:szCs w:val="21"/>
                <w:highlight w:val="none"/>
              </w:rPr>
              <w:t xml:space="preserve">·</w:t>
            </w:r>
            <w:r>
              <w:rPr>
                <w:sz w:val="18"/>
                <w:szCs w:val="21"/>
                <w:highlight w:val="none"/>
              </w:rPr>
              <w:t xml:space="preserve">m</w:t>
            </w:r>
            <w:r>
              <w:rPr>
                <w:sz w:val="18"/>
                <w:szCs w:val="21"/>
                <w:highlight w:val="none"/>
              </w:rPr>
            </w:r>
            <w:r/>
          </w:p>
        </w:tc>
        <w:tc>
          <w:tcPr>
            <w:gridSpan w:val="2"/>
            <w:tcW w:w="1760" w:type="dxa"/>
            <w:vAlign w:val="center"/>
            <w:textDirection w:val="lrTb"/>
            <w:noWrap w:val="false"/>
          </w:tcPr>
          <w:p>
            <w:pPr>
              <w:pStyle w:val="1151"/>
              <w:jc w:val="center"/>
              <w:spacing w:before="60" w:after="60"/>
              <w:rPr>
                <w:sz w:val="18"/>
                <w:szCs w:val="21"/>
                <w:highlight w:val="none"/>
              </w:rPr>
            </w:pPr>
            <w:r>
              <w:rPr>
                <w:rFonts w:hint="eastAsia"/>
                <w:sz w:val="18"/>
                <w:szCs w:val="21"/>
                <w:highlight w:val="none"/>
              </w:rPr>
              <w:t xml:space="preserve">≤</w:t>
            </w:r>
            <w:r>
              <w:rPr>
                <w:sz w:val="18"/>
                <w:szCs w:val="21"/>
                <w:highlight w:val="none"/>
              </w:rPr>
              <w:t xml:space="preserve">500</w:t>
            </w:r>
            <w:r>
              <w:rPr>
                <w:sz w:val="18"/>
                <w:szCs w:val="21"/>
                <w:highlight w:val="none"/>
              </w:rPr>
            </w:r>
            <w:r/>
          </w:p>
        </w:tc>
        <w:tc>
          <w:tcPr>
            <w:tcW w:w="1722" w:type="dxa"/>
            <w:vAlign w:val="center"/>
            <w:textDirection w:val="lrTb"/>
            <w:noWrap w:val="false"/>
          </w:tcPr>
          <w:p>
            <w:pPr>
              <w:pStyle w:val="1151"/>
              <w:jc w:val="center"/>
              <w:spacing w:before="60" w:after="60"/>
              <w:rPr>
                <w:sz w:val="18"/>
                <w:szCs w:val="21"/>
                <w:highlight w:val="none"/>
              </w:rPr>
            </w:pPr>
            <w:r>
              <w:rPr>
                <w:sz w:val="18"/>
                <w:szCs w:val="21"/>
                <w:highlight w:val="none"/>
              </w:rPr>
            </w:r>
            <w:r/>
          </w:p>
        </w:tc>
      </w:tr>
      <w:tr>
        <w:trPr>
          <w:cantSplit/>
        </w:trPr>
        <w:tc>
          <w:tcPr>
            <w:gridSpan w:val="5"/>
            <w:tcW w:w="4113"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出厂工频电压试验</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kV/min</w:t>
            </w:r>
            <w:r>
              <w:rPr>
                <w:sz w:val="18"/>
                <w:szCs w:val="21"/>
                <w:highlight w:val="none"/>
              </w:rPr>
            </w:r>
            <w:r/>
          </w:p>
        </w:tc>
        <w:tc>
          <w:tcPr>
            <w:gridSpan w:val="2"/>
            <w:tcW w:w="1760"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30.5/5</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gridSpan w:val="2"/>
            <w:tcW w:w="965" w:type="dxa"/>
            <w:vAlign w:val="center"/>
            <w:vMerge w:val="restart"/>
            <w:textDirection w:val="lrTb"/>
            <w:noWrap w:val="false"/>
          </w:tcPr>
          <w:p>
            <w:pPr>
              <w:pStyle w:val="1151"/>
              <w:jc w:val="center"/>
              <w:spacing w:before="54" w:after="54"/>
              <w:rPr>
                <w:sz w:val="18"/>
                <w:szCs w:val="21"/>
                <w:highlight w:val="none"/>
              </w:rPr>
            </w:pPr>
            <w:r>
              <w:rPr>
                <w:rFonts w:hint="eastAsia"/>
                <w:sz w:val="18"/>
                <w:szCs w:val="21"/>
                <w:highlight w:val="none"/>
              </w:rPr>
              <w:t xml:space="preserve">安装后耐压试验</w:t>
            </w:r>
            <w:r>
              <w:rPr>
                <w:sz w:val="18"/>
                <w:szCs w:val="21"/>
                <w:highlight w:val="none"/>
              </w:rPr>
            </w:r>
            <w:r/>
          </w:p>
        </w:tc>
        <w:tc>
          <w:tcPr>
            <w:gridSpan w:val="3"/>
            <w:tcW w:w="3148"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主绝缘交流电压试验</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kV/min</w:t>
            </w:r>
            <w:r>
              <w:rPr>
                <w:sz w:val="18"/>
                <w:szCs w:val="21"/>
                <w:highlight w:val="none"/>
              </w:rPr>
            </w:r>
            <w:r/>
          </w:p>
        </w:tc>
        <w:tc>
          <w:tcPr>
            <w:gridSpan w:val="2"/>
            <w:tcW w:w="1760" w:type="dxa"/>
            <w:vAlign w:val="center"/>
            <w:textDirection w:val="lrTb"/>
            <w:noWrap w:val="false"/>
          </w:tcPr>
          <w:p>
            <w:pPr>
              <w:pStyle w:val="1151"/>
              <w:jc w:val="center"/>
              <w:spacing w:before="54" w:after="54"/>
              <w:rPr>
                <w:sz w:val="18"/>
                <w:szCs w:val="21"/>
                <w:highlight w:val="none"/>
              </w:rPr>
            </w:pPr>
            <w:r>
              <w:rPr>
                <w:rFonts w:hint="eastAsia" w:cs="Arial"/>
                <w:sz w:val="18"/>
                <w:szCs w:val="21"/>
                <w:highlight w:val="none"/>
              </w:rPr>
              <w:t xml:space="preserve">22/5或17.5/60</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gridSpan w:val="2"/>
            <w:tcW w:w="965"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3"/>
            <w:tcW w:w="3148"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外护套直流耐压试验</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kV/min</w:t>
            </w:r>
            <w:r>
              <w:rPr>
                <w:sz w:val="18"/>
                <w:szCs w:val="21"/>
                <w:highlight w:val="none"/>
              </w:rPr>
            </w:r>
            <w:r/>
          </w:p>
        </w:tc>
        <w:tc>
          <w:tcPr>
            <w:gridSpan w:val="2"/>
            <w:tcW w:w="1760" w:type="dxa"/>
            <w:vAlign w:val="center"/>
            <w:textDirection w:val="lrTb"/>
            <w:noWrap w:val="false"/>
          </w:tcPr>
          <w:p>
            <w:pPr>
              <w:pStyle w:val="1151"/>
              <w:jc w:val="center"/>
              <w:spacing w:before="54" w:after="54"/>
              <w:rPr>
                <w:rFonts w:cs="Arial"/>
                <w:sz w:val="18"/>
                <w:szCs w:val="21"/>
                <w:highlight w:val="none"/>
              </w:rPr>
            </w:pPr>
            <w:r>
              <w:rPr>
                <w:rFonts w:hint="eastAsia" w:cs="Arial"/>
                <w:sz w:val="18"/>
                <w:szCs w:val="21"/>
                <w:highlight w:val="none"/>
              </w:rPr>
              <w:t xml:space="preserve">10/1</w:t>
            </w:r>
            <w:r>
              <w:rPr>
                <w:rFonts w:cs="Arial"/>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gridSpan w:val="5"/>
            <w:tcW w:w="4113"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电缆盘尺寸</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mm</w:t>
            </w: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Height w:val="480"/>
        </w:trPr>
        <w:tc>
          <w:tcPr>
            <w:gridSpan w:val="5"/>
            <w:tcW w:w="4113"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电缆敷设时的最大牵引力</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N/mm</w:t>
            </w:r>
            <w:r>
              <w:rPr>
                <w:sz w:val="18"/>
                <w:szCs w:val="21"/>
                <w:highlight w:val="none"/>
                <w:vertAlign w:val="superscript"/>
              </w:rPr>
              <w:t xml:space="preserve">2</w:t>
            </w:r>
            <w:r>
              <w:rPr>
                <w:sz w:val="18"/>
                <w:szCs w:val="21"/>
                <w:highlight w:val="none"/>
              </w:rPr>
            </w:r>
            <w:r/>
          </w:p>
        </w:tc>
        <w:tc>
          <w:tcPr>
            <w:gridSpan w:val="2"/>
            <w:tcW w:w="1760"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70</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铜芯，牵引头</w:t>
            </w:r>
            <w:r>
              <w:rPr>
                <w:sz w:val="18"/>
                <w:szCs w:val="21"/>
                <w:highlight w:val="none"/>
              </w:rPr>
            </w:r>
            <w:r/>
          </w:p>
        </w:tc>
      </w:tr>
      <w:tr>
        <w:trPr>
          <w:cantSplit/>
        </w:trPr>
        <w:tc>
          <w:tcPr>
            <w:gridSpan w:val="5"/>
            <w:tcW w:w="4113"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电缆敷设时的最大侧压力</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N/m</w:t>
            </w:r>
            <w:r>
              <w:rPr>
                <w:sz w:val="18"/>
                <w:szCs w:val="21"/>
                <w:highlight w:val="none"/>
              </w:rPr>
            </w:r>
            <w:r/>
          </w:p>
        </w:tc>
        <w:tc>
          <w:tcPr>
            <w:gridSpan w:val="2"/>
            <w:tcW w:w="1760" w:type="dxa"/>
            <w:vAlign w:val="center"/>
            <w:textDirection w:val="lrTb"/>
            <w:noWrap w:val="false"/>
          </w:tcPr>
          <w:p>
            <w:pPr>
              <w:pStyle w:val="1151"/>
              <w:jc w:val="center"/>
              <w:spacing w:before="54" w:after="54"/>
              <w:rPr>
                <w:sz w:val="18"/>
                <w:szCs w:val="21"/>
                <w:highlight w:val="none"/>
              </w:rPr>
            </w:pPr>
            <w:r>
              <w:rPr>
                <w:rFonts w:hint="eastAsia" w:cs="Arial"/>
                <w:sz w:val="18"/>
                <w:szCs w:val="21"/>
                <w:highlight w:val="none"/>
              </w:rPr>
              <w:t xml:space="preserve">5000</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gridSpan w:val="5"/>
            <w:tcW w:w="4113"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电缆</w:t>
            </w:r>
            <w:r>
              <w:rPr>
                <w:rFonts w:hint="eastAsia"/>
                <w:sz w:val="18"/>
                <w:szCs w:val="21"/>
                <w:highlight w:val="none"/>
              </w:rPr>
              <w:t xml:space="preserve">质</w:t>
            </w:r>
            <w:r>
              <w:rPr>
                <w:sz w:val="18"/>
                <w:szCs w:val="21"/>
                <w:highlight w:val="none"/>
              </w:rPr>
              <w:t xml:space="preserve">量</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kg/m</w:t>
            </w:r>
            <w:r>
              <w:rPr>
                <w:sz w:val="18"/>
                <w:szCs w:val="21"/>
                <w:highlight w:val="none"/>
              </w:rPr>
            </w:r>
            <w:r/>
          </w:p>
        </w:tc>
        <w:tc>
          <w:tcPr>
            <w:gridSpan w:val="2"/>
            <w:tcW w:w="1760" w:type="dxa"/>
            <w:vAlign w:val="center"/>
            <w:textDirection w:val="lrTb"/>
            <w:noWrap w:val="false"/>
          </w:tcPr>
          <w:p>
            <w:pPr>
              <w:pStyle w:val="1151"/>
              <w:jc w:val="center"/>
              <w:spacing w:before="66" w:after="66"/>
              <w:rPr>
                <w:sz w:val="18"/>
                <w:szCs w:val="21"/>
                <w:highlight w:val="none"/>
              </w:rPr>
            </w:pPr>
            <w:r>
              <w:rPr>
                <w:rFonts w:hint="eastAsia" w:cs="Arial"/>
                <w:sz w:val="18"/>
                <w:szCs w:val="21"/>
                <w:highlight w:val="none"/>
              </w:rPr>
              <w:t xml:space="preserve">（供货方提供）</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gridSpan w:val="5"/>
            <w:tcW w:w="4113"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电缆敷设时允许环境温度</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rFonts w:hint="eastAsia" w:ascii="宋体" w:hAnsi="宋体" w:cs="宋体"/>
                <w:sz w:val="18"/>
                <w:szCs w:val="21"/>
                <w:highlight w:val="none"/>
              </w:rPr>
              <w:t xml:space="preserve">℃</w:t>
            </w:r>
            <w:r>
              <w:rPr>
                <w:sz w:val="18"/>
                <w:szCs w:val="21"/>
                <w:highlight w:val="none"/>
              </w:rPr>
            </w:r>
            <w:r/>
          </w:p>
        </w:tc>
        <w:tc>
          <w:tcPr>
            <w:gridSpan w:val="2"/>
            <w:tcW w:w="1760" w:type="dxa"/>
            <w:vAlign w:val="center"/>
            <w:textDirection w:val="lrTb"/>
            <w:noWrap w:val="false"/>
          </w:tcPr>
          <w:p>
            <w:pPr>
              <w:pStyle w:val="1151"/>
              <w:jc w:val="center"/>
              <w:spacing w:before="54" w:after="54"/>
              <w:rPr>
                <w:sz w:val="18"/>
                <w:szCs w:val="21"/>
                <w:highlight w:val="none"/>
              </w:rPr>
            </w:pPr>
            <w:r>
              <w:rPr>
                <w:rFonts w:ascii="Symbol" w:hAnsi="Symbol"/>
                <w:sz w:val="18"/>
                <w:szCs w:val="21"/>
                <w:highlight w:val="none"/>
              </w:rPr>
              <w:t xml:space="preserve"></w:t>
            </w:r>
            <w:r>
              <w:rPr>
                <w:rFonts w:hint="eastAsia"/>
                <w:sz w:val="18"/>
                <w:szCs w:val="21"/>
                <w:highlight w:val="none"/>
              </w:rPr>
              <w:t xml:space="preserve">5～＋40</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gridSpan w:val="5"/>
            <w:tcW w:w="4113"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电缆在正常使用条件下的寿命</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年</w:t>
            </w:r>
            <w:r>
              <w:rPr>
                <w:sz w:val="18"/>
                <w:szCs w:val="21"/>
                <w:highlight w:val="none"/>
              </w:rPr>
            </w:r>
            <w:r/>
          </w:p>
        </w:tc>
        <w:tc>
          <w:tcPr>
            <w:gridSpan w:val="2"/>
            <w:tcW w:w="1760"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t xml:space="preserve">30</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gridSpan w:val="5"/>
            <w:tcW w:w="4113"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电缆</w:t>
            </w:r>
            <w:r>
              <w:rPr>
                <w:rFonts w:hint="eastAsia"/>
                <w:sz w:val="18"/>
                <w:szCs w:val="21"/>
                <w:highlight w:val="none"/>
              </w:rPr>
              <w:t xml:space="preserve">阻燃级别</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r>
            <w:r/>
          </w:p>
        </w:tc>
        <w:tc>
          <w:tcPr>
            <w:gridSpan w:val="2"/>
            <w:tcW w:w="1760"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按供货需求表</w:t>
            </w:r>
            <w:r>
              <w:rPr>
                <w:sz w:val="18"/>
                <w:szCs w:val="21"/>
                <w:highlight w:val="none"/>
              </w:rPr>
            </w:r>
            <w:r/>
          </w:p>
        </w:tc>
        <w:tc>
          <w:tcPr>
            <w:tcW w:w="1722" w:type="dxa"/>
            <w:vAlign w:val="center"/>
            <w:textDirection w:val="lrTb"/>
            <w:noWrap w:val="false"/>
          </w:tcPr>
          <w:p>
            <w:pPr>
              <w:pStyle w:val="1151"/>
              <w:ind w:left="-57" w:right="-57"/>
              <w:jc w:val="center"/>
              <w:spacing w:before="54" w:after="54"/>
              <w:rPr>
                <w:spacing w:val="-6"/>
                <w:sz w:val="18"/>
                <w:szCs w:val="18"/>
                <w:highlight w:val="none"/>
              </w:rPr>
            </w:pPr>
            <w:r>
              <w:rPr>
                <w:rFonts w:hint="eastAsia"/>
                <w:spacing w:val="-6"/>
                <w:sz w:val="18"/>
                <w:szCs w:val="18"/>
                <w:highlight w:val="none"/>
              </w:rPr>
              <w:t xml:space="preserve">采用阻燃电缆时填写</w:t>
            </w:r>
            <w:r>
              <w:rPr>
                <w:spacing w:val="-6"/>
                <w:sz w:val="18"/>
                <w:szCs w:val="18"/>
                <w:highlight w:val="none"/>
              </w:rPr>
            </w:r>
            <w:r/>
          </w:p>
        </w:tc>
      </w:tr>
      <w:tr>
        <w:trPr>
          <w:cantSplit/>
        </w:trPr>
        <w:tc>
          <w:tcPr>
            <w:gridSpan w:val="9"/>
            <w:tcW w:w="8809"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电缆非电气技术参数</w:t>
            </w:r>
            <w:r>
              <w:rPr>
                <w:sz w:val="18"/>
                <w:szCs w:val="21"/>
                <w:highlight w:val="none"/>
              </w:rPr>
            </w:r>
            <w:r/>
          </w:p>
        </w:tc>
      </w:tr>
      <w:tr>
        <w:trPr>
          <w:cantSplit/>
        </w:trPr>
        <w:tc>
          <w:tcPr>
            <w:tcW w:w="828" w:type="dxa"/>
            <w:vAlign w:val="center"/>
            <w:vMerge w:val="restart"/>
            <w:textDirection w:val="lrTb"/>
            <w:noWrap w:val="false"/>
          </w:tcPr>
          <w:p>
            <w:pPr>
              <w:pStyle w:val="1151"/>
              <w:jc w:val="center"/>
              <w:spacing w:before="54" w:after="54"/>
              <w:rPr>
                <w:sz w:val="18"/>
                <w:szCs w:val="21"/>
                <w:highlight w:val="none"/>
              </w:rPr>
            </w:pPr>
            <w:r>
              <w:rPr>
                <w:sz w:val="18"/>
                <w:szCs w:val="21"/>
                <w:highlight w:val="none"/>
              </w:rPr>
              <w:t xml:space="preserve">绝缘</w:t>
            </w: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老化前抗张强度不小于</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MPa</w:t>
            </w:r>
            <w:r>
              <w:rPr>
                <w:sz w:val="18"/>
                <w:szCs w:val="21"/>
                <w:highlight w:val="none"/>
              </w:rPr>
            </w:r>
            <w:r/>
          </w:p>
        </w:tc>
        <w:tc>
          <w:tcPr>
            <w:gridSpan w:val="2"/>
            <w:tcW w:w="1760"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12.5</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老化前断裂伸长率不小于</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w:t>
            </w:r>
            <w:r>
              <w:rPr>
                <w:sz w:val="18"/>
                <w:szCs w:val="21"/>
                <w:highlight w:val="none"/>
              </w:rPr>
            </w:r>
            <w:r/>
          </w:p>
        </w:tc>
        <w:tc>
          <w:tcPr>
            <w:gridSpan w:val="2"/>
            <w:tcW w:w="1760"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200</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老化后抗张强度变化率不超过</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w:t>
            </w:r>
            <w:r>
              <w:rPr>
                <w:sz w:val="18"/>
                <w:szCs w:val="21"/>
                <w:highlight w:val="none"/>
              </w:rPr>
            </w:r>
            <w:r/>
          </w:p>
        </w:tc>
        <w:tc>
          <w:tcPr>
            <w:gridSpan w:val="2"/>
            <w:tcW w:w="1760"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t xml:space="preserve">25</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老化后断裂伸长率变化率不超过</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w:t>
            </w:r>
            <w:r>
              <w:rPr>
                <w:sz w:val="18"/>
                <w:szCs w:val="21"/>
                <w:highlight w:val="none"/>
              </w:rPr>
            </w:r>
            <w:r/>
          </w:p>
        </w:tc>
        <w:tc>
          <w:tcPr>
            <w:gridSpan w:val="2"/>
            <w:tcW w:w="1760"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t xml:space="preserve">25</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电缆段老化后抗张强度变化率不超过</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w:t>
            </w:r>
            <w:r>
              <w:rPr>
                <w:sz w:val="18"/>
                <w:szCs w:val="21"/>
                <w:highlight w:val="none"/>
              </w:rPr>
            </w:r>
            <w:r/>
          </w:p>
        </w:tc>
        <w:tc>
          <w:tcPr>
            <w:gridSpan w:val="2"/>
            <w:tcW w:w="1760"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t xml:space="preserve">25</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电</w:t>
            </w:r>
            <w:r>
              <w:rPr>
                <w:sz w:val="18"/>
                <w:szCs w:val="18"/>
                <w:highlight w:val="none"/>
              </w:rPr>
              <w:t xml:space="preserve">缆段老化后断裂伸长率变化率不超</w:t>
            </w:r>
            <w:r>
              <w:rPr>
                <w:sz w:val="18"/>
                <w:szCs w:val="21"/>
                <w:highlight w:val="none"/>
              </w:rPr>
              <w:t xml:space="preserve">过</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w:t>
            </w:r>
            <w:r>
              <w:rPr>
                <w:sz w:val="18"/>
                <w:szCs w:val="21"/>
                <w:highlight w:val="none"/>
              </w:rPr>
            </w:r>
            <w:r/>
          </w:p>
        </w:tc>
        <w:tc>
          <w:tcPr>
            <w:gridSpan w:val="2"/>
            <w:tcW w:w="1760"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t xml:space="preserve">25</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绝缘收缩试验不大于</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w:t>
            </w:r>
            <w:r>
              <w:rPr>
                <w:sz w:val="18"/>
                <w:szCs w:val="21"/>
                <w:highlight w:val="none"/>
              </w:rPr>
            </w:r>
            <w:r/>
          </w:p>
        </w:tc>
        <w:tc>
          <w:tcPr>
            <w:gridSpan w:val="2"/>
            <w:tcW w:w="1760"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4</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restart"/>
            <w:textDirection w:val="lrTb"/>
            <w:noWrap w:val="false"/>
          </w:tcPr>
          <w:p>
            <w:pPr>
              <w:pStyle w:val="1151"/>
              <w:jc w:val="center"/>
              <w:spacing w:before="54" w:after="54"/>
              <w:rPr>
                <w:sz w:val="18"/>
                <w:szCs w:val="21"/>
                <w:highlight w:val="none"/>
              </w:rPr>
            </w:pPr>
            <w:r>
              <w:rPr>
                <w:sz w:val="18"/>
                <w:szCs w:val="21"/>
                <w:highlight w:val="none"/>
              </w:rPr>
              <w:t xml:space="preserve">绝缘</w:t>
            </w:r>
            <w:r>
              <w:rPr>
                <w:sz w:val="18"/>
                <w:szCs w:val="21"/>
                <w:highlight w:val="none"/>
              </w:rPr>
            </w:r>
            <w:r/>
          </w:p>
        </w:tc>
        <w:tc>
          <w:tcPr>
            <w:gridSpan w:val="3"/>
            <w:tcW w:w="1269" w:type="dxa"/>
            <w:vAlign w:val="center"/>
            <w:vMerge w:val="restart"/>
            <w:textDirection w:val="lrTb"/>
            <w:noWrap w:val="false"/>
          </w:tcPr>
          <w:p>
            <w:pPr>
              <w:pStyle w:val="1151"/>
              <w:jc w:val="center"/>
              <w:spacing w:before="54" w:after="54"/>
              <w:rPr>
                <w:sz w:val="18"/>
                <w:szCs w:val="21"/>
                <w:highlight w:val="none"/>
              </w:rPr>
            </w:pPr>
            <w:r>
              <w:rPr>
                <w:sz w:val="18"/>
                <w:szCs w:val="21"/>
                <w:highlight w:val="none"/>
              </w:rPr>
              <w:t xml:space="preserve">热延伸</w:t>
            </w:r>
            <w:r>
              <w:rPr>
                <w:sz w:val="18"/>
                <w:szCs w:val="21"/>
                <w:highlight w:val="none"/>
              </w:rPr>
            </w:r>
            <w:r/>
          </w:p>
        </w:tc>
        <w:tc>
          <w:tcPr>
            <w:tcW w:w="2016"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负荷下伸长率不大于</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w:t>
            </w:r>
            <w:r>
              <w:rPr>
                <w:sz w:val="18"/>
                <w:szCs w:val="21"/>
                <w:highlight w:val="none"/>
              </w:rPr>
            </w:r>
            <w:r/>
          </w:p>
        </w:tc>
        <w:tc>
          <w:tcPr>
            <w:gridSpan w:val="2"/>
            <w:tcW w:w="1760"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125</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3"/>
            <w:tcW w:w="1269"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tcW w:w="2016" w:type="dxa"/>
            <w:vAlign w:val="center"/>
            <w:textDirection w:val="lrTb"/>
            <w:noWrap w:val="false"/>
          </w:tcPr>
          <w:p>
            <w:pPr>
              <w:pStyle w:val="1151"/>
              <w:ind w:left="-57" w:right="-57"/>
              <w:jc w:val="center"/>
              <w:spacing w:before="54" w:after="54"/>
              <w:rPr>
                <w:spacing w:val="-6"/>
                <w:sz w:val="18"/>
                <w:szCs w:val="18"/>
                <w:highlight w:val="none"/>
              </w:rPr>
            </w:pPr>
            <w:r>
              <w:rPr>
                <w:spacing w:val="-6"/>
                <w:sz w:val="18"/>
                <w:szCs w:val="18"/>
                <w:highlight w:val="none"/>
              </w:rPr>
              <w:t xml:space="preserve">冷却后永久伸长率不大于</w:t>
            </w:r>
            <w:r>
              <w:rPr>
                <w:spacing w:val="-6"/>
                <w:sz w:val="18"/>
                <w:szCs w:val="18"/>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w:t>
            </w:r>
            <w:r>
              <w:rPr>
                <w:sz w:val="18"/>
                <w:szCs w:val="21"/>
                <w:highlight w:val="none"/>
              </w:rPr>
            </w:r>
            <w:r/>
          </w:p>
        </w:tc>
        <w:tc>
          <w:tcPr>
            <w:gridSpan w:val="2"/>
            <w:tcW w:w="1760"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10</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restart"/>
            <w:textDirection w:val="lrTb"/>
            <w:noWrap w:val="false"/>
          </w:tcPr>
          <w:p>
            <w:pPr>
              <w:pStyle w:val="1151"/>
              <w:jc w:val="center"/>
              <w:spacing w:before="54" w:after="54"/>
              <w:rPr>
                <w:sz w:val="18"/>
                <w:szCs w:val="21"/>
                <w:highlight w:val="none"/>
              </w:rPr>
            </w:pPr>
            <w:r>
              <w:rPr>
                <w:sz w:val="18"/>
                <w:szCs w:val="21"/>
                <w:highlight w:val="none"/>
              </w:rPr>
              <w:t xml:space="preserve">外护套</w:t>
            </w:r>
            <w:r>
              <w:rPr>
                <w:sz w:val="18"/>
                <w:szCs w:val="21"/>
                <w:highlight w:val="none"/>
              </w:rPr>
            </w:r>
            <w:r/>
          </w:p>
        </w:tc>
        <w:tc>
          <w:tcPr>
            <w:gridSpan w:val="5"/>
            <w:tcW w:w="4499" w:type="dxa"/>
            <w:vAlign w:val="center"/>
            <w:textDirection w:val="lrTb"/>
            <w:noWrap w:val="false"/>
          </w:tcPr>
          <w:p>
            <w:pPr>
              <w:pStyle w:val="1151"/>
              <w:jc w:val="center"/>
              <w:spacing w:before="54" w:after="54"/>
              <w:rPr>
                <w:sz w:val="18"/>
                <w:szCs w:val="21"/>
                <w:highlight w:val="none"/>
              </w:rPr>
            </w:pPr>
            <w:r>
              <w:rPr>
                <w:sz w:val="18"/>
                <w:szCs w:val="21"/>
                <w:highlight w:val="none"/>
              </w:rPr>
            </w:r>
            <w:r/>
          </w:p>
        </w:tc>
        <w:tc>
          <w:tcPr>
            <w:tcW w:w="881"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PE</w:t>
            </w:r>
            <w:r>
              <w:rPr>
                <w:sz w:val="18"/>
                <w:szCs w:val="21"/>
                <w:highlight w:val="none"/>
              </w:rPr>
            </w:r>
            <w:r/>
          </w:p>
        </w:tc>
        <w:tc>
          <w:tcPr>
            <w:tcW w:w="879"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PVC</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老化前抗张强度不小于</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MPa</w:t>
            </w:r>
            <w:r>
              <w:rPr>
                <w:sz w:val="18"/>
                <w:szCs w:val="21"/>
                <w:highlight w:val="none"/>
              </w:rPr>
            </w:r>
            <w:r/>
          </w:p>
        </w:tc>
        <w:tc>
          <w:tcPr>
            <w:tcW w:w="881"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10.0</w:t>
            </w:r>
            <w:r>
              <w:rPr>
                <w:sz w:val="18"/>
                <w:szCs w:val="21"/>
                <w:highlight w:val="none"/>
              </w:rPr>
            </w:r>
            <w:r/>
          </w:p>
        </w:tc>
        <w:tc>
          <w:tcPr>
            <w:tcW w:w="879"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12.5</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老化前断裂伸长率不小于</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w:t>
            </w:r>
            <w:r>
              <w:rPr>
                <w:sz w:val="18"/>
                <w:szCs w:val="21"/>
                <w:highlight w:val="none"/>
              </w:rPr>
            </w:r>
            <w:r/>
          </w:p>
        </w:tc>
        <w:tc>
          <w:tcPr>
            <w:tcW w:w="881"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300</w:t>
            </w:r>
            <w:r>
              <w:rPr>
                <w:sz w:val="18"/>
                <w:szCs w:val="21"/>
                <w:highlight w:val="none"/>
              </w:rPr>
            </w:r>
            <w:r/>
          </w:p>
        </w:tc>
        <w:tc>
          <w:tcPr>
            <w:tcW w:w="879"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150</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老化后抗张强度不小于</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MPa</w:t>
            </w:r>
            <w:r>
              <w:rPr>
                <w:sz w:val="18"/>
                <w:szCs w:val="21"/>
                <w:highlight w:val="none"/>
              </w:rPr>
            </w:r>
            <w:r/>
          </w:p>
        </w:tc>
        <w:tc>
          <w:tcPr>
            <w:tcW w:w="881"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r>
            <w:r/>
          </w:p>
        </w:tc>
        <w:tc>
          <w:tcPr>
            <w:tcW w:w="879"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12.5</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老化后断裂伸长率不小于</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w:t>
            </w:r>
            <w:r>
              <w:rPr>
                <w:sz w:val="18"/>
                <w:szCs w:val="21"/>
                <w:highlight w:val="none"/>
              </w:rPr>
            </w:r>
            <w:r/>
          </w:p>
        </w:tc>
        <w:tc>
          <w:tcPr>
            <w:tcW w:w="881"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300</w:t>
            </w:r>
            <w:r>
              <w:rPr>
                <w:sz w:val="18"/>
                <w:szCs w:val="21"/>
                <w:highlight w:val="none"/>
              </w:rPr>
            </w:r>
            <w:r/>
          </w:p>
        </w:tc>
        <w:tc>
          <w:tcPr>
            <w:tcW w:w="879"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150</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老化后抗张强度变化率不超过</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w:t>
            </w:r>
            <w:r>
              <w:rPr>
                <w:sz w:val="18"/>
                <w:szCs w:val="21"/>
                <w:highlight w:val="none"/>
              </w:rPr>
            </w:r>
            <w:r/>
          </w:p>
        </w:tc>
        <w:tc>
          <w:tcPr>
            <w:tcW w:w="881"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r>
            <w:r/>
          </w:p>
        </w:tc>
        <w:tc>
          <w:tcPr>
            <w:tcW w:w="879"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t xml:space="preserve">25</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老化后断裂伸长率变化率不超过</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w:t>
            </w:r>
            <w:r>
              <w:rPr>
                <w:sz w:val="18"/>
                <w:szCs w:val="21"/>
                <w:highlight w:val="none"/>
              </w:rPr>
            </w:r>
            <w:r/>
          </w:p>
        </w:tc>
        <w:tc>
          <w:tcPr>
            <w:tcW w:w="881"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r>
            <w:r/>
          </w:p>
        </w:tc>
        <w:tc>
          <w:tcPr>
            <w:tcW w:w="879"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t xml:space="preserve">25</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电缆段老化后抗张强度变化率不超过</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w:t>
            </w:r>
            <w:r>
              <w:rPr>
                <w:sz w:val="18"/>
                <w:szCs w:val="21"/>
                <w:highlight w:val="none"/>
              </w:rPr>
            </w:r>
            <w:r/>
          </w:p>
        </w:tc>
        <w:tc>
          <w:tcPr>
            <w:tcW w:w="881"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r>
            <w:r/>
          </w:p>
        </w:tc>
        <w:tc>
          <w:tcPr>
            <w:tcW w:w="879"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t xml:space="preserve">25</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18"/>
                <w:highlight w:val="none"/>
              </w:rPr>
            </w:pPr>
            <w:r>
              <w:rPr>
                <w:sz w:val="18"/>
                <w:szCs w:val="18"/>
                <w:highlight w:val="none"/>
              </w:rPr>
              <w:t xml:space="preserve">电缆段老化后断裂伸长率变化率不超过</w:t>
            </w:r>
            <w:r>
              <w:rPr>
                <w:sz w:val="18"/>
                <w:szCs w:val="18"/>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w:t>
            </w:r>
            <w:r>
              <w:rPr>
                <w:sz w:val="18"/>
                <w:szCs w:val="21"/>
                <w:highlight w:val="none"/>
              </w:rPr>
            </w:r>
            <w:r/>
          </w:p>
        </w:tc>
        <w:tc>
          <w:tcPr>
            <w:tcW w:w="881"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r>
            <w:r/>
          </w:p>
        </w:tc>
        <w:tc>
          <w:tcPr>
            <w:tcW w:w="879"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t xml:space="preserve">25</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高温压力试验，压痕深度不大于</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w:t>
            </w:r>
            <w:r>
              <w:rPr>
                <w:sz w:val="18"/>
                <w:szCs w:val="21"/>
                <w:highlight w:val="none"/>
              </w:rPr>
            </w:r>
            <w:r/>
          </w:p>
        </w:tc>
        <w:tc>
          <w:tcPr>
            <w:tcW w:w="881"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50</w:t>
            </w:r>
            <w:r>
              <w:rPr>
                <w:sz w:val="18"/>
                <w:szCs w:val="21"/>
                <w:highlight w:val="none"/>
              </w:rPr>
            </w:r>
            <w:r/>
          </w:p>
        </w:tc>
        <w:tc>
          <w:tcPr>
            <w:tcW w:w="879"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50</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热冲击试验</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r>
            <w:r/>
          </w:p>
        </w:tc>
        <w:tc>
          <w:tcPr>
            <w:tcW w:w="881"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r>
            <w:r/>
          </w:p>
        </w:tc>
        <w:tc>
          <w:tcPr>
            <w:tcW w:w="879"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不开裂</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低温冲击试验</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r>
            <w:r/>
          </w:p>
        </w:tc>
        <w:tc>
          <w:tcPr>
            <w:tcW w:w="881"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r>
            <w:r/>
          </w:p>
        </w:tc>
        <w:tc>
          <w:tcPr>
            <w:tcW w:w="879"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不开裂</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低温拉伸，断裂伸长率不小于</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w:t>
            </w:r>
            <w:r>
              <w:rPr>
                <w:sz w:val="18"/>
                <w:szCs w:val="21"/>
                <w:highlight w:val="none"/>
              </w:rPr>
            </w:r>
            <w:r/>
          </w:p>
        </w:tc>
        <w:tc>
          <w:tcPr>
            <w:tcW w:w="881"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r>
            <w:r/>
          </w:p>
        </w:tc>
        <w:tc>
          <w:tcPr>
            <w:tcW w:w="879"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20</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热失重，最大允许失重　</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mg/cm</w:t>
            </w:r>
            <w:r>
              <w:rPr>
                <w:sz w:val="18"/>
                <w:szCs w:val="21"/>
                <w:highlight w:val="none"/>
                <w:vertAlign w:val="superscript"/>
              </w:rPr>
              <w:t xml:space="preserve">2</w:t>
            </w:r>
            <w:r>
              <w:rPr>
                <w:sz w:val="18"/>
                <w:szCs w:val="21"/>
                <w:highlight w:val="none"/>
              </w:rPr>
            </w:r>
            <w:r/>
          </w:p>
        </w:tc>
        <w:tc>
          <w:tcPr>
            <w:tcW w:w="881"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r>
            <w:r/>
          </w:p>
        </w:tc>
        <w:tc>
          <w:tcPr>
            <w:tcW w:w="879"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1.5</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vMerge w:val="continue"/>
            <w:textDirection w:val="lrTb"/>
            <w:noWrap w:val="false"/>
          </w:tcPr>
          <w:p>
            <w:pPr>
              <w:pStyle w:val="1151"/>
              <w:jc w:val="center"/>
              <w:spacing w:before="54" w:after="54"/>
              <w:rPr>
                <w:sz w:val="18"/>
                <w:szCs w:val="21"/>
                <w:highlight w:val="none"/>
              </w:rPr>
            </w:pP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炭</w:t>
            </w:r>
            <w:r>
              <w:rPr>
                <w:sz w:val="18"/>
                <w:szCs w:val="21"/>
                <w:highlight w:val="none"/>
              </w:rPr>
              <w:t xml:space="preserve">黑含量</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w:t>
            </w:r>
            <w:r>
              <w:rPr>
                <w:sz w:val="18"/>
                <w:szCs w:val="21"/>
                <w:highlight w:val="none"/>
              </w:rPr>
            </w:r>
            <w:r/>
          </w:p>
        </w:tc>
        <w:tc>
          <w:tcPr>
            <w:tcW w:w="881" w:type="dxa"/>
            <w:vAlign w:val="center"/>
            <w:textDirection w:val="lrTb"/>
            <w:noWrap w:val="false"/>
          </w:tcPr>
          <w:p>
            <w:pPr>
              <w:pStyle w:val="1151"/>
              <w:jc w:val="center"/>
              <w:spacing w:before="54" w:after="54"/>
              <w:rPr>
                <w:sz w:val="18"/>
                <w:szCs w:val="21"/>
                <w:highlight w:val="none"/>
              </w:rPr>
            </w:pPr>
            <w:r>
              <w:rPr>
                <w:sz w:val="18"/>
                <w:szCs w:val="21"/>
                <w:highlight w:val="none"/>
              </w:rPr>
              <w:t xml:space="preserve">2.0～3.0</w:t>
            </w:r>
            <w:r>
              <w:rPr>
                <w:sz w:val="18"/>
                <w:szCs w:val="21"/>
                <w:highlight w:val="none"/>
              </w:rPr>
            </w:r>
            <w:r/>
          </w:p>
        </w:tc>
        <w:tc>
          <w:tcPr>
            <w:tcW w:w="879"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r>
        <w:trPr>
          <w:cantSplit/>
        </w:trPr>
        <w:tc>
          <w:tcPr>
            <w:tcW w:w="828"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剥离力</w:t>
            </w:r>
            <w:r>
              <w:rPr>
                <w:sz w:val="18"/>
                <w:szCs w:val="21"/>
                <w:highlight w:val="none"/>
              </w:rPr>
            </w:r>
            <w:r/>
          </w:p>
        </w:tc>
        <w:tc>
          <w:tcPr>
            <w:gridSpan w:val="4"/>
            <w:tcW w:w="3285"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绝缘屏蔽剥离力</w:t>
            </w:r>
            <w:r>
              <w:rPr>
                <w:sz w:val="18"/>
                <w:szCs w:val="21"/>
                <w:highlight w:val="none"/>
              </w:rPr>
            </w:r>
            <w:r/>
          </w:p>
        </w:tc>
        <w:tc>
          <w:tcPr>
            <w:tcW w:w="1214"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N</w:t>
            </w:r>
            <w:r>
              <w:rPr>
                <w:sz w:val="18"/>
                <w:szCs w:val="21"/>
                <w:highlight w:val="none"/>
              </w:rPr>
            </w:r>
            <w:r/>
          </w:p>
        </w:tc>
        <w:tc>
          <w:tcPr>
            <w:gridSpan w:val="2"/>
            <w:tcW w:w="1760" w:type="dxa"/>
            <w:vAlign w:val="center"/>
            <w:textDirection w:val="lrTb"/>
            <w:noWrap w:val="false"/>
          </w:tcPr>
          <w:p>
            <w:pPr>
              <w:pStyle w:val="1151"/>
              <w:jc w:val="center"/>
              <w:spacing w:before="54" w:after="54"/>
              <w:rPr>
                <w:sz w:val="18"/>
                <w:szCs w:val="21"/>
                <w:highlight w:val="none"/>
              </w:rPr>
            </w:pPr>
            <w:r>
              <w:rPr>
                <w:rFonts w:hint="eastAsia"/>
                <w:sz w:val="18"/>
                <w:szCs w:val="21"/>
                <w:highlight w:val="none"/>
              </w:rPr>
              <w:t xml:space="preserve">8～45</w:t>
            </w:r>
            <w:r>
              <w:rPr>
                <w:sz w:val="18"/>
                <w:szCs w:val="21"/>
                <w:highlight w:val="none"/>
              </w:rPr>
            </w:r>
            <w:r/>
          </w:p>
        </w:tc>
        <w:tc>
          <w:tcPr>
            <w:tcW w:w="1722" w:type="dxa"/>
            <w:vAlign w:val="center"/>
            <w:textDirection w:val="lrTb"/>
            <w:noWrap w:val="false"/>
          </w:tcPr>
          <w:p>
            <w:pPr>
              <w:pStyle w:val="1151"/>
              <w:jc w:val="center"/>
              <w:spacing w:before="54" w:after="54"/>
              <w:rPr>
                <w:sz w:val="18"/>
                <w:szCs w:val="21"/>
                <w:highlight w:val="none"/>
              </w:rPr>
            </w:pPr>
            <w:r>
              <w:rPr>
                <w:sz w:val="18"/>
                <w:szCs w:val="21"/>
                <w:highlight w:val="none"/>
              </w:rPr>
            </w:r>
            <w:r/>
          </w:p>
        </w:tc>
      </w:tr>
    </w:tbl>
    <w:p>
      <w:pPr>
        <w:pStyle w:val="1238"/>
        <w:outlineLvl w:val="0"/>
      </w:pPr>
      <w:r/>
      <w:bookmarkStart w:id="497" w:name="_Toc445904011"/>
      <w:r/>
      <w:bookmarkStart w:id="498" w:name="_Toc362271089"/>
      <w:r>
        <w:rPr>
          <w:rFonts w:hint="eastAsia"/>
        </w:rPr>
        <w:t xml:space="preserve">4　使用环境条件表</w:t>
      </w:r>
      <w:bookmarkEnd w:id="497"/>
      <w:r/>
      <w:bookmarkEnd w:id="498"/>
      <w:r/>
      <w:r/>
    </w:p>
    <w:p>
      <w:pPr>
        <w:pStyle w:val="1239"/>
        <w:spacing w:before="156" w:after="156"/>
      </w:pPr>
      <w:r>
        <w:t xml:space="preserve">表</w:t>
      </w:r>
      <w:r>
        <w:rPr>
          <w:rFonts w:hint="eastAsia"/>
        </w:rPr>
        <w:t xml:space="preserve">3</w:t>
      </w:r>
      <w:r>
        <w:t xml:space="preserve">　</w:t>
      </w:r>
      <w:r>
        <w:rPr>
          <w:rFonts w:hint="eastAsia"/>
          <w:spacing w:val="30"/>
        </w:rPr>
        <w:t xml:space="preserve">使用环境条件</w:t>
      </w:r>
      <w:r>
        <w:rPr>
          <w:spacing w:val="30"/>
        </w:rPr>
        <w:t xml:space="preserve">表</w:t>
      </w:r>
      <w:r/>
    </w:p>
    <w:tbl>
      <w:tblPr>
        <w:tblW w:w="5000" w:type="pct"/>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3"/>
        <w:gridCol w:w="3685"/>
        <w:gridCol w:w="4456"/>
      </w:tblGrid>
      <w:tr>
        <w:trPr/>
        <w:tc>
          <w:tcPr>
            <w:gridSpan w:val="2"/>
            <w:tcW w:w="5398" w:type="dxa"/>
            <w:vAlign w:val="center"/>
            <w:textDirection w:val="lrTb"/>
            <w:noWrap w:val="false"/>
          </w:tcPr>
          <w:p>
            <w:pPr>
              <w:pStyle w:val="1151"/>
              <w:jc w:val="center"/>
              <w:spacing w:before="60" w:after="60"/>
              <w:rPr>
                <w:sz w:val="18"/>
                <w:szCs w:val="21"/>
              </w:rPr>
            </w:pPr>
            <w:r>
              <w:rPr>
                <w:rFonts w:hint="eastAsia"/>
                <w:sz w:val="18"/>
                <w:szCs w:val="21"/>
              </w:rPr>
              <w:t xml:space="preserve">名    称</w:t>
            </w:r>
            <w:r>
              <w:rPr>
                <w:sz w:val="18"/>
                <w:szCs w:val="21"/>
              </w:rPr>
            </w:r>
            <w:r/>
          </w:p>
        </w:tc>
        <w:tc>
          <w:tcPr>
            <w:tcW w:w="2261" w:type="dxa"/>
            <w:vAlign w:val="center"/>
            <w:textDirection w:val="lrTb"/>
            <w:noWrap w:val="false"/>
          </w:tcPr>
          <w:p>
            <w:pPr>
              <w:pStyle w:val="1151"/>
              <w:jc w:val="center"/>
              <w:spacing w:before="60" w:after="60"/>
              <w:rPr>
                <w:sz w:val="18"/>
                <w:szCs w:val="21"/>
              </w:rPr>
            </w:pPr>
            <w:r>
              <w:rPr>
                <w:rFonts w:hint="eastAsia"/>
                <w:sz w:val="18"/>
                <w:szCs w:val="21"/>
              </w:rPr>
              <w:t xml:space="preserve">参  数  值</w:t>
            </w:r>
            <w:r>
              <w:rPr>
                <w:sz w:val="18"/>
                <w:szCs w:val="21"/>
              </w:rPr>
            </w:r>
            <w:r/>
          </w:p>
        </w:tc>
      </w:tr>
      <w:tr>
        <w:trPr/>
        <w:tc>
          <w:tcPr>
            <w:gridSpan w:val="2"/>
            <w:tcW w:w="5398" w:type="dxa"/>
            <w:vAlign w:val="center"/>
            <w:textDirection w:val="lrTb"/>
            <w:noWrap w:val="false"/>
          </w:tcPr>
          <w:p>
            <w:pPr>
              <w:pStyle w:val="1151"/>
              <w:ind w:firstLine="180"/>
              <w:spacing w:before="60" w:after="60"/>
              <w:rPr>
                <w:sz w:val="18"/>
                <w:szCs w:val="21"/>
              </w:rPr>
            </w:pPr>
            <w:r>
              <w:rPr>
                <w:rFonts w:hint="eastAsia"/>
                <w:sz w:val="18"/>
                <w:szCs w:val="21"/>
              </w:rPr>
              <w:t xml:space="preserve">海拔高度（m）</w:t>
            </w:r>
            <w:r>
              <w:rPr>
                <w:sz w:val="18"/>
                <w:szCs w:val="21"/>
              </w:rPr>
            </w:r>
            <w:r/>
          </w:p>
        </w:tc>
        <w:tc>
          <w:tcPr>
            <w:tcW w:w="2261" w:type="dxa"/>
            <w:vAlign w:val="center"/>
            <w:textDirection w:val="lrTb"/>
            <w:noWrap w:val="false"/>
          </w:tcPr>
          <w:p>
            <w:pPr>
              <w:pStyle w:val="1151"/>
              <w:ind w:firstLine="180"/>
              <w:spacing w:before="60" w:after="60"/>
              <w:rPr>
                <w:sz w:val="18"/>
                <w:szCs w:val="21"/>
              </w:rPr>
            </w:pPr>
            <w:r>
              <w:rPr>
                <w:rFonts w:hint="eastAsia"/>
                <w:sz w:val="18"/>
                <w:szCs w:val="21"/>
              </w:rPr>
              <w:t xml:space="preserve">≤1000</w:t>
            </w:r>
            <w:r>
              <w:rPr>
                <w:sz w:val="18"/>
                <w:szCs w:val="21"/>
              </w:rPr>
            </w:r>
            <w:r/>
          </w:p>
        </w:tc>
      </w:tr>
      <w:tr>
        <w:trPr/>
        <w:tc>
          <w:tcPr>
            <w:gridSpan w:val="2"/>
            <w:tcW w:w="5398" w:type="dxa"/>
            <w:vAlign w:val="center"/>
            <w:textDirection w:val="lrTb"/>
            <w:noWrap w:val="false"/>
          </w:tcPr>
          <w:p>
            <w:pPr>
              <w:pStyle w:val="1151"/>
              <w:ind w:firstLine="180"/>
              <w:spacing w:before="60" w:after="60"/>
              <w:rPr>
                <w:sz w:val="18"/>
                <w:szCs w:val="21"/>
              </w:rPr>
            </w:pPr>
            <w:r>
              <w:rPr>
                <w:rFonts w:hint="eastAsia"/>
                <w:sz w:val="18"/>
                <w:szCs w:val="21"/>
              </w:rPr>
              <w:t xml:space="preserve">最高环境温度（℃）</w:t>
            </w:r>
            <w:r>
              <w:rPr>
                <w:sz w:val="18"/>
                <w:szCs w:val="21"/>
              </w:rPr>
            </w:r>
            <w:r/>
          </w:p>
        </w:tc>
        <w:tc>
          <w:tcPr>
            <w:tcW w:w="2261" w:type="dxa"/>
            <w:vAlign w:val="center"/>
            <w:textDirection w:val="lrTb"/>
            <w:noWrap w:val="false"/>
          </w:tcPr>
          <w:p>
            <w:pPr>
              <w:pStyle w:val="1151"/>
              <w:ind w:firstLine="180"/>
              <w:spacing w:before="60" w:after="60"/>
              <w:rPr>
                <w:sz w:val="18"/>
                <w:szCs w:val="21"/>
              </w:rPr>
            </w:pPr>
            <w:r>
              <w:rPr>
                <w:rFonts w:hint="eastAsia"/>
                <w:sz w:val="18"/>
                <w:szCs w:val="21"/>
              </w:rPr>
              <w:t xml:space="preserve">+40</w:t>
            </w:r>
            <w:r>
              <w:rPr>
                <w:sz w:val="18"/>
                <w:szCs w:val="21"/>
              </w:rPr>
            </w:r>
            <w:r/>
          </w:p>
        </w:tc>
      </w:tr>
      <w:tr>
        <w:trPr/>
        <w:tc>
          <w:tcPr>
            <w:gridSpan w:val="2"/>
            <w:tcW w:w="5398" w:type="dxa"/>
            <w:vAlign w:val="center"/>
            <w:textDirection w:val="lrTb"/>
            <w:noWrap w:val="false"/>
          </w:tcPr>
          <w:p>
            <w:pPr>
              <w:pStyle w:val="1151"/>
              <w:ind w:firstLine="180"/>
              <w:spacing w:before="60" w:after="60"/>
              <w:rPr>
                <w:sz w:val="18"/>
                <w:szCs w:val="21"/>
              </w:rPr>
            </w:pPr>
            <w:r>
              <w:rPr>
                <w:rFonts w:hint="eastAsia"/>
                <w:sz w:val="18"/>
                <w:szCs w:val="21"/>
              </w:rPr>
              <w:t xml:space="preserve">最低环境温度（℃）</w:t>
            </w:r>
            <w:r>
              <w:rPr>
                <w:sz w:val="18"/>
                <w:szCs w:val="21"/>
              </w:rPr>
            </w:r>
            <w:r/>
          </w:p>
        </w:tc>
        <w:tc>
          <w:tcPr>
            <w:tcW w:w="2261" w:type="dxa"/>
            <w:vAlign w:val="center"/>
            <w:textDirection w:val="lrTb"/>
            <w:noWrap w:val="false"/>
          </w:tcPr>
          <w:p>
            <w:pPr>
              <w:pStyle w:val="1151"/>
              <w:ind w:firstLine="180"/>
              <w:spacing w:before="60" w:after="60"/>
              <w:rPr>
                <w:sz w:val="18"/>
                <w:szCs w:val="21"/>
              </w:rPr>
            </w:pPr>
            <w:r>
              <w:rPr>
                <w:rFonts w:hint="eastAsia"/>
                <w:sz w:val="18"/>
                <w:szCs w:val="21"/>
              </w:rPr>
              <w:t xml:space="preserve">-40</w:t>
            </w:r>
            <w:r>
              <w:rPr>
                <w:sz w:val="18"/>
                <w:szCs w:val="21"/>
              </w:rPr>
            </w:r>
            <w:r/>
          </w:p>
        </w:tc>
      </w:tr>
      <w:tr>
        <w:trPr/>
        <w:tc>
          <w:tcPr>
            <w:gridSpan w:val="2"/>
            <w:tcW w:w="5398" w:type="dxa"/>
            <w:vAlign w:val="center"/>
            <w:textDirection w:val="lrTb"/>
            <w:noWrap w:val="false"/>
          </w:tcPr>
          <w:p>
            <w:pPr>
              <w:pStyle w:val="1151"/>
              <w:ind w:firstLine="180"/>
              <w:spacing w:before="60" w:after="60"/>
              <w:rPr>
                <w:sz w:val="18"/>
                <w:szCs w:val="21"/>
              </w:rPr>
            </w:pPr>
            <w:r>
              <w:rPr>
                <w:rFonts w:hint="eastAsia"/>
                <w:sz w:val="18"/>
                <w:szCs w:val="21"/>
              </w:rPr>
              <w:t xml:space="preserve">土壤最高环境温度（℃）</w:t>
            </w:r>
            <w:r>
              <w:rPr>
                <w:sz w:val="18"/>
                <w:szCs w:val="21"/>
              </w:rPr>
            </w:r>
            <w:r/>
          </w:p>
        </w:tc>
        <w:tc>
          <w:tcPr>
            <w:tcW w:w="2261" w:type="dxa"/>
            <w:vAlign w:val="center"/>
            <w:textDirection w:val="lrTb"/>
            <w:noWrap w:val="false"/>
          </w:tcPr>
          <w:p>
            <w:pPr>
              <w:pStyle w:val="1151"/>
              <w:ind w:firstLine="180"/>
              <w:spacing w:before="60" w:after="60"/>
              <w:rPr>
                <w:sz w:val="18"/>
                <w:szCs w:val="21"/>
              </w:rPr>
            </w:pPr>
            <w:r>
              <w:rPr>
                <w:rFonts w:hint="eastAsia"/>
                <w:sz w:val="18"/>
                <w:szCs w:val="21"/>
              </w:rPr>
              <w:t xml:space="preserve">+35</w:t>
            </w:r>
            <w:r>
              <w:rPr>
                <w:sz w:val="18"/>
                <w:szCs w:val="21"/>
              </w:rPr>
            </w:r>
            <w:r/>
          </w:p>
        </w:tc>
      </w:tr>
      <w:tr>
        <w:trPr/>
        <w:tc>
          <w:tcPr>
            <w:gridSpan w:val="2"/>
            <w:tcW w:w="5398" w:type="dxa"/>
            <w:vAlign w:val="center"/>
            <w:textDirection w:val="lrTb"/>
            <w:noWrap w:val="false"/>
          </w:tcPr>
          <w:p>
            <w:pPr>
              <w:pStyle w:val="1151"/>
              <w:ind w:firstLine="180"/>
              <w:spacing w:before="60" w:after="60"/>
              <w:rPr>
                <w:sz w:val="18"/>
                <w:szCs w:val="21"/>
              </w:rPr>
            </w:pPr>
            <w:r>
              <w:rPr>
                <w:rFonts w:hint="eastAsia"/>
                <w:sz w:val="18"/>
                <w:szCs w:val="21"/>
              </w:rPr>
              <w:t xml:space="preserve">土壤最低环境温度（℃）</w:t>
            </w:r>
            <w:r>
              <w:rPr>
                <w:sz w:val="18"/>
                <w:szCs w:val="21"/>
              </w:rPr>
            </w:r>
            <w:r/>
          </w:p>
        </w:tc>
        <w:tc>
          <w:tcPr>
            <w:tcW w:w="2261" w:type="dxa"/>
            <w:vAlign w:val="center"/>
            <w:textDirection w:val="lrTb"/>
            <w:noWrap w:val="false"/>
          </w:tcPr>
          <w:p>
            <w:pPr>
              <w:pStyle w:val="1151"/>
              <w:ind w:firstLine="180"/>
              <w:spacing w:before="60" w:after="60"/>
              <w:rPr>
                <w:sz w:val="18"/>
                <w:szCs w:val="21"/>
              </w:rPr>
            </w:pPr>
            <w:r>
              <w:rPr>
                <w:rFonts w:hint="eastAsia"/>
                <w:sz w:val="18"/>
                <w:szCs w:val="21"/>
              </w:rPr>
              <w:t xml:space="preserve">-20</w:t>
            </w:r>
            <w:r>
              <w:rPr>
                <w:sz w:val="18"/>
                <w:szCs w:val="21"/>
              </w:rPr>
            </w:r>
            <w:r/>
          </w:p>
        </w:tc>
      </w:tr>
      <w:tr>
        <w:trPr/>
        <w:tc>
          <w:tcPr>
            <w:gridSpan w:val="2"/>
            <w:tcW w:w="5398" w:type="dxa"/>
            <w:vAlign w:val="center"/>
            <w:textDirection w:val="lrTb"/>
            <w:noWrap w:val="false"/>
          </w:tcPr>
          <w:p>
            <w:pPr>
              <w:pStyle w:val="1151"/>
              <w:ind w:firstLine="180"/>
              <w:spacing w:before="60" w:after="60"/>
              <w:rPr>
                <w:sz w:val="18"/>
                <w:szCs w:val="21"/>
              </w:rPr>
            </w:pPr>
            <w:r>
              <w:rPr>
                <w:rFonts w:hint="eastAsia"/>
                <w:sz w:val="18"/>
                <w:szCs w:val="21"/>
              </w:rPr>
              <w:t xml:space="preserve">日照强度（W/cm</w:t>
            </w:r>
            <w:r>
              <w:rPr>
                <w:rFonts w:hint="eastAsia"/>
                <w:sz w:val="18"/>
                <w:szCs w:val="21"/>
                <w:vertAlign w:val="superscript"/>
              </w:rPr>
              <w:t xml:space="preserve">2</w:t>
            </w:r>
            <w:r>
              <w:rPr>
                <w:rFonts w:hint="eastAsia"/>
                <w:sz w:val="18"/>
                <w:szCs w:val="21"/>
              </w:rPr>
              <w:t xml:space="preserve">）</w:t>
            </w:r>
            <w:r>
              <w:rPr>
                <w:sz w:val="18"/>
                <w:szCs w:val="21"/>
              </w:rPr>
            </w:r>
            <w:r/>
          </w:p>
        </w:tc>
        <w:tc>
          <w:tcPr>
            <w:tcW w:w="2261" w:type="dxa"/>
            <w:vAlign w:val="center"/>
            <w:textDirection w:val="lrTb"/>
            <w:noWrap w:val="false"/>
          </w:tcPr>
          <w:p>
            <w:pPr>
              <w:pStyle w:val="1151"/>
              <w:ind w:firstLine="180"/>
              <w:spacing w:before="60" w:after="60"/>
              <w:rPr>
                <w:sz w:val="18"/>
                <w:szCs w:val="21"/>
              </w:rPr>
            </w:pPr>
            <w:r>
              <w:rPr>
                <w:rFonts w:hint="eastAsia"/>
                <w:sz w:val="18"/>
                <w:szCs w:val="21"/>
              </w:rPr>
              <w:t xml:space="preserve">0.1</w:t>
            </w:r>
            <w:r>
              <w:rPr>
                <w:sz w:val="18"/>
                <w:szCs w:val="21"/>
              </w:rPr>
            </w:r>
            <w:r/>
          </w:p>
        </w:tc>
      </w:tr>
      <w:tr>
        <w:trPr/>
        <w:tc>
          <w:tcPr>
            <w:tcW w:w="869" w:type="dxa"/>
            <w:vAlign w:val="center"/>
            <w:vMerge w:val="restart"/>
            <w:textDirection w:val="lrTb"/>
            <w:noWrap w:val="false"/>
          </w:tcPr>
          <w:p>
            <w:pPr>
              <w:pStyle w:val="1151"/>
              <w:ind w:firstLine="180"/>
              <w:spacing w:before="60" w:after="60"/>
              <w:rPr>
                <w:sz w:val="18"/>
                <w:szCs w:val="21"/>
              </w:rPr>
            </w:pPr>
            <w:r>
              <w:rPr>
                <w:rFonts w:hint="eastAsia"/>
                <w:sz w:val="18"/>
                <w:szCs w:val="21"/>
              </w:rPr>
              <w:t xml:space="preserve">湿</w:t>
            </w:r>
            <w:r>
              <w:rPr>
                <w:sz w:val="18"/>
                <w:szCs w:val="21"/>
              </w:rPr>
            </w:r>
            <w:r/>
          </w:p>
        </w:tc>
        <w:tc>
          <w:tcPr>
            <w:tcW w:w="1870" w:type="dxa"/>
            <w:vAlign w:val="center"/>
            <w:textDirection w:val="lrTb"/>
            <w:noWrap w:val="false"/>
          </w:tcPr>
          <w:p>
            <w:pPr>
              <w:pStyle w:val="1151"/>
              <w:spacing w:before="60" w:after="60"/>
              <w:rPr>
                <w:sz w:val="18"/>
                <w:szCs w:val="21"/>
              </w:rPr>
            </w:pPr>
            <w:r>
              <w:rPr>
                <w:rFonts w:hint="eastAsia"/>
                <w:sz w:val="18"/>
                <w:szCs w:val="21"/>
              </w:rPr>
              <w:t xml:space="preserve">日相对湿度平均值（％）</w:t>
            </w:r>
            <w:r>
              <w:rPr>
                <w:sz w:val="18"/>
                <w:szCs w:val="21"/>
              </w:rPr>
            </w:r>
            <w:r/>
          </w:p>
        </w:tc>
        <w:tc>
          <w:tcPr>
            <w:tcW w:w="2261" w:type="dxa"/>
            <w:vAlign w:val="center"/>
            <w:textDirection w:val="lrTb"/>
            <w:noWrap w:val="false"/>
          </w:tcPr>
          <w:p>
            <w:pPr>
              <w:pStyle w:val="1151"/>
              <w:ind w:firstLine="180"/>
              <w:spacing w:before="60" w:after="60"/>
              <w:rPr>
                <w:sz w:val="18"/>
                <w:szCs w:val="21"/>
              </w:rPr>
            </w:pPr>
            <w:r>
              <w:rPr>
                <w:rFonts w:hint="eastAsia"/>
                <w:sz w:val="18"/>
                <w:szCs w:val="21"/>
              </w:rPr>
              <w:t xml:space="preserve">≤95</w:t>
            </w:r>
            <w:r>
              <w:rPr>
                <w:sz w:val="18"/>
                <w:szCs w:val="21"/>
              </w:rPr>
            </w:r>
            <w:r/>
          </w:p>
        </w:tc>
      </w:tr>
      <w:tr>
        <w:trPr/>
        <w:tc>
          <w:tcPr>
            <w:tcW w:w="869" w:type="dxa"/>
            <w:vAlign w:val="center"/>
            <w:vMerge w:val="continue"/>
            <w:textDirection w:val="lrTb"/>
            <w:noWrap w:val="false"/>
          </w:tcPr>
          <w:p>
            <w:pPr>
              <w:pStyle w:val="1151"/>
              <w:ind w:firstLine="180"/>
              <w:spacing w:before="60" w:after="60"/>
              <w:rPr>
                <w:sz w:val="18"/>
                <w:szCs w:val="21"/>
              </w:rPr>
            </w:pPr>
            <w:r>
              <w:rPr>
                <w:sz w:val="18"/>
                <w:szCs w:val="21"/>
              </w:rPr>
            </w:r>
            <w:r/>
          </w:p>
        </w:tc>
        <w:tc>
          <w:tcPr>
            <w:tcW w:w="1870" w:type="dxa"/>
            <w:vAlign w:val="center"/>
            <w:textDirection w:val="lrTb"/>
            <w:noWrap w:val="false"/>
          </w:tcPr>
          <w:p>
            <w:pPr>
              <w:pStyle w:val="1151"/>
              <w:spacing w:before="60" w:after="60"/>
              <w:rPr>
                <w:sz w:val="18"/>
                <w:szCs w:val="21"/>
              </w:rPr>
            </w:pPr>
            <w:r>
              <w:rPr>
                <w:rFonts w:hint="eastAsia"/>
                <w:sz w:val="18"/>
                <w:szCs w:val="21"/>
              </w:rPr>
              <w:t xml:space="preserve">月相对湿度平均值（％）</w:t>
            </w:r>
            <w:r>
              <w:rPr>
                <w:sz w:val="18"/>
                <w:szCs w:val="21"/>
              </w:rPr>
            </w:r>
            <w:r/>
          </w:p>
        </w:tc>
        <w:tc>
          <w:tcPr>
            <w:tcW w:w="2261" w:type="dxa"/>
            <w:vAlign w:val="center"/>
            <w:textDirection w:val="lrTb"/>
            <w:noWrap w:val="false"/>
          </w:tcPr>
          <w:p>
            <w:pPr>
              <w:pStyle w:val="1151"/>
              <w:ind w:firstLine="180"/>
              <w:spacing w:before="60" w:after="60"/>
              <w:rPr>
                <w:sz w:val="18"/>
                <w:szCs w:val="21"/>
              </w:rPr>
            </w:pPr>
            <w:r>
              <w:rPr>
                <w:rFonts w:hint="eastAsia"/>
                <w:sz w:val="18"/>
                <w:szCs w:val="21"/>
              </w:rPr>
              <w:t xml:space="preserve">≤90</w:t>
            </w:r>
            <w:r>
              <w:rPr>
                <w:sz w:val="18"/>
                <w:szCs w:val="21"/>
              </w:rPr>
            </w:r>
            <w:r/>
          </w:p>
        </w:tc>
      </w:tr>
      <w:tr>
        <w:trPr/>
        <w:tc>
          <w:tcPr>
            <w:gridSpan w:val="2"/>
            <w:tcW w:w="5398" w:type="dxa"/>
            <w:vAlign w:val="center"/>
            <w:textDirection w:val="lrTb"/>
            <w:noWrap w:val="false"/>
          </w:tcPr>
          <w:p>
            <w:pPr>
              <w:pStyle w:val="1151"/>
              <w:ind w:firstLine="180"/>
              <w:spacing w:before="60" w:after="60"/>
              <w:rPr>
                <w:sz w:val="18"/>
                <w:szCs w:val="21"/>
              </w:rPr>
            </w:pPr>
            <w:r>
              <w:rPr>
                <w:rFonts w:hint="eastAsia"/>
                <w:sz w:val="18"/>
                <w:szCs w:val="21"/>
              </w:rPr>
              <w:t xml:space="preserve">最大风速（户外）（m/s）/Pa</w:t>
            </w:r>
            <w:r>
              <w:rPr>
                <w:sz w:val="18"/>
                <w:szCs w:val="21"/>
              </w:rPr>
            </w:r>
            <w:r/>
          </w:p>
        </w:tc>
        <w:tc>
          <w:tcPr>
            <w:tcW w:w="2261" w:type="dxa"/>
            <w:vAlign w:val="center"/>
            <w:textDirection w:val="lrTb"/>
            <w:noWrap w:val="false"/>
          </w:tcPr>
          <w:p>
            <w:pPr>
              <w:pStyle w:val="1151"/>
              <w:ind w:firstLine="180"/>
              <w:spacing w:before="60" w:after="60"/>
              <w:rPr>
                <w:sz w:val="18"/>
                <w:szCs w:val="21"/>
              </w:rPr>
            </w:pPr>
            <w:r>
              <w:rPr>
                <w:rFonts w:hint="eastAsia"/>
                <w:sz w:val="18"/>
                <w:szCs w:val="21"/>
              </w:rPr>
              <w:t xml:space="preserve">35/700</w:t>
            </w:r>
            <w:r>
              <w:rPr>
                <w:sz w:val="18"/>
                <w:szCs w:val="21"/>
              </w:rPr>
            </w:r>
            <w:r/>
          </w:p>
        </w:tc>
      </w:tr>
      <w:tr>
        <w:trPr/>
        <w:tc>
          <w:tcPr>
            <w:gridSpan w:val="2"/>
            <w:tcW w:w="5398" w:type="dxa"/>
            <w:vAlign w:val="center"/>
            <w:textDirection w:val="lrTb"/>
            <w:noWrap w:val="false"/>
          </w:tcPr>
          <w:p>
            <w:pPr>
              <w:pStyle w:val="1151"/>
              <w:ind w:firstLine="180"/>
              <w:spacing w:before="60" w:after="60"/>
              <w:rPr>
                <w:sz w:val="18"/>
                <w:szCs w:val="21"/>
              </w:rPr>
            </w:pPr>
            <w:r>
              <w:rPr>
                <w:rFonts w:hint="eastAsia"/>
                <w:sz w:val="18"/>
                <w:szCs w:val="21"/>
              </w:rPr>
              <w:t xml:space="preserve">电缆敷设方式（多种方式并存时，选择载流量最小的一种方式）</w:t>
            </w:r>
            <w:r>
              <w:rPr>
                <w:sz w:val="18"/>
                <w:szCs w:val="21"/>
              </w:rPr>
            </w:r>
            <w:r/>
          </w:p>
        </w:tc>
        <w:tc>
          <w:tcPr>
            <w:tcW w:w="2261" w:type="dxa"/>
            <w:vAlign w:val="center"/>
            <w:textDirection w:val="lrTb"/>
            <w:noWrap w:val="false"/>
          </w:tcPr>
          <w:p>
            <w:pPr>
              <w:pStyle w:val="1151"/>
              <w:ind w:firstLine="180"/>
              <w:spacing w:before="60" w:after="60"/>
              <w:rPr>
                <w:sz w:val="18"/>
                <w:szCs w:val="21"/>
              </w:rPr>
            </w:pPr>
            <w:r>
              <w:rPr>
                <w:rFonts w:hint="eastAsia"/>
                <w:sz w:val="18"/>
                <w:szCs w:val="21"/>
              </w:rPr>
              <w:t xml:space="preserve">直埋、排管、电缆沟、隧道、空气</w:t>
            </w:r>
            <w:r>
              <w:rPr>
                <w:sz w:val="18"/>
                <w:szCs w:val="21"/>
              </w:rPr>
            </w:r>
            <w:r/>
          </w:p>
        </w:tc>
      </w:tr>
    </w:tbl>
    <w:p>
      <w:pPr>
        <w:pStyle w:val="1151"/>
        <w:ind w:firstLine="425"/>
        <w:rPr>
          <w:rFonts w:hint="eastAsia"/>
        </w:rPr>
      </w:pPr>
      <w:r>
        <w:rPr>
          <w:rFonts w:hint="eastAsia"/>
        </w:rPr>
      </w:r>
      <w:r/>
    </w:p>
    <w:p>
      <w:pPr>
        <w:pStyle w:val="1238"/>
        <w:outlineLvl w:val="0"/>
      </w:pPr>
      <w:r/>
      <w:bookmarkStart w:id="499" w:name="_Toc445904012"/>
      <w:r>
        <w:rPr>
          <w:rFonts w:hint="eastAsia"/>
        </w:rPr>
        <w:t xml:space="preserve">5　试验</w:t>
      </w:r>
      <w:bookmarkEnd w:id="499"/>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5</w:t>
      </w:r>
      <w:r>
        <w:rPr>
          <w:rFonts w:ascii="宋体" w:hAnsi="宋体" w:eastAsia="宋体"/>
        </w:rPr>
        <w:t xml:space="preserve">.1　</w:t>
      </w:r>
      <w:r>
        <w:rPr>
          <w:rFonts w:hint="eastAsia" w:ascii="宋体" w:hAnsi="宋体" w:eastAsia="宋体"/>
        </w:rPr>
        <w:t xml:space="preserve">试验条件</w:t>
      </w:r>
      <w:r>
        <w:rPr>
          <w:rFonts w:ascii="宋体" w:hAnsi="宋体" w:eastAsia="宋体"/>
        </w:rPr>
      </w:r>
      <w:r/>
    </w:p>
    <w:p>
      <w:pPr>
        <w:pStyle w:val="1151"/>
        <w:spacing w:line="306" w:lineRule="exact"/>
        <w:rPr>
          <w:rFonts w:ascii="宋体" w:hAnsi="宋体"/>
          <w:szCs w:val="21"/>
        </w:rPr>
      </w:pPr>
      <w:r>
        <w:rPr>
          <w:rFonts w:hint="eastAsia" w:ascii="宋体" w:hAnsi="宋体"/>
          <w:szCs w:val="32"/>
        </w:rPr>
        <w:t xml:space="preserve">5</w:t>
      </w:r>
      <w:r>
        <w:rPr>
          <w:rFonts w:ascii="宋体" w:hAnsi="宋体"/>
          <w:spacing w:val="20"/>
          <w:szCs w:val="21"/>
        </w:rPr>
        <w:t xml:space="preserve">.</w:t>
      </w:r>
      <w:r>
        <w:rPr>
          <w:rFonts w:ascii="宋体" w:hAnsi="宋体"/>
          <w:szCs w:val="32"/>
        </w:rPr>
        <w:t xml:space="preserve">1</w:t>
      </w:r>
      <w:r>
        <w:rPr>
          <w:rFonts w:ascii="宋体" w:hAnsi="宋体"/>
          <w:spacing w:val="20"/>
          <w:szCs w:val="21"/>
        </w:rPr>
        <w:t xml:space="preserve">.</w:t>
      </w:r>
      <w:r>
        <w:rPr>
          <w:rFonts w:ascii="宋体" w:hAnsi="宋体"/>
          <w:szCs w:val="32"/>
        </w:rPr>
        <w:t xml:space="preserve">1</w:t>
      </w:r>
      <w:r>
        <w:rPr>
          <w:rFonts w:ascii="宋体" w:hAnsi="宋体"/>
          <w:szCs w:val="21"/>
        </w:rPr>
        <w:t xml:space="preserve">　</w:t>
      </w:r>
      <w:r>
        <w:rPr>
          <w:rFonts w:hint="eastAsia" w:ascii="宋体" w:hAnsi="宋体"/>
          <w:szCs w:val="21"/>
        </w:rPr>
        <w:t xml:space="preserve">除非另有规定，电压试验的环境温度为（20±15</w:t>
      </w:r>
      <w:r>
        <w:rPr>
          <w:rFonts w:hint="eastAsia" w:ascii="宋体" w:hAnsi="宋体"/>
          <w:spacing w:val="-40"/>
          <w:szCs w:val="21"/>
        </w:rPr>
        <w:t xml:space="preserve">）</w:t>
      </w:r>
      <w:r>
        <w:rPr>
          <w:rFonts w:hint="eastAsia" w:ascii="宋体" w:hAnsi="宋体"/>
          <w:szCs w:val="21"/>
        </w:rPr>
        <w:t xml:space="preserve">℃，其他项目试验的环境温度为（20±5</w:t>
      </w:r>
      <w:r>
        <w:rPr>
          <w:rFonts w:hint="eastAsia" w:ascii="宋体" w:hAnsi="宋体"/>
          <w:spacing w:val="-40"/>
          <w:szCs w:val="21"/>
        </w:rPr>
        <w:t xml:space="preserve">）</w:t>
      </w:r>
      <w:r>
        <w:rPr>
          <w:rFonts w:hint="eastAsia" w:ascii="宋体" w:hAnsi="宋体"/>
          <w:szCs w:val="21"/>
        </w:rPr>
        <w:t xml:space="preserve">℃。</w:t>
      </w:r>
      <w:r>
        <w:rPr>
          <w:rFonts w:ascii="宋体" w:hAnsi="宋体"/>
          <w:szCs w:val="21"/>
        </w:rPr>
      </w:r>
      <w:r/>
    </w:p>
    <w:p>
      <w:pPr>
        <w:pStyle w:val="1151"/>
        <w:spacing w:line="306" w:lineRule="exact"/>
        <w:rPr>
          <w:rFonts w:ascii="宋体" w:hAnsi="宋体"/>
          <w:szCs w:val="21"/>
        </w:rPr>
      </w:pPr>
      <w:r>
        <w:rPr>
          <w:rFonts w:hint="eastAsia" w:ascii="宋体" w:hAnsi="宋体"/>
          <w:szCs w:val="21"/>
        </w:rPr>
        <w:t xml:space="preserve">5</w:t>
      </w:r>
      <w:r>
        <w:rPr>
          <w:rFonts w:ascii="宋体" w:hAnsi="宋体"/>
          <w:spacing w:val="20"/>
          <w:szCs w:val="21"/>
        </w:rPr>
        <w:t xml:space="preserve">.</w:t>
      </w:r>
      <w:r>
        <w:rPr>
          <w:rFonts w:ascii="宋体" w:hAnsi="宋体"/>
          <w:szCs w:val="21"/>
        </w:rPr>
        <w:t xml:space="preserve">1</w:t>
      </w:r>
      <w:r>
        <w:rPr>
          <w:rFonts w:ascii="宋体" w:hAnsi="宋体"/>
          <w:spacing w:val="20"/>
          <w:szCs w:val="21"/>
        </w:rPr>
        <w:t xml:space="preserve">.</w:t>
      </w:r>
      <w:r>
        <w:rPr>
          <w:rFonts w:ascii="宋体" w:hAnsi="宋体"/>
          <w:szCs w:val="21"/>
        </w:rPr>
        <w:t xml:space="preserve">2　</w:t>
      </w:r>
      <w:r>
        <w:rPr>
          <w:rFonts w:hint="eastAsia" w:ascii="宋体" w:hAnsi="宋体"/>
          <w:szCs w:val="21"/>
        </w:rPr>
        <w:t xml:space="preserve">交流电压试验的频率为</w:t>
      </w:r>
      <w:r>
        <w:rPr>
          <w:rFonts w:ascii="宋体" w:hAnsi="宋体"/>
          <w:szCs w:val="21"/>
        </w:rPr>
        <w:t xml:space="preserve">49</w:t>
      </w:r>
      <w:r>
        <w:rPr>
          <w:rFonts w:hint="eastAsia" w:ascii="宋体" w:hAnsi="宋体"/>
          <w:szCs w:val="21"/>
        </w:rPr>
        <w:t xml:space="preserve">Hz～</w:t>
      </w:r>
      <w:r>
        <w:rPr>
          <w:rFonts w:ascii="宋体" w:hAnsi="宋体"/>
          <w:szCs w:val="21"/>
        </w:rPr>
        <w:t xml:space="preserve">6</w:t>
      </w:r>
      <w:r>
        <w:rPr>
          <w:rFonts w:hint="eastAsia" w:ascii="宋体" w:hAnsi="宋体"/>
          <w:szCs w:val="21"/>
        </w:rPr>
        <w:t xml:space="preserve">0Hz，电压波形基本上应是正弦波形。</w:t>
      </w:r>
      <w:r>
        <w:rPr>
          <w:rFonts w:ascii="宋体" w:hAnsi="宋体"/>
          <w:szCs w:val="21"/>
        </w:rPr>
      </w:r>
      <w:r/>
    </w:p>
    <w:p>
      <w:pPr>
        <w:pStyle w:val="1151"/>
        <w:spacing w:line="306" w:lineRule="exact"/>
        <w:rPr>
          <w:rFonts w:ascii="宋体" w:hAnsi="宋体"/>
          <w:szCs w:val="21"/>
        </w:rPr>
      </w:pPr>
      <w:r>
        <w:rPr>
          <w:rFonts w:hint="eastAsia" w:ascii="宋体" w:hAnsi="宋体"/>
          <w:szCs w:val="21"/>
        </w:rPr>
        <w:t xml:space="preserve">5</w:t>
      </w:r>
      <w:r>
        <w:rPr>
          <w:rFonts w:ascii="宋体" w:hAnsi="宋体"/>
          <w:spacing w:val="20"/>
          <w:szCs w:val="21"/>
        </w:rPr>
        <w:t xml:space="preserve">.</w:t>
      </w:r>
      <w:r>
        <w:rPr>
          <w:rFonts w:ascii="宋体" w:hAnsi="宋体"/>
          <w:szCs w:val="21"/>
        </w:rPr>
        <w:t xml:space="preserve">1</w:t>
      </w:r>
      <w:r>
        <w:rPr>
          <w:rFonts w:ascii="宋体" w:hAnsi="宋体"/>
          <w:spacing w:val="20"/>
          <w:szCs w:val="21"/>
        </w:rPr>
        <w:t xml:space="preserve">.</w:t>
      </w:r>
      <w:r>
        <w:rPr>
          <w:rFonts w:ascii="宋体" w:hAnsi="宋体"/>
          <w:szCs w:val="21"/>
        </w:rPr>
        <w:t xml:space="preserve">3　</w:t>
      </w:r>
      <w:r>
        <w:rPr>
          <w:rFonts w:hint="eastAsia" w:ascii="宋体" w:hAnsi="宋体"/>
          <w:szCs w:val="21"/>
        </w:rPr>
        <w:t xml:space="preserve">冲击电压试验波形规定波前时间为</w:t>
      </w:r>
      <w:r>
        <w:rPr>
          <w:rFonts w:ascii="宋体" w:hAnsi="宋体"/>
          <w:szCs w:val="21"/>
        </w:rPr>
        <w:t xml:space="preserve">1</w:t>
      </w:r>
      <w:r>
        <w:rPr>
          <w:rFonts w:hint="eastAsia" w:ascii="宋体" w:hAnsi="宋体"/>
          <w:szCs w:val="21"/>
        </w:rPr>
        <w:t xml:space="preserve">µs～</w:t>
      </w:r>
      <w:r>
        <w:rPr>
          <w:rFonts w:ascii="宋体" w:hAnsi="宋体"/>
          <w:szCs w:val="21"/>
        </w:rPr>
        <w:t xml:space="preserve">5</w:t>
      </w:r>
      <w:r>
        <w:rPr>
          <w:rFonts w:hint="eastAsia" w:ascii="宋体" w:hAnsi="宋体"/>
          <w:szCs w:val="21"/>
        </w:rPr>
        <w:t xml:space="preserve">µs，半峰值时间为40µs～60µs。</w:t>
      </w:r>
      <w:r>
        <w:rPr>
          <w:rFonts w:ascii="宋体" w:hAnsi="宋体"/>
          <w:szCs w:val="21"/>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5</w:t>
      </w:r>
      <w:r>
        <w:rPr>
          <w:rFonts w:ascii="宋体" w:hAnsi="宋体" w:eastAsia="宋体"/>
        </w:rPr>
        <w:t xml:space="preserve">.2</w:t>
      </w:r>
      <w:r>
        <w:rPr>
          <w:rFonts w:hint="eastAsia" w:ascii="宋体" w:hAnsi="宋体" w:eastAsia="宋体"/>
        </w:rPr>
        <w:t xml:space="preserve">　例行试验</w:t>
      </w:r>
      <w:r>
        <w:rPr>
          <w:rFonts w:ascii="宋体" w:hAnsi="宋体" w:eastAsia="宋体"/>
        </w:rPr>
      </w:r>
      <w:r/>
    </w:p>
    <w:p>
      <w:pPr>
        <w:pStyle w:val="1151"/>
        <w:ind w:firstLine="420"/>
        <w:spacing w:line="306" w:lineRule="exact"/>
        <w:rPr>
          <w:szCs w:val="21"/>
        </w:rPr>
      </w:pPr>
      <w:r>
        <w:rPr>
          <w:rFonts w:hint="eastAsia"/>
          <w:szCs w:val="21"/>
        </w:rPr>
        <w:t xml:space="preserve">例行试验通常应在每一个电缆制造长度长进行。标准规定的例行试验为：</w:t>
      </w:r>
      <w:r>
        <w:rPr>
          <w:szCs w:val="21"/>
        </w:rPr>
      </w:r>
      <w:r/>
    </w:p>
    <w:p>
      <w:pPr>
        <w:pStyle w:val="1151"/>
        <w:ind w:firstLine="420"/>
        <w:spacing w:line="306" w:lineRule="exact"/>
        <w:rPr>
          <w:szCs w:val="21"/>
        </w:rPr>
      </w:pPr>
      <w:r>
        <w:rPr>
          <w:rFonts w:hint="eastAsia"/>
          <w:szCs w:val="21"/>
        </w:rPr>
        <w:t xml:space="preserve">a</w:t>
      </w:r>
      <w:r>
        <w:rPr>
          <w:szCs w:val="21"/>
        </w:rPr>
        <w:t xml:space="preserve">）</w:t>
      </w:r>
      <w:r>
        <w:rPr>
          <w:szCs w:val="21"/>
        </w:rPr>
        <w:tab/>
      </w:r>
      <w:r>
        <w:rPr>
          <w:rFonts w:hint="eastAsia"/>
          <w:szCs w:val="21"/>
        </w:rPr>
        <w:t xml:space="preserve">导体电阻测量；</w:t>
      </w:r>
      <w:r>
        <w:rPr>
          <w:szCs w:val="21"/>
        </w:rPr>
      </w:r>
      <w:r/>
    </w:p>
    <w:p>
      <w:pPr>
        <w:pStyle w:val="1151"/>
        <w:ind w:firstLine="420"/>
        <w:spacing w:line="306" w:lineRule="exact"/>
        <w:rPr>
          <w:szCs w:val="21"/>
        </w:rPr>
      </w:pPr>
      <w:r>
        <w:rPr>
          <w:rFonts w:hint="eastAsia"/>
          <w:szCs w:val="21"/>
        </w:rPr>
        <w:t xml:space="preserve">b</w:t>
      </w:r>
      <w:r>
        <w:rPr>
          <w:szCs w:val="21"/>
        </w:rPr>
        <w:t xml:space="preserve">）</w:t>
      </w:r>
      <w:r>
        <w:rPr>
          <w:szCs w:val="21"/>
        </w:rPr>
        <w:tab/>
      </w:r>
      <w:r>
        <w:rPr>
          <w:rFonts w:hint="eastAsia"/>
          <w:szCs w:val="21"/>
        </w:rPr>
        <w:t xml:space="preserve">局部放电试验；</w:t>
      </w:r>
      <w:r>
        <w:rPr>
          <w:szCs w:val="21"/>
        </w:rPr>
      </w:r>
      <w:r/>
    </w:p>
    <w:p>
      <w:pPr>
        <w:pStyle w:val="1151"/>
        <w:ind w:firstLine="420"/>
        <w:spacing w:line="306" w:lineRule="exact"/>
        <w:rPr>
          <w:szCs w:val="21"/>
        </w:rPr>
      </w:pPr>
      <w:r>
        <w:rPr>
          <w:rFonts w:hint="eastAsia"/>
          <w:szCs w:val="21"/>
        </w:rPr>
        <w:t xml:space="preserve">c</w:t>
      </w:r>
      <w:r>
        <w:rPr>
          <w:rFonts w:hint="eastAsia" w:cs="宋体"/>
          <w:szCs w:val="21"/>
        </w:rPr>
        <w:t xml:space="preserve">）</w:t>
      </w:r>
      <w:r>
        <w:rPr>
          <w:szCs w:val="21"/>
        </w:rPr>
        <w:tab/>
      </w:r>
      <w:r>
        <w:rPr>
          <w:rFonts w:hint="eastAsia"/>
          <w:szCs w:val="21"/>
        </w:rPr>
        <w:t xml:space="preserve">工频交流电压试验。</w:t>
      </w:r>
      <w:r>
        <w:rPr>
          <w:szCs w:val="21"/>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5</w:t>
      </w:r>
      <w:r>
        <w:rPr>
          <w:rFonts w:ascii="宋体" w:hAnsi="宋体" w:eastAsia="宋体"/>
        </w:rPr>
        <w:t xml:space="preserve">.2.1</w:t>
      </w:r>
      <w:r>
        <w:rPr>
          <w:rFonts w:hint="eastAsia" w:ascii="宋体" w:hAnsi="宋体" w:eastAsia="宋体"/>
        </w:rPr>
        <w:t xml:space="preserve">　导体电阻</w:t>
      </w:r>
      <w:r>
        <w:rPr>
          <w:rFonts w:ascii="宋体" w:hAnsi="宋体" w:eastAsia="宋体"/>
        </w:rPr>
      </w:r>
      <w:r/>
    </w:p>
    <w:p>
      <w:pPr>
        <w:pStyle w:val="1151"/>
        <w:ind w:firstLine="420"/>
        <w:spacing w:line="306" w:lineRule="exact"/>
        <w:rPr>
          <w:szCs w:val="21"/>
        </w:rPr>
      </w:pPr>
      <w:r>
        <w:rPr>
          <w:rFonts w:hint="eastAsia"/>
          <w:szCs w:val="21"/>
        </w:rPr>
        <w:t xml:space="preserve">应对每一根电缆长度所有导体进行测量。成品电缆或从成品电缆上取下的试样，应在保持适当温度的试验室内至少存放</w:t>
      </w:r>
      <w:r>
        <w:rPr>
          <w:szCs w:val="21"/>
        </w:rPr>
        <w:t xml:space="preserve">12h</w:t>
      </w:r>
      <w:r>
        <w:rPr>
          <w:rFonts w:hint="eastAsia"/>
          <w:szCs w:val="21"/>
        </w:rPr>
        <w:t xml:space="preserve">后测量。电阻测量值应按</w:t>
      </w:r>
      <w:r>
        <w:rPr>
          <w:szCs w:val="21"/>
        </w:rPr>
        <w:t xml:space="preserve">GB/T 3956</w:t>
      </w:r>
      <w:r>
        <w:rPr>
          <w:rFonts w:hint="eastAsia"/>
          <w:szCs w:val="21"/>
        </w:rPr>
        <w:t xml:space="preserve">规定的公式和系数校正到</w:t>
      </w:r>
      <w:r>
        <w:rPr>
          <w:szCs w:val="21"/>
        </w:rPr>
        <w:t xml:space="preserve">20</w:t>
      </w:r>
      <w:r>
        <w:rPr>
          <w:rFonts w:hint="eastAsia"/>
          <w:szCs w:val="21"/>
        </w:rPr>
        <w:t xml:space="preserve">下的1km长度的数值。每一根导体</w:t>
      </w:r>
      <w:r>
        <w:rPr>
          <w:szCs w:val="21"/>
        </w:rPr>
        <w:t xml:space="preserve">20</w:t>
      </w:r>
      <w:r>
        <w:rPr>
          <w:rFonts w:hint="eastAsia"/>
          <w:szCs w:val="21"/>
        </w:rPr>
        <w:t xml:space="preserve">根时的直流电阻应不超过</w:t>
      </w:r>
      <w:r>
        <w:rPr>
          <w:szCs w:val="21"/>
        </w:rPr>
        <w:t xml:space="preserve">GB/T </w:t>
      </w:r>
      <w:r>
        <w:rPr>
          <w:rFonts w:hint="eastAsia"/>
          <w:szCs w:val="21"/>
        </w:rPr>
        <w:t xml:space="preserve">3956规定的相应的最大值。</w:t>
      </w:r>
      <w:r>
        <w:rPr>
          <w:szCs w:val="21"/>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5</w:t>
      </w:r>
      <w:r>
        <w:rPr>
          <w:rFonts w:ascii="宋体" w:hAnsi="宋体" w:eastAsia="宋体"/>
        </w:rPr>
        <w:t xml:space="preserve">.2.</w:t>
      </w:r>
      <w:r>
        <w:rPr>
          <w:rFonts w:hint="eastAsia" w:ascii="宋体" w:hAnsi="宋体" w:eastAsia="宋体"/>
        </w:rPr>
        <w:t xml:space="preserve">2　局部放电</w:t>
      </w:r>
      <w:r>
        <w:rPr>
          <w:rFonts w:ascii="宋体" w:hAnsi="宋体" w:eastAsia="宋体"/>
        </w:rPr>
      </w:r>
      <w:r/>
    </w:p>
    <w:p>
      <w:pPr>
        <w:pStyle w:val="1151"/>
        <w:ind w:firstLine="420"/>
        <w:spacing w:line="306" w:lineRule="exact"/>
        <w:rPr>
          <w:szCs w:val="21"/>
        </w:rPr>
      </w:pPr>
      <w:r>
        <w:rPr>
          <w:rFonts w:hint="eastAsia"/>
          <w:szCs w:val="21"/>
        </w:rPr>
        <w:t xml:space="preserve">应按GB/T 3048.12进行局部放电试验，试验灵敏度应为10pC或更优。三芯电缆的所有绝缘线芯都应试验，电压施加于每一根导体和金属屏蔽之间。试验电压应逐渐升高到2</w:t>
      </w:r>
      <w:r>
        <w:rPr>
          <w:rFonts w:hint="eastAsia"/>
          <w:i/>
          <w:szCs w:val="21"/>
        </w:rPr>
        <w:t xml:space="preserve">U</w:t>
      </w:r>
      <w:r>
        <w:rPr>
          <w:rFonts w:hint="eastAsia"/>
          <w:szCs w:val="21"/>
          <w:vertAlign w:val="subscript"/>
        </w:rPr>
        <w:t xml:space="preserve">0</w:t>
      </w:r>
      <w:r>
        <w:rPr>
          <w:rFonts w:hint="eastAsia"/>
          <w:szCs w:val="21"/>
        </w:rPr>
        <w:t xml:space="preserve">并保持10s，然后缓慢降到1.73</w:t>
      </w:r>
      <w:r>
        <w:rPr>
          <w:rFonts w:hint="eastAsia"/>
          <w:i/>
          <w:szCs w:val="21"/>
        </w:rPr>
        <w:t xml:space="preserve">U</w:t>
      </w:r>
      <w:r>
        <w:rPr>
          <w:rFonts w:hint="eastAsia"/>
          <w:szCs w:val="21"/>
          <w:vertAlign w:val="subscript"/>
        </w:rPr>
        <w:t xml:space="preserve">0</w:t>
      </w:r>
      <w:r>
        <w:rPr>
          <w:rFonts w:hint="eastAsia"/>
          <w:szCs w:val="21"/>
        </w:rPr>
        <w:t xml:space="preserve">。在1.73</w:t>
      </w:r>
      <w:r>
        <w:rPr>
          <w:rFonts w:hint="eastAsia"/>
          <w:i/>
          <w:szCs w:val="21"/>
        </w:rPr>
        <w:t xml:space="preserve">U</w:t>
      </w:r>
      <w:r>
        <w:rPr>
          <w:rFonts w:hint="eastAsia"/>
          <w:szCs w:val="21"/>
          <w:vertAlign w:val="subscript"/>
        </w:rPr>
        <w:t xml:space="preserve">0</w:t>
      </w:r>
      <w:r>
        <w:rPr>
          <w:rFonts w:hint="eastAsia"/>
          <w:szCs w:val="21"/>
        </w:rPr>
        <w:t xml:space="preserve">下，应无任何由被试电缆产生的超过声明试验灵敏度的可检测到的放电。</w:t>
      </w:r>
      <w:r>
        <w:rPr>
          <w:szCs w:val="21"/>
        </w:rPr>
      </w:r>
      <w:r/>
    </w:p>
    <w:p>
      <w:pPr>
        <w:pStyle w:val="1199"/>
        <w:jc w:val="both"/>
        <w:spacing w:line="312" w:lineRule="exact"/>
        <w:tabs>
          <w:tab w:val="left" w:pos="810" w:leader="none"/>
          <w:tab w:val="left" w:pos="907" w:leader="none"/>
          <w:tab w:val="left" w:pos="1265" w:leader="none"/>
        </w:tabs>
        <w:rPr>
          <w:rFonts w:ascii="EU-F1"/>
        </w:rPr>
      </w:pPr>
      <w:r>
        <w:rPr>
          <w:rFonts w:hint="eastAsia" w:ascii="EU-F1"/>
        </w:rPr>
        <w:t xml:space="preserve">5</w:t>
      </w:r>
      <w:r>
        <w:rPr>
          <w:rFonts w:ascii="EU-F1"/>
        </w:rPr>
        <w:t xml:space="preserve">.2.</w:t>
      </w:r>
      <w:r>
        <w:rPr>
          <w:rFonts w:hint="eastAsia" w:ascii="EU-F1"/>
        </w:rPr>
        <w:t xml:space="preserve">3　工频交流电压试验</w:t>
      </w:r>
      <w:r>
        <w:rPr>
          <w:rFonts w:ascii="EU-F1"/>
        </w:rPr>
      </w:r>
      <w:r/>
    </w:p>
    <w:p>
      <w:pPr>
        <w:pStyle w:val="1151"/>
        <w:ind w:firstLine="420"/>
        <w:spacing w:line="306" w:lineRule="exact"/>
        <w:rPr>
          <w:szCs w:val="21"/>
        </w:rPr>
      </w:pPr>
      <w:r>
        <w:rPr>
          <w:rFonts w:hint="eastAsia"/>
          <w:szCs w:val="21"/>
        </w:rPr>
        <w:t xml:space="preserve">工频试验电压应为3.5</w:t>
      </w:r>
      <w:r>
        <w:rPr>
          <w:rFonts w:hint="eastAsia"/>
          <w:i/>
          <w:szCs w:val="21"/>
        </w:rPr>
        <w:t xml:space="preserve">U</w:t>
      </w:r>
      <w:r>
        <w:rPr>
          <w:rFonts w:hint="eastAsia"/>
          <w:szCs w:val="21"/>
          <w:vertAlign w:val="subscript"/>
        </w:rPr>
        <w:t xml:space="preserve">0</w:t>
      </w:r>
      <w:r>
        <w:rPr>
          <w:rFonts w:hint="eastAsia"/>
          <w:szCs w:val="21"/>
        </w:rPr>
        <w:t xml:space="preserve">，单相试验电压值为</w:t>
      </w:r>
      <w:r>
        <w:rPr>
          <w:rFonts w:hint="eastAsia"/>
          <w:bCs/>
          <w:szCs w:val="21"/>
        </w:rPr>
        <w:t xml:space="preserve">30.5kV，要求绝缘应无击穿。</w:t>
      </w:r>
      <w:r>
        <w:rPr>
          <w:rFonts w:hint="eastAsia"/>
          <w:szCs w:val="21"/>
        </w:rPr>
        <w:t xml:space="preserve">对分相金属屏蔽的的三芯电缆，应在每一根导体与金属屏蔽层之间施加电压，持续5min。对不分相金属屏蔽的三芯电缆，应依次在每一根绝缘导体对其他所有导体及统包金属屏蔽层之间施加试验电压，持续5min。三芯电缆也可采用三相变压器，一次完成试验。</w:t>
      </w:r>
      <w:r>
        <w:rPr>
          <w:szCs w:val="21"/>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5</w:t>
      </w:r>
      <w:r>
        <w:rPr>
          <w:rFonts w:ascii="宋体" w:hAnsi="宋体" w:eastAsia="宋体"/>
        </w:rPr>
        <w:t xml:space="preserve">.3</w:t>
      </w:r>
      <w:r>
        <w:rPr>
          <w:rFonts w:hint="eastAsia" w:ascii="宋体" w:hAnsi="宋体" w:eastAsia="宋体"/>
        </w:rPr>
        <w:t xml:space="preserve">　抽样试验</w:t>
      </w:r>
      <w:r>
        <w:rPr>
          <w:rFonts w:ascii="宋体" w:hAnsi="宋体" w:eastAsia="宋体"/>
        </w:rPr>
      </w:r>
      <w:r/>
    </w:p>
    <w:p>
      <w:pPr>
        <w:pStyle w:val="1151"/>
        <w:ind w:firstLine="420"/>
        <w:spacing w:line="306" w:lineRule="exact"/>
        <w:rPr>
          <w:szCs w:val="21"/>
        </w:rPr>
      </w:pPr>
      <w:r>
        <w:rPr>
          <w:rFonts w:hint="eastAsia"/>
          <w:szCs w:val="21"/>
        </w:rPr>
        <w:t xml:space="preserve">抽样试验一般包括但不限于以下试验：</w:t>
      </w:r>
      <w:r>
        <w:rPr>
          <w:szCs w:val="21"/>
        </w:rPr>
      </w:r>
      <w:r/>
    </w:p>
    <w:p>
      <w:pPr>
        <w:pStyle w:val="1151"/>
        <w:ind w:firstLine="420"/>
        <w:spacing w:line="306" w:lineRule="exact"/>
        <w:rPr>
          <w:szCs w:val="21"/>
        </w:rPr>
      </w:pPr>
      <w:r>
        <w:rPr>
          <w:rFonts w:hint="eastAsia"/>
          <w:szCs w:val="21"/>
        </w:rPr>
        <w:t xml:space="preserve">a</w:t>
      </w:r>
      <w:r>
        <w:rPr>
          <w:szCs w:val="21"/>
        </w:rPr>
        <w:t xml:space="preserve">）</w:t>
      </w:r>
      <w:r>
        <w:rPr>
          <w:szCs w:val="21"/>
        </w:rPr>
        <w:tab/>
      </w:r>
      <w:r>
        <w:rPr>
          <w:rFonts w:hint="eastAsia"/>
          <w:szCs w:val="21"/>
        </w:rPr>
        <w:t xml:space="preserve">导体检查；</w:t>
      </w:r>
      <w:r>
        <w:rPr>
          <w:szCs w:val="21"/>
        </w:rPr>
      </w:r>
      <w:r/>
    </w:p>
    <w:p>
      <w:pPr>
        <w:pStyle w:val="1151"/>
        <w:ind w:firstLine="420"/>
        <w:spacing w:line="306" w:lineRule="exact"/>
        <w:rPr>
          <w:szCs w:val="21"/>
        </w:rPr>
      </w:pPr>
      <w:r>
        <w:rPr>
          <w:rFonts w:hint="eastAsia"/>
          <w:szCs w:val="21"/>
        </w:rPr>
        <w:t xml:space="preserve">b</w:t>
      </w:r>
      <w:r>
        <w:rPr>
          <w:szCs w:val="21"/>
        </w:rPr>
        <w:t xml:space="preserve">）</w:t>
      </w:r>
      <w:r>
        <w:rPr>
          <w:szCs w:val="21"/>
        </w:rPr>
        <w:tab/>
      </w:r>
      <w:r>
        <w:rPr>
          <w:rFonts w:hint="eastAsia"/>
          <w:szCs w:val="21"/>
        </w:rPr>
        <w:t xml:space="preserve">尺寸检查；</w:t>
      </w:r>
      <w:r>
        <w:rPr>
          <w:szCs w:val="21"/>
        </w:rPr>
      </w:r>
      <w:r/>
    </w:p>
    <w:p>
      <w:pPr>
        <w:pStyle w:val="1151"/>
        <w:ind w:firstLine="420"/>
        <w:spacing w:line="306" w:lineRule="exact"/>
        <w:rPr>
          <w:szCs w:val="21"/>
        </w:rPr>
      </w:pPr>
      <w:r>
        <w:rPr>
          <w:rFonts w:hint="eastAsia"/>
          <w:szCs w:val="21"/>
        </w:rPr>
        <w:t xml:space="preserve">c</w:t>
      </w:r>
      <w:r>
        <w:rPr>
          <w:szCs w:val="21"/>
        </w:rPr>
        <w:t xml:space="preserve">）</w:t>
      </w:r>
      <w:r>
        <w:rPr>
          <w:szCs w:val="21"/>
        </w:rPr>
        <w:tab/>
      </w:r>
      <w:r>
        <w:rPr>
          <w:rFonts w:hint="eastAsia"/>
          <w:szCs w:val="21"/>
        </w:rPr>
        <w:t xml:space="preserve">电压试验；</w:t>
      </w:r>
      <w:r>
        <w:rPr>
          <w:szCs w:val="21"/>
        </w:rPr>
      </w:r>
      <w:r/>
    </w:p>
    <w:p>
      <w:pPr>
        <w:pStyle w:val="1151"/>
        <w:ind w:firstLine="420"/>
        <w:spacing w:line="306" w:lineRule="exact"/>
        <w:rPr>
          <w:szCs w:val="21"/>
        </w:rPr>
      </w:pPr>
      <w:r>
        <w:rPr>
          <w:rFonts w:hint="eastAsia"/>
          <w:szCs w:val="21"/>
        </w:rPr>
        <w:t xml:space="preserve">d</w:t>
      </w:r>
      <w:r>
        <w:rPr>
          <w:szCs w:val="21"/>
        </w:rPr>
        <w:t xml:space="preserve">）</w:t>
      </w:r>
      <w:r>
        <w:rPr>
          <w:szCs w:val="21"/>
        </w:rPr>
        <w:tab/>
      </w:r>
      <w:r>
        <w:rPr>
          <w:rFonts w:hint="eastAsia"/>
          <w:szCs w:val="21"/>
        </w:rPr>
        <w:t xml:space="preserve">XLPE绝缘热延伸试验；</w:t>
      </w:r>
      <w:r>
        <w:rPr>
          <w:szCs w:val="21"/>
        </w:rPr>
      </w:r>
      <w:r/>
    </w:p>
    <w:p>
      <w:pPr>
        <w:pStyle w:val="1151"/>
        <w:ind w:firstLine="420"/>
        <w:spacing w:line="306" w:lineRule="exact"/>
        <w:rPr>
          <w:szCs w:val="21"/>
        </w:rPr>
      </w:pPr>
      <w:r>
        <w:rPr>
          <w:rFonts w:hint="eastAsia"/>
          <w:szCs w:val="21"/>
        </w:rPr>
        <w:t xml:space="preserve">e</w:t>
      </w:r>
      <w:r>
        <w:rPr>
          <w:szCs w:val="21"/>
        </w:rPr>
        <w:t xml:space="preserve">）</w:t>
      </w:r>
      <w:r>
        <w:rPr>
          <w:szCs w:val="21"/>
        </w:rPr>
        <w:tab/>
      </w:r>
      <w:r>
        <w:rPr>
          <w:rFonts w:hint="eastAsia"/>
          <w:szCs w:val="21"/>
        </w:rPr>
        <w:t xml:space="preserve">绝缘屏蔽剥离试验。</w:t>
      </w:r>
      <w:r>
        <w:rPr>
          <w:szCs w:val="21"/>
        </w:rPr>
      </w:r>
      <w:r/>
    </w:p>
    <w:p>
      <w:pPr>
        <w:pStyle w:val="1151"/>
        <w:ind w:firstLine="420"/>
        <w:spacing w:line="306" w:lineRule="exact"/>
        <w:rPr>
          <w:szCs w:val="21"/>
        </w:rPr>
      </w:pPr>
      <w:r>
        <w:rPr>
          <w:rFonts w:hint="eastAsia"/>
          <w:szCs w:val="21"/>
        </w:rPr>
        <w:t xml:space="preserve">抽样试验的频度和试验要求应符合GB/T 12706.2的要求。</w:t>
      </w:r>
      <w:r>
        <w:rPr>
          <w:szCs w:val="21"/>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5</w:t>
      </w:r>
      <w:r>
        <w:rPr>
          <w:rFonts w:ascii="宋体" w:hAnsi="宋体" w:eastAsia="宋体"/>
        </w:rPr>
        <w:t xml:space="preserve">.4　</w:t>
      </w:r>
      <w:r>
        <w:rPr>
          <w:rFonts w:hint="eastAsia" w:ascii="宋体" w:hAnsi="宋体" w:eastAsia="宋体"/>
        </w:rPr>
        <w:t xml:space="preserve">型式试验</w:t>
      </w:r>
      <w:r>
        <w:rPr>
          <w:rFonts w:ascii="宋体" w:hAnsi="宋体" w:eastAsia="宋体"/>
        </w:rPr>
      </w:r>
      <w:r/>
    </w:p>
    <w:p>
      <w:pPr>
        <w:pStyle w:val="1151"/>
        <w:ind w:firstLine="420"/>
        <w:spacing w:line="306" w:lineRule="exact"/>
        <w:rPr>
          <w:szCs w:val="21"/>
        </w:rPr>
      </w:pPr>
      <w:r>
        <w:rPr>
          <w:rFonts w:hint="eastAsia"/>
          <w:szCs w:val="21"/>
        </w:rPr>
        <w:t xml:space="preserve">具有特定电压和导体截面的一种型式的电缆通过了型式试验后，对于具有其他导体截面和/或额定电压的电缆型式批准依然有效，但应满足下列三个条件：</w:t>
      </w:r>
      <w:r>
        <w:rPr>
          <w:szCs w:val="21"/>
        </w:rPr>
      </w:r>
      <w:r/>
    </w:p>
    <w:p>
      <w:pPr>
        <w:pStyle w:val="1151"/>
        <w:ind w:firstLine="420"/>
        <w:spacing w:line="306" w:lineRule="exact"/>
        <w:rPr>
          <w:szCs w:val="21"/>
        </w:rPr>
      </w:pPr>
      <w:r>
        <w:rPr>
          <w:rFonts w:hint="eastAsia"/>
          <w:szCs w:val="21"/>
        </w:rPr>
        <w:t xml:space="preserve">a）</w:t>
      </w:r>
      <w:r>
        <w:rPr>
          <w:szCs w:val="21"/>
        </w:rPr>
        <w:tab/>
      </w:r>
      <w:r>
        <w:rPr>
          <w:rFonts w:hint="eastAsia"/>
          <w:szCs w:val="21"/>
        </w:rPr>
        <w:t xml:space="preserve">绝缘和半导电屏蔽材料以及所采用的制造工艺相同；</w:t>
      </w:r>
      <w:r>
        <w:rPr>
          <w:szCs w:val="21"/>
        </w:rPr>
      </w:r>
      <w:r/>
    </w:p>
    <w:p>
      <w:pPr>
        <w:pStyle w:val="1151"/>
        <w:ind w:firstLine="420"/>
        <w:spacing w:line="306" w:lineRule="exact"/>
        <w:rPr>
          <w:szCs w:val="21"/>
        </w:rPr>
      </w:pPr>
      <w:r>
        <w:rPr>
          <w:rFonts w:hint="eastAsia"/>
          <w:szCs w:val="21"/>
        </w:rPr>
        <w:t xml:space="preserve">b）</w:t>
      </w:r>
      <w:r>
        <w:rPr>
          <w:szCs w:val="21"/>
        </w:rPr>
        <w:tab/>
      </w:r>
      <w:r>
        <w:rPr>
          <w:rFonts w:hint="eastAsia"/>
          <w:szCs w:val="21"/>
        </w:rPr>
        <w:t xml:space="preserve">导体截面积不大于已试电缆；</w:t>
      </w:r>
      <w:r>
        <w:rPr>
          <w:szCs w:val="21"/>
        </w:rPr>
      </w:r>
      <w:r/>
    </w:p>
    <w:p>
      <w:pPr>
        <w:pStyle w:val="1151"/>
        <w:ind w:firstLine="420"/>
        <w:spacing w:line="306" w:lineRule="exact"/>
        <w:rPr>
          <w:szCs w:val="21"/>
        </w:rPr>
      </w:pPr>
      <w:r>
        <w:rPr>
          <w:rFonts w:hint="eastAsia"/>
          <w:szCs w:val="21"/>
        </w:rPr>
        <w:t xml:space="preserve">c）</w:t>
      </w:r>
      <w:r>
        <w:rPr>
          <w:szCs w:val="21"/>
        </w:rPr>
        <w:tab/>
      </w:r>
      <w:r>
        <w:rPr>
          <w:rFonts w:hint="eastAsia"/>
          <w:szCs w:val="21"/>
        </w:rPr>
        <w:t xml:space="preserve">额定电压不高于已试电缆。</w:t>
      </w:r>
      <w:r>
        <w:rPr>
          <w:szCs w:val="21"/>
        </w:rPr>
      </w:r>
      <w:r/>
    </w:p>
    <w:p>
      <w:pPr>
        <w:pStyle w:val="1151"/>
        <w:ind w:firstLine="420"/>
        <w:spacing w:line="306" w:lineRule="exact"/>
        <w:rPr>
          <w:szCs w:val="21"/>
        </w:rPr>
      </w:pPr>
      <w:r>
        <w:rPr>
          <w:rFonts w:hint="eastAsia"/>
          <w:szCs w:val="21"/>
        </w:rPr>
        <w:t xml:space="preserve">型式试验顺序及试验要求应符合GB/T 12706.2的要求。</w:t>
      </w:r>
      <w:r>
        <w:rPr>
          <w:szCs w:val="21"/>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5</w:t>
      </w:r>
      <w:r>
        <w:rPr>
          <w:rFonts w:ascii="宋体" w:hAnsi="宋体" w:eastAsia="宋体"/>
        </w:rPr>
        <w:t xml:space="preserve">.5　安装后的电气试验</w:t>
      </w:r>
      <w:r>
        <w:rPr>
          <w:rFonts w:ascii="宋体" w:hAnsi="宋体" w:eastAsia="宋体"/>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5.5.1</w:t>
      </w:r>
      <w:r>
        <w:rPr>
          <w:rFonts w:ascii="宋体" w:hAnsi="宋体" w:eastAsia="宋体"/>
        </w:rPr>
        <w:t xml:space="preserve">主绝缘交流电压试验</w:t>
      </w:r>
      <w:r>
        <w:rPr>
          <w:rFonts w:ascii="宋体" w:hAnsi="宋体" w:eastAsia="宋体"/>
        </w:rPr>
      </w:r>
      <w:r/>
    </w:p>
    <w:p>
      <w:pPr>
        <w:pStyle w:val="1151"/>
        <w:ind w:firstLine="420"/>
        <w:spacing w:line="306" w:lineRule="exact"/>
        <w:rPr>
          <w:szCs w:val="21"/>
        </w:rPr>
      </w:pPr>
      <w:r>
        <w:rPr>
          <w:szCs w:val="21"/>
        </w:rPr>
        <w:t xml:space="preserve">在导体和金属屏蔽间施加20Hz～300Hz交流电压</w:t>
      </w:r>
      <w:r>
        <w:rPr>
          <w:rFonts w:hint="eastAsia"/>
          <w:szCs w:val="21"/>
        </w:rPr>
        <w:t xml:space="preserve">，</w:t>
      </w:r>
      <w:r>
        <w:rPr>
          <w:szCs w:val="21"/>
        </w:rPr>
        <w:t xml:space="preserve"> </w:t>
      </w:r>
      <w:r>
        <w:rPr>
          <w:rFonts w:hint="eastAsia"/>
          <w:szCs w:val="21"/>
        </w:rPr>
        <w:t xml:space="preserve">2.5U</w:t>
      </w:r>
      <w:r>
        <w:rPr>
          <w:rFonts w:hint="eastAsia"/>
          <w:szCs w:val="21"/>
          <w:vertAlign w:val="subscript"/>
        </w:rPr>
        <w:t xml:space="preserve">0</w:t>
      </w:r>
      <w:r>
        <w:rPr>
          <w:rFonts w:hint="eastAsia"/>
          <w:szCs w:val="21"/>
        </w:rPr>
        <w:t xml:space="preserve">/5min，2U</w:t>
      </w:r>
      <w:r>
        <w:rPr>
          <w:rFonts w:hint="eastAsia"/>
          <w:szCs w:val="21"/>
          <w:vertAlign w:val="subscript"/>
        </w:rPr>
        <w:t xml:space="preserve">0</w:t>
      </w:r>
      <w:r>
        <w:rPr>
          <w:rFonts w:hint="eastAsia"/>
          <w:szCs w:val="21"/>
        </w:rPr>
        <w:t xml:space="preserve">/60min，</w:t>
      </w:r>
      <w:r>
        <w:rPr>
          <w:szCs w:val="21"/>
        </w:rPr>
        <w:t xml:space="preserve">绝缘不击穿。</w:t>
      </w:r>
      <w:r>
        <w:rPr>
          <w:szCs w:val="21"/>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5.5.2外护套直流耐压试验</w:t>
      </w:r>
      <w:r>
        <w:rPr>
          <w:rFonts w:ascii="宋体" w:hAnsi="宋体" w:eastAsia="宋体"/>
        </w:rPr>
      </w:r>
      <w:r/>
    </w:p>
    <w:p>
      <w:pPr>
        <w:pStyle w:val="1151"/>
        <w:ind w:firstLine="420"/>
        <w:spacing w:line="306" w:lineRule="exact"/>
        <w:rPr>
          <w:szCs w:val="21"/>
        </w:rPr>
      </w:pPr>
      <w:r>
        <w:rPr>
          <w:rFonts w:hint="eastAsia"/>
          <w:szCs w:val="21"/>
        </w:rPr>
        <w:t xml:space="preserve">在电缆的每相金属套（如铠装层）或金属屏蔽与接地之间施加直流电压10kV、1min，护套不击穿。</w:t>
      </w:r>
      <w:r>
        <w:rPr>
          <w:szCs w:val="21"/>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5</w:t>
      </w:r>
      <w:r>
        <w:rPr>
          <w:rFonts w:ascii="宋体" w:hAnsi="宋体" w:eastAsia="宋体"/>
        </w:rPr>
        <w:t xml:space="preserve">.</w:t>
      </w:r>
      <w:r>
        <w:rPr>
          <w:rFonts w:hint="eastAsia" w:ascii="宋体" w:hAnsi="宋体" w:eastAsia="宋体"/>
        </w:rPr>
        <w:t xml:space="preserve">6</w:t>
      </w:r>
      <w:r>
        <w:rPr>
          <w:rFonts w:ascii="宋体" w:hAnsi="宋体" w:eastAsia="宋体"/>
        </w:rPr>
        <w:t xml:space="preserve">　</w:t>
      </w:r>
      <w:r>
        <w:rPr>
          <w:rFonts w:hint="eastAsia" w:ascii="宋体" w:hAnsi="宋体" w:eastAsia="宋体"/>
        </w:rPr>
        <w:t xml:space="preserve">印刷标志耐擦试验</w:t>
      </w:r>
      <w:r>
        <w:rPr>
          <w:rFonts w:ascii="宋体" w:hAnsi="宋体" w:eastAsia="宋体"/>
        </w:rPr>
      </w:r>
      <w:r/>
    </w:p>
    <w:p>
      <w:pPr>
        <w:pStyle w:val="1151"/>
        <w:ind w:firstLine="420"/>
        <w:spacing w:line="306" w:lineRule="exact"/>
        <w:rPr>
          <w:szCs w:val="21"/>
        </w:rPr>
      </w:pPr>
      <w:r>
        <w:rPr>
          <w:szCs w:val="21"/>
        </w:rPr>
        <w:t xml:space="preserve">成品表面应连续凸印</w:t>
      </w:r>
      <w:r>
        <w:rPr>
          <w:rFonts w:hint="eastAsia"/>
          <w:szCs w:val="21"/>
        </w:rPr>
        <w:t xml:space="preserve">或喷印</w:t>
      </w:r>
      <w:r>
        <w:rPr>
          <w:szCs w:val="21"/>
        </w:rPr>
        <w:t xml:space="preserve">印刷厂名、型号、电压、导体截面、制造年份和计米长度标志，标志应字迹清楚、容易辨认、耐擦</w:t>
      </w:r>
      <w:r>
        <w:rPr>
          <w:rFonts w:hint="eastAsia"/>
          <w:szCs w:val="21"/>
        </w:rPr>
        <w:t xml:space="preserve">，达到GB/T 6995标准</w:t>
      </w:r>
      <w:r>
        <w:rPr>
          <w:szCs w:val="21"/>
        </w:rPr>
        <w:t xml:space="preserve">。</w:t>
      </w:r>
      <w:r>
        <w:rPr>
          <w:szCs w:val="21"/>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5.7　在目的地的检查</w:t>
      </w:r>
      <w:r>
        <w:rPr>
          <w:rFonts w:ascii="宋体" w:hAnsi="宋体" w:eastAsia="宋体"/>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5</w:t>
      </w:r>
      <w:r>
        <w:rPr>
          <w:rFonts w:ascii="宋体" w:hAnsi="宋体" w:eastAsia="宋体"/>
        </w:rPr>
        <w:t xml:space="preserve">.</w:t>
      </w:r>
      <w:r>
        <w:rPr>
          <w:rFonts w:hint="eastAsia" w:ascii="宋体" w:hAnsi="宋体" w:eastAsia="宋体"/>
        </w:rPr>
        <w:t xml:space="preserve">7</w:t>
      </w:r>
      <w:r>
        <w:rPr>
          <w:rFonts w:ascii="宋体" w:hAnsi="宋体" w:eastAsia="宋体"/>
        </w:rPr>
        <w:t xml:space="preserve">.1</w:t>
      </w:r>
      <w:r>
        <w:rPr>
          <w:rFonts w:hint="eastAsia" w:ascii="宋体" w:hAnsi="宋体" w:eastAsia="宋体"/>
        </w:rPr>
        <w:t xml:space="preserve">　在货物到达目的地以后，买卖双方在目的地按提货单对所收到的货物的数量进行核对，并检查由于装运和卸货时货物的外伤情况。</w:t>
      </w:r>
      <w:r>
        <w:rPr>
          <w:rFonts w:ascii="宋体" w:hAnsi="宋体" w:eastAsia="宋体"/>
        </w:rPr>
      </w:r>
      <w:r/>
    </w:p>
    <w:p>
      <w:pPr>
        <w:pStyle w:val="1199"/>
        <w:jc w:val="both"/>
        <w:spacing w:line="312" w:lineRule="exact"/>
        <w:tabs>
          <w:tab w:val="left" w:pos="810" w:leader="none"/>
          <w:tab w:val="left" w:pos="907" w:leader="none"/>
          <w:tab w:val="left" w:pos="1265" w:leader="none"/>
        </w:tabs>
        <w:rPr>
          <w:rFonts w:ascii="宋体" w:hAnsi="宋体" w:eastAsia="宋体"/>
        </w:rPr>
      </w:pPr>
      <w:r>
        <w:rPr>
          <w:rFonts w:hint="eastAsia" w:ascii="宋体" w:hAnsi="宋体" w:eastAsia="宋体"/>
        </w:rPr>
        <w:t xml:space="preserve">5</w:t>
      </w:r>
      <w:r>
        <w:rPr>
          <w:rFonts w:ascii="宋体" w:hAnsi="宋体" w:eastAsia="宋体"/>
        </w:rPr>
        <w:t xml:space="preserve">.</w:t>
      </w:r>
      <w:r>
        <w:rPr>
          <w:rFonts w:hint="eastAsia" w:ascii="宋体" w:hAnsi="宋体" w:eastAsia="宋体"/>
        </w:rPr>
        <w:t xml:space="preserve">7</w:t>
      </w:r>
      <w:r>
        <w:rPr>
          <w:rFonts w:ascii="宋体" w:hAnsi="宋体" w:eastAsia="宋体"/>
        </w:rPr>
        <w:t xml:space="preserve">.</w:t>
      </w:r>
      <w:r>
        <w:rPr>
          <w:rFonts w:hint="eastAsia" w:ascii="宋体" w:hAnsi="宋体" w:eastAsia="宋体"/>
        </w:rPr>
        <w:t xml:space="preserve">2　若货物的数量和外观情况与合同不符，则卖方应按买方的要求，免费为买方改正或替换货物。</w:t>
      </w:r>
      <w:r>
        <w:rPr>
          <w:rFonts w:ascii="宋体" w:hAnsi="宋体" w:eastAsia="宋体"/>
        </w:rPr>
      </w:r>
      <w:r/>
    </w:p>
    <w:p>
      <w:pPr>
        <w:pStyle w:val="1238"/>
        <w:outlineLvl w:val="0"/>
      </w:pPr>
      <w:r/>
      <w:bookmarkStart w:id="500" w:name="_Toc445904013"/>
      <w:r>
        <w:rPr>
          <w:rFonts w:hint="eastAsia"/>
        </w:rPr>
        <w:t xml:space="preserve">6</w:t>
      </w:r>
      <w:r>
        <w:t xml:space="preserve">　产品标志、包装、运输和保管</w:t>
      </w:r>
      <w:bookmarkEnd w:id="500"/>
      <w:r/>
      <w:r/>
    </w:p>
    <w:p>
      <w:pPr>
        <w:pStyle w:val="1151"/>
        <w:spacing w:line="306" w:lineRule="exact"/>
        <w:rPr>
          <w:szCs w:val="21"/>
        </w:rPr>
      </w:pPr>
      <w:r>
        <w:rPr>
          <w:rFonts w:hint="eastAsia" w:ascii="EU-F1" w:eastAsia="EU-F1"/>
          <w:szCs w:val="21"/>
        </w:rPr>
        <w:t xml:space="preserve">6</w:t>
      </w:r>
      <w:r>
        <w:rPr>
          <w:rFonts w:hint="eastAsia" w:ascii="EU-F1" w:eastAsia="EU-F1"/>
          <w:spacing w:val="20"/>
          <w:szCs w:val="21"/>
        </w:rPr>
        <w:t xml:space="preserve">.</w:t>
      </w:r>
      <w:r>
        <w:rPr>
          <w:rFonts w:hint="eastAsia" w:ascii="EU-F1" w:eastAsia="EU-F1"/>
          <w:szCs w:val="21"/>
        </w:rPr>
        <w:t xml:space="preserve">1　</w:t>
      </w:r>
      <w:r>
        <w:rPr>
          <w:szCs w:val="21"/>
        </w:rPr>
        <w:t xml:space="preserve">成品电缆的护套表面上应有制造厂名、产品型号、额定电压、每米打字和制造年、月的连续标志，标志应字迹清楚，清晰耐磨。</w:t>
      </w:r>
      <w:r>
        <w:rPr>
          <w:szCs w:val="21"/>
        </w:rPr>
      </w:r>
      <w:r/>
    </w:p>
    <w:p>
      <w:pPr>
        <w:pStyle w:val="1151"/>
        <w:spacing w:line="306" w:lineRule="exact"/>
        <w:rPr>
          <w:szCs w:val="21"/>
        </w:rPr>
      </w:pPr>
      <w:r>
        <w:rPr>
          <w:rFonts w:hint="eastAsia" w:ascii="EU-F1" w:eastAsia="EU-F1"/>
          <w:szCs w:val="21"/>
        </w:rPr>
        <w:t xml:space="preserve">6</w:t>
      </w:r>
      <w:r>
        <w:rPr>
          <w:rFonts w:hint="eastAsia" w:ascii="EU-F1" w:eastAsia="EU-F1"/>
          <w:spacing w:val="20"/>
          <w:szCs w:val="21"/>
        </w:rPr>
        <w:t xml:space="preserve">.</w:t>
      </w:r>
      <w:r>
        <w:rPr>
          <w:rFonts w:hint="eastAsia" w:ascii="EU-F1" w:eastAsia="EU-F1"/>
          <w:szCs w:val="21"/>
        </w:rPr>
        <w:t xml:space="preserve">2　</w:t>
      </w:r>
      <w:r>
        <w:rPr>
          <w:szCs w:val="21"/>
        </w:rPr>
        <w:t xml:space="preserve">除非另有规定，电缆应卷绕在符合JB/T 8137的电缆盘上交货，每个电缆盘上只能卷绕一根电缆。电缆的两端应采用防潮帽密封并牢靠地固定在电缆盘上。</w:t>
      </w:r>
      <w:r>
        <w:rPr>
          <w:szCs w:val="21"/>
        </w:rPr>
      </w:r>
      <w:r/>
    </w:p>
    <w:p>
      <w:pPr>
        <w:pStyle w:val="1151"/>
        <w:spacing w:line="306" w:lineRule="exact"/>
        <w:rPr>
          <w:szCs w:val="21"/>
        </w:rPr>
      </w:pPr>
      <w:r>
        <w:rPr>
          <w:rFonts w:hint="eastAsia" w:ascii="EU-F1" w:eastAsia="EU-F1"/>
          <w:szCs w:val="21"/>
        </w:rPr>
        <w:t xml:space="preserve">6</w:t>
      </w:r>
      <w:r>
        <w:rPr>
          <w:rFonts w:hint="eastAsia" w:ascii="EU-F1" w:eastAsia="EU-F1"/>
          <w:spacing w:val="20"/>
          <w:szCs w:val="21"/>
        </w:rPr>
        <w:t xml:space="preserve">.</w:t>
      </w:r>
      <w:r>
        <w:rPr>
          <w:rFonts w:hint="eastAsia" w:ascii="EU-F1" w:eastAsia="EU-F1"/>
          <w:szCs w:val="21"/>
        </w:rPr>
        <w:t xml:space="preserve">3　</w:t>
      </w:r>
      <w:r>
        <w:rPr>
          <w:szCs w:val="21"/>
        </w:rPr>
        <w:t xml:space="preserve">在每盘电缆的外侧端应装有经采购方认可的敷设电缆时牵引用的拉眼或牵引螺栓。拉眼或牵引螺栓与电缆导体的连接，应能满足敷设电缆时的牵引方式和牵引该长度的电缆所需的机械强度。对机械强度的要求应由</w:t>
      </w:r>
      <w:r>
        <w:rPr>
          <w:rFonts w:hint="eastAsia"/>
          <w:szCs w:val="21"/>
        </w:rPr>
        <w:t xml:space="preserve">买</w:t>
      </w:r>
      <w:r>
        <w:rPr>
          <w:szCs w:val="21"/>
        </w:rPr>
        <w:t xml:space="preserve">方与</w:t>
      </w:r>
      <w:r>
        <w:rPr>
          <w:rFonts w:hint="eastAsia"/>
          <w:szCs w:val="21"/>
        </w:rPr>
        <w:t xml:space="preserve">卖</w:t>
      </w:r>
      <w:r>
        <w:rPr>
          <w:szCs w:val="21"/>
        </w:rPr>
        <w:t xml:space="preserve">方协商确定。</w:t>
      </w:r>
      <w:r>
        <w:rPr>
          <w:szCs w:val="21"/>
        </w:rPr>
      </w:r>
      <w:r/>
    </w:p>
    <w:p>
      <w:pPr>
        <w:pStyle w:val="1151"/>
        <w:spacing w:line="306" w:lineRule="exact"/>
        <w:rPr>
          <w:szCs w:val="21"/>
        </w:rPr>
      </w:pPr>
      <w:r>
        <w:rPr>
          <w:rFonts w:hint="eastAsia" w:ascii="EU-F1" w:eastAsia="EU-F1"/>
          <w:szCs w:val="21"/>
        </w:rPr>
        <w:t xml:space="preserve">6</w:t>
      </w:r>
      <w:r>
        <w:rPr>
          <w:rFonts w:hint="eastAsia" w:ascii="EU-F1" w:eastAsia="EU-F1"/>
          <w:spacing w:val="20"/>
          <w:szCs w:val="21"/>
        </w:rPr>
        <w:t xml:space="preserve">.</w:t>
      </w:r>
      <w:r>
        <w:rPr>
          <w:rFonts w:hint="eastAsia" w:ascii="EU-F1" w:eastAsia="EU-F1"/>
          <w:szCs w:val="21"/>
        </w:rPr>
        <w:t xml:space="preserve">4　</w:t>
      </w:r>
      <w:r>
        <w:rPr>
          <w:szCs w:val="21"/>
        </w:rPr>
        <w:t xml:space="preserve">电缆盘的结构应牢固，筒体部分应采用钢结构。电缆卷绕在电缆盘上后，用护板保护，护板可以用木板或钢板。如采用木护板，在其外表面还应用金属带扎紧，并在护板之下的电缆盘最外层电缆表面上覆盖一层硬纸或其</w:t>
      </w:r>
      <w:r>
        <w:rPr>
          <w:rFonts w:hint="eastAsia"/>
          <w:szCs w:val="21"/>
        </w:rPr>
        <w:t xml:space="preserve">他</w:t>
      </w:r>
      <w:r>
        <w:rPr>
          <w:szCs w:val="21"/>
        </w:rPr>
        <w:t xml:space="preserve">具有类似功能的材料，以防碎石或煤渣等坚硬物体掉落在每匝电缆之间，在运输或搬运过程中损伤电缆外护套</w:t>
      </w:r>
      <w:r>
        <w:rPr>
          <w:rFonts w:hint="eastAsia"/>
          <w:szCs w:val="21"/>
        </w:rPr>
        <w:t xml:space="preserve">；</w:t>
      </w:r>
      <w:r>
        <w:rPr>
          <w:szCs w:val="21"/>
        </w:rPr>
        <w:t xml:space="preserve">如用钢板，则宜采用轧边或螺栓与电缆盘固定，而不应采用焊接固定。</w:t>
      </w:r>
      <w:r>
        <w:rPr>
          <w:szCs w:val="21"/>
        </w:rPr>
      </w:r>
      <w:r/>
    </w:p>
    <w:p>
      <w:pPr>
        <w:pStyle w:val="1151"/>
        <w:spacing w:line="306" w:lineRule="exact"/>
        <w:rPr>
          <w:szCs w:val="21"/>
        </w:rPr>
      </w:pPr>
      <w:r>
        <w:rPr>
          <w:rFonts w:hint="eastAsia" w:ascii="EU-F1" w:eastAsia="EU-F1"/>
          <w:szCs w:val="21"/>
        </w:rPr>
        <w:t xml:space="preserve">6</w:t>
      </w:r>
      <w:r>
        <w:rPr>
          <w:rFonts w:hint="eastAsia" w:ascii="EU-F1" w:eastAsia="EU-F1"/>
          <w:spacing w:val="20"/>
          <w:szCs w:val="21"/>
        </w:rPr>
        <w:t xml:space="preserve">.</w:t>
      </w:r>
      <w:r>
        <w:rPr>
          <w:rFonts w:hint="eastAsia" w:ascii="EU-F1" w:eastAsia="EU-F1"/>
          <w:szCs w:val="21"/>
        </w:rPr>
        <w:t xml:space="preserve">5　</w:t>
      </w:r>
      <w:r>
        <w:rPr>
          <w:szCs w:val="21"/>
        </w:rPr>
        <w:t xml:space="preserve">在运输电缆时，</w:t>
      </w:r>
      <w:r>
        <w:rPr>
          <w:rFonts w:hint="eastAsia"/>
          <w:szCs w:val="21"/>
        </w:rPr>
        <w:t xml:space="preserve">卖</w:t>
      </w:r>
      <w:r>
        <w:rPr>
          <w:szCs w:val="21"/>
        </w:rPr>
        <w:t xml:space="preserve">方应采取防止电缆盘滚动的措施，例如将电缆盘放在托盘上。</w:t>
      </w:r>
      <w:r>
        <w:rPr>
          <w:rFonts w:hint="eastAsia"/>
          <w:szCs w:val="21"/>
        </w:rPr>
        <w:t xml:space="preserve">卖</w:t>
      </w:r>
      <w:r>
        <w:rPr>
          <w:szCs w:val="21"/>
        </w:rPr>
        <w:t xml:space="preserve">方应对由于未将电缆或电缆盘正确地扣紧、密封、包装和固定而造成的电缆损伤负责。</w:t>
      </w:r>
      <w:r>
        <w:rPr>
          <w:szCs w:val="21"/>
        </w:rPr>
      </w:r>
      <w:r/>
    </w:p>
    <w:p>
      <w:pPr>
        <w:pStyle w:val="1151"/>
        <w:spacing w:line="306" w:lineRule="exact"/>
        <w:rPr>
          <w:szCs w:val="21"/>
        </w:rPr>
      </w:pPr>
      <w:r>
        <w:rPr>
          <w:rFonts w:hint="eastAsia" w:ascii="EU-F1" w:eastAsia="EU-F1"/>
          <w:szCs w:val="21"/>
        </w:rPr>
        <w:t xml:space="preserve">6</w:t>
      </w:r>
      <w:r>
        <w:rPr>
          <w:rFonts w:hint="eastAsia" w:ascii="EU-F1" w:eastAsia="EU-F1"/>
          <w:spacing w:val="20"/>
          <w:szCs w:val="21"/>
        </w:rPr>
        <w:t xml:space="preserve">.</w:t>
      </w:r>
      <w:r>
        <w:rPr>
          <w:rFonts w:hint="eastAsia" w:ascii="EU-F1" w:eastAsia="EU-F1"/>
          <w:szCs w:val="21"/>
        </w:rPr>
        <w:t xml:space="preserve">6　</w:t>
      </w:r>
      <w:r>
        <w:rPr>
          <w:szCs w:val="21"/>
        </w:rPr>
        <w:t xml:space="preserve">电缆盘在装卸时应采用专门的吊装工具以避免损坏电缆。</w:t>
      </w:r>
      <w:r>
        <w:rPr>
          <w:szCs w:val="21"/>
        </w:rPr>
      </w:r>
      <w:r/>
    </w:p>
    <w:p>
      <w:pPr>
        <w:pStyle w:val="1151"/>
        <w:spacing w:line="306" w:lineRule="exact"/>
        <w:rPr>
          <w:szCs w:val="21"/>
        </w:rPr>
      </w:pPr>
      <w:r>
        <w:rPr>
          <w:rFonts w:hint="eastAsia" w:ascii="EU-F1" w:eastAsia="EU-F1"/>
          <w:szCs w:val="21"/>
        </w:rPr>
        <w:t xml:space="preserve">6</w:t>
      </w:r>
      <w:r>
        <w:rPr>
          <w:rFonts w:hint="eastAsia" w:ascii="EU-F1" w:eastAsia="EU-F1"/>
          <w:spacing w:val="20"/>
          <w:szCs w:val="21"/>
        </w:rPr>
        <w:t xml:space="preserve">.</w:t>
      </w:r>
      <w:r>
        <w:rPr>
          <w:rFonts w:hint="eastAsia" w:ascii="EU-F1" w:eastAsia="EU-F1"/>
          <w:szCs w:val="21"/>
        </w:rPr>
        <w:t xml:space="preserve">7　</w:t>
      </w:r>
      <w:r>
        <w:rPr>
          <w:szCs w:val="21"/>
        </w:rPr>
        <w:t xml:space="preserve">在电缆盘上应有下列文字和符合标志：</w:t>
      </w:r>
      <w:r>
        <w:rPr>
          <w:szCs w:val="21"/>
        </w:rPr>
      </w:r>
      <w:r/>
    </w:p>
    <w:p>
      <w:pPr>
        <w:pStyle w:val="1151"/>
        <w:ind w:firstLine="420"/>
        <w:spacing w:line="306" w:lineRule="exact"/>
        <w:rPr>
          <w:szCs w:val="21"/>
        </w:rPr>
      </w:pPr>
      <w:r>
        <w:rPr>
          <w:rFonts w:hint="eastAsia"/>
          <w:szCs w:val="21"/>
        </w:rPr>
        <w:t xml:space="preserve">a）</w:t>
      </w:r>
      <w:r>
        <w:rPr>
          <w:rFonts w:hint="eastAsia"/>
          <w:szCs w:val="21"/>
        </w:rPr>
        <w:tab/>
      </w:r>
      <w:r>
        <w:rPr>
          <w:szCs w:val="21"/>
        </w:rPr>
        <w:t xml:space="preserve">合同号、电缆盘号</w:t>
      </w:r>
      <w:r>
        <w:rPr>
          <w:rFonts w:hint="eastAsia"/>
          <w:szCs w:val="21"/>
        </w:rPr>
        <w:t xml:space="preserve">；</w:t>
      </w:r>
      <w:r>
        <w:rPr>
          <w:szCs w:val="21"/>
        </w:rPr>
      </w:r>
      <w:r/>
    </w:p>
    <w:p>
      <w:pPr>
        <w:pStyle w:val="1151"/>
        <w:ind w:firstLine="420"/>
        <w:spacing w:line="306" w:lineRule="exact"/>
        <w:rPr>
          <w:szCs w:val="21"/>
        </w:rPr>
      </w:pPr>
      <w:r>
        <w:rPr>
          <w:rFonts w:hint="eastAsia"/>
          <w:szCs w:val="21"/>
        </w:rPr>
        <w:t xml:space="preserve">b</w:t>
      </w:r>
      <w:r>
        <w:rPr>
          <w:szCs w:val="21"/>
        </w:rPr>
        <w:t xml:space="preserve">）</w:t>
      </w:r>
      <w:r>
        <w:rPr>
          <w:rFonts w:hint="eastAsia"/>
          <w:szCs w:val="21"/>
        </w:rPr>
        <w:tab/>
      </w:r>
      <w:r>
        <w:rPr>
          <w:szCs w:val="21"/>
        </w:rPr>
        <w:t xml:space="preserve">收货单位</w:t>
      </w:r>
      <w:r>
        <w:rPr>
          <w:rFonts w:hint="eastAsia"/>
          <w:szCs w:val="21"/>
        </w:rPr>
        <w:t xml:space="preserve">；</w:t>
      </w:r>
      <w:r>
        <w:rPr>
          <w:szCs w:val="21"/>
        </w:rPr>
      </w:r>
      <w:r/>
    </w:p>
    <w:p>
      <w:pPr>
        <w:pStyle w:val="1151"/>
        <w:ind w:firstLine="420"/>
        <w:spacing w:line="306" w:lineRule="exact"/>
        <w:rPr>
          <w:szCs w:val="21"/>
        </w:rPr>
      </w:pPr>
      <w:r>
        <w:rPr>
          <w:rFonts w:hint="eastAsia"/>
          <w:szCs w:val="21"/>
        </w:rPr>
        <w:t xml:space="preserve">c</w:t>
      </w:r>
      <w:r>
        <w:rPr>
          <w:szCs w:val="21"/>
        </w:rPr>
        <w:t xml:space="preserve">）</w:t>
      </w:r>
      <w:r>
        <w:rPr>
          <w:rFonts w:hint="eastAsia"/>
          <w:szCs w:val="21"/>
        </w:rPr>
        <w:tab/>
      </w:r>
      <w:r>
        <w:rPr>
          <w:szCs w:val="21"/>
        </w:rPr>
        <w:t xml:space="preserve">目的口岸或到站</w:t>
      </w:r>
      <w:r>
        <w:rPr>
          <w:rFonts w:hint="eastAsia"/>
          <w:szCs w:val="21"/>
        </w:rPr>
        <w:t xml:space="preserve">；</w:t>
      </w:r>
      <w:r>
        <w:rPr>
          <w:szCs w:val="21"/>
        </w:rPr>
      </w:r>
      <w:r/>
    </w:p>
    <w:p>
      <w:pPr>
        <w:pStyle w:val="1151"/>
        <w:ind w:firstLine="420"/>
        <w:spacing w:line="306" w:lineRule="exact"/>
        <w:rPr>
          <w:szCs w:val="21"/>
        </w:rPr>
      </w:pPr>
      <w:r>
        <w:rPr>
          <w:rFonts w:hint="eastAsia"/>
          <w:szCs w:val="21"/>
        </w:rPr>
        <w:t xml:space="preserve">d</w:t>
      </w:r>
      <w:r>
        <w:rPr>
          <w:szCs w:val="21"/>
        </w:rPr>
        <w:t xml:space="preserve">）</w:t>
      </w:r>
      <w:r>
        <w:rPr>
          <w:rFonts w:hint="eastAsia"/>
          <w:szCs w:val="21"/>
        </w:rPr>
        <w:tab/>
      </w:r>
      <w:r>
        <w:rPr>
          <w:szCs w:val="21"/>
        </w:rPr>
        <w:t xml:space="preserve">产品名称和型号规格</w:t>
      </w:r>
      <w:r>
        <w:rPr>
          <w:rFonts w:hint="eastAsia"/>
          <w:szCs w:val="21"/>
        </w:rPr>
        <w:t xml:space="preserve">；</w:t>
      </w:r>
      <w:r>
        <w:rPr>
          <w:szCs w:val="21"/>
        </w:rPr>
      </w:r>
      <w:r/>
    </w:p>
    <w:p>
      <w:pPr>
        <w:pStyle w:val="1151"/>
        <w:ind w:firstLine="420"/>
        <w:spacing w:line="306" w:lineRule="exact"/>
        <w:rPr>
          <w:szCs w:val="21"/>
        </w:rPr>
      </w:pPr>
      <w:r>
        <w:rPr>
          <w:rFonts w:hint="eastAsia"/>
          <w:szCs w:val="21"/>
        </w:rPr>
        <w:t xml:space="preserve">e</w:t>
      </w:r>
      <w:r>
        <w:rPr>
          <w:szCs w:val="21"/>
        </w:rPr>
        <w:t xml:space="preserve">）</w:t>
      </w:r>
      <w:r>
        <w:rPr>
          <w:rFonts w:hint="eastAsia"/>
          <w:szCs w:val="21"/>
        </w:rPr>
        <w:tab/>
      </w:r>
      <w:r>
        <w:rPr>
          <w:szCs w:val="21"/>
        </w:rPr>
        <w:t xml:space="preserve">电缆的额定电压</w:t>
      </w:r>
      <w:r>
        <w:rPr>
          <w:rFonts w:hint="eastAsia"/>
          <w:szCs w:val="21"/>
        </w:rPr>
        <w:t xml:space="preserve">；</w:t>
      </w:r>
      <w:r>
        <w:rPr>
          <w:szCs w:val="21"/>
        </w:rPr>
      </w:r>
      <w:r/>
    </w:p>
    <w:p>
      <w:pPr>
        <w:pStyle w:val="1151"/>
        <w:ind w:firstLine="420"/>
        <w:rPr>
          <w:szCs w:val="21"/>
        </w:rPr>
      </w:pPr>
      <w:r>
        <w:rPr>
          <w:rFonts w:hint="eastAsia"/>
          <w:szCs w:val="21"/>
        </w:rPr>
        <w:t xml:space="preserve">f</w:t>
      </w:r>
      <w:r>
        <w:rPr>
          <w:szCs w:val="21"/>
        </w:rPr>
        <w:t xml:space="preserve">）</w:t>
      </w:r>
      <w:r>
        <w:rPr>
          <w:rFonts w:hint="eastAsia"/>
          <w:szCs w:val="21"/>
        </w:rPr>
        <w:tab/>
      </w:r>
      <w:r>
        <w:rPr>
          <w:szCs w:val="21"/>
        </w:rPr>
        <w:t xml:space="preserve">电缆长度</w:t>
      </w:r>
      <w:r>
        <w:rPr>
          <w:rFonts w:hint="eastAsia"/>
          <w:szCs w:val="21"/>
        </w:rPr>
        <w:t xml:space="preserve">；</w:t>
      </w:r>
      <w:r>
        <w:rPr>
          <w:szCs w:val="21"/>
        </w:rPr>
      </w:r>
      <w:r/>
    </w:p>
    <w:p>
      <w:pPr>
        <w:pStyle w:val="1151"/>
        <w:ind w:firstLine="420"/>
        <w:rPr>
          <w:rFonts w:hint="eastAsia"/>
          <w:szCs w:val="21"/>
        </w:rPr>
      </w:pPr>
      <w:r>
        <w:rPr>
          <w:rFonts w:hint="eastAsia"/>
          <w:szCs w:val="21"/>
        </w:rPr>
        <w:t xml:space="preserve">g</w:t>
      </w:r>
      <w:r>
        <w:rPr>
          <w:szCs w:val="21"/>
        </w:rPr>
        <w:t xml:space="preserve">）</w:t>
      </w:r>
      <w:r>
        <w:rPr>
          <w:rFonts w:hint="eastAsia"/>
          <w:szCs w:val="21"/>
        </w:rPr>
        <w:tab/>
      </w:r>
      <w:r>
        <w:rPr>
          <w:szCs w:val="21"/>
        </w:rPr>
        <w:t xml:space="preserve">表示搬运电缆盘正确滚动方向的箭头和起吊点的符号</w:t>
      </w:r>
      <w:r>
        <w:rPr>
          <w:rFonts w:hint="eastAsia"/>
          <w:szCs w:val="21"/>
        </w:rPr>
        <w:t xml:space="preserve">。</w:t>
      </w:r>
      <w:bookmarkStart w:id="501" w:name="_Toc362271084"/>
      <w:r/>
      <w:bookmarkEnd w:id="501"/>
      <w:r>
        <w:rPr>
          <w:rFonts w:hint="eastAsia"/>
          <w:szCs w:val="21"/>
        </w:rPr>
      </w:r>
      <w:r/>
    </w:p>
    <w:p>
      <w:pPr>
        <w:pStyle w:val="1210"/>
        <w:ind w:firstLine="0"/>
        <w:rPr>
          <w:rFonts w:hint="eastAsia" w:ascii="宋体" w:hAnsi="宋体" w:cs="宋体"/>
          <w:b/>
          <w:color w:val="000000"/>
          <w:sz w:val="21"/>
          <w:szCs w:val="21"/>
        </w:rPr>
      </w:pPr>
      <w:r>
        <w:rPr>
          <w:rFonts w:hint="eastAsia" w:ascii="宋体" w:hAnsi="宋体" w:cs="宋体"/>
          <w:color w:val="000000"/>
        </w:rPr>
        <w:br w:type="page" w:clear="all"/>
      </w:r>
      <w:bookmarkEnd w:id="0"/>
      <w:r>
        <w:rPr>
          <w:rFonts w:hint="eastAsia" w:ascii="宋体" w:hAnsi="宋体" w:cs="宋体"/>
          <w:b/>
          <w:color w:val="000000"/>
          <w:sz w:val="21"/>
          <w:szCs w:val="21"/>
        </w:rPr>
      </w:r>
      <w:r/>
    </w:p>
    <w:p>
      <w:pPr>
        <w:pStyle w:val="1152"/>
        <w:jc w:val="center"/>
        <w:spacing w:line="360" w:lineRule="auto"/>
        <w:rPr>
          <w:rFonts w:hint="eastAsia" w:ascii="宋体" w:hAnsi="宋体" w:cs="宋体"/>
          <w:color w:val="000000"/>
        </w:rPr>
      </w:pPr>
      <w:r/>
      <w:bookmarkStart w:id="502" w:name="_Toc175728705"/>
      <w:r>
        <w:rPr>
          <w:rFonts w:hint="eastAsia" w:ascii="宋体" w:hAnsi="宋体" w:cs="宋体"/>
          <w:color w:val="000000"/>
        </w:rPr>
        <w:t xml:space="preserve">第五章 响应文件格式</w:t>
      </w:r>
      <w:bookmarkEnd w:id="2"/>
      <w:r/>
      <w:bookmarkEnd w:id="502"/>
      <w:r>
        <w:rPr>
          <w:rFonts w:hint="eastAsia" w:ascii="宋体" w:hAnsi="宋体" w:cs="宋体"/>
          <w:color w:val="000000"/>
        </w:rPr>
      </w:r>
      <w:r/>
    </w:p>
    <w:p>
      <w:pPr>
        <w:pStyle w:val="1151"/>
        <w:jc w:val="center"/>
        <w:spacing w:line="360" w:lineRule="auto"/>
        <w:rPr>
          <w:rFonts w:hint="eastAsia" w:ascii="宋体" w:hAnsi="宋体" w:cs="宋体"/>
          <w:b/>
          <w:color w:val="000000"/>
          <w:sz w:val="52"/>
          <w:szCs w:val="52"/>
        </w:rPr>
      </w:pPr>
      <w:r>
        <w:rPr>
          <w:rFonts w:hint="eastAsia" w:ascii="宋体" w:hAnsi="宋体" w:cs="宋体"/>
          <w:b/>
          <w:color w:val="000000"/>
          <w:sz w:val="52"/>
          <w:szCs w:val="52"/>
        </w:rPr>
      </w:r>
      <w:r/>
    </w:p>
    <w:p>
      <w:pPr>
        <w:pStyle w:val="1151"/>
        <w:jc w:val="center"/>
        <w:spacing w:line="360" w:lineRule="auto"/>
        <w:rPr>
          <w:rFonts w:hint="eastAsia" w:ascii="宋体" w:hAnsi="宋体" w:cs="宋体"/>
          <w:b/>
          <w:bCs/>
          <w:color w:val="000000"/>
          <w:sz w:val="52"/>
          <w:szCs w:val="52"/>
        </w:rPr>
      </w:pPr>
      <w:r>
        <w:rPr>
          <w:rFonts w:hint="eastAsia" w:ascii="宋体" w:hAnsi="宋体" w:cs="宋体"/>
          <w:b/>
          <w:bCs/>
          <w:color w:val="000000"/>
          <w:sz w:val="52"/>
          <w:szCs w:val="52"/>
        </w:rPr>
      </w:r>
      <w:r/>
    </w:p>
    <w:p>
      <w:pPr>
        <w:pStyle w:val="1151"/>
        <w:jc w:val="center"/>
        <w:spacing w:line="360" w:lineRule="auto"/>
        <w:rPr>
          <w:rFonts w:hint="eastAsia" w:ascii="宋体" w:hAnsi="宋体" w:cs="宋体"/>
          <w:b/>
          <w:bCs/>
          <w:color w:val="000000"/>
          <w:sz w:val="52"/>
          <w:szCs w:val="52"/>
        </w:rPr>
      </w:pPr>
      <w:r>
        <w:rPr>
          <w:rFonts w:hint="eastAsia" w:ascii="宋体" w:hAnsi="宋体" w:cs="宋体"/>
          <w:b/>
          <w:bCs/>
          <w:color w:val="000000"/>
          <w:sz w:val="52"/>
          <w:szCs w:val="52"/>
        </w:rPr>
      </w:r>
      <w:r/>
    </w:p>
    <w:p>
      <w:pPr>
        <w:pStyle w:val="1151"/>
        <w:jc w:val="center"/>
        <w:spacing w:line="360" w:lineRule="auto"/>
        <w:rPr>
          <w:rFonts w:hint="eastAsia" w:ascii="宋体" w:hAnsi="宋体" w:cs="宋体"/>
          <w:b/>
          <w:bCs/>
          <w:color w:val="000000"/>
          <w:sz w:val="72"/>
          <w:szCs w:val="72"/>
        </w:rPr>
      </w:pPr>
      <w:r>
        <w:rPr>
          <w:rFonts w:hint="eastAsia" w:ascii="宋体" w:hAnsi="宋体" w:cs="宋体"/>
          <w:b/>
          <w:bCs/>
          <w:color w:val="000000"/>
          <w:sz w:val="52"/>
          <w:szCs w:val="52"/>
        </w:rPr>
        <w:t xml:space="preserve">响应文件</w:t>
      </w:r>
      <w:r>
        <w:rPr>
          <w:rFonts w:hint="eastAsia" w:ascii="宋体" w:hAnsi="宋体" w:cs="宋体"/>
          <w:b/>
          <w:bCs/>
          <w:color w:val="000000"/>
          <w:sz w:val="72"/>
          <w:szCs w:val="72"/>
        </w:rPr>
      </w:r>
      <w:r/>
    </w:p>
    <w:p>
      <w:pPr>
        <w:pStyle w:val="1151"/>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1151"/>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1151"/>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1151"/>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1151"/>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1151"/>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1151"/>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1151"/>
        <w:ind w:firstLine="1928"/>
        <w:spacing w:line="360" w:lineRule="auto"/>
        <w:rPr>
          <w:rFonts w:ascii="宋体" w:hAnsi="宋体" w:cs="宋体"/>
          <w:b/>
          <w:color w:val="000000"/>
          <w:sz w:val="32"/>
          <w:szCs w:val="32"/>
          <w:u w:val="single"/>
        </w:rPr>
      </w:pPr>
      <w:r>
        <w:rPr>
          <w:rFonts w:hint="eastAsia" w:ascii="宋体" w:hAnsi="宋体" w:cs="宋体"/>
          <w:b/>
          <w:color w:val="000000"/>
          <w:sz w:val="32"/>
          <w:szCs w:val="32"/>
        </w:rPr>
        <w:t xml:space="preserve">项目名称：</w:t>
      </w:r>
      <w:r>
        <w:rPr>
          <w:rFonts w:hint="eastAsia" w:ascii="宋体" w:hAnsi="宋体" w:cs="宋体"/>
          <w:b/>
          <w:color w:val="000000"/>
          <w:sz w:val="32"/>
          <w:szCs w:val="32"/>
          <w:u w:val="single"/>
        </w:rPr>
        <w:t xml:space="preserve">                      </w:t>
      </w:r>
      <w:r>
        <w:rPr>
          <w:rFonts w:ascii="宋体" w:hAnsi="宋体" w:cs="宋体"/>
          <w:b/>
          <w:color w:val="000000"/>
          <w:sz w:val="32"/>
          <w:szCs w:val="32"/>
          <w:u w:val="single"/>
        </w:rPr>
      </w:r>
      <w:r/>
    </w:p>
    <w:p>
      <w:pPr>
        <w:pStyle w:val="1151"/>
        <w:ind w:firstLine="1928"/>
        <w:spacing w:line="360" w:lineRule="auto"/>
        <w:rPr>
          <w:rFonts w:ascii="宋体" w:hAnsi="宋体" w:cs="宋体"/>
          <w:b/>
          <w:color w:val="000000"/>
          <w:sz w:val="32"/>
          <w:szCs w:val="32"/>
          <w:u w:val="single"/>
        </w:rPr>
      </w:pPr>
      <w:r>
        <w:rPr>
          <w:rFonts w:hint="eastAsia" w:ascii="宋体" w:hAnsi="宋体" w:cs="宋体"/>
          <w:b/>
          <w:color w:val="000000"/>
          <w:sz w:val="32"/>
          <w:szCs w:val="32"/>
        </w:rPr>
        <w:t xml:space="preserve">项目编号：</w:t>
      </w:r>
      <w:r>
        <w:rPr>
          <w:rFonts w:hint="eastAsia" w:ascii="宋体" w:hAnsi="宋体" w:cs="宋体"/>
          <w:b/>
          <w:color w:val="000000"/>
          <w:sz w:val="32"/>
          <w:szCs w:val="32"/>
          <w:u w:val="single"/>
        </w:rPr>
        <w:t xml:space="preserve">                      </w:t>
      </w:r>
      <w:r>
        <w:rPr>
          <w:rFonts w:ascii="宋体" w:hAnsi="宋体" w:cs="宋体"/>
          <w:b/>
          <w:color w:val="000000"/>
          <w:sz w:val="32"/>
          <w:szCs w:val="32"/>
          <w:u w:val="single"/>
        </w:rPr>
      </w:r>
      <w:r/>
    </w:p>
    <w:p>
      <w:pPr>
        <w:pStyle w:val="1151"/>
        <w:ind w:firstLine="1928"/>
        <w:spacing w:line="360" w:lineRule="auto"/>
        <w:rPr>
          <w:rFonts w:ascii="宋体" w:hAnsi="宋体" w:cs="宋体"/>
          <w:b/>
          <w:color w:val="000000"/>
          <w:sz w:val="32"/>
          <w:szCs w:val="32"/>
          <w:u w:val="single"/>
        </w:rPr>
      </w:pPr>
      <w:r>
        <w:rPr>
          <w:rFonts w:hint="eastAsia" w:ascii="宋体" w:hAnsi="宋体" w:cs="宋体"/>
          <w:b/>
          <w:color w:val="000000"/>
          <w:sz w:val="32"/>
          <w:szCs w:val="32"/>
        </w:rPr>
        <w:t xml:space="preserve">供应商名称：</w:t>
      </w:r>
      <w:r>
        <w:rPr>
          <w:rFonts w:hint="eastAsia" w:ascii="宋体" w:hAnsi="宋体" w:cs="宋体"/>
          <w:b/>
          <w:color w:val="000000"/>
          <w:sz w:val="32"/>
          <w:szCs w:val="32"/>
          <w:u w:val="single"/>
        </w:rPr>
        <w:t xml:space="preserve">                </w:t>
      </w:r>
      <w:r>
        <w:rPr>
          <w:rFonts w:ascii="宋体" w:hAnsi="宋体" w:cs="宋体"/>
          <w:b/>
          <w:color w:val="000000"/>
          <w:sz w:val="32"/>
          <w:szCs w:val="32"/>
          <w:u w:val="single"/>
        </w:rPr>
      </w:r>
      <w:r/>
    </w:p>
    <w:p>
      <w:pPr>
        <w:pStyle w:val="1151"/>
        <w:ind w:firstLine="1928"/>
        <w:spacing w:line="360" w:lineRule="auto"/>
        <w:rPr>
          <w:rFonts w:ascii="宋体" w:hAnsi="宋体" w:cs="宋体"/>
          <w:b/>
          <w:color w:val="000000"/>
          <w:sz w:val="32"/>
          <w:szCs w:val="32"/>
          <w:u w:val="single"/>
        </w:rPr>
      </w:pPr>
      <w:r>
        <w:rPr>
          <w:rFonts w:hint="eastAsia" w:ascii="宋体" w:hAnsi="宋体" w:cs="宋体"/>
          <w:b/>
          <w:color w:val="000000"/>
          <w:sz w:val="32"/>
          <w:szCs w:val="32"/>
        </w:rPr>
        <w:t xml:space="preserve">日期：</w:t>
      </w:r>
      <w:r>
        <w:rPr>
          <w:rFonts w:hint="eastAsia" w:ascii="宋体" w:hAnsi="宋体" w:cs="宋体"/>
          <w:b/>
          <w:color w:val="000000"/>
          <w:sz w:val="32"/>
          <w:szCs w:val="32"/>
          <w:u w:val="single"/>
        </w:rPr>
        <w:t xml:space="preserve">                          </w:t>
      </w:r>
      <w:r>
        <w:rPr>
          <w:rFonts w:ascii="宋体" w:hAnsi="宋体" w:cs="宋体"/>
          <w:b/>
          <w:color w:val="000000"/>
          <w:sz w:val="32"/>
          <w:szCs w:val="32"/>
          <w:u w:val="single"/>
        </w:rPr>
      </w:r>
      <w:r/>
    </w:p>
    <w:p>
      <w:pPr>
        <w:pStyle w:val="1151"/>
        <w:ind w:firstLine="1928"/>
        <w:spacing w:line="360" w:lineRule="auto"/>
        <w:rPr>
          <w:rFonts w:ascii="宋体" w:hAnsi="宋体" w:cs="宋体"/>
          <w:b/>
          <w:color w:val="000000"/>
          <w:sz w:val="36"/>
          <w:u w:val="single"/>
        </w:rPr>
      </w:pPr>
      <w:r>
        <w:rPr>
          <w:rFonts w:hint="eastAsia" w:ascii="宋体" w:hAnsi="宋体" w:cs="宋体"/>
          <w:b/>
          <w:color w:val="000000"/>
          <w:sz w:val="32"/>
          <w:szCs w:val="32"/>
        </w:rPr>
        <w:t xml:space="preserve">供应商：（电子签章）</w:t>
      </w:r>
      <w:r>
        <w:rPr>
          <w:rFonts w:hint="eastAsia" w:ascii="宋体" w:hAnsi="宋体" w:cs="宋体"/>
          <w:b/>
          <w:color w:val="000000"/>
          <w:sz w:val="32"/>
          <w:szCs w:val="32"/>
          <w:u w:val="single"/>
        </w:rPr>
        <w:t xml:space="preserve">            </w:t>
      </w:r>
      <w:r>
        <w:rPr>
          <w:rFonts w:ascii="宋体" w:hAnsi="宋体" w:cs="宋体"/>
          <w:b/>
          <w:color w:val="000000"/>
          <w:sz w:val="36"/>
          <w:u w:val="single"/>
        </w:rPr>
      </w:r>
      <w:r/>
    </w:p>
    <w:p>
      <w:pPr>
        <w:pStyle w:val="1151"/>
        <w:jc w:val="center"/>
        <w:spacing w:line="360" w:lineRule="auto"/>
        <w:rPr>
          <w:rFonts w:hint="eastAsia" w:ascii="宋体" w:hAnsi="宋体" w:cs="宋体"/>
          <w:color w:val="000000"/>
          <w:sz w:val="24"/>
        </w:rPr>
      </w:pPr>
      <w:r>
        <w:rPr>
          <w:rFonts w:hint="eastAsia" w:ascii="宋体" w:hAnsi="宋体" w:cs="宋体"/>
          <w:color w:val="000000"/>
          <w:sz w:val="24"/>
        </w:rPr>
        <w:br w:type="page" w:clear="all"/>
      </w:r>
      <w:r>
        <w:rPr>
          <w:rFonts w:hint="eastAsia" w:ascii="宋体" w:hAnsi="宋体" w:cs="宋体"/>
          <w:color w:val="000000"/>
          <w:sz w:val="24"/>
        </w:rPr>
      </w:r>
      <w:r/>
    </w:p>
    <w:p>
      <w:pPr>
        <w:pStyle w:val="1151"/>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响应主要文件目录</w:t>
      </w:r>
      <w:r>
        <w:rPr>
          <w:rFonts w:hint="eastAsia" w:ascii="宋体" w:hAnsi="宋体" w:cs="宋体"/>
          <w:b/>
          <w:bCs/>
          <w:color w:val="000000"/>
          <w:sz w:val="32"/>
          <w:szCs w:val="32"/>
        </w:rPr>
      </w:r>
      <w:r/>
    </w:p>
    <w:p>
      <w:pPr>
        <w:pStyle w:val="1151"/>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151"/>
        <w:ind w:firstLine="480"/>
        <w:spacing w:line="360" w:lineRule="auto"/>
        <w:rPr>
          <w:rFonts w:hint="eastAsia" w:ascii="宋体" w:hAnsi="宋体" w:cs="宋体"/>
          <w:color w:val="000000"/>
          <w:sz w:val="24"/>
        </w:rPr>
      </w:pPr>
      <w:r>
        <w:rPr>
          <w:rFonts w:hint="eastAsia" w:ascii="宋体" w:hAnsi="宋体" w:cs="宋体"/>
          <w:color w:val="000000"/>
          <w:sz w:val="24"/>
        </w:rPr>
        <w:t xml:space="preserve">一、资格审查响应对照表</w:t>
      </w:r>
      <w:r>
        <w:rPr>
          <w:rFonts w:hint="eastAsia" w:ascii="宋体" w:hAnsi="宋体" w:cs="宋体"/>
          <w:color w:val="000000"/>
          <w:sz w:val="24"/>
        </w:rPr>
      </w:r>
      <w:r/>
    </w:p>
    <w:p>
      <w:pPr>
        <w:pStyle w:val="1151"/>
        <w:ind w:left="480"/>
        <w:spacing w:line="360" w:lineRule="auto"/>
        <w:rPr>
          <w:rFonts w:hint="eastAsia" w:ascii="宋体" w:hAnsi="宋体" w:cs="宋体"/>
          <w:color w:val="000000"/>
          <w:sz w:val="24"/>
        </w:rPr>
      </w:pPr>
      <w:r>
        <w:rPr>
          <w:rFonts w:hint="eastAsia" w:ascii="宋体" w:hAnsi="宋体" w:cs="宋体"/>
          <w:color w:val="000000"/>
          <w:sz w:val="24"/>
        </w:rPr>
        <w:t xml:space="preserve">二、符合性审查响应对照表</w:t>
      </w:r>
      <w:r>
        <w:rPr>
          <w:rFonts w:hint="eastAsia" w:ascii="宋体" w:hAnsi="宋体" w:cs="宋体"/>
          <w:color w:val="000000"/>
          <w:sz w:val="24"/>
        </w:rPr>
      </w:r>
      <w:r/>
    </w:p>
    <w:p>
      <w:pPr>
        <w:pStyle w:val="1151"/>
        <w:ind w:left="480"/>
        <w:spacing w:line="360" w:lineRule="auto"/>
        <w:rPr>
          <w:rFonts w:hint="eastAsia" w:ascii="宋体" w:hAnsi="宋体" w:cs="宋体"/>
          <w:color w:val="000000"/>
          <w:sz w:val="24"/>
        </w:rPr>
      </w:pPr>
      <w:r>
        <w:rPr>
          <w:rFonts w:hint="eastAsia" w:ascii="宋体" w:hAnsi="宋体" w:cs="宋体"/>
          <w:color w:val="000000"/>
          <w:sz w:val="24"/>
        </w:rPr>
        <w:t xml:space="preserve">三、非实质性响应对照表</w:t>
      </w:r>
      <w:r>
        <w:rPr>
          <w:rFonts w:hint="eastAsia" w:ascii="宋体" w:hAnsi="宋体" w:cs="宋体"/>
          <w:color w:val="000000"/>
          <w:sz w:val="24"/>
        </w:rPr>
      </w:r>
      <w:r/>
    </w:p>
    <w:p>
      <w:pPr>
        <w:pStyle w:val="1151"/>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四</w:t>
      </w:r>
      <w:r>
        <w:rPr>
          <w:rFonts w:hint="eastAsia" w:ascii="宋体" w:hAnsi="宋体" w:cs="宋体"/>
          <w:b/>
          <w:bCs/>
          <w:color w:val="000000"/>
          <w:sz w:val="24"/>
        </w:rPr>
        <w:t xml:space="preserve">、</w:t>
      </w:r>
      <w:r>
        <w:rPr>
          <w:rFonts w:hint="eastAsia" w:ascii="宋体" w:hAnsi="宋体" w:cs="宋体"/>
          <w:i/>
          <w:color w:val="000000"/>
          <w:sz w:val="24"/>
          <w:u w:val="single"/>
        </w:rPr>
        <w:t xml:space="preserve">报价一览表</w:t>
      </w:r>
      <w:r>
        <w:rPr>
          <w:rFonts w:hint="eastAsia" w:ascii="宋体" w:hAnsi="宋体" w:cs="宋体"/>
          <w:b/>
          <w:bCs/>
          <w:color w:val="000000"/>
          <w:sz w:val="24"/>
        </w:rPr>
      </w:r>
      <w:r/>
    </w:p>
    <w:p>
      <w:pPr>
        <w:pStyle w:val="1151"/>
        <w:ind w:firstLine="480"/>
        <w:spacing w:line="360" w:lineRule="auto"/>
        <w:rPr>
          <w:rFonts w:ascii="宋体" w:hAnsi="宋体" w:cs="宋体"/>
          <w:color w:val="000000"/>
          <w:sz w:val="24"/>
        </w:rPr>
      </w:pPr>
      <w:r>
        <w:rPr>
          <w:rFonts w:hint="eastAsia" w:ascii="宋体" w:hAnsi="宋体" w:cs="宋体"/>
          <w:color w:val="000000"/>
          <w:sz w:val="24"/>
        </w:rPr>
        <w:t xml:space="preserve">五、</w:t>
      </w:r>
      <w:r>
        <w:rPr>
          <w:rFonts w:hint="eastAsia" w:ascii="宋体" w:hAnsi="宋体" w:cs="宋体"/>
          <w:i/>
          <w:color w:val="000000"/>
          <w:sz w:val="24"/>
          <w:u w:val="single"/>
        </w:rPr>
        <w:t xml:space="preserve">分项报价表</w:t>
      </w:r>
      <w:r>
        <w:rPr>
          <w:rFonts w:ascii="宋体" w:hAnsi="宋体" w:cs="宋体"/>
          <w:color w:val="000000"/>
          <w:sz w:val="24"/>
        </w:rPr>
      </w:r>
      <w:r/>
    </w:p>
    <w:p>
      <w:pPr>
        <w:pStyle w:val="1151"/>
        <w:ind w:firstLine="480"/>
        <w:spacing w:line="360" w:lineRule="auto"/>
        <w:rPr>
          <w:rFonts w:hint="eastAsia" w:ascii="宋体" w:hAnsi="宋体" w:cs="宋体"/>
          <w:color w:val="000000"/>
          <w:sz w:val="24"/>
        </w:rPr>
      </w:pPr>
      <w:r>
        <w:rPr>
          <w:rFonts w:hint="eastAsia" w:ascii="宋体" w:hAnsi="宋体" w:cs="宋体"/>
          <w:color w:val="000000"/>
          <w:sz w:val="24"/>
        </w:rPr>
        <w:t xml:space="preserve">六</w:t>
      </w:r>
      <w:r>
        <w:rPr>
          <w:rFonts w:hint="eastAsia" w:ascii="宋体" w:hAnsi="宋体" w:cs="宋体"/>
          <w:color w:val="000000"/>
          <w:sz w:val="24"/>
          <w:szCs w:val="24"/>
        </w:rPr>
        <w:t xml:space="preserve">、</w:t>
      </w:r>
      <w:r>
        <w:rPr>
          <w:rFonts w:hint="eastAsia" w:ascii="宋体" w:hAnsi="宋体" w:cs="宋体"/>
          <w:color w:val="000000"/>
          <w:sz w:val="24"/>
        </w:rPr>
        <w:t xml:space="preserve">技术参数响应及偏离表</w:t>
      </w:r>
      <w:r>
        <w:rPr>
          <w:rFonts w:hint="eastAsia" w:ascii="宋体" w:hAnsi="宋体" w:cs="宋体"/>
          <w:color w:val="000000"/>
          <w:sz w:val="24"/>
        </w:rPr>
      </w:r>
      <w:r/>
    </w:p>
    <w:p>
      <w:pPr>
        <w:pStyle w:val="1151"/>
        <w:ind w:firstLine="480"/>
        <w:spacing w:line="360" w:lineRule="auto"/>
        <w:rPr>
          <w:rFonts w:hint="eastAsia" w:ascii="宋体" w:hAnsi="宋体" w:cs="宋体"/>
          <w:color w:val="000000"/>
          <w:sz w:val="24"/>
        </w:rPr>
      </w:pPr>
      <w:r>
        <w:rPr>
          <w:rFonts w:hint="eastAsia" w:ascii="宋体" w:hAnsi="宋体" w:cs="宋体"/>
          <w:color w:val="000000"/>
          <w:sz w:val="24"/>
        </w:rPr>
        <w:t xml:space="preserve">七、商务条款响应及偏离表</w:t>
      </w:r>
      <w:r>
        <w:rPr>
          <w:rFonts w:hint="eastAsia" w:ascii="宋体" w:hAnsi="宋体" w:cs="宋体"/>
          <w:color w:val="000000"/>
          <w:sz w:val="24"/>
        </w:rPr>
      </w:r>
      <w:r/>
    </w:p>
    <w:p>
      <w:pPr>
        <w:pStyle w:val="1151"/>
        <w:ind w:firstLine="480"/>
        <w:spacing w:line="360" w:lineRule="auto"/>
        <w:rPr>
          <w:rFonts w:hint="eastAsia" w:ascii="宋体" w:hAnsi="宋体" w:cs="宋体"/>
          <w:color w:val="000000"/>
          <w:sz w:val="24"/>
        </w:rPr>
      </w:pPr>
      <w:r>
        <w:rPr>
          <w:rFonts w:hint="eastAsia" w:ascii="宋体" w:hAnsi="宋体" w:cs="宋体"/>
          <w:color w:val="000000"/>
          <w:sz w:val="24"/>
        </w:rPr>
        <w:t xml:space="preserve">八、其他（供应商认为有必要提供的声明和文件，如有自拟并自行添加）</w:t>
      </w:r>
      <w:r>
        <w:rPr>
          <w:rFonts w:hint="eastAsia" w:ascii="宋体" w:hAnsi="宋体" w:cs="宋体"/>
          <w:color w:val="000000"/>
          <w:sz w:val="24"/>
        </w:rPr>
      </w:r>
      <w:r/>
    </w:p>
    <w:p>
      <w:pPr>
        <w:pStyle w:val="1151"/>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br w:type="page" w:clear="all"/>
      </w:r>
      <w:r>
        <w:rPr>
          <w:rFonts w:hint="eastAsia" w:ascii="宋体" w:hAnsi="宋体" w:cs="宋体"/>
          <w:b/>
          <w:color w:val="000000"/>
          <w:sz w:val="32"/>
          <w:szCs w:val="32"/>
        </w:rPr>
        <w:t xml:space="preserve">一、资格审查响应对照表</w:t>
      </w:r>
      <w:r>
        <w:rPr>
          <w:rFonts w:hint="eastAsia" w:ascii="宋体" w:hAnsi="宋体" w:cs="宋体"/>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6770"/>
        <w:gridCol w:w="1817"/>
      </w:tblGrid>
      <w:tr>
        <w:trPr>
          <w:trHeight w:val="360"/>
        </w:trPr>
        <w:tc>
          <w:tcPr>
            <w:tcW w:w="711" w:type="dxa"/>
            <w:vAlign w:val="center"/>
            <w:textDirection w:val="lrTb"/>
            <w:noWrap w:val="false"/>
          </w:tcPr>
          <w:p>
            <w:pPr>
              <w:pStyle w:val="1151"/>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6770" w:type="dxa"/>
            <w:vAlign w:val="center"/>
            <w:textDirection w:val="lrTb"/>
            <w:noWrap w:val="false"/>
          </w:tcPr>
          <w:p>
            <w:pPr>
              <w:pStyle w:val="1151"/>
              <w:jc w:val="center"/>
              <w:spacing w:line="360" w:lineRule="auto"/>
              <w:rPr>
                <w:rFonts w:hint="eastAsia" w:ascii="宋体" w:hAnsi="宋体" w:cs="宋体"/>
                <w:b/>
                <w:color w:val="000000"/>
                <w:szCs w:val="21"/>
              </w:rPr>
            </w:pPr>
            <w:r>
              <w:rPr>
                <w:rFonts w:hint="eastAsia" w:ascii="宋体" w:hAnsi="宋体" w:cs="宋体"/>
                <w:b/>
                <w:color w:val="000000"/>
                <w:szCs w:val="21"/>
              </w:rPr>
              <w:t xml:space="preserve">资格审查响应内容</w:t>
            </w:r>
            <w:r>
              <w:rPr>
                <w:rFonts w:hint="eastAsia" w:ascii="宋体" w:hAnsi="宋体" w:cs="宋体"/>
                <w:b/>
                <w:color w:val="000000"/>
                <w:szCs w:val="21"/>
              </w:rPr>
            </w:r>
            <w:r/>
          </w:p>
        </w:tc>
        <w:tc>
          <w:tcPr>
            <w:tcW w:w="1817" w:type="dxa"/>
            <w:vAlign w:val="center"/>
            <w:textDirection w:val="lrTb"/>
            <w:noWrap w:val="false"/>
          </w:tcPr>
          <w:p>
            <w:pPr>
              <w:pStyle w:val="1151"/>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1151"/>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r>
      <w:tr>
        <w:trPr>
          <w:trHeight w:val="478"/>
        </w:trPr>
        <w:tc>
          <w:tcPr>
            <w:gridSpan w:val="3"/>
            <w:tcW w:w="9298" w:type="dxa"/>
            <w:vAlign w:val="center"/>
            <w:textDirection w:val="lrTb"/>
            <w:noWrap w:val="false"/>
          </w:tcPr>
          <w:p>
            <w:pPr>
              <w:pStyle w:val="1151"/>
              <w:spacing w:line="360" w:lineRule="auto"/>
              <w:rPr>
                <w:rFonts w:hint="eastAsia" w:ascii="宋体" w:hAnsi="宋体" w:cs="宋体"/>
                <w:b/>
                <w:color w:val="000000"/>
                <w:szCs w:val="21"/>
              </w:rPr>
            </w:pPr>
            <w:r>
              <w:rPr>
                <w:rFonts w:hint="eastAsia" w:ascii="宋体" w:hAnsi="宋体" w:cs="宋体"/>
                <w:b/>
                <w:color w:val="000000"/>
                <w:szCs w:val="21"/>
              </w:rPr>
              <w:t xml:space="preserve">通用资格条件</w:t>
            </w:r>
            <w:r>
              <w:rPr>
                <w:rFonts w:hint="eastAsia" w:ascii="宋体" w:hAnsi="宋体" w:cs="宋体"/>
                <w:b/>
                <w:color w:val="000000"/>
                <w:szCs w:val="21"/>
              </w:rPr>
            </w:r>
            <w:r/>
          </w:p>
        </w:tc>
      </w:tr>
      <w:tr>
        <w:trPr>
          <w:trHeight w:val="555"/>
        </w:trPr>
        <w:tc>
          <w:tcPr>
            <w:tcW w:w="711" w:type="dxa"/>
            <w:vAlign w:val="center"/>
            <w:textDirection w:val="lrTb"/>
            <w:noWrap w:val="false"/>
          </w:tcPr>
          <w:p>
            <w:pPr>
              <w:pStyle w:val="1151"/>
              <w:jc w:val="center"/>
              <w:spacing w:line="360" w:lineRule="auto"/>
              <w:rPr>
                <w:rFonts w:hint="eastAsia" w:ascii="宋体" w:hAnsi="宋体" w:cs="宋体"/>
                <w:b/>
                <w:color w:val="000000"/>
                <w:szCs w:val="21"/>
              </w:rPr>
            </w:pPr>
            <w:r>
              <w:rPr>
                <w:rFonts w:hint="eastAsia" w:ascii="宋体" w:hAnsi="宋体" w:cs="宋体"/>
                <w:color w:val="000000"/>
                <w:szCs w:val="21"/>
              </w:rPr>
              <w:t xml:space="preserve">1</w:t>
            </w:r>
            <w:r>
              <w:rPr>
                <w:rFonts w:hint="eastAsia" w:ascii="宋体" w:hAnsi="宋体" w:cs="宋体"/>
                <w:b/>
                <w:color w:val="000000"/>
                <w:szCs w:val="21"/>
              </w:rPr>
            </w:r>
            <w:r/>
          </w:p>
        </w:tc>
        <w:tc>
          <w:tcPr>
            <w:tcW w:w="6770" w:type="dxa"/>
            <w:vAlign w:val="center"/>
            <w:textDirection w:val="lrTb"/>
            <w:noWrap w:val="false"/>
          </w:tcPr>
          <w:p>
            <w:pPr>
              <w:pStyle w:val="1151"/>
              <w:spacing w:line="360" w:lineRule="auto"/>
              <w:rPr>
                <w:rFonts w:hint="eastAsia" w:ascii="宋体" w:hAnsi="宋体" w:cs="宋体"/>
                <w:iCs/>
                <w:color w:val="000000"/>
                <w:szCs w:val="21"/>
              </w:rPr>
            </w:pPr>
            <w:r>
              <w:rPr>
                <w:rFonts w:hint="eastAsia" w:ascii="宋体" w:hAnsi="宋体" w:cs="宋体"/>
                <w:color w:val="000000"/>
                <w:szCs w:val="21"/>
              </w:rPr>
              <w:t xml:space="preserve">法人或者其他组织的营业执照等证明文件，自然人的身份证明（身份证为正、反面）</w:t>
            </w:r>
            <w:r>
              <w:rPr>
                <w:rFonts w:hint="eastAsia" w:ascii="宋体" w:hAnsi="宋体" w:cs="宋体"/>
                <w:iCs/>
                <w:color w:val="000000"/>
                <w:szCs w:val="21"/>
              </w:rPr>
            </w:r>
            <w:r/>
          </w:p>
        </w:tc>
        <w:tc>
          <w:tcPr>
            <w:tcW w:w="1817" w:type="dxa"/>
            <w:vAlign w:val="center"/>
            <w:textDirection w:val="lrTb"/>
            <w:noWrap w:val="false"/>
          </w:tcPr>
          <w:p>
            <w:pPr>
              <w:pStyle w:val="1151"/>
              <w:spacing w:line="360" w:lineRule="auto"/>
              <w:rPr>
                <w:rFonts w:hint="eastAsia" w:ascii="宋体" w:hAnsi="宋体" w:cs="宋体"/>
                <w:b/>
                <w:color w:val="000000"/>
                <w:szCs w:val="21"/>
              </w:rPr>
            </w:pPr>
            <w:r>
              <w:rPr>
                <w:rFonts w:hint="eastAsia" w:ascii="宋体" w:hAnsi="宋体" w:cs="宋体"/>
                <w:b/>
                <w:color w:val="000000"/>
                <w:szCs w:val="21"/>
              </w:rPr>
            </w:r>
            <w:r/>
          </w:p>
        </w:tc>
      </w:tr>
      <w:tr>
        <w:trPr>
          <w:trHeight w:val="718"/>
        </w:trPr>
        <w:tc>
          <w:tcPr>
            <w:tcW w:w="711"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6770" w:type="dxa"/>
            <w:vAlign w:val="center"/>
            <w:textDirection w:val="lrTb"/>
            <w:noWrap w:val="false"/>
          </w:tcPr>
          <w:p>
            <w:pPr>
              <w:pStyle w:val="1151"/>
              <w:spacing w:line="360" w:lineRule="auto"/>
              <w:rPr>
                <w:rFonts w:hint="eastAsia" w:ascii="宋体" w:hAnsi="宋体" w:cs="宋体"/>
                <w:iCs/>
                <w:color w:val="000000"/>
                <w:szCs w:val="21"/>
              </w:rPr>
            </w:pPr>
            <w:r>
              <w:rPr>
                <w:rFonts w:hint="eastAsia" w:ascii="宋体" w:hAnsi="宋体" w:cs="宋体"/>
                <w:color w:val="000000"/>
                <w:szCs w:val="21"/>
              </w:rPr>
              <w:t xml:space="preserve">依法缴纳职工社会保障资金的证明材料</w:t>
            </w:r>
            <w:r>
              <w:rPr>
                <w:rFonts w:hint="eastAsia" w:ascii="宋体" w:hAnsi="宋体" w:cs="宋体"/>
                <w:b/>
                <w:bCs/>
                <w:color w:val="000000"/>
                <w:szCs w:val="21"/>
              </w:rPr>
              <w:t xml:space="preserve">(税务、银行或社会保险基金管理部门出具的近三个月内任意一个月缴纳职工社会保障资金的缴款凭证或缴款证明)</w:t>
            </w:r>
            <w:r>
              <w:rPr>
                <w:rFonts w:hint="eastAsia" w:ascii="宋体" w:hAnsi="宋体" w:cs="宋体"/>
                <w:iCs/>
                <w:color w:val="000000"/>
                <w:szCs w:val="21"/>
              </w:rPr>
            </w:r>
            <w:r/>
          </w:p>
        </w:tc>
        <w:tc>
          <w:tcPr>
            <w:tcW w:w="1817"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8"/>
        </w:trPr>
        <w:tc>
          <w:tcPr>
            <w:tcW w:w="711"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6770" w:type="dxa"/>
            <w:vAlign w:val="center"/>
            <w:textDirection w:val="lrTb"/>
            <w:noWrap w:val="false"/>
          </w:tcPr>
          <w:p>
            <w:pPr>
              <w:pStyle w:val="1151"/>
              <w:spacing w:line="360" w:lineRule="auto"/>
              <w:rPr>
                <w:rFonts w:hint="eastAsia" w:ascii="宋体" w:hAnsi="宋体" w:cs="宋体"/>
                <w:iCs/>
                <w:color w:val="000000"/>
                <w:szCs w:val="21"/>
              </w:rPr>
            </w:pPr>
            <w:r>
              <w:rPr>
                <w:rFonts w:hint="eastAsia" w:ascii="宋体" w:hAnsi="宋体" w:cs="宋体"/>
                <w:color w:val="000000"/>
                <w:szCs w:val="21"/>
              </w:rPr>
              <w:t xml:space="preserve">供应商近三个月内任意一份依法纳税的缴款凭证</w:t>
            </w:r>
            <w:r>
              <w:rPr>
                <w:rFonts w:hint="eastAsia" w:ascii="宋体" w:hAnsi="宋体" w:cs="宋体"/>
                <w:iCs/>
                <w:color w:val="000000"/>
                <w:szCs w:val="21"/>
              </w:rPr>
            </w:r>
            <w:r/>
          </w:p>
        </w:tc>
        <w:tc>
          <w:tcPr>
            <w:tcW w:w="1817"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8"/>
        </w:trPr>
        <w:tc>
          <w:tcPr>
            <w:tcW w:w="711"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6770" w:type="dxa"/>
            <w:vAlign w:val="center"/>
            <w:textDirection w:val="lrTb"/>
            <w:noWrap w:val="false"/>
          </w:tcPr>
          <w:p>
            <w:pPr>
              <w:pStyle w:val="1151"/>
              <w:spacing w:line="360" w:lineRule="auto"/>
              <w:rPr>
                <w:rFonts w:hint="eastAsia" w:ascii="宋体" w:hAnsi="宋体" w:cs="宋体"/>
                <w:iCs/>
                <w:color w:val="000000"/>
                <w:szCs w:val="21"/>
              </w:rPr>
            </w:pPr>
            <w:r>
              <w:rPr>
                <w:rFonts w:hint="eastAsia" w:ascii="宋体" w:hAnsi="宋体" w:cs="宋体"/>
                <w:color w:val="000000"/>
                <w:szCs w:val="21"/>
              </w:rPr>
              <w:t xml:space="preserve">上一年度的财务状况情况</w:t>
            </w:r>
            <w:r>
              <w:rPr>
                <w:rFonts w:hint="eastAsia" w:ascii="宋体" w:hAnsi="宋体" w:cs="宋体"/>
                <w:b/>
                <w:bCs/>
                <w:color w:val="000000"/>
                <w:szCs w:val="21"/>
              </w:rPr>
              <w:t xml:space="preserve">（成立不满一年不需提供）</w:t>
            </w:r>
            <w:r>
              <w:rPr>
                <w:rFonts w:hint="eastAsia" w:ascii="宋体" w:hAnsi="宋体" w:cs="宋体"/>
                <w:iCs/>
                <w:color w:val="000000"/>
                <w:szCs w:val="21"/>
              </w:rPr>
            </w:r>
            <w:r/>
          </w:p>
        </w:tc>
        <w:tc>
          <w:tcPr>
            <w:tcW w:w="1817"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8"/>
        </w:trPr>
        <w:tc>
          <w:tcPr>
            <w:tcW w:w="711"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6770" w:type="dxa"/>
            <w:vAlign w:val="center"/>
            <w:textDirection w:val="lrTb"/>
            <w:noWrap w:val="false"/>
          </w:tcPr>
          <w:p>
            <w:pPr>
              <w:pStyle w:val="1151"/>
              <w:spacing w:line="360" w:lineRule="auto"/>
              <w:rPr>
                <w:rFonts w:hint="eastAsia" w:ascii="宋体" w:hAnsi="宋体" w:cs="宋体"/>
                <w:iCs/>
                <w:color w:val="000000"/>
                <w:szCs w:val="21"/>
              </w:rPr>
            </w:pPr>
            <w:r>
              <w:rPr>
                <w:rFonts w:hint="eastAsia" w:ascii="宋体" w:hAnsi="宋体" w:cs="宋体"/>
                <w:color w:val="000000"/>
                <w:szCs w:val="21"/>
              </w:rPr>
              <w:t xml:space="preserve">具备履行合同所必需的设备和专业技术能力的证明材料</w:t>
            </w:r>
            <w:r>
              <w:rPr>
                <w:rFonts w:hint="eastAsia" w:ascii="宋体" w:hAnsi="宋体" w:cs="宋体"/>
                <w:iCs/>
                <w:color w:val="000000"/>
                <w:szCs w:val="21"/>
              </w:rPr>
            </w:r>
            <w:r/>
          </w:p>
        </w:tc>
        <w:tc>
          <w:tcPr>
            <w:tcW w:w="1817"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2"/>
        </w:trPr>
        <w:tc>
          <w:tcPr>
            <w:tcW w:w="711"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6770" w:type="dxa"/>
            <w:vAlign w:val="center"/>
            <w:textDirection w:val="lrTb"/>
            <w:noWrap w:val="false"/>
          </w:tcPr>
          <w:p>
            <w:pPr>
              <w:pStyle w:val="1151"/>
              <w:rPr>
                <w:rFonts w:hint="eastAsia" w:ascii="宋体" w:hAnsi="宋体" w:cs="宋体"/>
                <w:iCs/>
                <w:color w:val="000000"/>
                <w:szCs w:val="21"/>
              </w:rPr>
            </w:pPr>
            <w:r>
              <w:rPr>
                <w:rFonts w:hint="eastAsia" w:ascii="宋体" w:hAnsi="宋体" w:cs="宋体"/>
                <w:color w:val="000000"/>
                <w:szCs w:val="21"/>
              </w:rPr>
              <w:t xml:space="preserve">参加本次政府采购活动前3年内在经营活动中没有重大违法记录的书面声明</w:t>
            </w:r>
            <w:r>
              <w:rPr>
                <w:rFonts w:hint="eastAsia" w:ascii="宋体" w:hAnsi="宋体" w:cs="宋体"/>
                <w:iCs/>
                <w:color w:val="000000"/>
                <w:szCs w:val="21"/>
              </w:rPr>
            </w:r>
            <w:r/>
          </w:p>
        </w:tc>
        <w:tc>
          <w:tcPr>
            <w:tcW w:w="1817"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97"/>
        </w:trPr>
        <w:tc>
          <w:tcPr>
            <w:tcW w:w="711"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6770" w:type="dxa"/>
            <w:vAlign w:val="center"/>
            <w:textDirection w:val="lrTb"/>
            <w:noWrap w:val="false"/>
          </w:tcPr>
          <w:p>
            <w:pPr>
              <w:pStyle w:val="1151"/>
              <w:rPr>
                <w:rFonts w:hint="eastAsia" w:ascii="宋体" w:hAnsi="宋体" w:cs="宋体"/>
                <w:color w:val="000000"/>
                <w:szCs w:val="21"/>
              </w:rPr>
            </w:pPr>
            <w:r>
              <w:rPr>
                <w:rFonts w:hint="eastAsia" w:ascii="宋体" w:hAnsi="宋体" w:cs="宋体"/>
                <w:color w:val="000000"/>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color w:val="000000"/>
                <w:szCs w:val="21"/>
              </w:rPr>
            </w:r>
            <w:r/>
          </w:p>
        </w:tc>
        <w:tc>
          <w:tcPr>
            <w:tcW w:w="1817"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304"/>
        </w:trPr>
        <w:tc>
          <w:tcPr>
            <w:tcW w:w="711"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6770"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t xml:space="preserve">供应商信用承诺函</w:t>
            </w:r>
            <w:r>
              <w:rPr>
                <w:rFonts w:hint="eastAsia" w:ascii="宋体" w:hAnsi="宋体" w:cs="宋体"/>
                <w:color w:val="000000"/>
                <w:szCs w:val="21"/>
              </w:rPr>
            </w:r>
            <w:r/>
          </w:p>
        </w:tc>
        <w:tc>
          <w:tcPr>
            <w:tcW w:w="1817"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8"/>
        </w:trPr>
        <w:tc>
          <w:tcPr>
            <w:gridSpan w:val="3"/>
            <w:tcW w:w="9298"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b/>
                <w:bCs/>
                <w:color w:val="000000"/>
                <w:szCs w:val="21"/>
              </w:rPr>
              <w:t xml:space="preserve">落实政府采购政策需满足的资格要求</w:t>
            </w:r>
            <w:r>
              <w:rPr>
                <w:rFonts w:hint="eastAsia" w:ascii="宋体" w:hAnsi="宋体" w:cs="宋体"/>
                <w:color w:val="000000"/>
                <w:szCs w:val="21"/>
              </w:rPr>
            </w:r>
            <w:r/>
          </w:p>
        </w:tc>
      </w:tr>
      <w:tr>
        <w:trPr>
          <w:trHeight w:val="478"/>
        </w:trPr>
        <w:tc>
          <w:tcPr>
            <w:tcW w:w="711"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6770" w:type="dxa"/>
            <w:vAlign w:val="center"/>
            <w:textDirection w:val="lrTb"/>
            <w:noWrap w:val="false"/>
          </w:tcPr>
          <w:p>
            <w:pPr>
              <w:pStyle w:val="1151"/>
              <w:rPr>
                <w:rFonts w:hint="eastAsia" w:ascii="宋体" w:hAnsi="宋体" w:eastAsia="宋体" w:cs="宋体"/>
                <w:color w:val="000000"/>
                <w:szCs w:val="21"/>
                <w:lang w:eastAsia="zh-CN"/>
              </w:rPr>
            </w:pPr>
            <w:r>
              <w:rPr>
                <w:rFonts w:hint="eastAsia" w:ascii="宋体" w:hAnsi="宋体" w:cs="宋体"/>
                <w:color w:val="000000"/>
                <w:szCs w:val="21"/>
              </w:rPr>
              <w:t xml:space="preserve">根据《政府采购促进中小企业发展管理办法》（财库〔2020〕46 号）规定，本项目专门面向中小企业采购，供应商谈判响应时须提供《中小企业声明函》，《中小企业声明函》不符合要求或未提供的，响应文件无效。本项目采购标的按中小企业划分标准所属行业区分为建筑业</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tc>
        <w:tc>
          <w:tcPr>
            <w:tcW w:w="1817"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8"/>
        </w:trPr>
        <w:tc>
          <w:tcPr>
            <w:gridSpan w:val="3"/>
            <w:tcW w:w="9298"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b/>
                <w:color w:val="000000"/>
                <w:szCs w:val="21"/>
              </w:rPr>
              <w:t xml:space="preserve">特定资格条件</w:t>
            </w:r>
            <w:r>
              <w:rPr>
                <w:rFonts w:hint="eastAsia" w:ascii="宋体" w:hAnsi="宋体" w:cs="宋体"/>
                <w:color w:val="000000"/>
                <w:szCs w:val="21"/>
              </w:rPr>
            </w:r>
            <w:r/>
          </w:p>
        </w:tc>
      </w:tr>
      <w:tr>
        <w:trPr>
          <w:trHeight w:val="494"/>
        </w:trPr>
        <w:tc>
          <w:tcPr>
            <w:tcW w:w="711"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6770" w:type="dxa"/>
            <w:vAlign w:val="center"/>
            <w:textDirection w:val="lrTb"/>
            <w:noWrap w:val="false"/>
          </w:tcPr>
          <w:p>
            <w:pPr>
              <w:pStyle w:val="1151"/>
              <w:rPr>
                <w:rFonts w:hint="eastAsia" w:ascii="宋体" w:hAnsi="宋体" w:cs="宋体"/>
                <w:iCs/>
                <w:color w:val="000000"/>
                <w:szCs w:val="21"/>
                <w:highlight w:val="none"/>
                <w:u w:val="none"/>
                <w:lang w:val="en" w:eastAsia="zh-CN"/>
              </w:rPr>
            </w:pPr>
            <w:r>
              <w:rPr>
                <w:rFonts w:hint="eastAsia" w:ascii="宋体" w:hAnsi="宋体" w:cs="宋体"/>
                <w:iCs/>
                <w:color w:val="000000"/>
                <w:szCs w:val="21"/>
                <w:highlight w:val="none"/>
                <w:u w:val="none"/>
                <w:lang w:val="en"/>
              </w:rPr>
              <w:t xml:space="preserve">（1）供应商须具备电力工程施工总承包三级</w:t>
            </w:r>
            <w:r>
              <w:rPr>
                <w:rFonts w:hint="eastAsia" w:ascii="宋体" w:hAnsi="宋体" w:cs="宋体"/>
                <w:iCs/>
                <w:color w:val="000000"/>
                <w:szCs w:val="21"/>
                <w:highlight w:val="none"/>
                <w:u w:val="none"/>
                <w:lang w:val="en" w:eastAsia="zh-CN"/>
              </w:rPr>
              <w:t xml:space="preserve">及</w:t>
            </w:r>
            <w:r>
              <w:rPr>
                <w:rFonts w:hint="eastAsia" w:ascii="宋体" w:hAnsi="宋体" w:cs="宋体"/>
                <w:iCs/>
                <w:color w:val="000000"/>
                <w:szCs w:val="21"/>
                <w:highlight w:val="none"/>
                <w:u w:val="none"/>
                <w:lang w:val="en"/>
              </w:rPr>
              <w:t xml:space="preserve">以上资质或输变电工程专业承包三级及以上资质</w:t>
            </w:r>
            <w:r>
              <w:rPr>
                <w:rFonts w:hint="eastAsia" w:ascii="宋体" w:hAnsi="宋体" w:cs="宋体"/>
                <w:iCs/>
                <w:color w:val="000000"/>
                <w:szCs w:val="21"/>
                <w:highlight w:val="none"/>
                <w:u w:val="none"/>
                <w:lang w:val="en" w:eastAsia="zh-CN"/>
              </w:rPr>
              <w:t xml:space="preserve">且同时具备承装（修、试）电力设施许可证三级及以上资质</w:t>
            </w:r>
            <w:r>
              <w:rPr>
                <w:rFonts w:hint="eastAsia" w:ascii="宋体" w:hAnsi="宋体" w:cs="宋体"/>
                <w:iCs/>
                <w:color w:val="000000"/>
                <w:szCs w:val="21"/>
                <w:highlight w:val="none"/>
                <w:u w:val="none"/>
                <w:lang w:val="en"/>
              </w:rPr>
              <w:t xml:space="preserve">。</w:t>
            </w:r>
            <w:r>
              <w:rPr>
                <w:rFonts w:hint="eastAsia" w:ascii="宋体" w:hAnsi="宋体" w:cs="宋体"/>
                <w:iCs/>
                <w:color w:val="000000"/>
                <w:szCs w:val="21"/>
                <w:highlight w:val="none"/>
                <w:u w:val="none"/>
                <w:lang w:val="en" w:eastAsia="zh-CN"/>
              </w:rPr>
              <w:t xml:space="preserve">并具备有效的安全生产许可证。</w:t>
            </w:r>
            <w:r>
              <w:rPr>
                <w:rFonts w:hint="eastAsia" w:ascii="宋体" w:hAnsi="宋体" w:cs="宋体"/>
                <w:iCs/>
                <w:color w:val="000000"/>
                <w:szCs w:val="21"/>
                <w:highlight w:val="none"/>
                <w:u w:val="none"/>
                <w:lang w:val="en" w:eastAsia="zh-CN"/>
              </w:rPr>
            </w:r>
            <w:r/>
          </w:p>
          <w:p>
            <w:pPr>
              <w:pStyle w:val="1151"/>
              <w:rPr>
                <w:rFonts w:hint="eastAsia" w:ascii="宋体" w:hAnsi="宋体" w:cs="宋体"/>
                <w:iCs/>
                <w:color w:val="000000"/>
                <w:szCs w:val="21"/>
                <w:highlight w:val="red"/>
              </w:rPr>
            </w:pPr>
            <w:r>
              <w:rPr>
                <w:rFonts w:hint="eastAsia" w:ascii="宋体" w:hAnsi="宋体" w:cs="宋体"/>
                <w:iCs/>
                <w:color w:val="000000"/>
                <w:szCs w:val="21"/>
                <w:highlight w:val="none"/>
                <w:u w:val="none"/>
                <w:lang w:val="en"/>
              </w:rPr>
              <w:t xml:space="preserve">（2）拟投入本项目的项目负责人具</w:t>
            </w:r>
            <w:r>
              <w:rPr>
                <w:rFonts w:hint="eastAsia" w:ascii="宋体" w:hAnsi="宋体" w:cs="宋体"/>
                <w:iCs/>
                <w:color w:val="000000"/>
                <w:szCs w:val="21"/>
                <w:highlight w:val="none"/>
                <w:u w:val="none"/>
                <w:lang w:val="en" w:eastAsia="zh-CN"/>
              </w:rPr>
              <w:t xml:space="preserve">备机电</w:t>
            </w:r>
            <w:r>
              <w:rPr>
                <w:rFonts w:hint="eastAsia" w:ascii="宋体" w:hAnsi="宋体" w:cs="宋体"/>
                <w:iCs/>
                <w:color w:val="000000"/>
                <w:szCs w:val="21"/>
                <w:highlight w:val="none"/>
                <w:u w:val="none"/>
                <w:lang w:val="en"/>
              </w:rPr>
              <w:t xml:space="preserve">工程专业二级（含）及以上注册建造师执业资格，并具备有效的安全生产考核合格证书，且无在手工程。</w:t>
            </w:r>
            <w:r>
              <w:rPr>
                <w:rFonts w:hint="eastAsia" w:ascii="宋体" w:hAnsi="宋体" w:cs="宋体"/>
                <w:iCs/>
                <w:color w:val="000000"/>
                <w:szCs w:val="21"/>
                <w:highlight w:val="red"/>
              </w:rPr>
            </w:r>
            <w:r/>
          </w:p>
        </w:tc>
        <w:tc>
          <w:tcPr>
            <w:tcW w:w="1817"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8"/>
        </w:trPr>
        <w:tc>
          <w:tcPr>
            <w:gridSpan w:val="3"/>
            <w:tcW w:w="9298"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b/>
                <w:color w:val="000000"/>
                <w:szCs w:val="21"/>
              </w:rPr>
              <w:t xml:space="preserve">其他资格条件</w:t>
            </w:r>
            <w:r>
              <w:rPr>
                <w:rFonts w:hint="eastAsia" w:ascii="宋体" w:hAnsi="宋体" w:cs="宋体"/>
                <w:color w:val="000000"/>
                <w:szCs w:val="21"/>
              </w:rPr>
            </w:r>
            <w:r/>
          </w:p>
        </w:tc>
      </w:tr>
      <w:tr>
        <w:trPr>
          <w:trHeight w:val="478"/>
        </w:trPr>
        <w:tc>
          <w:tcPr>
            <w:tcW w:w="711"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6770" w:type="dxa"/>
            <w:vAlign w:val="center"/>
            <w:textDirection w:val="lrTb"/>
            <w:noWrap w:val="false"/>
          </w:tcPr>
          <w:p>
            <w:pPr>
              <w:pStyle w:val="1151"/>
              <w:jc w:val="left"/>
              <w:rPr>
                <w:rFonts w:hint="eastAsia" w:ascii="宋体" w:hAnsi="宋体" w:cs="宋体"/>
                <w:iCs/>
                <w:color w:val="000000"/>
                <w:szCs w:val="21"/>
              </w:rPr>
            </w:pPr>
            <w:r>
              <w:rPr>
                <w:rFonts w:hint="eastAsia" w:ascii="宋体" w:hAnsi="宋体" w:cs="宋体"/>
                <w:iCs/>
                <w:color w:val="000000"/>
                <w:szCs w:val="21"/>
              </w:rPr>
              <w:t xml:space="preserve">响应函</w:t>
            </w:r>
            <w:r>
              <w:rPr>
                <w:rFonts w:hint="eastAsia" w:ascii="宋体" w:hAnsi="宋体" w:cs="宋体"/>
                <w:iCs/>
                <w:color w:val="000000"/>
                <w:szCs w:val="21"/>
              </w:rPr>
            </w:r>
            <w:r/>
          </w:p>
        </w:tc>
        <w:tc>
          <w:tcPr>
            <w:tcW w:w="1817"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88"/>
        </w:trPr>
        <w:tc>
          <w:tcPr>
            <w:tcW w:w="711"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6770" w:type="dxa"/>
            <w:vAlign w:val="center"/>
            <w:textDirection w:val="lrTb"/>
            <w:noWrap w:val="false"/>
          </w:tcPr>
          <w:p>
            <w:pPr>
              <w:pStyle w:val="1151"/>
              <w:jc w:val="left"/>
              <w:rPr>
                <w:rFonts w:hint="eastAsia" w:ascii="宋体" w:hAnsi="宋体" w:cs="宋体"/>
                <w:iCs/>
                <w:color w:val="000000"/>
                <w:szCs w:val="21"/>
              </w:rPr>
            </w:pPr>
            <w:r>
              <w:rPr>
                <w:rFonts w:hint="eastAsia" w:ascii="宋体" w:hAnsi="宋体" w:cs="宋体"/>
                <w:iCs/>
                <w:color w:val="000000"/>
                <w:szCs w:val="21"/>
              </w:rPr>
              <w:t xml:space="preserve">法人授权书</w:t>
            </w:r>
            <w:r>
              <w:rPr>
                <w:rFonts w:hint="eastAsia" w:ascii="宋体" w:hAnsi="宋体" w:cs="宋体"/>
                <w:iCs/>
                <w:color w:val="000000"/>
                <w:szCs w:val="21"/>
              </w:rPr>
            </w:r>
            <w:r/>
          </w:p>
        </w:tc>
        <w:tc>
          <w:tcPr>
            <w:tcW w:w="1817"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151"/>
        <w:jc w:val="center"/>
        <w:spacing w:before="156" w:after="156" w:line="360" w:lineRule="auto"/>
        <w:rPr>
          <w:rFonts w:hint="eastAsia" w:ascii="宋体" w:hAnsi="宋体" w:cs="宋体"/>
          <w:b/>
          <w:bCs/>
          <w:color w:val="000000"/>
        </w:rPr>
      </w:pPr>
      <w:r>
        <w:rPr>
          <w:rFonts w:hint="eastAsia" w:ascii="宋体" w:hAnsi="宋体" w:cs="宋体"/>
          <w:b/>
          <w:bCs/>
          <w:color w:val="000000"/>
        </w:rPr>
      </w:r>
      <w:r/>
    </w:p>
    <w:p>
      <w:pPr>
        <w:pStyle w:val="1151"/>
        <w:jc w:val="center"/>
        <w:spacing w:before="156" w:after="156" w:line="360" w:lineRule="auto"/>
        <w:rPr>
          <w:rFonts w:hint="eastAsia" w:ascii="宋体" w:hAnsi="宋体" w:cs="宋体"/>
          <w:b/>
          <w:bCs/>
          <w:color w:val="000000"/>
        </w:rPr>
      </w:pPr>
      <w:r>
        <w:rPr>
          <w:rFonts w:hint="eastAsia" w:ascii="宋体" w:hAnsi="宋体" w:cs="宋体"/>
          <w:b/>
          <w:bCs/>
          <w:color w:val="000000"/>
        </w:rPr>
      </w:r>
      <w:r/>
    </w:p>
    <w:p>
      <w:pPr>
        <w:pStyle w:val="1151"/>
        <w:jc w:val="center"/>
        <w:spacing w:before="156" w:after="156"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151"/>
        <w:jc w:val="center"/>
        <w:spacing w:before="156" w:after="156"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151"/>
        <w:jc w:val="center"/>
        <w:spacing w:before="156" w:after="156" w:line="480" w:lineRule="auto"/>
        <w:widowControl/>
        <w:rPr>
          <w:rFonts w:ascii="宋体" w:hAnsi="宋体" w:cs="Arial"/>
          <w:b/>
          <w:bCs/>
          <w:color w:val="000000"/>
          <w:sz w:val="28"/>
          <w:szCs w:val="28"/>
        </w:rPr>
      </w:pPr>
      <w:r>
        <w:rPr>
          <w:rFonts w:hint="eastAsia" w:ascii="宋体" w:hAnsi="宋体" w:cs="Arial"/>
          <w:b/>
          <w:bCs/>
          <w:color w:val="000000"/>
          <w:sz w:val="28"/>
          <w:szCs w:val="28"/>
        </w:rPr>
        <w:t xml:space="preserve">具备履行合同所必需的设备和专业技术能力的书面声明</w:t>
      </w:r>
      <w:r>
        <w:rPr>
          <w:rFonts w:ascii="宋体" w:hAnsi="宋体" w:cs="Arial"/>
          <w:b/>
          <w:bCs/>
          <w:color w:val="000000"/>
          <w:sz w:val="28"/>
          <w:szCs w:val="28"/>
        </w:rPr>
      </w:r>
      <w:r/>
    </w:p>
    <w:p>
      <w:pPr>
        <w:pStyle w:val="1151"/>
        <w:ind w:firstLine="492"/>
        <w:jc w:val="left"/>
        <w:spacing w:line="480" w:lineRule="auto"/>
        <w:widowControl/>
        <w:rPr>
          <w:rFonts w:ascii="宋体" w:hAnsi="宋体" w:cs="Arial"/>
          <w:bCs/>
          <w:color w:val="000000"/>
          <w:szCs w:val="21"/>
        </w:rPr>
      </w:pPr>
      <w:r>
        <w:rPr>
          <w:rFonts w:hint="eastAsia" w:ascii="宋体" w:hAnsi="宋体" w:cs="Arial"/>
          <w:bCs/>
          <w:color w:val="000000"/>
          <w:szCs w:val="21"/>
        </w:rPr>
        <w:t xml:space="preserve">我单位郑重声明：我单位具备履行本项采购合同所必需的设备和专业技术能力，为履行本项采购合同我公司具备如下主要设备和主要专业技术能力：</w:t>
      </w:r>
      <w:r>
        <w:rPr>
          <w:rFonts w:ascii="宋体" w:hAnsi="宋体" w:cs="Arial"/>
          <w:bCs/>
          <w:color w:val="000000"/>
          <w:szCs w:val="21"/>
        </w:rPr>
      </w:r>
      <w:r/>
    </w:p>
    <w:p>
      <w:pPr>
        <w:pStyle w:val="1151"/>
        <w:ind w:firstLine="492"/>
        <w:jc w:val="left"/>
        <w:spacing w:line="480" w:lineRule="auto"/>
        <w:widowControl/>
        <w:rPr>
          <w:rFonts w:ascii="宋体" w:hAnsi="宋体" w:cs="Arial"/>
          <w:bCs/>
          <w:color w:val="000000"/>
          <w:szCs w:val="21"/>
        </w:rPr>
      </w:pPr>
      <w:r>
        <w:rPr>
          <w:rFonts w:hint="eastAsia" w:ascii="宋体" w:hAnsi="宋体" w:cs="Arial"/>
          <w:bCs/>
          <w:color w:val="000000"/>
          <w:szCs w:val="21"/>
        </w:rPr>
        <w:t xml:space="preserve">主要设备有：</w:t>
      </w:r>
      <w:r>
        <w:rPr>
          <w:rFonts w:hint="eastAsia" w:ascii="宋体" w:hAnsi="宋体" w:cs="Arial"/>
          <w:bCs/>
          <w:color w:val="000000"/>
          <w:szCs w:val="21"/>
          <w:u w:val="single"/>
        </w:rPr>
        <w:t xml:space="preserve">                    </w:t>
      </w:r>
      <w:r>
        <w:rPr>
          <w:rFonts w:hint="eastAsia" w:ascii="宋体" w:hAnsi="宋体" w:cs="Arial"/>
          <w:bCs/>
          <w:color w:val="000000"/>
          <w:szCs w:val="21"/>
        </w:rPr>
        <w:t xml:space="preserve">。</w:t>
      </w:r>
      <w:r>
        <w:rPr>
          <w:rFonts w:ascii="宋体" w:hAnsi="宋体" w:cs="Arial"/>
          <w:bCs/>
          <w:color w:val="000000"/>
          <w:szCs w:val="21"/>
        </w:rPr>
      </w:r>
      <w:r/>
    </w:p>
    <w:p>
      <w:pPr>
        <w:pStyle w:val="1151"/>
        <w:ind w:firstLine="492"/>
        <w:jc w:val="left"/>
        <w:spacing w:line="480" w:lineRule="auto"/>
        <w:widowControl/>
        <w:rPr>
          <w:rFonts w:ascii="宋体" w:hAnsi="宋体" w:cs="Arial"/>
          <w:bCs/>
          <w:color w:val="000000"/>
          <w:szCs w:val="21"/>
        </w:rPr>
      </w:pPr>
      <w:r>
        <w:rPr>
          <w:rFonts w:hint="eastAsia" w:ascii="宋体" w:hAnsi="宋体" w:cs="Arial"/>
          <w:bCs/>
          <w:color w:val="000000"/>
          <w:szCs w:val="21"/>
        </w:rPr>
        <w:t xml:space="preserve">主要专业技术能力有：</w:t>
      </w:r>
      <w:r>
        <w:rPr>
          <w:rFonts w:hint="eastAsia" w:ascii="宋体" w:hAnsi="宋体" w:cs="Arial"/>
          <w:bCs/>
          <w:color w:val="000000"/>
          <w:szCs w:val="21"/>
          <w:u w:val="single"/>
        </w:rPr>
        <w:t xml:space="preserve">            </w:t>
      </w:r>
      <w:r>
        <w:rPr>
          <w:rFonts w:hint="eastAsia" w:ascii="宋体" w:hAnsi="宋体" w:cs="Arial"/>
          <w:bCs/>
          <w:color w:val="000000"/>
          <w:szCs w:val="21"/>
        </w:rPr>
        <w:t xml:space="preserve">。</w:t>
      </w:r>
      <w:r>
        <w:rPr>
          <w:rFonts w:ascii="宋体" w:hAnsi="宋体" w:cs="Arial"/>
          <w:bCs/>
          <w:color w:val="000000"/>
          <w:szCs w:val="21"/>
        </w:rPr>
      </w:r>
      <w:r/>
    </w:p>
    <w:p>
      <w:pPr>
        <w:pStyle w:val="1151"/>
        <w:ind w:firstLine="492"/>
        <w:jc w:val="left"/>
        <w:spacing w:line="480" w:lineRule="auto"/>
        <w:widowControl/>
        <w:rPr>
          <w:rFonts w:ascii="Arial" w:hAnsi="Arial" w:eastAsia="Arial" w:cs="Arial"/>
          <w:bCs/>
          <w:color w:val="000000"/>
          <w:szCs w:val="21"/>
        </w:rPr>
      </w:pPr>
      <w:r>
        <w:rPr>
          <w:rFonts w:hint="eastAsia" w:ascii="宋体" w:hAnsi="宋体" w:cs="Arial"/>
          <w:bCs/>
          <w:color w:val="000000"/>
          <w:szCs w:val="21"/>
        </w:rPr>
        <w:t xml:space="preserve">供应商名称（公章）：</w:t>
      </w:r>
      <w:r>
        <w:rPr>
          <w:rFonts w:ascii="Arial" w:hAnsi="Arial" w:eastAsia="Arial" w:cs="Arial"/>
          <w:bCs/>
          <w:color w:val="000000"/>
          <w:szCs w:val="21"/>
        </w:rPr>
      </w:r>
      <w:r/>
    </w:p>
    <w:p>
      <w:pPr>
        <w:pStyle w:val="1151"/>
        <w:ind w:firstLine="492"/>
        <w:jc w:val="left"/>
        <w:spacing w:line="480" w:lineRule="auto"/>
        <w:widowControl/>
        <w:rPr>
          <w:rFonts w:ascii="宋体" w:hAnsi="宋体" w:cs="Arial"/>
          <w:bCs/>
          <w:color w:val="000000"/>
          <w:szCs w:val="21"/>
        </w:rPr>
      </w:pPr>
      <w:r>
        <w:rPr>
          <w:rFonts w:hint="eastAsia" w:ascii="宋体" w:hAnsi="宋体" w:cs="Arial"/>
          <w:bCs/>
          <w:color w:val="000000"/>
          <w:szCs w:val="21"/>
        </w:rPr>
        <w:t xml:space="preserve">法定代表人签章：</w:t>
      </w:r>
      <w:r>
        <w:rPr>
          <w:rFonts w:ascii="宋体" w:hAnsi="宋体" w:cs="Arial"/>
          <w:bCs/>
          <w:color w:val="000000"/>
          <w:szCs w:val="21"/>
        </w:rPr>
      </w:r>
      <w:r/>
    </w:p>
    <w:p>
      <w:pPr>
        <w:pStyle w:val="1151"/>
        <w:ind w:firstLine="492"/>
        <w:jc w:val="left"/>
        <w:spacing w:line="480" w:lineRule="auto"/>
        <w:widowControl/>
        <w:rPr>
          <w:rFonts w:ascii="宋体" w:hAnsi="宋体" w:cs="Arial"/>
          <w:bCs/>
          <w:color w:val="000000"/>
          <w:szCs w:val="21"/>
        </w:rPr>
      </w:pPr>
      <w:r>
        <w:rPr>
          <w:rFonts w:hint="eastAsia" w:ascii="宋体" w:hAnsi="宋体" w:cs="Arial"/>
          <w:bCs/>
          <w:color w:val="000000"/>
          <w:szCs w:val="21"/>
        </w:rPr>
        <w:t xml:space="preserve">日期：</w:t>
      </w:r>
      <w:r>
        <w:rPr>
          <w:rFonts w:hint="eastAsia" w:ascii="Arial" w:hAnsi="Arial" w:cs="Arial"/>
          <w:bCs/>
          <w:color w:val="000000"/>
          <w:szCs w:val="21"/>
        </w:rPr>
        <w:t xml:space="preserve">   </w:t>
      </w:r>
      <w:r>
        <w:rPr>
          <w:rFonts w:hint="eastAsia" w:ascii="宋体" w:hAnsi="宋体" w:cs="Arial"/>
          <w:bCs/>
          <w:color w:val="000000"/>
          <w:szCs w:val="21"/>
        </w:rPr>
        <w:t xml:space="preserve">年   月   日</w:t>
      </w:r>
      <w:r>
        <w:rPr>
          <w:rFonts w:ascii="宋体" w:hAnsi="宋体" w:cs="Arial"/>
          <w:bCs/>
          <w:color w:val="000000"/>
          <w:szCs w:val="21"/>
        </w:rPr>
      </w:r>
      <w:r/>
    </w:p>
    <w:p>
      <w:pPr>
        <w:pStyle w:val="1151"/>
        <w:spacing w:line="360" w:lineRule="auto"/>
        <w:rPr>
          <w:rFonts w:hint="eastAsia" w:ascii="宋体" w:hAnsi="宋体" w:cs="宋体"/>
          <w:b/>
          <w:bCs/>
          <w:color w:val="000000"/>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
          <w:bCs/>
          <w:color w:val="000000"/>
        </w:rPr>
      </w:r>
      <w:r/>
    </w:p>
    <w:p>
      <w:pPr>
        <w:pStyle w:val="1151"/>
        <w:jc w:val="center"/>
        <w:spacing w:line="480" w:lineRule="auto"/>
        <w:widowControl/>
        <w:rPr>
          <w:rFonts w:ascii="宋体" w:hAnsi="宋体" w:cs="Arial"/>
          <w:b/>
          <w:bCs/>
          <w:color w:val="000000"/>
          <w:sz w:val="24"/>
          <w:szCs w:val="24"/>
        </w:rPr>
      </w:pPr>
      <w:r>
        <w:rPr>
          <w:rFonts w:hint="eastAsia" w:ascii="宋体" w:hAnsi="宋体" w:cs="Arial"/>
          <w:b/>
          <w:bCs/>
          <w:color w:val="000000"/>
          <w:sz w:val="24"/>
          <w:szCs w:val="24"/>
        </w:rPr>
        <w:t xml:space="preserve">参加本次政府采购活动前 3 年内在经营活动中没有重大违法记录的书面声明</w:t>
      </w:r>
      <w:r>
        <w:rPr>
          <w:rFonts w:ascii="宋体" w:hAnsi="宋体" w:cs="Arial"/>
          <w:b/>
          <w:bCs/>
          <w:color w:val="000000"/>
          <w:sz w:val="24"/>
          <w:szCs w:val="24"/>
        </w:rPr>
      </w:r>
      <w:r/>
    </w:p>
    <w:p>
      <w:pPr>
        <w:pStyle w:val="1151"/>
        <w:jc w:val="left"/>
        <w:spacing w:line="480" w:lineRule="auto"/>
        <w:widowControl/>
        <w:rPr>
          <w:rFonts w:ascii="宋体" w:hAnsi="宋体" w:cs="Arial"/>
          <w:color w:val="000000"/>
          <w:sz w:val="24"/>
          <w:szCs w:val="24"/>
        </w:rPr>
      </w:pPr>
      <w:r>
        <w:rPr>
          <w:rFonts w:ascii="宋体" w:hAnsi="宋体" w:cs="Arial"/>
          <w:color w:val="000000"/>
          <w:sz w:val="24"/>
          <w:szCs w:val="24"/>
        </w:rPr>
      </w:r>
      <w:r/>
    </w:p>
    <w:p>
      <w:pPr>
        <w:pStyle w:val="1151"/>
        <w:jc w:val="center"/>
        <w:spacing w:after="312" w:line="480" w:lineRule="auto"/>
        <w:widowControl/>
        <w:rPr>
          <w:rFonts w:ascii="宋体" w:hAnsi="宋体" w:cs="Arial"/>
          <w:b/>
          <w:bCs/>
          <w:color w:val="000000"/>
          <w:sz w:val="24"/>
          <w:szCs w:val="24"/>
        </w:rPr>
      </w:pPr>
      <w:r>
        <w:rPr>
          <w:rFonts w:hint="eastAsia" w:ascii="宋体" w:hAnsi="宋体" w:cs="Arial"/>
          <w:b/>
          <w:bCs/>
          <w:color w:val="000000"/>
          <w:sz w:val="24"/>
          <w:szCs w:val="24"/>
        </w:rPr>
        <w:t xml:space="preserve">声  明</w:t>
      </w:r>
      <w:r>
        <w:rPr>
          <w:rFonts w:ascii="宋体" w:hAnsi="宋体" w:cs="Arial"/>
          <w:b/>
          <w:bCs/>
          <w:color w:val="000000"/>
          <w:sz w:val="24"/>
          <w:szCs w:val="24"/>
        </w:rPr>
      </w:r>
      <w:r/>
    </w:p>
    <w:p>
      <w:pPr>
        <w:pStyle w:val="1151"/>
        <w:jc w:val="left"/>
        <w:spacing w:line="480" w:lineRule="auto"/>
        <w:widowControl/>
        <w:rPr>
          <w:rFonts w:ascii="宋体" w:hAnsi="宋体" w:cs="Arial"/>
          <w:bCs/>
          <w:color w:val="000000"/>
          <w:szCs w:val="21"/>
        </w:rPr>
      </w:pPr>
      <w:r>
        <w:rPr>
          <w:rFonts w:hint="eastAsia" w:ascii="宋体" w:hAnsi="宋体" w:cs="Arial"/>
          <w:b/>
          <w:bCs/>
          <w:color w:val="000000"/>
          <w:szCs w:val="21"/>
        </w:rPr>
        <w:t xml:space="preserve">    </w:t>
      </w:r>
      <w:r>
        <w:rPr>
          <w:rFonts w:hint="eastAsia" w:ascii="宋体" w:hAnsi="宋体" w:cs="Arial"/>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s="Arial"/>
          <w:bCs/>
          <w:color w:val="000000"/>
          <w:szCs w:val="21"/>
        </w:rPr>
      </w:r>
      <w:r/>
    </w:p>
    <w:p>
      <w:pPr>
        <w:pStyle w:val="1151"/>
        <w:jc w:val="left"/>
        <w:spacing w:line="480" w:lineRule="auto"/>
        <w:widowControl/>
        <w:rPr>
          <w:rFonts w:ascii="宋体" w:hAnsi="宋体" w:cs="Arial"/>
          <w:bCs/>
          <w:color w:val="000000"/>
          <w:szCs w:val="21"/>
        </w:rPr>
      </w:pPr>
      <w:r>
        <w:rPr>
          <w:rFonts w:hint="eastAsia" w:ascii="宋体" w:hAnsi="宋体" w:cs="Arial"/>
          <w:bCs/>
          <w:color w:val="000000"/>
          <w:szCs w:val="21"/>
        </w:rPr>
        <w:t xml:space="preserve">                               </w:t>
      </w:r>
      <w:r>
        <w:rPr>
          <w:rFonts w:ascii="宋体" w:hAnsi="宋体" w:cs="Arial"/>
          <w:bCs/>
          <w:color w:val="000000"/>
          <w:szCs w:val="21"/>
        </w:rPr>
      </w:r>
      <w:r/>
    </w:p>
    <w:p>
      <w:pPr>
        <w:pStyle w:val="1151"/>
        <w:ind w:firstLine="3259"/>
        <w:jc w:val="left"/>
        <w:spacing w:line="480" w:lineRule="auto"/>
        <w:widowControl/>
        <w:rPr>
          <w:rFonts w:ascii="宋体" w:hAnsi="宋体" w:cs="Arial"/>
          <w:bCs/>
          <w:color w:val="000000"/>
          <w:szCs w:val="21"/>
        </w:rPr>
      </w:pPr>
      <w:r>
        <w:rPr>
          <w:rFonts w:hint="eastAsia" w:ascii="宋体" w:hAnsi="宋体" w:cs="Arial"/>
          <w:bCs/>
          <w:color w:val="000000"/>
          <w:szCs w:val="21"/>
        </w:rPr>
        <w:t xml:space="preserve">供应商名称（公章）：</w:t>
      </w:r>
      <w:r>
        <w:rPr>
          <w:rFonts w:ascii="宋体" w:hAnsi="宋体" w:cs="Arial"/>
          <w:bCs/>
          <w:color w:val="000000"/>
          <w:szCs w:val="21"/>
        </w:rPr>
      </w:r>
      <w:r/>
    </w:p>
    <w:p>
      <w:pPr>
        <w:pStyle w:val="1151"/>
        <w:jc w:val="left"/>
        <w:spacing w:line="480" w:lineRule="auto"/>
        <w:widowControl/>
        <w:rPr>
          <w:rFonts w:ascii="宋体" w:hAnsi="宋体" w:cs="Arial"/>
          <w:bCs/>
          <w:color w:val="000000"/>
          <w:szCs w:val="21"/>
          <w:u w:val="none"/>
        </w:rPr>
      </w:pPr>
      <w:r>
        <w:rPr>
          <w:rFonts w:hint="eastAsia" w:ascii="宋体" w:hAnsi="宋体" w:cs="Arial"/>
          <w:bCs/>
          <w:color w:val="000000"/>
          <w:szCs w:val="21"/>
        </w:rPr>
        <w:t xml:space="preserve">                               法定代表人签章：</w:t>
      </w:r>
      <w:r>
        <w:rPr>
          <w:rFonts w:hint="eastAsia" w:ascii="宋体" w:hAnsi="宋体" w:cs="Arial"/>
          <w:bCs/>
          <w:color w:val="000000"/>
          <w:szCs w:val="21"/>
          <w:u w:val="none"/>
        </w:rPr>
        <w:t xml:space="preserve">_______________________</w:t>
      </w:r>
      <w:r>
        <w:rPr>
          <w:rFonts w:ascii="宋体" w:hAnsi="宋体" w:cs="Arial"/>
          <w:bCs/>
          <w:color w:val="000000"/>
          <w:szCs w:val="21"/>
          <w:u w:val="none"/>
        </w:rPr>
      </w:r>
      <w:r/>
    </w:p>
    <w:p>
      <w:pPr>
        <w:pStyle w:val="1151"/>
        <w:jc w:val="left"/>
        <w:spacing w:line="480" w:lineRule="auto"/>
        <w:widowControl/>
        <w:rPr>
          <w:rFonts w:ascii="宋体" w:hAnsi="宋体" w:cs="Arial"/>
          <w:bCs/>
          <w:color w:val="000000"/>
          <w:szCs w:val="21"/>
        </w:rPr>
      </w:pPr>
      <w:r>
        <w:rPr>
          <w:rFonts w:hint="eastAsia" w:ascii="宋体" w:hAnsi="宋体" w:cs="Arial"/>
          <w:bCs/>
          <w:color w:val="000000"/>
          <w:szCs w:val="21"/>
        </w:rPr>
        <w:t xml:space="preserve">                               日期：______年</w:t>
      </w:r>
      <w:r>
        <w:rPr>
          <w:rFonts w:hint="eastAsia" w:ascii="宋体" w:hAnsi="宋体" w:cs="Arial"/>
          <w:bCs/>
          <w:color w:val="000000"/>
          <w:szCs w:val="21"/>
          <w:u w:val="single"/>
        </w:rPr>
        <w:t xml:space="preserve">    </w:t>
      </w:r>
      <w:r>
        <w:rPr>
          <w:rFonts w:hint="eastAsia" w:ascii="宋体" w:hAnsi="宋体" w:cs="Arial"/>
          <w:bCs/>
          <w:color w:val="000000"/>
          <w:szCs w:val="21"/>
        </w:rPr>
        <w:t xml:space="preserve">月</w:t>
      </w:r>
      <w:r>
        <w:rPr>
          <w:rFonts w:hint="eastAsia" w:ascii="宋体" w:hAnsi="宋体" w:cs="Arial"/>
          <w:bCs/>
          <w:color w:val="000000"/>
          <w:szCs w:val="21"/>
          <w:u w:val="single"/>
        </w:rPr>
        <w:t xml:space="preserve">    </w:t>
      </w:r>
      <w:r>
        <w:rPr>
          <w:rFonts w:hint="eastAsia" w:ascii="宋体" w:hAnsi="宋体" w:cs="Arial"/>
          <w:bCs/>
          <w:color w:val="000000"/>
          <w:szCs w:val="21"/>
        </w:rPr>
        <w:t xml:space="preserve">日</w:t>
      </w:r>
      <w:r>
        <w:rPr>
          <w:rFonts w:ascii="宋体" w:hAnsi="宋体" w:cs="Arial"/>
          <w:bCs/>
          <w:color w:val="000000"/>
          <w:szCs w:val="21"/>
        </w:rPr>
      </w:r>
      <w:r/>
    </w:p>
    <w:p>
      <w:pPr>
        <w:pStyle w:val="1151"/>
        <w:spacing w:line="360" w:lineRule="auto"/>
        <w:rPr>
          <w:rFonts w:hint="eastAsia" w:ascii="宋体" w:hAnsi="宋体" w:cs="宋体"/>
          <w:b/>
          <w:bCs/>
          <w:color w:val="000000"/>
        </w:rPr>
        <w:sectPr>
          <w:headerReference w:type="default" r:id="rId10"/>
          <w:footerReference w:type="default" r:id="rId15"/>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
          <w:bCs/>
          <w:color w:val="000000"/>
        </w:rPr>
      </w:r>
      <w:r/>
    </w:p>
    <w:p>
      <w:pPr>
        <w:pStyle w:val="1212"/>
        <w:ind w:firstLine="562"/>
        <w:jc w:val="center"/>
        <w:spacing w:after="312" w:line="480" w:lineRule="auto"/>
        <w:tabs>
          <w:tab w:val="left" w:pos="360" w:leader="none"/>
        </w:tabs>
        <w:rPr>
          <w:rFonts w:hint="eastAsia" w:hAnsi="宋体"/>
          <w:b/>
          <w:color w:val="000000"/>
          <w:szCs w:val="28"/>
        </w:rPr>
      </w:pPr>
      <w:r>
        <w:rPr>
          <w:rFonts w:hint="eastAsia" w:hAnsi="宋体"/>
          <w:b/>
          <w:color w:val="000000"/>
          <w:szCs w:val="28"/>
        </w:rPr>
        <w:t xml:space="preserve">供应商信用承诺书</w:t>
      </w:r>
      <w:r>
        <w:rPr>
          <w:rFonts w:hint="eastAsia" w:hAnsi="宋体"/>
          <w:b/>
          <w:color w:val="000000"/>
          <w:szCs w:val="28"/>
        </w:rPr>
      </w:r>
      <w:r/>
    </w:p>
    <w:p>
      <w:pPr>
        <w:pStyle w:val="1151"/>
        <w:spacing w:line="360" w:lineRule="auto"/>
        <w:rPr>
          <w:rFonts w:hint="eastAsia" w:ascii="宋体" w:hAnsi="宋体" w:cs="宋体"/>
          <w:color w:val="000000"/>
          <w:szCs w:val="21"/>
        </w:rPr>
      </w:pPr>
      <w:r>
        <w:rPr>
          <w:rFonts w:hint="eastAsia" w:ascii="宋体" w:hAnsi="宋体" w:cs="宋体"/>
          <w:color w:val="000000"/>
          <w:szCs w:val="21"/>
        </w:rPr>
        <w:t xml:space="preserve">承诺主体名称：</w:t>
      </w:r>
      <w:r>
        <w:rPr>
          <w:rFonts w:hint="eastAsia" w:ascii="宋体" w:hAnsi="宋体" w:cs="宋体"/>
          <w:color w:val="000000"/>
          <w:szCs w:val="21"/>
        </w:rPr>
      </w:r>
      <w:r/>
    </w:p>
    <w:p>
      <w:pPr>
        <w:pStyle w:val="1151"/>
        <w:spacing w:line="360" w:lineRule="auto"/>
        <w:rPr>
          <w:rFonts w:hint="eastAsia" w:ascii="宋体" w:hAnsi="宋体" w:cs="宋体"/>
          <w:color w:val="000000"/>
          <w:szCs w:val="21"/>
        </w:rPr>
      </w:pPr>
      <w:r>
        <w:rPr>
          <w:rFonts w:hint="eastAsia" w:ascii="宋体" w:hAnsi="宋体" w:cs="宋体"/>
          <w:color w:val="000000"/>
          <w:szCs w:val="21"/>
        </w:rPr>
        <w:t xml:space="preserve">统一社会信用代码：</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四、自觉接受行政管理部门、行业组织、社会公众、新闻舆论的监督；</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六、提出政府采购质疑和投诉坚持依法依规、诚实信用原则，在全国范围12个月内没有三次以上查无实据的政府采购投诉；</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七、严格遵守信用信息公示相关规定，向社会公示信用信息；</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八、在“信用中国”和“中国政府采购网”网站中无违法违规、较重或严重失信记录；</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十、本承诺书自签订之日起生效。</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rPr>
        <w:t xml:space="preserve"> （注：法定代表人或负责人、主体名称发生变更的应当重新做出承诺。）</w:t>
      </w:r>
      <w:r>
        <w:rPr>
          <w:rFonts w:hint="eastAsia" w:ascii="宋体" w:hAnsi="宋体" w:cs="宋体"/>
          <w:color w:val="000000"/>
          <w:szCs w:val="21"/>
        </w:rPr>
      </w:r>
      <w:r/>
    </w:p>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                                    承诺单位（签章）：          </w:t>
      </w:r>
      <w:r>
        <w:rPr>
          <w:rFonts w:hint="eastAsia" w:ascii="宋体" w:hAnsi="宋体" w:cs="宋体"/>
          <w:color w:val="000000"/>
          <w:szCs w:val="21"/>
        </w:rPr>
      </w:r>
      <w:r/>
    </w:p>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　　　　　　　　　　法定代表人（负责人）：</w:t>
      </w:r>
      <w:r>
        <w:rPr>
          <w:rFonts w:hint="eastAsia" w:ascii="宋体" w:hAnsi="宋体" w:cs="宋体"/>
          <w:color w:val="000000"/>
          <w:szCs w:val="21"/>
        </w:rPr>
      </w:r>
      <w:r/>
    </w:p>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　　　　　　　　                                       　　年   月   日</w:t>
      </w:r>
      <w:r>
        <w:rPr>
          <w:rFonts w:hint="eastAsia" w:ascii="宋体" w:hAnsi="宋体" w:cs="宋体"/>
          <w:color w:val="000000"/>
          <w:szCs w:val="21"/>
        </w:rPr>
      </w:r>
      <w:r/>
    </w:p>
    <w:p>
      <w:pPr>
        <w:pStyle w:val="1151"/>
        <w:jc w:val="center"/>
        <w:spacing w:line="360" w:lineRule="auto"/>
        <w:rPr>
          <w:rFonts w:hint="eastAsia" w:ascii="宋体" w:hAnsi="宋体" w:cs="宋体"/>
          <w:b/>
          <w:bCs/>
          <w:color w:val="000000"/>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cs="宋体"/>
          <w:b/>
          <w:bCs/>
          <w:color w:val="000000"/>
        </w:rPr>
      </w:r>
      <w:r/>
    </w:p>
    <w:p>
      <w:pPr>
        <w:pStyle w:val="1151"/>
        <w:jc w:val="center"/>
        <w:spacing w:line="360" w:lineRule="auto"/>
        <w:rPr>
          <w:rFonts w:hint="eastAsia" w:ascii="宋体" w:hAnsi="宋体" w:cs="宋体"/>
          <w:b/>
          <w:color w:val="000000"/>
          <w:sz w:val="32"/>
          <w:szCs w:val="32"/>
        </w:rPr>
      </w:pPr>
      <w:r>
        <w:rPr>
          <w:rFonts w:hint="eastAsia" w:ascii="宋体" w:hAnsi="宋体" w:cs="宋体"/>
          <w:b/>
          <w:color w:val="000000"/>
          <w:sz w:val="32"/>
          <w:szCs w:val="32"/>
          <w:lang w:eastAsia="zh-CN"/>
        </w:rPr>
        <w:t xml:space="preserve">谈</w:t>
      </w:r>
      <w:r>
        <w:rPr>
          <w:rFonts w:hint="eastAsia" w:ascii="宋体" w:hAnsi="宋体" w:cs="宋体"/>
          <w:b/>
          <w:color w:val="000000"/>
          <w:sz w:val="32"/>
          <w:szCs w:val="32"/>
          <w:lang w:val="en-US" w:eastAsia="zh-CN"/>
        </w:rPr>
        <w:t xml:space="preserve"> </w:t>
      </w:r>
      <w:r>
        <w:rPr>
          <w:rFonts w:hint="eastAsia" w:ascii="宋体" w:hAnsi="宋体" w:cs="宋体"/>
          <w:b/>
          <w:color w:val="000000"/>
          <w:sz w:val="32"/>
          <w:szCs w:val="32"/>
          <w:lang w:eastAsia="zh-CN"/>
        </w:rPr>
        <w:t xml:space="preserve">判</w:t>
      </w:r>
      <w:r>
        <w:rPr>
          <w:rFonts w:hint="eastAsia" w:ascii="宋体" w:hAnsi="宋体" w:cs="宋体"/>
          <w:b/>
          <w:color w:val="000000"/>
          <w:sz w:val="32"/>
          <w:szCs w:val="32"/>
          <w:lang w:val="en-US" w:eastAsia="zh-CN"/>
        </w:rPr>
        <w:t xml:space="preserve"> </w:t>
      </w:r>
      <w:r>
        <w:rPr>
          <w:rFonts w:hint="eastAsia" w:ascii="宋体" w:hAnsi="宋体" w:cs="宋体"/>
          <w:b/>
          <w:color w:val="000000"/>
          <w:sz w:val="32"/>
          <w:szCs w:val="32"/>
        </w:rPr>
        <w:t xml:space="preserve">响 应 函</w:t>
      </w:r>
      <w:r>
        <w:rPr>
          <w:rFonts w:hint="eastAsia" w:ascii="宋体" w:hAnsi="宋体" w:cs="宋体"/>
          <w:b/>
          <w:color w:val="000000"/>
          <w:sz w:val="32"/>
          <w:szCs w:val="32"/>
        </w:rPr>
      </w:r>
      <w:r/>
    </w:p>
    <w:p>
      <w:pPr>
        <w:pStyle w:val="1212"/>
        <w:ind w:firstLine="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r>
      <w:r/>
    </w:p>
    <w:p>
      <w:pPr>
        <w:pStyle w:val="1212"/>
        <w:ind w:firstLine="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致：（代理公司）</w:t>
      </w:r>
      <w:r>
        <w:rPr>
          <w:rFonts w:hint="eastAsia" w:ascii="宋体" w:hAnsi="宋体" w:cs="宋体"/>
          <w:color w:val="000000"/>
          <w:sz w:val="21"/>
          <w:szCs w:val="21"/>
        </w:rPr>
      </w:r>
      <w:r/>
    </w:p>
    <w:p>
      <w:pPr>
        <w:pStyle w:val="1212"/>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根据贵方的</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号采购文件，正式授权下述签字人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(姓名和职务)代表我方</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（供应商的名称），全权处理本次项目响应的有关事宜。</w:t>
      </w:r>
      <w:r>
        <w:rPr>
          <w:rFonts w:hint="eastAsia" w:ascii="宋体" w:hAnsi="宋体" w:cs="宋体"/>
          <w:color w:val="000000"/>
          <w:sz w:val="21"/>
          <w:szCs w:val="21"/>
        </w:rPr>
      </w:r>
      <w:r/>
    </w:p>
    <w:p>
      <w:pPr>
        <w:pStyle w:val="1212"/>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据此函，</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（签字人）兹宣布同意如下：</w:t>
      </w:r>
      <w:r>
        <w:rPr>
          <w:rFonts w:hint="eastAsia" w:ascii="宋体" w:hAnsi="宋体" w:cs="宋体"/>
          <w:color w:val="000000"/>
          <w:sz w:val="21"/>
          <w:szCs w:val="21"/>
        </w:rPr>
      </w:r>
      <w:r/>
    </w:p>
    <w:p>
      <w:pPr>
        <w:pStyle w:val="1212"/>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1.按采购文件规定的各项要求，向买方提供所需工程施工及维护服务。</w:t>
      </w:r>
      <w:r>
        <w:rPr>
          <w:rFonts w:hint="eastAsia" w:ascii="宋体" w:hAnsi="宋体" w:cs="宋体"/>
          <w:color w:val="000000"/>
          <w:sz w:val="21"/>
          <w:szCs w:val="21"/>
        </w:rPr>
      </w:r>
      <w:r/>
    </w:p>
    <w:p>
      <w:pPr>
        <w:pStyle w:val="1212"/>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2.我们已详细审核全部采购文件及其有效补充文件，我们知道必须放弃提出含糊不清或误解问题的权利。</w:t>
      </w:r>
      <w:r>
        <w:rPr>
          <w:rFonts w:hint="eastAsia" w:ascii="宋体" w:hAnsi="宋体" w:cs="宋体"/>
          <w:color w:val="000000"/>
          <w:sz w:val="21"/>
          <w:szCs w:val="21"/>
        </w:rPr>
      </w:r>
      <w:r/>
    </w:p>
    <w:p>
      <w:pPr>
        <w:pStyle w:val="1212"/>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3.我们同意从规定的响应文件接收截止时间起遵循本响应文件，并在规定的响应有效期期满之前均具有约束力。</w:t>
      </w:r>
      <w:r>
        <w:rPr>
          <w:rFonts w:hint="eastAsia" w:ascii="宋体" w:hAnsi="宋体" w:cs="宋体"/>
          <w:color w:val="000000"/>
          <w:sz w:val="21"/>
          <w:szCs w:val="21"/>
        </w:rPr>
      </w:r>
      <w:r/>
    </w:p>
    <w:p>
      <w:pPr>
        <w:pStyle w:val="1212"/>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4.同意向贵方提供贵方可能另外要求的与响应有关的任何证据或资料，并保证我方已提供和将要提供的文件是真实的、准确的。</w:t>
      </w:r>
      <w:r>
        <w:rPr>
          <w:rFonts w:hint="eastAsia" w:ascii="宋体" w:hAnsi="宋体" w:cs="宋体"/>
          <w:color w:val="000000"/>
          <w:sz w:val="21"/>
          <w:szCs w:val="21"/>
        </w:rPr>
      </w:r>
      <w:r/>
    </w:p>
    <w:p>
      <w:pPr>
        <w:pStyle w:val="1212"/>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5.一旦我方成交，我方将根据采购文件的规定，严格履行合同的责任和义务，并保证在谈判文件规定的时间完成项目，交付买方验收、使用。</w:t>
      </w:r>
      <w:r>
        <w:rPr>
          <w:rFonts w:hint="eastAsia" w:ascii="宋体" w:hAnsi="宋体" w:cs="宋体"/>
          <w:color w:val="000000"/>
          <w:sz w:val="21"/>
          <w:szCs w:val="21"/>
        </w:rPr>
      </w:r>
      <w:r/>
    </w:p>
    <w:p>
      <w:pPr>
        <w:pStyle w:val="1212"/>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6.遵守采购文件中要求的收费项目和标准。</w:t>
      </w:r>
      <w:r>
        <w:rPr>
          <w:rFonts w:hint="eastAsia" w:ascii="宋体" w:hAnsi="宋体" w:cs="宋体"/>
          <w:color w:val="000000"/>
          <w:sz w:val="21"/>
          <w:szCs w:val="21"/>
        </w:rPr>
      </w:r>
      <w:r/>
    </w:p>
    <w:p>
      <w:pPr>
        <w:pStyle w:val="1212"/>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7.与本响应采购有关的正式通讯地址为：</w:t>
      </w:r>
      <w:r>
        <w:rPr>
          <w:rFonts w:hint="eastAsia" w:ascii="宋体" w:hAnsi="宋体" w:cs="宋体"/>
          <w:color w:val="000000"/>
          <w:sz w:val="21"/>
          <w:szCs w:val="21"/>
        </w:rPr>
      </w:r>
      <w:r/>
    </w:p>
    <w:p>
      <w:pPr>
        <w:pStyle w:val="1212"/>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r>
      <w:r/>
    </w:p>
    <w:p>
      <w:pPr>
        <w:pStyle w:val="1212"/>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r>
      <w:r/>
    </w:p>
    <w:p>
      <w:pPr>
        <w:pStyle w:val="1212"/>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地址：                                       邮编：</w:t>
      </w:r>
      <w:r>
        <w:rPr>
          <w:rFonts w:hint="eastAsia" w:ascii="宋体" w:hAnsi="宋体" w:cs="宋体"/>
          <w:color w:val="000000"/>
          <w:sz w:val="21"/>
          <w:szCs w:val="21"/>
        </w:rPr>
      </w:r>
      <w:r/>
    </w:p>
    <w:p>
      <w:pPr>
        <w:pStyle w:val="1212"/>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电话：                                       传真：</w:t>
      </w:r>
      <w:r>
        <w:rPr>
          <w:rFonts w:hint="eastAsia" w:ascii="宋体" w:hAnsi="宋体" w:cs="宋体"/>
          <w:color w:val="000000"/>
          <w:sz w:val="21"/>
          <w:szCs w:val="21"/>
        </w:rPr>
      </w:r>
      <w:r/>
    </w:p>
    <w:p>
      <w:pPr>
        <w:pStyle w:val="1212"/>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供应商开户行：                               账户：</w:t>
      </w:r>
      <w:r>
        <w:rPr>
          <w:rFonts w:hint="eastAsia" w:ascii="宋体" w:hAnsi="宋体" w:cs="宋体"/>
          <w:color w:val="000000"/>
          <w:sz w:val="21"/>
          <w:szCs w:val="21"/>
        </w:rPr>
      </w:r>
      <w:r/>
    </w:p>
    <w:p>
      <w:pPr>
        <w:pStyle w:val="1212"/>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法定代表人姓名（签章）：                     联系电话：</w:t>
      </w:r>
      <w:r>
        <w:rPr>
          <w:rFonts w:hint="eastAsia" w:ascii="宋体" w:hAnsi="宋体" w:cs="宋体"/>
          <w:color w:val="000000"/>
          <w:sz w:val="21"/>
          <w:szCs w:val="21"/>
        </w:rPr>
      </w:r>
      <w:r/>
    </w:p>
    <w:p>
      <w:pPr>
        <w:pStyle w:val="1212"/>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供应商名称（公章）：</w:t>
      </w:r>
      <w:r>
        <w:rPr>
          <w:rFonts w:hint="eastAsia" w:ascii="宋体" w:hAnsi="宋体" w:cs="宋体"/>
          <w:color w:val="000000"/>
          <w:sz w:val="21"/>
          <w:szCs w:val="21"/>
        </w:rPr>
      </w:r>
      <w:r/>
    </w:p>
    <w:p>
      <w:pPr>
        <w:pStyle w:val="1212"/>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日期：</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年</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月</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日</w:t>
      </w:r>
      <w:r>
        <w:rPr>
          <w:rFonts w:hint="eastAsia" w:ascii="宋体" w:hAnsi="宋体" w:cs="宋体"/>
          <w:color w:val="000000"/>
          <w:sz w:val="21"/>
          <w:szCs w:val="21"/>
        </w:rPr>
      </w:r>
      <w:r/>
    </w:p>
    <w:p>
      <w:pPr>
        <w:pStyle w:val="1212"/>
        <w:ind w:firstLine="422"/>
        <w:jc w:val="center"/>
        <w:spacing w:line="360" w:lineRule="auto"/>
        <w:tabs>
          <w:tab w:val="left" w:pos="360" w:leader="none"/>
        </w:tabs>
        <w:rPr>
          <w:rFonts w:hint="eastAsia" w:hAnsi="宋体"/>
          <w:b/>
          <w:color w:val="000000"/>
          <w:szCs w:val="28"/>
        </w:rPr>
      </w:pPr>
      <w:r>
        <w:rPr>
          <w:rFonts w:hint="eastAsia" w:ascii="宋体" w:hAnsi="宋体" w:cs="宋体"/>
          <w:b/>
          <w:color w:val="000000"/>
          <w:sz w:val="21"/>
          <w:szCs w:val="21"/>
        </w:rPr>
        <w:br w:type="page" w:clear="all"/>
      </w:r>
      <w:r>
        <w:rPr>
          <w:rFonts w:hint="eastAsia" w:hAnsi="宋体"/>
          <w:b/>
          <w:color w:val="000000"/>
          <w:szCs w:val="28"/>
        </w:rPr>
        <w:t xml:space="preserve">法人授权书</w:t>
      </w:r>
      <w:r>
        <w:rPr>
          <w:rFonts w:hint="eastAsia" w:hAnsi="宋体"/>
          <w:b/>
          <w:color w:val="000000"/>
          <w:szCs w:val="28"/>
        </w:rPr>
      </w:r>
      <w:r/>
    </w:p>
    <w:p>
      <w:pPr>
        <w:pStyle w:val="1212"/>
        <w:ind w:firstLine="562"/>
        <w:jc w:val="center"/>
        <w:spacing w:line="360" w:lineRule="auto"/>
        <w:tabs>
          <w:tab w:val="left" w:pos="360" w:leader="none"/>
        </w:tabs>
        <w:rPr>
          <w:rFonts w:hint="eastAsia" w:hAnsi="宋体"/>
          <w:b/>
          <w:color w:val="000000"/>
          <w:szCs w:val="28"/>
        </w:rPr>
      </w:pPr>
      <w:r>
        <w:rPr>
          <w:rFonts w:hint="eastAsia" w:hAnsi="宋体"/>
          <w:b/>
          <w:color w:val="000000"/>
          <w:szCs w:val="28"/>
        </w:rPr>
      </w:r>
      <w:r/>
    </w:p>
    <w:p>
      <w:pPr>
        <w:pStyle w:val="1151"/>
        <w:ind w:firstLine="420"/>
        <w:jc w:val="left"/>
        <w:spacing w:line="480" w:lineRule="auto"/>
        <w:widowControl/>
        <w:tabs>
          <w:tab w:val="left" w:pos="360" w:leader="none"/>
        </w:tabs>
        <w:rPr>
          <w:rFonts w:ascii="宋体" w:hAnsi="宋体"/>
          <w:color w:val="000000"/>
          <w:szCs w:val="21"/>
        </w:rPr>
      </w:pPr>
      <w:r>
        <w:rPr>
          <w:rFonts w:hint="eastAsia" w:ascii="宋体" w:hAnsi="宋体"/>
          <w:color w:val="000000"/>
          <w:szCs w:val="21"/>
        </w:rPr>
        <w:t xml:space="preserve">本授权书声明：</w:t>
      </w:r>
      <w:r>
        <w:rPr>
          <w:rFonts w:hint="eastAsia" w:ascii="宋体" w:hAnsi="宋体"/>
          <w:color w:val="000000"/>
          <w:szCs w:val="21"/>
          <w:u w:val="single"/>
        </w:rPr>
        <w:t xml:space="preserve">           </w:t>
      </w:r>
      <w:r>
        <w:rPr>
          <w:rFonts w:hint="eastAsia" w:ascii="宋体" w:hAnsi="宋体"/>
          <w:color w:val="000000"/>
          <w:szCs w:val="21"/>
        </w:rPr>
        <w:t xml:space="preserve">（供应商名称）授权</w:t>
      </w:r>
      <w:r>
        <w:rPr>
          <w:rFonts w:hint="eastAsia" w:ascii="宋体" w:hAnsi="宋体"/>
          <w:color w:val="000000"/>
          <w:szCs w:val="21"/>
          <w:u w:val="single"/>
        </w:rPr>
        <w:t xml:space="preserve">         </w:t>
      </w:r>
      <w:r>
        <w:rPr>
          <w:rFonts w:hint="eastAsia" w:ascii="宋体" w:hAnsi="宋体"/>
          <w:color w:val="000000"/>
          <w:szCs w:val="21"/>
        </w:rPr>
        <w:t xml:space="preserve">(被授权人的姓名）为我方就</w:t>
      </w:r>
      <w:r>
        <w:rPr>
          <w:rFonts w:hint="eastAsia" w:ascii="宋体" w:hAnsi="宋体"/>
          <w:color w:val="000000"/>
          <w:szCs w:val="21"/>
          <w:u w:val="single"/>
        </w:rPr>
        <w:t xml:space="preserve">        </w:t>
      </w:r>
      <w:r>
        <w:rPr>
          <w:rFonts w:hint="eastAsia" w:ascii="宋体" w:hAnsi="宋体"/>
          <w:color w:val="000000"/>
          <w:szCs w:val="21"/>
        </w:rPr>
        <w:t xml:space="preserve">（项目编号）号</w:t>
      </w:r>
      <w:r>
        <w:rPr>
          <w:rFonts w:hint="eastAsia" w:ascii="宋体" w:hAnsi="宋体"/>
          <w:color w:val="000000"/>
          <w:szCs w:val="21"/>
          <w:u w:val="single"/>
        </w:rPr>
        <w:t xml:space="preserve">         </w:t>
      </w:r>
      <w:r>
        <w:rPr>
          <w:rFonts w:hint="eastAsia" w:ascii="宋体" w:hAnsi="宋体"/>
          <w:color w:val="000000"/>
          <w:szCs w:val="21"/>
        </w:rPr>
        <w:t xml:space="preserve">（项目名称）项目采购活动的合法代理人，以本公司名义全权处理一切与该项目采购有关的事务。</w:t>
      </w:r>
      <w:r>
        <w:rPr>
          <w:rFonts w:ascii="宋体" w:hAnsi="宋体"/>
          <w:color w:val="000000"/>
          <w:szCs w:val="21"/>
        </w:rPr>
      </w:r>
      <w:r/>
    </w:p>
    <w:p>
      <w:pPr>
        <w:pStyle w:val="1151"/>
        <w:ind w:firstLine="420"/>
        <w:jc w:val="left"/>
        <w:spacing w:line="480" w:lineRule="auto"/>
        <w:widowControl/>
        <w:tabs>
          <w:tab w:val="left" w:pos="360" w:leader="none"/>
        </w:tabs>
        <w:rPr>
          <w:rFonts w:ascii="宋体" w:hAnsi="宋体"/>
          <w:color w:val="000000"/>
          <w:szCs w:val="21"/>
        </w:rPr>
      </w:pPr>
      <w:r>
        <w:rPr>
          <w:rFonts w:hint="eastAsia" w:ascii="宋体" w:hAnsi="宋体"/>
          <w:color w:val="000000"/>
          <w:szCs w:val="21"/>
        </w:rPr>
        <w:t xml:space="preserve">本授权书于</w:t>
      </w:r>
      <w:r>
        <w:rPr>
          <w:rFonts w:ascii="宋体" w:hAnsi="宋体"/>
          <w:color w:val="000000"/>
          <w:szCs w:val="21"/>
        </w:rPr>
        <w:t xml:space="preserve">______</w:t>
      </w:r>
      <w:r>
        <w:rPr>
          <w:rFonts w:hint="eastAsia" w:ascii="宋体" w:hAnsi="宋体"/>
          <w:color w:val="000000"/>
          <w:szCs w:val="21"/>
        </w:rPr>
        <w:t xml:space="preserve">年</w:t>
      </w:r>
      <w:r>
        <w:rPr>
          <w:rFonts w:ascii="宋体" w:hAnsi="宋体"/>
          <w:color w:val="000000"/>
          <w:szCs w:val="21"/>
        </w:rPr>
        <w:t xml:space="preserve">____</w:t>
      </w:r>
      <w:r>
        <w:rPr>
          <w:rFonts w:hint="eastAsia" w:ascii="宋体" w:hAnsi="宋体"/>
          <w:color w:val="000000"/>
          <w:szCs w:val="21"/>
        </w:rPr>
        <w:t xml:space="preserve">月</w:t>
      </w:r>
      <w:r>
        <w:rPr>
          <w:rFonts w:ascii="宋体" w:hAnsi="宋体"/>
          <w:color w:val="000000"/>
          <w:szCs w:val="21"/>
        </w:rPr>
        <w:t xml:space="preserve">____</w:t>
      </w:r>
      <w:r>
        <w:rPr>
          <w:rFonts w:hint="eastAsia" w:ascii="宋体" w:hAnsi="宋体"/>
          <w:color w:val="000000"/>
          <w:szCs w:val="21"/>
        </w:rPr>
        <w:t xml:space="preserve">日起生效，特此声明。</w:t>
      </w:r>
      <w:r>
        <w:rPr>
          <w:rFonts w:ascii="宋体" w:hAnsi="宋体"/>
          <w:color w:val="000000"/>
          <w:szCs w:val="21"/>
        </w:rPr>
      </w:r>
      <w:r/>
    </w:p>
    <w:p>
      <w:pPr>
        <w:pStyle w:val="1151"/>
        <w:ind w:firstLine="420"/>
        <w:jc w:val="left"/>
        <w:spacing w:line="480" w:lineRule="auto"/>
        <w:widowControl/>
        <w:tabs>
          <w:tab w:val="left" w:pos="360" w:leader="none"/>
        </w:tabs>
        <w:rPr>
          <w:rFonts w:ascii="宋体" w:hAnsi="宋体"/>
          <w:color w:val="000000"/>
          <w:szCs w:val="21"/>
        </w:rPr>
      </w:pPr>
      <w:r>
        <w:rPr>
          <w:rFonts w:hint="eastAsia" w:ascii="宋体" w:hAnsi="宋体"/>
          <w:color w:val="000000"/>
          <w:szCs w:val="21"/>
        </w:rPr>
        <w:t xml:space="preserve">被授权人姓名：</w:t>
      </w:r>
      <w:r>
        <w:rPr>
          <w:rFonts w:ascii="宋体" w:hAnsi="宋体"/>
          <w:color w:val="000000"/>
          <w:szCs w:val="21"/>
        </w:rPr>
        <w:t xml:space="preserve">_________________________________</w:t>
      </w:r>
      <w:r>
        <w:rPr>
          <w:rFonts w:hint="eastAsia" w:ascii="宋体" w:hAnsi="宋体"/>
          <w:color w:val="000000"/>
          <w:szCs w:val="21"/>
        </w:rPr>
        <w:t xml:space="preserve">    </w:t>
      </w:r>
      <w:r>
        <w:rPr>
          <w:rFonts w:ascii="宋体" w:hAnsi="宋体"/>
          <w:color w:val="000000"/>
          <w:szCs w:val="21"/>
        </w:rPr>
      </w:r>
      <w:r/>
    </w:p>
    <w:p>
      <w:pPr>
        <w:pStyle w:val="1151"/>
        <w:ind w:firstLine="420"/>
        <w:jc w:val="left"/>
        <w:spacing w:line="480" w:lineRule="auto"/>
        <w:widowControl/>
        <w:tabs>
          <w:tab w:val="left" w:pos="360" w:leader="none"/>
        </w:tabs>
        <w:rPr>
          <w:rFonts w:ascii="宋体" w:hAnsi="宋体"/>
          <w:color w:val="000000"/>
          <w:szCs w:val="21"/>
          <w:u w:val="single"/>
        </w:rPr>
      </w:pPr>
      <w:r>
        <w:rPr>
          <w:rFonts w:hint="eastAsia" w:ascii="宋体" w:hAnsi="宋体"/>
          <w:color w:val="000000"/>
          <w:szCs w:val="21"/>
        </w:rPr>
        <w:t xml:space="preserve">联系电话（手机）：</w:t>
      </w:r>
      <w:r>
        <w:rPr>
          <w:rFonts w:hint="eastAsia" w:ascii="宋体" w:hAnsi="宋体"/>
          <w:color w:val="000000"/>
          <w:szCs w:val="21"/>
          <w:u w:val="single"/>
        </w:rPr>
        <w:t xml:space="preserve">                            </w:t>
      </w:r>
      <w:r>
        <w:rPr>
          <w:rFonts w:ascii="宋体" w:hAnsi="宋体"/>
          <w:color w:val="000000"/>
          <w:szCs w:val="21"/>
          <w:u w:val="single"/>
        </w:rPr>
      </w:r>
      <w:r/>
    </w:p>
    <w:p>
      <w:pPr>
        <w:pStyle w:val="1151"/>
        <w:jc w:val="left"/>
        <w:spacing w:line="480" w:lineRule="auto"/>
        <w:widowControl/>
        <w:tabs>
          <w:tab w:val="left" w:pos="360" w:leader="none"/>
        </w:tabs>
        <w:rPr>
          <w:rFonts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单位名称：</w:t>
      </w:r>
      <w:r>
        <w:rPr>
          <w:rFonts w:ascii="宋体" w:hAnsi="宋体"/>
          <w:color w:val="000000"/>
          <w:szCs w:val="21"/>
        </w:rPr>
        <w:t xml:space="preserve">____________________________________</w:t>
      </w:r>
      <w:r>
        <w:rPr>
          <w:rFonts w:ascii="宋体" w:hAnsi="宋体"/>
          <w:color w:val="000000"/>
          <w:szCs w:val="21"/>
        </w:rPr>
      </w:r>
      <w:r/>
    </w:p>
    <w:p>
      <w:pPr>
        <w:pStyle w:val="1151"/>
        <w:ind w:firstLine="420"/>
        <w:jc w:val="left"/>
        <w:spacing w:line="480" w:lineRule="auto"/>
        <w:widowControl/>
        <w:tabs>
          <w:tab w:val="left" w:pos="360" w:leader="none"/>
        </w:tabs>
        <w:rPr>
          <w:rFonts w:ascii="宋体" w:hAnsi="宋体"/>
          <w:color w:val="000000"/>
          <w:szCs w:val="21"/>
          <w:u w:val="single"/>
        </w:rPr>
      </w:pPr>
      <w:r>
        <w:rPr>
          <w:rFonts w:hint="eastAsia" w:ascii="宋体" w:hAnsi="宋体"/>
          <w:color w:val="000000"/>
          <w:szCs w:val="21"/>
        </w:rPr>
        <w:t xml:space="preserve">单位地址：</w:t>
      </w:r>
      <w:r>
        <w:rPr>
          <w:rFonts w:ascii="宋体" w:hAnsi="宋体"/>
          <w:color w:val="000000"/>
          <w:szCs w:val="21"/>
          <w:u w:val="single"/>
        </w:rPr>
        <w:t xml:space="preserve">                                    </w:t>
      </w:r>
      <w:r>
        <w:rPr>
          <w:rFonts w:ascii="宋体" w:hAnsi="宋体"/>
          <w:color w:val="000000"/>
          <w:szCs w:val="21"/>
          <w:u w:val="single"/>
        </w:rPr>
      </w:r>
      <w:r/>
    </w:p>
    <w:p>
      <w:pPr>
        <w:pStyle w:val="1151"/>
        <w:ind w:firstLine="420"/>
        <w:jc w:val="left"/>
        <w:spacing w:line="480" w:lineRule="auto"/>
        <w:widowControl/>
        <w:tabs>
          <w:tab w:val="left" w:pos="360" w:leader="none"/>
        </w:tabs>
        <w:rPr>
          <w:rFonts w:ascii="宋体" w:hAnsi="宋体"/>
          <w:color w:val="000000"/>
          <w:szCs w:val="21"/>
        </w:rPr>
      </w:pPr>
      <w:r>
        <w:rPr>
          <w:rFonts w:hint="eastAsia" w:ascii="宋体" w:hAnsi="宋体"/>
          <w:color w:val="000000"/>
          <w:szCs w:val="21"/>
        </w:rPr>
        <w:t xml:space="preserve">日期：</w:t>
      </w:r>
      <w:r>
        <w:rPr>
          <w:rFonts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rPr>
      </w:r>
      <w:r/>
    </w:p>
    <w:p>
      <w:pPr>
        <w:pStyle w:val="1151"/>
        <w:jc w:val="left"/>
        <w:spacing w:line="480" w:lineRule="auto"/>
        <w:widowControl/>
        <w:rPr>
          <w:rFonts w:ascii="宋体" w:hAnsi="宋体" w:cs="Arial"/>
          <w:bCs/>
          <w:color w:val="000000"/>
          <w:szCs w:val="21"/>
        </w:rPr>
      </w:pPr>
      <w:r>
        <w:rPr>
          <w:rFonts w:ascii="宋体" w:hAnsi="宋体" w:cs="Arial"/>
          <w:bCs/>
          <w:color w:val="000000"/>
          <w:szCs w:val="21"/>
        </w:rPr>
      </w:r>
      <w:r/>
    </w:p>
    <w:p>
      <w:pPr>
        <w:pStyle w:val="1151"/>
        <w:ind w:firstLine="420"/>
        <w:jc w:val="left"/>
        <w:spacing w:line="480" w:lineRule="auto"/>
        <w:widowControl/>
        <w:rPr>
          <w:rFonts w:ascii="宋体" w:hAnsi="宋体" w:cs="Arial"/>
          <w:bCs/>
          <w:color w:val="000000"/>
          <w:szCs w:val="21"/>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cs="Arial"/>
          <w:bCs/>
          <w:color w:val="000000"/>
          <w:szCs w:val="21"/>
        </w:rPr>
        <w:t xml:space="preserve">被授权人身份证复印件</w:t>
      </w:r>
      <w:r>
        <w:rPr>
          <w:rFonts w:ascii="宋体" w:hAnsi="宋体" w:cs="Arial"/>
          <w:bCs/>
          <w:color w:val="000000"/>
          <w:szCs w:val="21"/>
        </w:rPr>
      </w:r>
      <w:r/>
    </w:p>
    <w:p>
      <w:pPr>
        <w:pStyle w:val="1212"/>
        <w:ind w:firstLine="643"/>
        <w:jc w:val="center"/>
        <w:spacing w:after="312" w:line="360" w:lineRule="auto"/>
        <w:tabs>
          <w:tab w:val="left" w:pos="360" w:leader="none"/>
        </w:tabs>
        <w:rPr>
          <w:rFonts w:hint="eastAsia" w:ascii="宋体" w:hAnsi="宋体" w:cs="宋体"/>
          <w:b/>
          <w:color w:val="000000"/>
          <w:sz w:val="32"/>
          <w:szCs w:val="32"/>
        </w:rPr>
      </w:pPr>
      <w:r>
        <w:rPr>
          <w:rFonts w:hint="eastAsia" w:ascii="宋体" w:hAnsi="宋体" w:cs="宋体"/>
          <w:b/>
          <w:color w:val="000000"/>
          <w:sz w:val="32"/>
          <w:szCs w:val="32"/>
        </w:rPr>
        <w:t xml:space="preserve">二、符合性审查响应对照表</w:t>
      </w:r>
      <w:r>
        <w:rPr>
          <w:rFonts w:hint="eastAsia" w:ascii="宋体" w:hAnsi="宋体" w:cs="宋体"/>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1151"/>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5447" w:type="dxa"/>
            <w:vAlign w:val="center"/>
            <w:textDirection w:val="lrTb"/>
            <w:noWrap w:val="false"/>
          </w:tcPr>
          <w:p>
            <w:pPr>
              <w:pStyle w:val="1151"/>
              <w:jc w:val="center"/>
              <w:spacing w:line="360" w:lineRule="auto"/>
              <w:rPr>
                <w:rFonts w:hint="eastAsia" w:ascii="宋体" w:hAnsi="宋体" w:cs="宋体"/>
                <w:b/>
                <w:color w:val="000000"/>
                <w:szCs w:val="21"/>
              </w:rPr>
            </w:pPr>
            <w:r>
              <w:rPr>
                <w:rFonts w:hint="eastAsia" w:ascii="宋体" w:hAnsi="宋体" w:cs="宋体"/>
                <w:b/>
                <w:color w:val="000000"/>
                <w:szCs w:val="21"/>
              </w:rPr>
              <w:t xml:space="preserve">符合性审查响应内容</w:t>
            </w:r>
            <w:r>
              <w:rPr>
                <w:rFonts w:hint="eastAsia" w:ascii="宋体" w:hAnsi="宋体" w:cs="宋体"/>
                <w:b/>
                <w:color w:val="000000"/>
                <w:szCs w:val="21"/>
              </w:rPr>
            </w:r>
            <w:r/>
          </w:p>
        </w:tc>
        <w:tc>
          <w:tcPr>
            <w:tcW w:w="1680" w:type="dxa"/>
            <w:vAlign w:val="center"/>
            <w:textDirection w:val="lrTb"/>
            <w:noWrap w:val="false"/>
          </w:tcPr>
          <w:p>
            <w:pPr>
              <w:pStyle w:val="1151"/>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1151"/>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c>
          <w:tcPr>
            <w:tcW w:w="1308" w:type="dxa"/>
            <w:vAlign w:val="center"/>
            <w:textDirection w:val="lrTb"/>
            <w:noWrap w:val="false"/>
          </w:tcPr>
          <w:p>
            <w:pPr>
              <w:pStyle w:val="1151"/>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响应情况</w:t>
            </w:r>
            <w:r>
              <w:rPr>
                <w:rFonts w:hint="eastAsia" w:ascii="宋体" w:hAnsi="宋体" w:cs="宋体"/>
                <w:b/>
                <w:color w:val="000000"/>
                <w:szCs w:val="21"/>
              </w:rPr>
            </w:r>
            <w:r/>
          </w:p>
        </w:tc>
      </w:tr>
      <w:tr>
        <w:trPr>
          <w:trHeight w:val="585"/>
        </w:trPr>
        <w:tc>
          <w:tcPr>
            <w:tcW w:w="646" w:type="dxa"/>
            <w:vAlign w:val="center"/>
            <w:textDirection w:val="lrTb"/>
            <w:noWrap w:val="false"/>
          </w:tcPr>
          <w:p>
            <w:pPr>
              <w:pStyle w:val="1151"/>
              <w:jc w:val="center"/>
              <w:spacing w:line="360" w:lineRule="auto"/>
              <w:rPr>
                <w:rFonts w:hint="eastAsia" w:ascii="宋体" w:hAnsi="宋体" w:cs="宋体"/>
                <w:b/>
                <w:color w:val="000000"/>
                <w:szCs w:val="21"/>
              </w:rPr>
            </w:pPr>
            <w:r>
              <w:rPr>
                <w:rFonts w:hint="eastAsia" w:ascii="宋体" w:hAnsi="宋体" w:cs="宋体"/>
                <w:b/>
                <w:color w:val="000000"/>
                <w:szCs w:val="21"/>
              </w:rPr>
              <w:t xml:space="preserve">1</w:t>
            </w:r>
            <w:r>
              <w:rPr>
                <w:rFonts w:hint="eastAsia" w:ascii="宋体" w:hAnsi="宋体" w:cs="宋体"/>
                <w:b/>
                <w:color w:val="000000"/>
                <w:szCs w:val="21"/>
              </w:rPr>
            </w:r>
            <w:r/>
          </w:p>
        </w:tc>
        <w:tc>
          <w:tcPr>
            <w:tcW w:w="5447" w:type="dxa"/>
            <w:vAlign w:val="center"/>
            <w:textDirection w:val="lrTb"/>
            <w:noWrap w:val="false"/>
          </w:tcPr>
          <w:p>
            <w:pPr>
              <w:pStyle w:val="1151"/>
              <w:spacing w:line="360" w:lineRule="auto"/>
              <w:rPr>
                <w:rFonts w:hint="eastAsia" w:ascii="宋体" w:hAnsi="宋体" w:cs="宋体"/>
                <w:iCs/>
                <w:color w:val="000000"/>
                <w:szCs w:val="21"/>
              </w:rPr>
            </w:pPr>
            <w:r>
              <w:rPr>
                <w:rFonts w:hint="eastAsia" w:ascii="宋体" w:hAnsi="宋体" w:cs="宋体"/>
                <w:iCs/>
                <w:color w:val="000000"/>
                <w:szCs w:val="21"/>
              </w:rPr>
              <w:t xml:space="preserve">采购需求中必须满足的实质性要求（即加斜体下划线内容，每条详细列出）</w:t>
            </w:r>
            <w:r>
              <w:rPr>
                <w:rFonts w:hint="eastAsia" w:ascii="宋体" w:hAnsi="宋体" w:cs="宋体"/>
                <w:iCs/>
                <w:color w:val="000000"/>
                <w:szCs w:val="21"/>
              </w:rPr>
            </w:r>
            <w:r/>
          </w:p>
        </w:tc>
        <w:tc>
          <w:tcPr>
            <w:tcW w:w="1680" w:type="dxa"/>
            <w:vAlign w:val="center"/>
            <w:textDirection w:val="lrTb"/>
            <w:noWrap w:val="false"/>
          </w:tcPr>
          <w:p>
            <w:pPr>
              <w:pStyle w:val="1151"/>
              <w:spacing w:line="360" w:lineRule="auto"/>
              <w:rPr>
                <w:rFonts w:hint="eastAsia" w:ascii="宋体" w:hAnsi="宋体" w:cs="宋体"/>
                <w:b/>
                <w:color w:val="000000"/>
                <w:szCs w:val="21"/>
              </w:rPr>
            </w:pPr>
            <w:r>
              <w:rPr>
                <w:rFonts w:hint="eastAsia" w:ascii="宋体" w:hAnsi="宋体" w:cs="宋体"/>
                <w:b/>
                <w:color w:val="000000"/>
                <w:szCs w:val="21"/>
              </w:rPr>
            </w:r>
            <w:r/>
          </w:p>
        </w:tc>
        <w:tc>
          <w:tcPr>
            <w:tcW w:w="1308" w:type="dxa"/>
            <w:vAlign w:val="center"/>
            <w:textDirection w:val="lrTb"/>
            <w:noWrap w:val="false"/>
          </w:tcPr>
          <w:p>
            <w:pPr>
              <w:pStyle w:val="1151"/>
              <w:spacing w:line="360" w:lineRule="auto"/>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646"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5447" w:type="dxa"/>
            <w:vAlign w:val="center"/>
            <w:textDirection w:val="lrTb"/>
            <w:noWrap w:val="false"/>
          </w:tcPr>
          <w:p>
            <w:pPr>
              <w:pStyle w:val="1151"/>
              <w:spacing w:line="360" w:lineRule="auto"/>
              <w:rPr>
                <w:rFonts w:hint="eastAsia" w:ascii="宋体" w:hAnsi="宋体" w:cs="宋体"/>
                <w:iCs/>
                <w:color w:val="000000"/>
                <w:szCs w:val="21"/>
              </w:rPr>
            </w:pPr>
            <w:r>
              <w:rPr>
                <w:rFonts w:hint="eastAsia" w:ascii="宋体" w:hAnsi="宋体" w:cs="宋体"/>
                <w:iCs/>
                <w:color w:val="000000"/>
                <w:szCs w:val="21"/>
              </w:rPr>
            </w:r>
            <w:r/>
          </w:p>
        </w:tc>
        <w:tc>
          <w:tcPr>
            <w:tcW w:w="1680"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85"/>
        </w:trPr>
        <w:tc>
          <w:tcPr>
            <w:tcW w:w="646"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5447" w:type="dxa"/>
            <w:vAlign w:val="center"/>
            <w:textDirection w:val="lrTb"/>
            <w:noWrap w:val="false"/>
          </w:tcPr>
          <w:p>
            <w:pPr>
              <w:pStyle w:val="1151"/>
              <w:spacing w:line="360" w:lineRule="auto"/>
              <w:rPr>
                <w:rFonts w:hint="eastAsia" w:ascii="宋体" w:hAnsi="宋体" w:cs="宋体"/>
                <w:iCs/>
                <w:color w:val="000000"/>
                <w:szCs w:val="21"/>
              </w:rPr>
            </w:pPr>
            <w:r>
              <w:rPr>
                <w:rFonts w:hint="eastAsia" w:ascii="宋体" w:hAnsi="宋体" w:cs="宋体"/>
                <w:iCs/>
                <w:color w:val="000000"/>
                <w:szCs w:val="21"/>
              </w:rPr>
            </w:r>
            <w:r/>
          </w:p>
        </w:tc>
        <w:tc>
          <w:tcPr>
            <w:tcW w:w="1680"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17"/>
        </w:trPr>
        <w:tc>
          <w:tcPr>
            <w:tcW w:w="646"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5447" w:type="dxa"/>
            <w:vAlign w:val="center"/>
            <w:textDirection w:val="lrTb"/>
            <w:noWrap w:val="false"/>
          </w:tcPr>
          <w:p>
            <w:pPr>
              <w:pStyle w:val="1151"/>
              <w:spacing w:line="360" w:lineRule="auto"/>
              <w:rPr>
                <w:rFonts w:hint="eastAsia" w:ascii="宋体" w:hAnsi="宋体" w:cs="宋体"/>
                <w:iCs/>
                <w:color w:val="000000"/>
                <w:szCs w:val="21"/>
              </w:rPr>
            </w:pPr>
            <w:r>
              <w:rPr>
                <w:rFonts w:hint="eastAsia" w:ascii="宋体" w:hAnsi="宋体" w:cs="宋体"/>
                <w:iCs/>
                <w:color w:val="000000"/>
                <w:szCs w:val="21"/>
              </w:rPr>
            </w:r>
            <w:r/>
          </w:p>
        </w:tc>
        <w:tc>
          <w:tcPr>
            <w:tcW w:w="1680"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780"/>
        </w:trPr>
        <w:tc>
          <w:tcPr>
            <w:tcW w:w="646"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5447" w:type="dxa"/>
            <w:vAlign w:val="center"/>
            <w:textDirection w:val="lrTb"/>
            <w:noWrap w:val="false"/>
          </w:tcPr>
          <w:p>
            <w:pPr>
              <w:pStyle w:val="1151"/>
              <w:spacing w:line="360" w:lineRule="auto"/>
              <w:rPr>
                <w:rFonts w:hint="eastAsia" w:ascii="宋体" w:hAnsi="宋体" w:cs="宋体"/>
                <w:iCs/>
                <w:color w:val="000000"/>
                <w:szCs w:val="21"/>
              </w:rPr>
            </w:pPr>
            <w:r>
              <w:rPr>
                <w:rFonts w:hint="eastAsia" w:ascii="宋体" w:hAnsi="宋体" w:cs="宋体"/>
                <w:iCs/>
                <w:color w:val="000000"/>
                <w:szCs w:val="21"/>
              </w:rPr>
              <w:t xml:space="preserve">……</w:t>
            </w:r>
            <w:r>
              <w:rPr>
                <w:rFonts w:hint="eastAsia" w:ascii="宋体" w:hAnsi="宋体" w:cs="宋体"/>
                <w:iCs/>
                <w:color w:val="000000"/>
                <w:szCs w:val="21"/>
              </w:rPr>
            </w:r>
            <w:r/>
          </w:p>
        </w:tc>
        <w:tc>
          <w:tcPr>
            <w:tcW w:w="1680"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151"/>
        <w:contextualSpacing/>
        <w:jc w:val="center"/>
        <w:spacing w:line="360" w:lineRule="auto"/>
        <w:rPr>
          <w:rFonts w:hint="eastAsia" w:ascii="宋体" w:hAnsi="宋体" w:cs="宋体"/>
          <w:b/>
          <w:color w:val="000000"/>
          <w:sz w:val="32"/>
          <w:szCs w:val="32"/>
        </w:rPr>
      </w:pPr>
      <w:r>
        <w:rPr>
          <w:rFonts w:hint="eastAsia" w:ascii="宋体" w:hAnsi="宋体" w:cs="宋体"/>
          <w:b/>
          <w:bCs/>
          <w:color w:val="000000"/>
          <w:sz w:val="32"/>
          <w:szCs w:val="32"/>
        </w:rPr>
        <w:br w:type="page" w:clear="all"/>
      </w:r>
      <w:r>
        <w:rPr>
          <w:rFonts w:hint="eastAsia" w:ascii="宋体" w:hAnsi="宋体" w:cs="宋体"/>
          <w:b/>
          <w:bCs/>
          <w:color w:val="000000"/>
          <w:sz w:val="32"/>
          <w:szCs w:val="32"/>
        </w:rPr>
        <w:t xml:space="preserve">三、</w:t>
      </w:r>
      <w:r>
        <w:rPr>
          <w:rFonts w:hint="eastAsia" w:ascii="宋体" w:hAnsi="宋体" w:cs="宋体"/>
          <w:b/>
          <w:color w:val="000000"/>
          <w:sz w:val="32"/>
          <w:szCs w:val="32"/>
        </w:rPr>
        <w:t xml:space="preserve">非实质性响应对照表</w:t>
      </w:r>
      <w:r>
        <w:rPr>
          <w:rFonts w:hint="eastAsia" w:ascii="宋体" w:hAnsi="宋体" w:cs="宋体"/>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1151"/>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5447" w:type="dxa"/>
            <w:vAlign w:val="center"/>
            <w:textDirection w:val="lrTb"/>
            <w:noWrap w:val="false"/>
          </w:tcPr>
          <w:p>
            <w:pPr>
              <w:pStyle w:val="1151"/>
              <w:jc w:val="center"/>
              <w:spacing w:line="360" w:lineRule="auto"/>
              <w:rPr>
                <w:rFonts w:hint="eastAsia" w:ascii="宋体" w:hAnsi="宋体" w:cs="宋体"/>
                <w:b/>
                <w:color w:val="000000"/>
                <w:szCs w:val="21"/>
              </w:rPr>
            </w:pPr>
            <w:r>
              <w:rPr>
                <w:rFonts w:hint="eastAsia" w:ascii="宋体" w:hAnsi="宋体" w:cs="宋体"/>
                <w:b/>
                <w:color w:val="000000"/>
                <w:szCs w:val="21"/>
              </w:rPr>
              <w:t xml:space="preserve">非实质性响应内容</w:t>
            </w:r>
            <w:r>
              <w:rPr>
                <w:rFonts w:hint="eastAsia" w:ascii="宋体" w:hAnsi="宋体" w:cs="宋体"/>
                <w:b/>
                <w:color w:val="000000"/>
                <w:szCs w:val="21"/>
              </w:rPr>
            </w:r>
            <w:r/>
          </w:p>
        </w:tc>
        <w:tc>
          <w:tcPr>
            <w:tcW w:w="1680" w:type="dxa"/>
            <w:vAlign w:val="center"/>
            <w:textDirection w:val="lrTb"/>
            <w:noWrap w:val="false"/>
          </w:tcPr>
          <w:p>
            <w:pPr>
              <w:pStyle w:val="1151"/>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1151"/>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c>
          <w:tcPr>
            <w:tcW w:w="1308" w:type="dxa"/>
            <w:vAlign w:val="center"/>
            <w:textDirection w:val="lrTb"/>
            <w:noWrap w:val="false"/>
          </w:tcPr>
          <w:p>
            <w:pPr>
              <w:pStyle w:val="1151"/>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响应情况</w:t>
            </w:r>
            <w:r>
              <w:rPr>
                <w:rFonts w:hint="eastAsia" w:ascii="宋体" w:hAnsi="宋体" w:cs="宋体"/>
                <w:b/>
                <w:color w:val="000000"/>
                <w:szCs w:val="21"/>
              </w:rPr>
            </w:r>
            <w:r/>
          </w:p>
        </w:tc>
      </w:tr>
      <w:tr>
        <w:trPr>
          <w:trHeight w:val="585"/>
        </w:trPr>
        <w:tc>
          <w:tcPr>
            <w:tcW w:w="646" w:type="dxa"/>
            <w:vAlign w:val="center"/>
            <w:textDirection w:val="lrTb"/>
            <w:noWrap w:val="false"/>
          </w:tcPr>
          <w:p>
            <w:pPr>
              <w:pStyle w:val="1151"/>
              <w:jc w:val="center"/>
              <w:spacing w:line="360" w:lineRule="auto"/>
              <w:rPr>
                <w:rFonts w:hint="eastAsia" w:ascii="宋体" w:hAnsi="宋体" w:cs="宋体"/>
                <w:b/>
                <w:color w:val="000000"/>
                <w:szCs w:val="21"/>
              </w:rPr>
            </w:pPr>
            <w:r>
              <w:rPr>
                <w:rFonts w:hint="eastAsia" w:ascii="宋体" w:hAnsi="宋体" w:cs="宋体"/>
                <w:b/>
                <w:color w:val="000000"/>
                <w:szCs w:val="21"/>
              </w:rPr>
              <w:t xml:space="preserve">1</w:t>
            </w:r>
            <w:r>
              <w:rPr>
                <w:rFonts w:hint="eastAsia" w:ascii="宋体" w:hAnsi="宋体" w:cs="宋体"/>
                <w:b/>
                <w:color w:val="000000"/>
                <w:szCs w:val="21"/>
              </w:rPr>
            </w:r>
            <w:r/>
          </w:p>
        </w:tc>
        <w:tc>
          <w:tcPr>
            <w:tcW w:w="5447" w:type="dxa"/>
            <w:vAlign w:val="center"/>
            <w:textDirection w:val="lrTb"/>
            <w:noWrap w:val="false"/>
          </w:tcPr>
          <w:p>
            <w:pPr>
              <w:pStyle w:val="1151"/>
              <w:spacing w:line="360" w:lineRule="auto"/>
              <w:rPr>
                <w:rFonts w:hint="eastAsia" w:ascii="宋体" w:hAnsi="宋体" w:cs="宋体"/>
                <w:iCs/>
                <w:color w:val="000000"/>
                <w:szCs w:val="21"/>
              </w:rPr>
            </w:pPr>
            <w:r>
              <w:rPr>
                <w:rFonts w:hint="eastAsia" w:ascii="宋体" w:hAnsi="宋体" w:cs="宋体"/>
                <w:color w:val="000000"/>
                <w:szCs w:val="21"/>
              </w:rPr>
              <w:t xml:space="preserve">《中小企业声明函》</w:t>
            </w:r>
            <w:r>
              <w:rPr>
                <w:rFonts w:hint="eastAsia" w:ascii="宋体" w:hAnsi="宋体" w:cs="宋体"/>
                <w:iCs/>
                <w:color w:val="000000"/>
                <w:szCs w:val="21"/>
              </w:rPr>
            </w:r>
            <w:r/>
          </w:p>
        </w:tc>
        <w:tc>
          <w:tcPr>
            <w:tcW w:w="1680" w:type="dxa"/>
            <w:vAlign w:val="center"/>
            <w:textDirection w:val="lrTb"/>
            <w:noWrap w:val="false"/>
          </w:tcPr>
          <w:p>
            <w:pPr>
              <w:pStyle w:val="1151"/>
              <w:spacing w:line="360" w:lineRule="auto"/>
              <w:rPr>
                <w:rFonts w:hint="eastAsia" w:ascii="宋体" w:hAnsi="宋体" w:cs="宋体"/>
                <w:b/>
                <w:color w:val="000000"/>
                <w:szCs w:val="21"/>
              </w:rPr>
            </w:pPr>
            <w:r>
              <w:rPr>
                <w:rFonts w:hint="eastAsia" w:ascii="宋体" w:hAnsi="宋体" w:cs="宋体"/>
                <w:b/>
                <w:color w:val="000000"/>
                <w:szCs w:val="21"/>
              </w:rPr>
            </w:r>
            <w:r/>
          </w:p>
        </w:tc>
        <w:tc>
          <w:tcPr>
            <w:tcW w:w="1308" w:type="dxa"/>
            <w:vAlign w:val="center"/>
            <w:textDirection w:val="lrTb"/>
            <w:noWrap w:val="false"/>
          </w:tcPr>
          <w:p>
            <w:pPr>
              <w:pStyle w:val="1151"/>
              <w:spacing w:line="360" w:lineRule="auto"/>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646"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5447" w:type="dxa"/>
            <w:vAlign w:val="center"/>
            <w:textDirection w:val="lrTb"/>
            <w:noWrap w:val="false"/>
          </w:tcPr>
          <w:p>
            <w:pPr>
              <w:pStyle w:val="1151"/>
              <w:spacing w:line="360" w:lineRule="auto"/>
              <w:rPr>
                <w:rFonts w:hint="eastAsia" w:ascii="宋体" w:hAnsi="宋体" w:cs="宋体"/>
                <w:iCs/>
                <w:color w:val="000000"/>
                <w:szCs w:val="21"/>
              </w:rPr>
            </w:pPr>
            <w:r>
              <w:rPr>
                <w:rFonts w:hint="eastAsia" w:ascii="宋体" w:hAnsi="宋体" w:cs="宋体"/>
                <w:color w:val="000000"/>
                <w:szCs w:val="21"/>
              </w:rPr>
              <w:t xml:space="preserve">《残疾人福利性单位声明函》</w:t>
            </w:r>
            <w:r>
              <w:rPr>
                <w:rFonts w:hint="eastAsia" w:ascii="宋体" w:hAnsi="宋体" w:cs="宋体"/>
                <w:iCs/>
                <w:color w:val="000000"/>
                <w:szCs w:val="21"/>
              </w:rPr>
            </w:r>
            <w:r/>
          </w:p>
        </w:tc>
        <w:tc>
          <w:tcPr>
            <w:tcW w:w="1680"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780"/>
        </w:trPr>
        <w:tc>
          <w:tcPr>
            <w:tcW w:w="646"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5447" w:type="dxa"/>
            <w:vAlign w:val="center"/>
            <w:textDirection w:val="lrTb"/>
            <w:noWrap w:val="false"/>
          </w:tcPr>
          <w:p>
            <w:pPr>
              <w:pStyle w:val="1151"/>
              <w:spacing w:line="360" w:lineRule="auto"/>
              <w:rPr>
                <w:rFonts w:hint="eastAsia" w:ascii="宋体" w:hAnsi="宋体" w:cs="宋体"/>
                <w:iCs/>
                <w:color w:val="000000"/>
                <w:szCs w:val="21"/>
              </w:rPr>
            </w:pPr>
            <w:r>
              <w:rPr>
                <w:rFonts w:hint="eastAsia" w:ascii="宋体" w:hAnsi="宋体" w:cs="宋体"/>
                <w:iCs/>
                <w:color w:val="000000"/>
                <w:szCs w:val="21"/>
              </w:rPr>
              <w:t xml:space="preserve">……</w:t>
            </w:r>
            <w:r>
              <w:rPr>
                <w:rFonts w:hint="eastAsia" w:ascii="宋体" w:hAnsi="宋体" w:cs="宋体"/>
                <w:iCs/>
                <w:color w:val="000000"/>
                <w:szCs w:val="21"/>
              </w:rPr>
            </w:r>
            <w:r/>
          </w:p>
        </w:tc>
        <w:tc>
          <w:tcPr>
            <w:tcW w:w="1680"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151"/>
        <w:jc w:val="left"/>
        <w:spacing w:line="360" w:lineRule="auto"/>
        <w:widowControl/>
        <w:rPr>
          <w:rFonts w:hint="eastAsia" w:ascii="宋体" w:hAnsi="宋体" w:cs="宋体"/>
          <w:b/>
          <w:bCs/>
          <w:color w:val="000000"/>
        </w:rPr>
      </w:pPr>
      <w:r>
        <w:rPr>
          <w:rFonts w:hint="eastAsia" w:ascii="宋体" w:hAnsi="宋体" w:cs="宋体"/>
          <w:b/>
          <w:bCs/>
          <w:color w:val="000000"/>
        </w:rPr>
      </w:r>
      <w:r/>
    </w:p>
    <w:p>
      <w:pPr>
        <w:pStyle w:val="1151"/>
        <w:jc w:val="center"/>
        <w:spacing w:line="360" w:lineRule="auto"/>
        <w:rPr>
          <w:rFonts w:hint="eastAsia" w:ascii="宋体" w:hAnsi="宋体" w:cs="宋体"/>
          <w:color w:val="000000"/>
          <w:sz w:val="28"/>
          <w:szCs w:val="28"/>
        </w:rPr>
      </w:pPr>
      <w:r>
        <w:rPr>
          <w:rFonts w:hint="eastAsia" w:ascii="宋体" w:hAnsi="宋体" w:cs="宋体"/>
          <w:b/>
          <w:bCs/>
          <w:color w:val="000000"/>
        </w:rPr>
        <w:br w:type="page" w:clear="all"/>
      </w:r>
      <w:r>
        <w:rPr>
          <w:rFonts w:hint="eastAsia" w:ascii="宋体" w:hAnsi="宋体" w:cs="宋体"/>
          <w:b/>
          <w:color w:val="000000"/>
          <w:sz w:val="28"/>
          <w:szCs w:val="28"/>
        </w:rPr>
        <w:t xml:space="preserve">中小企业声明函（工程）</w:t>
      </w:r>
      <w:r>
        <w:rPr>
          <w:rFonts w:hint="eastAsia" w:ascii="宋体" w:hAnsi="宋体" w:cs="宋体"/>
          <w:color w:val="000000"/>
          <w:sz w:val="28"/>
          <w:szCs w:val="28"/>
        </w:rPr>
      </w:r>
      <w:r/>
    </w:p>
    <w:p>
      <w:pPr>
        <w:pStyle w:val="1151"/>
        <w:ind w:firstLine="420"/>
        <w:jc w:val="left"/>
        <w:spacing w:line="360" w:lineRule="auto"/>
        <w:rPr>
          <w:rFonts w:hint="eastAsia" w:ascii="宋体" w:hAnsi="宋体" w:cs="宋体"/>
          <w:color w:val="000000"/>
        </w:rPr>
      </w:pPr>
      <w:r>
        <w:rPr>
          <w:rFonts w:hint="eastAsia" w:ascii="宋体" w:hAnsi="宋体" w:cs="宋体"/>
          <w:color w:val="000000"/>
        </w:rPr>
        <w:t xml:space="preserve">本公司（联合体）郑重声明，根据《政府采购促进中小企业发展管理办法》（财库﹝2020﹞46号）的规定，本公司（联合体）参加</w:t>
      </w:r>
      <w:r>
        <w:rPr>
          <w:rFonts w:hint="eastAsia" w:ascii="宋体" w:hAnsi="宋体" w:cs="宋体"/>
          <w:color w:val="000000"/>
          <w:u w:val="single"/>
        </w:rPr>
        <w:t xml:space="preserve">（单位名称）</w:t>
      </w:r>
      <w:r>
        <w:rPr>
          <w:rFonts w:hint="eastAsia" w:ascii="宋体" w:hAnsi="宋体" w:cs="宋体"/>
          <w:color w:val="000000"/>
        </w:rPr>
        <w:t xml:space="preserve">的</w:t>
      </w:r>
      <w:r>
        <w:rPr>
          <w:rFonts w:hint="eastAsia" w:ascii="宋体" w:hAnsi="宋体" w:cs="宋体"/>
          <w:color w:val="000000"/>
          <w:u w:val="single"/>
        </w:rPr>
        <w:t xml:space="preserve">（项目名称）</w:t>
      </w:r>
      <w:r>
        <w:rPr>
          <w:rFonts w:hint="eastAsia" w:ascii="宋体" w:hAnsi="宋体" w:cs="宋体"/>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rPr>
      </w:r>
      <w:r/>
    </w:p>
    <w:p>
      <w:pPr>
        <w:pStyle w:val="1151"/>
        <w:ind w:firstLine="420"/>
        <w:jc w:val="left"/>
        <w:spacing w:line="360" w:lineRule="auto"/>
        <w:rPr>
          <w:rFonts w:hint="eastAsia" w:ascii="宋体" w:hAnsi="宋体" w:cs="宋体"/>
          <w:color w:val="000000"/>
          <w:u w:val="single"/>
        </w:rPr>
      </w:pPr>
      <w:r>
        <w:rPr>
          <w:rFonts w:hint="eastAsia" w:ascii="宋体" w:hAnsi="宋体" w:cs="宋体"/>
          <w:color w:val="000000"/>
        </w:rPr>
        <w:t xml:space="preserve">1.</w:t>
      </w: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rPr>
        <w:t xml:space="preserve">（采购文件中明确的所属行业）</w:t>
      </w:r>
      <w:r>
        <w:rPr>
          <w:rFonts w:hint="eastAsia" w:ascii="宋体" w:hAnsi="宋体" w:cs="宋体"/>
          <w:b/>
          <w:color w:val="000000"/>
          <w:u w:val="single"/>
        </w:rPr>
        <w:t xml:space="preserve">（该行业类别不可修改）</w:t>
      </w:r>
      <w:r>
        <w:rPr>
          <w:rFonts w:hint="eastAsia" w:ascii="宋体" w:hAnsi="宋体" w:cs="宋体"/>
          <w:b/>
          <w:color w:val="000000"/>
        </w:rPr>
        <w:t xml:space="preserve">；</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（中型企业、小型企业、微型企业）；</w:t>
      </w:r>
      <w:r>
        <w:rPr>
          <w:rFonts w:hint="eastAsia" w:ascii="宋体" w:hAnsi="宋体" w:cs="宋体"/>
          <w:color w:val="000000"/>
          <w:u w:val="single"/>
        </w:rPr>
      </w:r>
      <w:r/>
    </w:p>
    <w:p>
      <w:pPr>
        <w:pStyle w:val="1151"/>
        <w:ind w:firstLine="420"/>
        <w:jc w:val="left"/>
        <w:spacing w:line="360" w:lineRule="auto"/>
        <w:rPr>
          <w:rFonts w:hint="eastAsia" w:ascii="宋体" w:hAnsi="宋体" w:cs="宋体"/>
          <w:color w:val="000000"/>
          <w:u w:val="single"/>
        </w:rPr>
      </w:pPr>
      <w:r>
        <w:rPr>
          <w:rFonts w:hint="eastAsia" w:ascii="宋体" w:hAnsi="宋体" w:cs="宋体"/>
          <w:color w:val="000000"/>
        </w:rPr>
        <w:t xml:space="preserve">2.</w:t>
      </w: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rPr>
        <w:t xml:space="preserve">（采购文件中明确的所属行业（该行业类别不可修改））</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（中型企业、小型企业、微型企业）；</w:t>
      </w:r>
      <w:r>
        <w:rPr>
          <w:rFonts w:hint="eastAsia" w:ascii="宋体" w:hAnsi="宋体" w:cs="宋体"/>
          <w:color w:val="000000"/>
          <w:u w:val="single"/>
        </w:rPr>
      </w:r>
      <w:r/>
    </w:p>
    <w:p>
      <w:pPr>
        <w:pStyle w:val="1151"/>
        <w:ind w:firstLine="420"/>
        <w:jc w:val="left"/>
        <w:spacing w:line="360" w:lineRule="auto"/>
        <w:rPr>
          <w:rFonts w:hint="eastAsia" w:ascii="宋体" w:hAnsi="宋体" w:cs="宋体"/>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rPr>
          <w:rFonts w:hint="eastAsia" w:ascii="宋体" w:hAnsi="宋体" w:cs="宋体"/>
          <w:color w:val="000000"/>
        </w:rPr>
      </w:r>
      <w:r/>
    </w:p>
    <w:p>
      <w:pPr>
        <w:pStyle w:val="1151"/>
        <w:ind w:firstLine="420"/>
        <w:jc w:val="left"/>
        <w:spacing w:line="360" w:lineRule="auto"/>
        <w:rPr>
          <w:rFonts w:hint="eastAsia" w:ascii="宋体" w:hAnsi="宋体" w:cs="宋体"/>
          <w:color w:val="000000"/>
        </w:rPr>
      </w:pPr>
      <w:r>
        <w:rPr>
          <w:rFonts w:hint="eastAsia" w:ascii="宋体" w:hAnsi="宋体" w:cs="宋体"/>
          <w:color w:val="000000"/>
        </w:rPr>
        <w:t xml:space="preserve">本企业对上述声明内容的真实性负责。如有虚假，将依法承担相应责任。</w:t>
      </w:r>
      <w:r>
        <w:rPr>
          <w:rFonts w:hint="eastAsia" w:ascii="宋体" w:hAnsi="宋体" w:cs="宋体"/>
          <w:color w:val="000000"/>
        </w:rPr>
      </w:r>
      <w:r/>
    </w:p>
    <w:p>
      <w:pPr>
        <w:pStyle w:val="1151"/>
        <w:spacing w:line="360" w:lineRule="auto"/>
        <w:rPr>
          <w:rFonts w:hint="eastAsia" w:ascii="宋体" w:hAnsi="宋体" w:cs="宋体"/>
          <w:color w:val="000000"/>
        </w:rPr>
      </w:pPr>
      <w:r>
        <w:rPr>
          <w:rFonts w:hint="eastAsia" w:ascii="宋体" w:hAnsi="宋体" w:cs="宋体"/>
          <w:b/>
          <w:bCs/>
          <w:color w:val="000000"/>
        </w:rPr>
        <w:t xml:space="preserve">注</w:t>
      </w:r>
      <w:r>
        <w:rPr>
          <w:rFonts w:hint="eastAsia" w:ascii="宋体" w:hAnsi="宋体" w:cs="宋体"/>
          <w:color w:val="000000"/>
        </w:rPr>
        <w:t xml:space="preserve">：1、从业人员（不仅指在职职工）、营业收入、资产总额填报上一年度数据，无上一年度数据的新成立企业可不填报。</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2、供应商如不提供此声明函，价格将不做相应扣除。</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3、企业声明函请完整填写，中标后将公示。</w:t>
      </w:r>
      <w:r>
        <w:rPr>
          <w:rFonts w:hint="eastAsia" w:ascii="宋体" w:hAnsi="宋体" w:cs="宋体"/>
          <w:color w:val="000000"/>
        </w:rPr>
      </w:r>
      <w:r/>
    </w:p>
    <w:p>
      <w:pPr>
        <w:pStyle w:val="1151"/>
        <w:ind w:firstLine="420"/>
        <w:jc w:val="left"/>
        <w:spacing w:line="360" w:lineRule="auto"/>
        <w:rPr>
          <w:rFonts w:hint="eastAsia" w:ascii="宋体" w:hAnsi="宋体" w:cs="宋体"/>
          <w:color w:val="000000"/>
        </w:rPr>
      </w:pPr>
      <w:r>
        <w:rPr>
          <w:rFonts w:hint="eastAsia" w:ascii="宋体" w:hAnsi="宋体" w:cs="宋体"/>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s="宋体"/>
          <w:color w:val="000000"/>
        </w:rPr>
      </w:r>
      <w:r/>
    </w:p>
    <w:p>
      <w:pPr>
        <w:pStyle w:val="1151"/>
        <w:ind w:firstLine="420"/>
        <w:jc w:val="left"/>
        <w:spacing w:line="360" w:lineRule="auto"/>
        <w:rPr>
          <w:rFonts w:hint="eastAsia" w:ascii="宋体" w:hAnsi="宋体" w:cs="宋体"/>
          <w:color w:val="000000"/>
        </w:rPr>
      </w:pPr>
      <w:r>
        <w:rPr>
          <w:rFonts w:hint="eastAsia" w:ascii="宋体" w:hAnsi="宋体" w:cs="宋体"/>
          <w:color w:val="000000"/>
        </w:rPr>
        <w:t xml:space="preserve">5、中小企业不得属于大企业的分支机构，不得存在控股股东为大企业的情形，不得存在与大企业的负责人为同一人的情形。</w:t>
      </w:r>
      <w:r>
        <w:rPr>
          <w:rFonts w:hint="eastAsia" w:ascii="宋体" w:hAnsi="宋体" w:cs="宋体"/>
          <w:color w:val="000000"/>
        </w:rPr>
      </w:r>
      <w:r/>
    </w:p>
    <w:p>
      <w:pPr>
        <w:pStyle w:val="1151"/>
        <w:ind w:firstLine="420"/>
        <w:jc w:val="left"/>
        <w:spacing w:line="360" w:lineRule="auto"/>
        <w:rPr>
          <w:rFonts w:hint="eastAsia" w:ascii="宋体" w:hAnsi="宋体" w:cs="宋体"/>
          <w:color w:val="000000"/>
        </w:rPr>
      </w:pPr>
      <w:r>
        <w:rPr>
          <w:rFonts w:hint="eastAsia" w:ascii="宋体" w:hAnsi="宋体" w:cs="宋体"/>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color w:val="000000"/>
        </w:rPr>
      </w:r>
      <w:r/>
    </w:p>
    <w:p>
      <w:pPr>
        <w:pStyle w:val="1151"/>
        <w:ind w:firstLine="4620"/>
        <w:jc w:val="left"/>
        <w:spacing w:line="360" w:lineRule="auto"/>
        <w:rPr>
          <w:rFonts w:hint="eastAsia" w:ascii="宋体" w:hAnsi="宋体" w:cs="宋体"/>
          <w:color w:val="000000"/>
        </w:rPr>
      </w:pPr>
      <w:r>
        <w:rPr>
          <w:rFonts w:hint="eastAsia" w:ascii="宋体" w:hAnsi="宋体" w:cs="宋体"/>
          <w:color w:val="000000"/>
        </w:rPr>
        <w:t xml:space="preserve">企业名称（盖章）：</w:t>
      </w:r>
      <w:r>
        <w:rPr>
          <w:rFonts w:hint="eastAsia" w:ascii="宋体" w:hAnsi="宋体" w:cs="宋体"/>
          <w:color w:val="000000"/>
        </w:rPr>
      </w:r>
      <w:r/>
    </w:p>
    <w:p>
      <w:pPr>
        <w:pStyle w:val="1151"/>
        <w:ind w:firstLine="4620"/>
        <w:jc w:val="left"/>
        <w:spacing w:line="360" w:lineRule="auto"/>
        <w:rPr>
          <w:rFonts w:hint="eastAsia" w:ascii="宋体" w:hAnsi="宋体" w:cs="宋体"/>
          <w:color w:val="000000"/>
        </w:rPr>
      </w:pPr>
      <w:r>
        <w:rPr>
          <w:rFonts w:hint="eastAsia" w:ascii="宋体" w:hAnsi="宋体" w:cs="宋体"/>
          <w:color w:val="000000"/>
        </w:rPr>
        <w:t xml:space="preserve">日期：</w:t>
      </w:r>
      <w:r>
        <w:rPr>
          <w:rFonts w:hint="eastAsia" w:ascii="宋体" w:hAnsi="宋体" w:cs="宋体"/>
          <w:color w:val="000000"/>
        </w:rPr>
      </w:r>
      <w:r/>
    </w:p>
    <w:p>
      <w:pPr>
        <w:pStyle w:val="1151"/>
        <w:ind w:left="232"/>
        <w:jc w:val="center"/>
        <w:spacing w:before="300" w:after="300" w:line="360" w:lineRule="auto"/>
        <w:widowControl/>
        <w:rPr>
          <w:rFonts w:ascii="宋体" w:hAnsi="宋体" w:cs="宋体"/>
          <w:b/>
          <w:bCs/>
          <w:color w:val="000000"/>
          <w:szCs w:val="21"/>
          <w:lang w:val="zh-CN" w:bidi="zh-CN"/>
        </w:rPr>
        <w:outlineLvl w:val="1"/>
      </w:pPr>
      <w:r/>
      <w:bookmarkStart w:id="503" w:name="_Toc109304977"/>
      <w:r>
        <w:rPr>
          <w:rFonts w:hint="eastAsia" w:ascii="宋体" w:hAnsi="宋体" w:cs="宋体"/>
          <w:b/>
          <w:color w:val="000000"/>
          <w:szCs w:val="21"/>
          <w:lang w:val="zh-CN" w:bidi="zh-CN"/>
        </w:rPr>
        <w:t xml:space="preserve">中小微企业划型标准</w:t>
      </w:r>
      <w:bookmarkEnd w:id="503"/>
      <w:r>
        <w:rPr>
          <w:rFonts w:hint="eastAsia" w:ascii="宋体" w:hAnsi="宋体" w:cs="宋体"/>
          <w:b/>
          <w:color w:val="000000"/>
          <w:szCs w:val="21"/>
          <w:lang w:val="zh-CN" w:bidi="zh-CN"/>
        </w:rPr>
        <w:t xml:space="preserve"> </w:t>
      </w:r>
      <w:r>
        <w:rPr>
          <w:rFonts w:ascii="宋体" w:hAnsi="宋体" w:cs="宋体"/>
          <w:b/>
          <w:bCs/>
          <w:color w:val="000000"/>
          <w:szCs w:val="21"/>
          <w:lang w:val="zh-CN" w:bidi="zh-CN"/>
        </w:rPr>
      </w:r>
      <w:r/>
    </w:p>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中小微企业划型标准如下：</w:t>
      </w:r>
      <w:r>
        <w:rPr>
          <w:rFonts w:ascii="宋体" w:hAnsi="宋体" w:cs="宋体"/>
          <w:color w:val="000000"/>
          <w:szCs w:val="21"/>
        </w:rPr>
      </w:r>
      <w:r/>
    </w:p>
    <w:tbl>
      <w:tblPr>
        <w:tblW w:w="9705" w:type="dxa"/>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58"/>
        <w:gridCol w:w="1843"/>
        <w:gridCol w:w="851"/>
        <w:gridCol w:w="2302"/>
        <w:gridCol w:w="1909"/>
        <w:gridCol w:w="1342"/>
      </w:tblGrid>
      <w:tr>
        <w:trPr>
          <w:tblCellSpacing w:w="15" w:type="dxa"/>
          <w:trHeight w:val="1492"/>
        </w:trPr>
        <w:tc>
          <w:tcPr>
            <w:tcMar>
              <w:left w:w="105" w:type="dxa"/>
              <w:top w:w="0" w:type="dxa"/>
              <w:right w:w="105" w:type="dxa"/>
              <w:bottom w:w="0" w:type="dxa"/>
            </w:tcMar>
            <w:tcW w:w="14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行业名称</w:t>
            </w:r>
            <w:r>
              <w:rPr>
                <w:rFonts w:ascii="宋体" w:hAnsi="宋体" w:cs="宋体"/>
                <w:color w:val="000000"/>
                <w:szCs w:val="21"/>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指标名称</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计量单位</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中型</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小型</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微型</w:t>
            </w:r>
            <w:r>
              <w:rPr>
                <w:rFonts w:ascii="宋体" w:hAnsi="宋体" w:cs="宋体"/>
                <w:color w:val="000000"/>
                <w:szCs w:val="21"/>
              </w:rPr>
            </w:r>
            <w:r/>
          </w:p>
        </w:tc>
      </w:tr>
      <w:tr>
        <w:trPr>
          <w:tblCellSpacing w:w="15" w:type="dxa"/>
          <w:trHeight w:val="1130"/>
        </w:trPr>
        <w:tc>
          <w:tcPr>
            <w:tcMar>
              <w:left w:w="105" w:type="dxa"/>
              <w:top w:w="0" w:type="dxa"/>
              <w:right w:w="105" w:type="dxa"/>
              <w:bottom w:w="0" w:type="dxa"/>
            </w:tcMar>
            <w:tcW w:w="1413" w:type="dxa"/>
            <w:vAlign w:val="bottom"/>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农、林、牧、渔</w:t>
            </w:r>
            <w:r>
              <w:rPr>
                <w:rFonts w:ascii="宋体" w:hAnsi="宋体" w:cs="宋体"/>
                <w:color w:val="000000"/>
                <w:szCs w:val="21"/>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营业收入（Y）</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万元</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500≤Y＜20000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50≤Y＜500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Y＜50</w:t>
            </w:r>
            <w:r>
              <w:rPr>
                <w:rFonts w:ascii="宋体" w:hAnsi="宋体" w:cs="宋体"/>
                <w:color w:val="000000"/>
                <w:szCs w:val="21"/>
              </w:rPr>
            </w:r>
            <w:r/>
          </w:p>
        </w:tc>
      </w:tr>
      <w:tr>
        <w:trPr>
          <w:tblCellSpacing w:w="15" w:type="dxa"/>
          <w:trHeight w:val="604"/>
        </w:trPr>
        <w:tc>
          <w:tcPr>
            <w:tcMar>
              <w:left w:w="105" w:type="dxa"/>
              <w:top w:w="0" w:type="dxa"/>
              <w:right w:w="105" w:type="dxa"/>
              <w:bottom w:w="0" w:type="dxa"/>
            </w:tcMar>
            <w:tcW w:w="1413" w:type="dxa"/>
            <w:vAlign w:val="center"/>
            <w:vMerge w:val="restart"/>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工业</w:t>
            </w:r>
            <w:r>
              <w:rPr>
                <w:rFonts w:ascii="宋体" w:hAnsi="宋体" w:cs="宋体"/>
                <w:color w:val="000000"/>
                <w:szCs w:val="21"/>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从业人员（X）</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人</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300≤X＜1000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20≤X＜300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X＜20</w:t>
            </w:r>
            <w:r>
              <w:rPr>
                <w:rFonts w:ascii="宋体" w:hAnsi="宋体" w:cs="宋体"/>
                <w:color w:val="000000"/>
                <w:szCs w:val="21"/>
              </w:rPr>
            </w:r>
            <w:r/>
          </w:p>
        </w:tc>
      </w:tr>
      <w:tr>
        <w:trPr>
          <w:tblCellSpacing w:w="15" w:type="dxa"/>
          <w:trHeight w:val="604"/>
        </w:trPr>
        <w:tc>
          <w:tcPr>
            <w:tcW w:w="1413" w:type="dxa"/>
            <w:vAlign w:val="center"/>
            <w:vMerge w:val="continue"/>
            <w:textDirection w:val="lrTb"/>
            <w:noWrap w:val="false"/>
          </w:tcPr>
          <w:p>
            <w:pPr>
              <w:pStyle w:val="1151"/>
              <w:jc w:val="center"/>
              <w:spacing w:line="360" w:lineRule="auto"/>
              <w:widowControl/>
              <w:rPr>
                <w:rFonts w:ascii="宋体" w:hAnsi="宋体" w:cs="宋体"/>
                <w:color w:val="000000"/>
                <w:sz w:val="22"/>
                <w:szCs w:val="21"/>
                <w:lang w:val="zh-CN" w:bidi="zh-CN"/>
              </w:rPr>
            </w:pPr>
            <w:r>
              <w:rPr>
                <w:rFonts w:ascii="宋体" w:hAnsi="宋体" w:cs="宋体"/>
                <w:color w:val="000000"/>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营业收入（Y）</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万元</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2000≤Y＜40000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300≤Y＜2000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Y＜300</w:t>
            </w:r>
            <w:r>
              <w:rPr>
                <w:rFonts w:ascii="宋体" w:hAnsi="宋体" w:cs="宋体"/>
                <w:color w:val="000000"/>
                <w:szCs w:val="21"/>
              </w:rPr>
            </w:r>
            <w:r/>
          </w:p>
        </w:tc>
      </w:tr>
      <w:tr>
        <w:trPr>
          <w:tblCellSpacing w:w="15" w:type="dxa"/>
          <w:trHeight w:val="604"/>
        </w:trPr>
        <w:tc>
          <w:tcPr>
            <w:tcMar>
              <w:left w:w="105" w:type="dxa"/>
              <w:top w:w="0" w:type="dxa"/>
              <w:right w:w="105" w:type="dxa"/>
              <w:bottom w:w="0" w:type="dxa"/>
            </w:tcMar>
            <w:tcW w:w="1413" w:type="dxa"/>
            <w:vAlign w:val="center"/>
            <w:vMerge w:val="restart"/>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建筑业</w:t>
            </w:r>
            <w:r>
              <w:rPr>
                <w:rFonts w:ascii="宋体" w:hAnsi="宋体" w:cs="宋体"/>
                <w:color w:val="000000"/>
                <w:szCs w:val="21"/>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营业收入（Y）</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万元</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6000≤Y＜80000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300≤Y＜6000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Y＜300</w:t>
            </w:r>
            <w:r>
              <w:rPr>
                <w:rFonts w:ascii="宋体" w:hAnsi="宋体" w:cs="宋体"/>
                <w:color w:val="000000"/>
                <w:szCs w:val="21"/>
              </w:rPr>
            </w:r>
            <w:r/>
          </w:p>
        </w:tc>
      </w:tr>
      <w:tr>
        <w:trPr>
          <w:tblCellSpacing w:w="15" w:type="dxa"/>
          <w:trHeight w:val="604"/>
        </w:trPr>
        <w:tc>
          <w:tcPr>
            <w:tcW w:w="1413" w:type="dxa"/>
            <w:vAlign w:val="center"/>
            <w:vMerge w:val="continue"/>
            <w:textDirection w:val="lrTb"/>
            <w:noWrap w:val="false"/>
          </w:tcPr>
          <w:p>
            <w:pPr>
              <w:pStyle w:val="1151"/>
              <w:jc w:val="center"/>
              <w:spacing w:line="360" w:lineRule="auto"/>
              <w:widowControl/>
              <w:rPr>
                <w:rFonts w:ascii="宋体" w:hAnsi="宋体" w:cs="宋体"/>
                <w:color w:val="000000"/>
                <w:sz w:val="22"/>
                <w:szCs w:val="21"/>
                <w:lang w:val="zh-CN" w:bidi="zh-CN"/>
              </w:rPr>
            </w:pPr>
            <w:r>
              <w:rPr>
                <w:rFonts w:ascii="宋体" w:hAnsi="宋体" w:cs="宋体"/>
                <w:color w:val="000000"/>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资产总额（Z）</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万元</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5000≤Z＜80000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300≤Z＜5000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Z＜300</w:t>
            </w:r>
            <w:r>
              <w:rPr>
                <w:rFonts w:ascii="宋体" w:hAnsi="宋体" w:cs="宋体"/>
                <w:color w:val="000000"/>
                <w:szCs w:val="21"/>
              </w:rPr>
            </w:r>
            <w:r/>
          </w:p>
        </w:tc>
      </w:tr>
      <w:tr>
        <w:trPr>
          <w:tblCellSpacing w:w="15" w:type="dxa"/>
          <w:trHeight w:val="604"/>
        </w:trPr>
        <w:tc>
          <w:tcPr>
            <w:tcMar>
              <w:left w:w="105" w:type="dxa"/>
              <w:top w:w="0" w:type="dxa"/>
              <w:right w:w="105" w:type="dxa"/>
              <w:bottom w:w="0" w:type="dxa"/>
            </w:tcMar>
            <w:tcW w:w="1413" w:type="dxa"/>
            <w:vAlign w:val="center"/>
            <w:vMerge w:val="restart"/>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批发业</w:t>
            </w:r>
            <w:r>
              <w:rPr>
                <w:rFonts w:ascii="宋体" w:hAnsi="宋体" w:cs="宋体"/>
                <w:color w:val="000000"/>
                <w:szCs w:val="21"/>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从业人员（X）</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人</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20≤X＜200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5≤X＜20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X＜5</w:t>
            </w:r>
            <w:r>
              <w:rPr>
                <w:rFonts w:ascii="宋体" w:hAnsi="宋体" w:cs="宋体"/>
                <w:color w:val="000000"/>
                <w:szCs w:val="21"/>
              </w:rPr>
            </w:r>
            <w:r/>
          </w:p>
        </w:tc>
      </w:tr>
      <w:tr>
        <w:trPr>
          <w:tblCellSpacing w:w="15" w:type="dxa"/>
          <w:trHeight w:val="604"/>
        </w:trPr>
        <w:tc>
          <w:tcPr>
            <w:tcW w:w="1413" w:type="dxa"/>
            <w:vAlign w:val="center"/>
            <w:vMerge w:val="continue"/>
            <w:textDirection w:val="lrTb"/>
            <w:noWrap w:val="false"/>
          </w:tcPr>
          <w:p>
            <w:pPr>
              <w:pStyle w:val="1151"/>
              <w:jc w:val="center"/>
              <w:spacing w:line="360" w:lineRule="auto"/>
              <w:widowControl/>
              <w:rPr>
                <w:rFonts w:ascii="宋体" w:hAnsi="宋体" w:cs="宋体"/>
                <w:color w:val="000000"/>
                <w:sz w:val="22"/>
                <w:szCs w:val="21"/>
                <w:lang w:val="zh-CN" w:bidi="zh-CN"/>
              </w:rPr>
            </w:pPr>
            <w:r>
              <w:rPr>
                <w:rFonts w:ascii="宋体" w:hAnsi="宋体" w:cs="宋体"/>
                <w:color w:val="000000"/>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营业收入（Y）</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万元</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5000≤Y＜40000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1000≤Y＜5000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Y＜1000</w:t>
            </w:r>
            <w:r>
              <w:rPr>
                <w:rFonts w:ascii="宋体" w:hAnsi="宋体" w:cs="宋体"/>
                <w:color w:val="000000"/>
                <w:szCs w:val="21"/>
              </w:rPr>
            </w:r>
            <w:r/>
          </w:p>
        </w:tc>
      </w:tr>
      <w:tr>
        <w:trPr>
          <w:tblCellSpacing w:w="15" w:type="dxa"/>
          <w:trHeight w:val="604"/>
        </w:trPr>
        <w:tc>
          <w:tcPr>
            <w:tcMar>
              <w:left w:w="105" w:type="dxa"/>
              <w:top w:w="0" w:type="dxa"/>
              <w:right w:w="105" w:type="dxa"/>
              <w:bottom w:w="0" w:type="dxa"/>
            </w:tcMar>
            <w:tcW w:w="1413" w:type="dxa"/>
            <w:vAlign w:val="center"/>
            <w:vMerge w:val="restart"/>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零售业</w:t>
            </w:r>
            <w:r>
              <w:rPr>
                <w:rFonts w:ascii="宋体" w:hAnsi="宋体" w:cs="宋体"/>
                <w:color w:val="000000"/>
                <w:szCs w:val="21"/>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从业人员（X）</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人</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50≤X＜300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10≤X＜50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X＜10</w:t>
            </w:r>
            <w:r>
              <w:rPr>
                <w:rFonts w:ascii="宋体" w:hAnsi="宋体" w:cs="宋体"/>
                <w:color w:val="000000"/>
                <w:szCs w:val="21"/>
              </w:rPr>
            </w:r>
            <w:r/>
          </w:p>
        </w:tc>
      </w:tr>
      <w:tr>
        <w:trPr>
          <w:tblCellSpacing w:w="15" w:type="dxa"/>
          <w:trHeight w:val="604"/>
        </w:trPr>
        <w:tc>
          <w:tcPr>
            <w:tcW w:w="1413" w:type="dxa"/>
            <w:vAlign w:val="center"/>
            <w:vMerge w:val="continue"/>
            <w:textDirection w:val="lrTb"/>
            <w:noWrap w:val="false"/>
          </w:tcPr>
          <w:p>
            <w:pPr>
              <w:pStyle w:val="1151"/>
              <w:jc w:val="center"/>
              <w:spacing w:line="360" w:lineRule="auto"/>
              <w:widowControl/>
              <w:rPr>
                <w:rFonts w:ascii="宋体" w:hAnsi="宋体" w:cs="宋体"/>
                <w:color w:val="000000"/>
                <w:sz w:val="22"/>
                <w:szCs w:val="21"/>
                <w:lang w:val="zh-CN" w:bidi="zh-CN"/>
              </w:rPr>
            </w:pPr>
            <w:r>
              <w:rPr>
                <w:rFonts w:ascii="宋体" w:hAnsi="宋体" w:cs="宋体"/>
                <w:color w:val="000000"/>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营业收入（Y）</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万元</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500≤Y＜20000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100≤Y＜500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Y＜100</w:t>
            </w:r>
            <w:r>
              <w:rPr>
                <w:rFonts w:ascii="宋体" w:hAnsi="宋体" w:cs="宋体"/>
                <w:color w:val="000000"/>
                <w:szCs w:val="21"/>
              </w:rPr>
            </w:r>
            <w:r/>
          </w:p>
        </w:tc>
      </w:tr>
      <w:tr>
        <w:trPr>
          <w:tblCellSpacing w:w="15" w:type="dxa"/>
          <w:trHeight w:val="709"/>
        </w:trPr>
        <w:tc>
          <w:tcPr>
            <w:tcMar>
              <w:left w:w="105" w:type="dxa"/>
              <w:top w:w="0" w:type="dxa"/>
              <w:right w:w="105" w:type="dxa"/>
              <w:bottom w:w="0" w:type="dxa"/>
            </w:tcMar>
            <w:tcW w:w="1413" w:type="dxa"/>
            <w:vAlign w:val="center"/>
            <w:vMerge w:val="restart"/>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交通运输业</w:t>
            </w:r>
            <w:r>
              <w:rPr>
                <w:rFonts w:ascii="宋体" w:hAnsi="宋体" w:cs="宋体"/>
                <w:color w:val="000000"/>
                <w:szCs w:val="21"/>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从业人员（X）</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人</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300≤X＜1000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20≤X＜300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X＜20</w:t>
            </w:r>
            <w:r>
              <w:rPr>
                <w:rFonts w:ascii="宋体" w:hAnsi="宋体" w:cs="宋体"/>
                <w:color w:val="000000"/>
                <w:szCs w:val="21"/>
              </w:rPr>
            </w:r>
            <w:r/>
          </w:p>
        </w:tc>
      </w:tr>
      <w:tr>
        <w:trPr>
          <w:tblCellSpacing w:w="15" w:type="dxa"/>
          <w:trHeight w:val="467"/>
        </w:trPr>
        <w:tc>
          <w:tcPr>
            <w:tcW w:w="1413" w:type="dxa"/>
            <w:vAlign w:val="center"/>
            <w:vMerge w:val="continue"/>
            <w:textDirection w:val="lrTb"/>
            <w:noWrap w:val="false"/>
          </w:tcPr>
          <w:p>
            <w:pPr>
              <w:pStyle w:val="1151"/>
              <w:jc w:val="center"/>
              <w:spacing w:line="360" w:lineRule="auto"/>
              <w:widowControl/>
              <w:rPr>
                <w:rFonts w:ascii="宋体" w:hAnsi="宋体" w:cs="宋体"/>
                <w:color w:val="000000"/>
                <w:sz w:val="22"/>
                <w:szCs w:val="21"/>
                <w:lang w:val="zh-CN" w:bidi="zh-CN"/>
              </w:rPr>
            </w:pPr>
            <w:r>
              <w:rPr>
                <w:rFonts w:ascii="宋体" w:hAnsi="宋体" w:cs="宋体"/>
                <w:color w:val="000000"/>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营业收入（Y）</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万元</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3000≤Y＜30000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200≤Y＜3000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Y＜200</w:t>
            </w:r>
            <w:r>
              <w:rPr>
                <w:rFonts w:ascii="宋体" w:hAnsi="宋体" w:cs="宋体"/>
                <w:color w:val="000000"/>
                <w:szCs w:val="21"/>
              </w:rPr>
            </w:r>
            <w:r/>
          </w:p>
        </w:tc>
      </w:tr>
      <w:tr>
        <w:trPr>
          <w:tblCellSpacing w:w="15" w:type="dxa"/>
          <w:trHeight w:val="531"/>
        </w:trPr>
        <w:tc>
          <w:tcPr>
            <w:tcMar>
              <w:left w:w="105" w:type="dxa"/>
              <w:top w:w="0" w:type="dxa"/>
              <w:right w:w="105" w:type="dxa"/>
              <w:bottom w:w="0" w:type="dxa"/>
            </w:tcMar>
            <w:tcW w:w="1413" w:type="dxa"/>
            <w:vAlign w:val="center"/>
            <w:vMerge w:val="restart"/>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仓储业</w:t>
            </w:r>
            <w:r>
              <w:rPr>
                <w:rFonts w:ascii="宋体" w:hAnsi="宋体" w:cs="宋体"/>
                <w:color w:val="000000"/>
                <w:szCs w:val="21"/>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从业人员（X）</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人</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100≤X＜200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20≤X＜100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X＜20</w:t>
            </w:r>
            <w:r>
              <w:rPr>
                <w:rFonts w:ascii="宋体" w:hAnsi="宋体" w:cs="宋体"/>
                <w:color w:val="000000"/>
                <w:szCs w:val="21"/>
              </w:rPr>
            </w:r>
            <w:r/>
          </w:p>
        </w:tc>
      </w:tr>
      <w:tr>
        <w:trPr>
          <w:tblCellSpacing w:w="15" w:type="dxa"/>
          <w:trHeight w:val="653"/>
        </w:trPr>
        <w:tc>
          <w:tcPr>
            <w:tcW w:w="1413" w:type="dxa"/>
            <w:vAlign w:val="center"/>
            <w:vMerge w:val="continue"/>
            <w:textDirection w:val="lrTb"/>
            <w:noWrap w:val="false"/>
          </w:tcPr>
          <w:p>
            <w:pPr>
              <w:pStyle w:val="1151"/>
              <w:jc w:val="center"/>
              <w:spacing w:line="360" w:lineRule="auto"/>
              <w:widowControl/>
              <w:rPr>
                <w:rFonts w:ascii="宋体" w:hAnsi="宋体" w:cs="宋体"/>
                <w:color w:val="000000"/>
                <w:sz w:val="22"/>
                <w:szCs w:val="21"/>
                <w:lang w:val="zh-CN" w:bidi="zh-CN"/>
              </w:rPr>
            </w:pPr>
            <w:r>
              <w:rPr>
                <w:rFonts w:ascii="宋体" w:hAnsi="宋体" w:cs="宋体"/>
                <w:color w:val="000000"/>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营业收入（Y）</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万元</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1000≤Y＜30000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100≤Y＜1000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Y＜100</w:t>
            </w:r>
            <w:r>
              <w:rPr>
                <w:rFonts w:ascii="宋体" w:hAnsi="宋体" w:cs="宋体"/>
                <w:color w:val="000000"/>
                <w:szCs w:val="21"/>
              </w:rPr>
            </w:r>
            <w:r/>
          </w:p>
        </w:tc>
      </w:tr>
      <w:tr>
        <w:trPr>
          <w:tblCellSpacing w:w="15" w:type="dxa"/>
          <w:trHeight w:val="535"/>
        </w:trPr>
        <w:tc>
          <w:tcPr>
            <w:tcMar>
              <w:left w:w="105" w:type="dxa"/>
              <w:top w:w="0" w:type="dxa"/>
              <w:right w:w="105" w:type="dxa"/>
              <w:bottom w:w="0" w:type="dxa"/>
            </w:tcMar>
            <w:tcW w:w="1413" w:type="dxa"/>
            <w:vAlign w:val="center"/>
            <w:vMerge w:val="restart"/>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邮政业</w:t>
            </w:r>
            <w:r>
              <w:rPr>
                <w:rFonts w:ascii="宋体" w:hAnsi="宋体" w:cs="宋体"/>
                <w:color w:val="000000"/>
                <w:szCs w:val="21"/>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从业人员（X）</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人</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300≤X＜1000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20≤X＜300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X＜20</w:t>
            </w:r>
            <w:r>
              <w:rPr>
                <w:rFonts w:ascii="宋体" w:hAnsi="宋体" w:cs="宋体"/>
                <w:color w:val="000000"/>
                <w:szCs w:val="21"/>
              </w:rPr>
            </w:r>
            <w:r/>
          </w:p>
        </w:tc>
      </w:tr>
      <w:tr>
        <w:trPr>
          <w:tblCellSpacing w:w="15" w:type="dxa"/>
          <w:trHeight w:val="515"/>
        </w:trPr>
        <w:tc>
          <w:tcPr>
            <w:tcW w:w="1413" w:type="dxa"/>
            <w:vAlign w:val="center"/>
            <w:vMerge w:val="continue"/>
            <w:textDirection w:val="lrTb"/>
            <w:noWrap w:val="false"/>
          </w:tcPr>
          <w:p>
            <w:pPr>
              <w:pStyle w:val="1151"/>
              <w:jc w:val="center"/>
              <w:spacing w:line="360" w:lineRule="auto"/>
              <w:widowControl/>
              <w:rPr>
                <w:rFonts w:ascii="宋体" w:hAnsi="宋体" w:cs="宋体"/>
                <w:color w:val="000000"/>
                <w:sz w:val="22"/>
                <w:szCs w:val="21"/>
                <w:lang w:val="zh-CN" w:bidi="zh-CN"/>
              </w:rPr>
            </w:pPr>
            <w:r>
              <w:rPr>
                <w:rFonts w:ascii="宋体" w:hAnsi="宋体" w:cs="宋体"/>
                <w:color w:val="000000"/>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营业收入（Y）</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万元</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2000≤Y＜30000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100≤Y＜2000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Y＜100</w:t>
            </w:r>
            <w:r>
              <w:rPr>
                <w:rFonts w:ascii="宋体" w:hAnsi="宋体" w:cs="宋体"/>
                <w:color w:val="000000"/>
                <w:szCs w:val="21"/>
              </w:rPr>
            </w:r>
            <w:r/>
          </w:p>
        </w:tc>
      </w:tr>
      <w:tr>
        <w:trPr>
          <w:tblCellSpacing w:w="15" w:type="dxa"/>
          <w:trHeight w:val="563"/>
        </w:trPr>
        <w:tc>
          <w:tcPr>
            <w:tcMar>
              <w:left w:w="105" w:type="dxa"/>
              <w:top w:w="0" w:type="dxa"/>
              <w:right w:w="105" w:type="dxa"/>
              <w:bottom w:w="0" w:type="dxa"/>
            </w:tcMar>
            <w:tcW w:w="1413" w:type="dxa"/>
            <w:vAlign w:val="center"/>
            <w:vMerge w:val="restart"/>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住宿业</w:t>
            </w:r>
            <w:r>
              <w:rPr>
                <w:rFonts w:ascii="宋体" w:hAnsi="宋体" w:cs="宋体"/>
                <w:color w:val="000000"/>
                <w:szCs w:val="21"/>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从业人员（X）</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人</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100≤X＜300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10≤X＜100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X＜10</w:t>
            </w:r>
            <w:r>
              <w:rPr>
                <w:rFonts w:ascii="宋体" w:hAnsi="宋体" w:cs="宋体"/>
                <w:color w:val="000000"/>
                <w:szCs w:val="21"/>
              </w:rPr>
            </w:r>
            <w:r/>
          </w:p>
        </w:tc>
      </w:tr>
      <w:tr>
        <w:trPr>
          <w:tblCellSpacing w:w="15" w:type="dxa"/>
          <w:trHeight w:val="642"/>
        </w:trPr>
        <w:tc>
          <w:tcPr>
            <w:tcW w:w="1413" w:type="dxa"/>
            <w:vAlign w:val="center"/>
            <w:vMerge w:val="continue"/>
            <w:textDirection w:val="lrTb"/>
            <w:noWrap w:val="false"/>
          </w:tcPr>
          <w:p>
            <w:pPr>
              <w:pStyle w:val="1151"/>
              <w:jc w:val="left"/>
              <w:spacing w:line="360" w:lineRule="auto"/>
              <w:widowControl/>
              <w:rPr>
                <w:rFonts w:ascii="宋体" w:hAnsi="宋体" w:cs="宋体"/>
                <w:color w:val="000000"/>
                <w:sz w:val="22"/>
                <w:szCs w:val="21"/>
                <w:lang w:val="zh-CN" w:bidi="zh-CN"/>
              </w:rPr>
            </w:pPr>
            <w:r>
              <w:rPr>
                <w:rFonts w:ascii="宋体" w:hAnsi="宋体" w:cs="宋体"/>
                <w:color w:val="000000"/>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营业收入（Y）</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万元</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2000≤Y＜10000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100≤Y＜2000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Y＜100</w:t>
            </w:r>
            <w:r>
              <w:rPr>
                <w:rFonts w:ascii="宋体" w:hAnsi="宋体" w:cs="宋体"/>
                <w:color w:val="000000"/>
                <w:szCs w:val="21"/>
              </w:rPr>
            </w:r>
            <w:r/>
          </w:p>
        </w:tc>
      </w:tr>
      <w:tr>
        <w:trPr>
          <w:tblCellSpacing w:w="15" w:type="dxa"/>
          <w:trHeight w:val="652"/>
        </w:trPr>
        <w:tc>
          <w:tcPr>
            <w:tcMar>
              <w:left w:w="105" w:type="dxa"/>
              <w:top w:w="0" w:type="dxa"/>
              <w:right w:w="105" w:type="dxa"/>
              <w:bottom w:w="0" w:type="dxa"/>
            </w:tcMar>
            <w:tcW w:w="1413" w:type="dxa"/>
            <w:vAlign w:val="center"/>
            <w:vMerge w:val="restart"/>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餐饮业</w:t>
            </w:r>
            <w:r>
              <w:rPr>
                <w:rFonts w:ascii="宋体" w:hAnsi="宋体" w:cs="宋体"/>
                <w:color w:val="000000"/>
                <w:szCs w:val="21"/>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从业人员（X）</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人</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100≤X＜300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10≤X＜100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X＜10</w:t>
            </w:r>
            <w:r>
              <w:rPr>
                <w:rFonts w:ascii="宋体" w:hAnsi="宋体" w:cs="宋体"/>
                <w:color w:val="000000"/>
                <w:szCs w:val="21"/>
              </w:rPr>
            </w:r>
            <w:r/>
          </w:p>
        </w:tc>
      </w:tr>
      <w:tr>
        <w:trPr>
          <w:tblCellSpacing w:w="15" w:type="dxa"/>
          <w:trHeight w:val="534"/>
        </w:trPr>
        <w:tc>
          <w:tcPr>
            <w:tcW w:w="1413" w:type="dxa"/>
            <w:vAlign w:val="center"/>
            <w:vMerge w:val="continue"/>
            <w:textDirection w:val="lrTb"/>
            <w:noWrap w:val="false"/>
          </w:tcPr>
          <w:p>
            <w:pPr>
              <w:pStyle w:val="1151"/>
              <w:jc w:val="center"/>
              <w:spacing w:line="360" w:lineRule="auto"/>
              <w:widowControl/>
              <w:rPr>
                <w:rFonts w:ascii="宋体" w:hAnsi="宋体" w:cs="宋体"/>
                <w:color w:val="000000"/>
                <w:sz w:val="22"/>
                <w:szCs w:val="21"/>
                <w:lang w:val="zh-CN" w:bidi="zh-CN"/>
              </w:rPr>
            </w:pPr>
            <w:r>
              <w:rPr>
                <w:rFonts w:ascii="宋体" w:hAnsi="宋体" w:cs="宋体"/>
                <w:color w:val="000000"/>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营业收入（Y）</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万元</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2000≤Y＜10000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100≤Y＜2000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Y＜100</w:t>
            </w:r>
            <w:r>
              <w:rPr>
                <w:rFonts w:ascii="宋体" w:hAnsi="宋体" w:cs="宋体"/>
                <w:color w:val="000000"/>
                <w:szCs w:val="21"/>
              </w:rPr>
            </w:r>
            <w:r/>
          </w:p>
        </w:tc>
      </w:tr>
      <w:tr>
        <w:trPr>
          <w:tblCellSpacing w:w="15" w:type="dxa"/>
          <w:trHeight w:val="514"/>
        </w:trPr>
        <w:tc>
          <w:tcPr>
            <w:tcMar>
              <w:left w:w="105" w:type="dxa"/>
              <w:top w:w="0" w:type="dxa"/>
              <w:right w:w="105" w:type="dxa"/>
              <w:bottom w:w="0" w:type="dxa"/>
            </w:tcMar>
            <w:tcW w:w="1413" w:type="dxa"/>
            <w:vAlign w:val="center"/>
            <w:vMerge w:val="restart"/>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信息传输业</w:t>
            </w:r>
            <w:r>
              <w:rPr>
                <w:rFonts w:ascii="宋体" w:hAnsi="宋体" w:cs="宋体"/>
                <w:color w:val="000000"/>
                <w:szCs w:val="21"/>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从业人员（X）</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人</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100≤X＜2000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10≤X＜100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X＜10</w:t>
            </w:r>
            <w:r>
              <w:rPr>
                <w:rFonts w:ascii="宋体" w:hAnsi="宋体" w:cs="宋体"/>
                <w:color w:val="000000"/>
                <w:szCs w:val="21"/>
              </w:rPr>
            </w:r>
            <w:r/>
          </w:p>
        </w:tc>
      </w:tr>
      <w:tr>
        <w:trPr>
          <w:tblCellSpacing w:w="15" w:type="dxa"/>
          <w:trHeight w:val="664"/>
        </w:trPr>
        <w:tc>
          <w:tcPr>
            <w:tcW w:w="1413" w:type="dxa"/>
            <w:vAlign w:val="center"/>
            <w:vMerge w:val="continue"/>
            <w:textDirection w:val="lrTb"/>
            <w:noWrap w:val="false"/>
          </w:tcPr>
          <w:p>
            <w:pPr>
              <w:pStyle w:val="1151"/>
              <w:jc w:val="center"/>
              <w:spacing w:line="360" w:lineRule="auto"/>
              <w:widowControl/>
              <w:rPr>
                <w:rFonts w:ascii="宋体" w:hAnsi="宋体" w:cs="宋体"/>
                <w:color w:val="000000"/>
                <w:sz w:val="22"/>
                <w:szCs w:val="21"/>
                <w:lang w:val="zh-CN" w:bidi="zh-CN"/>
              </w:rPr>
            </w:pPr>
            <w:r>
              <w:rPr>
                <w:rFonts w:ascii="宋体" w:hAnsi="宋体" w:cs="宋体"/>
                <w:color w:val="000000"/>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营业收入（Y）</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万元</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1000≤Y＜100000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100≤Y＜1000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Y＜100</w:t>
            </w:r>
            <w:r>
              <w:rPr>
                <w:rFonts w:ascii="宋体" w:hAnsi="宋体" w:cs="宋体"/>
                <w:color w:val="000000"/>
                <w:szCs w:val="21"/>
              </w:rPr>
            </w:r>
            <w:r/>
          </w:p>
        </w:tc>
      </w:tr>
      <w:tr>
        <w:trPr>
          <w:tblCellSpacing w:w="15" w:type="dxa"/>
          <w:trHeight w:val="532"/>
        </w:trPr>
        <w:tc>
          <w:tcPr>
            <w:tcMar>
              <w:left w:w="105" w:type="dxa"/>
              <w:top w:w="0" w:type="dxa"/>
              <w:right w:w="105" w:type="dxa"/>
              <w:bottom w:w="0" w:type="dxa"/>
            </w:tcMar>
            <w:tcW w:w="1413" w:type="dxa"/>
            <w:vAlign w:val="center"/>
            <w:vMerge w:val="restart"/>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软件和信息技术服务业</w:t>
            </w:r>
            <w:r>
              <w:rPr>
                <w:rFonts w:ascii="宋体" w:hAnsi="宋体" w:cs="宋体"/>
                <w:color w:val="000000"/>
                <w:szCs w:val="21"/>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从业人员（X）</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人</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100≤X＜300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10≤X＜100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X＜10</w:t>
            </w:r>
            <w:r>
              <w:rPr>
                <w:rFonts w:ascii="宋体" w:hAnsi="宋体" w:cs="宋体"/>
                <w:color w:val="000000"/>
                <w:szCs w:val="21"/>
              </w:rPr>
            </w:r>
            <w:r/>
          </w:p>
        </w:tc>
      </w:tr>
      <w:tr>
        <w:trPr>
          <w:tblCellSpacing w:w="15" w:type="dxa"/>
          <w:trHeight w:val="795"/>
        </w:trPr>
        <w:tc>
          <w:tcPr>
            <w:tcW w:w="1413" w:type="dxa"/>
            <w:vAlign w:val="center"/>
            <w:vMerge w:val="continue"/>
            <w:textDirection w:val="lrTb"/>
            <w:noWrap w:val="false"/>
          </w:tcPr>
          <w:p>
            <w:pPr>
              <w:pStyle w:val="1151"/>
              <w:jc w:val="center"/>
              <w:spacing w:line="360" w:lineRule="auto"/>
              <w:widowControl/>
              <w:rPr>
                <w:rFonts w:ascii="宋体" w:hAnsi="宋体" w:cs="宋体"/>
                <w:color w:val="000000"/>
                <w:sz w:val="22"/>
                <w:szCs w:val="21"/>
                <w:lang w:val="zh-CN" w:bidi="zh-CN"/>
              </w:rPr>
            </w:pPr>
            <w:r>
              <w:rPr>
                <w:rFonts w:ascii="宋体" w:hAnsi="宋体" w:cs="宋体"/>
                <w:color w:val="000000"/>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营业收入（Y）</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万元</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1000≤Y＜10000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50≤Y＜1000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Y＜50</w:t>
            </w:r>
            <w:r>
              <w:rPr>
                <w:rFonts w:ascii="宋体" w:hAnsi="宋体" w:cs="宋体"/>
                <w:color w:val="000000"/>
                <w:szCs w:val="21"/>
              </w:rPr>
            </w:r>
            <w:r/>
          </w:p>
        </w:tc>
      </w:tr>
      <w:tr>
        <w:trPr>
          <w:tblCellSpacing w:w="15" w:type="dxa"/>
          <w:trHeight w:val="570"/>
        </w:trPr>
        <w:tc>
          <w:tcPr>
            <w:tcMar>
              <w:left w:w="105" w:type="dxa"/>
              <w:top w:w="0" w:type="dxa"/>
              <w:right w:w="105" w:type="dxa"/>
              <w:bottom w:w="0" w:type="dxa"/>
            </w:tcMar>
            <w:tcW w:w="1413" w:type="dxa"/>
            <w:vAlign w:val="center"/>
            <w:vMerge w:val="restart"/>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房地产开发经营</w:t>
            </w:r>
            <w:r>
              <w:rPr>
                <w:rFonts w:ascii="宋体" w:hAnsi="宋体" w:cs="宋体"/>
                <w:color w:val="000000"/>
                <w:szCs w:val="21"/>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营业收入（Y）</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万元</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1000≤Y＜200000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100≤X＜1000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X＜100</w:t>
            </w:r>
            <w:r>
              <w:rPr>
                <w:rFonts w:ascii="宋体" w:hAnsi="宋体" w:cs="宋体"/>
                <w:color w:val="000000"/>
                <w:szCs w:val="21"/>
              </w:rPr>
            </w:r>
            <w:r/>
          </w:p>
        </w:tc>
      </w:tr>
      <w:tr>
        <w:trPr>
          <w:tblCellSpacing w:w="15" w:type="dxa"/>
          <w:trHeight w:val="663"/>
        </w:trPr>
        <w:tc>
          <w:tcPr>
            <w:tcW w:w="1413" w:type="dxa"/>
            <w:vAlign w:val="center"/>
            <w:vMerge w:val="continue"/>
            <w:textDirection w:val="lrTb"/>
            <w:noWrap w:val="false"/>
          </w:tcPr>
          <w:p>
            <w:pPr>
              <w:pStyle w:val="1151"/>
              <w:jc w:val="center"/>
              <w:spacing w:line="360" w:lineRule="auto"/>
              <w:widowControl/>
              <w:rPr>
                <w:rFonts w:ascii="宋体" w:hAnsi="宋体" w:cs="宋体"/>
                <w:color w:val="000000"/>
                <w:sz w:val="22"/>
                <w:szCs w:val="21"/>
                <w:lang w:val="zh-CN" w:bidi="zh-CN"/>
              </w:rPr>
            </w:pPr>
            <w:r>
              <w:rPr>
                <w:rFonts w:ascii="宋体" w:hAnsi="宋体" w:cs="宋体"/>
                <w:color w:val="000000"/>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资产总额（Z）</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万元</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5000≤Z＜10000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2000≤Y＜5000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Y＜2000</w:t>
            </w:r>
            <w:r>
              <w:rPr>
                <w:rFonts w:ascii="宋体" w:hAnsi="宋体" w:cs="宋体"/>
                <w:color w:val="000000"/>
                <w:szCs w:val="21"/>
              </w:rPr>
            </w:r>
            <w:r/>
          </w:p>
        </w:tc>
      </w:tr>
      <w:tr>
        <w:trPr>
          <w:tblCellSpacing w:w="15" w:type="dxa"/>
          <w:trHeight w:val="469"/>
        </w:trPr>
        <w:tc>
          <w:tcPr>
            <w:tcMar>
              <w:left w:w="105" w:type="dxa"/>
              <w:top w:w="0" w:type="dxa"/>
              <w:right w:w="105" w:type="dxa"/>
              <w:bottom w:w="0" w:type="dxa"/>
            </w:tcMar>
            <w:tcW w:w="1413" w:type="dxa"/>
            <w:vAlign w:val="center"/>
            <w:vMerge w:val="restart"/>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物业管理</w:t>
            </w:r>
            <w:r>
              <w:rPr>
                <w:rFonts w:ascii="宋体" w:hAnsi="宋体" w:cs="宋体"/>
                <w:color w:val="000000"/>
                <w:szCs w:val="21"/>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从业人员（X）</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人</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300≤X＜1000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100≤X＜300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X＜100</w:t>
            </w:r>
            <w:r>
              <w:rPr>
                <w:rFonts w:ascii="宋体" w:hAnsi="宋体" w:cs="宋体"/>
                <w:color w:val="000000"/>
                <w:szCs w:val="21"/>
              </w:rPr>
            </w:r>
            <w:r/>
          </w:p>
        </w:tc>
      </w:tr>
      <w:tr>
        <w:trPr>
          <w:tblCellSpacing w:w="15" w:type="dxa"/>
          <w:trHeight w:val="723"/>
        </w:trPr>
        <w:tc>
          <w:tcPr>
            <w:tcW w:w="1413" w:type="dxa"/>
            <w:vAlign w:val="center"/>
            <w:vMerge w:val="continue"/>
            <w:textDirection w:val="lrTb"/>
            <w:noWrap w:val="false"/>
          </w:tcPr>
          <w:p>
            <w:pPr>
              <w:pStyle w:val="1151"/>
              <w:jc w:val="center"/>
              <w:spacing w:line="360" w:lineRule="auto"/>
              <w:widowControl/>
              <w:rPr>
                <w:rFonts w:ascii="宋体" w:hAnsi="宋体" w:cs="宋体"/>
                <w:color w:val="000000"/>
                <w:sz w:val="22"/>
                <w:szCs w:val="21"/>
                <w:lang w:val="zh-CN" w:bidi="zh-CN"/>
              </w:rPr>
            </w:pPr>
            <w:r>
              <w:rPr>
                <w:rFonts w:ascii="宋体" w:hAnsi="宋体" w:cs="宋体"/>
                <w:color w:val="000000"/>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营业收入（Y）</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万元</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1000≤Y＜5000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500≤Y＜1000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Y＜500</w:t>
            </w:r>
            <w:r>
              <w:rPr>
                <w:rFonts w:ascii="宋体" w:hAnsi="宋体" w:cs="宋体"/>
                <w:color w:val="000000"/>
                <w:szCs w:val="21"/>
              </w:rPr>
            </w:r>
            <w:r/>
          </w:p>
        </w:tc>
      </w:tr>
      <w:tr>
        <w:trPr>
          <w:tblCellSpacing w:w="15" w:type="dxa"/>
          <w:trHeight w:val="663"/>
        </w:trPr>
        <w:tc>
          <w:tcPr>
            <w:tcMar>
              <w:left w:w="105" w:type="dxa"/>
              <w:top w:w="0" w:type="dxa"/>
              <w:right w:w="105" w:type="dxa"/>
              <w:bottom w:w="0" w:type="dxa"/>
            </w:tcMar>
            <w:tcW w:w="1413" w:type="dxa"/>
            <w:vAlign w:val="center"/>
            <w:vMerge w:val="restart"/>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租赁和商务服务业</w:t>
            </w:r>
            <w:r>
              <w:rPr>
                <w:rFonts w:ascii="宋体" w:hAnsi="宋体" w:cs="宋体"/>
                <w:color w:val="000000"/>
                <w:szCs w:val="21"/>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从业人员（X）</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人</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100≤X＜300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10≤X＜100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X＜10</w:t>
            </w:r>
            <w:r>
              <w:rPr>
                <w:rFonts w:ascii="宋体" w:hAnsi="宋体" w:cs="宋体"/>
                <w:color w:val="000000"/>
                <w:szCs w:val="21"/>
              </w:rPr>
            </w:r>
            <w:r/>
          </w:p>
        </w:tc>
      </w:tr>
      <w:tr>
        <w:trPr>
          <w:tblCellSpacing w:w="15" w:type="dxa"/>
          <w:trHeight w:val="787"/>
        </w:trPr>
        <w:tc>
          <w:tcPr>
            <w:tcW w:w="1413" w:type="dxa"/>
            <w:vAlign w:val="center"/>
            <w:vMerge w:val="continue"/>
            <w:textDirection w:val="lrTb"/>
            <w:noWrap w:val="false"/>
          </w:tcPr>
          <w:p>
            <w:pPr>
              <w:pStyle w:val="1151"/>
              <w:jc w:val="center"/>
              <w:spacing w:line="360" w:lineRule="auto"/>
              <w:widowControl/>
              <w:rPr>
                <w:rFonts w:ascii="宋体" w:hAnsi="宋体" w:cs="宋体"/>
                <w:color w:val="000000"/>
                <w:sz w:val="22"/>
                <w:szCs w:val="21"/>
                <w:lang w:val="zh-CN" w:bidi="zh-CN"/>
              </w:rPr>
            </w:pPr>
            <w:r>
              <w:rPr>
                <w:rFonts w:ascii="宋体" w:hAnsi="宋体" w:cs="宋体"/>
                <w:color w:val="000000"/>
                <w:sz w:val="22"/>
                <w:szCs w:val="21"/>
                <w:lang w:val="zh-CN" w:bidi="zh-CN"/>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资产总额（Z）</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万元</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8000≤Z＜120000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100≤Z＜8000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Y＜100</w:t>
            </w:r>
            <w:r>
              <w:rPr>
                <w:rFonts w:ascii="宋体" w:hAnsi="宋体" w:cs="宋体"/>
                <w:color w:val="000000"/>
                <w:szCs w:val="21"/>
              </w:rPr>
            </w:r>
            <w:r/>
          </w:p>
        </w:tc>
      </w:tr>
      <w:tr>
        <w:trPr>
          <w:tblCellSpacing w:w="15" w:type="dxa"/>
          <w:trHeight w:val="813"/>
        </w:trPr>
        <w:tc>
          <w:tcPr>
            <w:tcMar>
              <w:left w:w="105" w:type="dxa"/>
              <w:top w:w="0" w:type="dxa"/>
              <w:right w:w="105" w:type="dxa"/>
              <w:bottom w:w="0" w:type="dxa"/>
            </w:tcMar>
            <w:tcW w:w="14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其他未列明行业</w:t>
            </w:r>
            <w:r>
              <w:rPr>
                <w:rFonts w:ascii="宋体" w:hAnsi="宋体" w:cs="宋体"/>
                <w:color w:val="000000"/>
                <w:szCs w:val="21"/>
              </w:rPr>
            </w:r>
            <w:r/>
          </w:p>
        </w:tc>
        <w:tc>
          <w:tcPr>
            <w:tcMar>
              <w:left w:w="105" w:type="dxa"/>
              <w:top w:w="0" w:type="dxa"/>
              <w:right w:w="105" w:type="dxa"/>
              <w:bottom w:w="0" w:type="dxa"/>
            </w:tcMar>
            <w:tcW w:w="1813"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从业人员（X）</w:t>
            </w:r>
            <w:r>
              <w:rPr>
                <w:rFonts w:ascii="宋体" w:hAnsi="宋体" w:cs="宋体"/>
                <w:color w:val="000000"/>
                <w:szCs w:val="21"/>
              </w:rPr>
            </w:r>
            <w:r/>
          </w:p>
        </w:tc>
        <w:tc>
          <w:tcPr>
            <w:tcMar>
              <w:left w:w="105" w:type="dxa"/>
              <w:top w:w="0" w:type="dxa"/>
              <w:right w:w="105" w:type="dxa"/>
              <w:bottom w:w="0" w:type="dxa"/>
            </w:tcMar>
            <w:tcW w:w="821"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人</w:t>
            </w:r>
            <w:r>
              <w:rPr>
                <w:rFonts w:ascii="宋体" w:hAnsi="宋体" w:cs="宋体"/>
                <w:color w:val="000000"/>
                <w:szCs w:val="21"/>
              </w:rPr>
            </w:r>
            <w:r/>
          </w:p>
        </w:tc>
        <w:tc>
          <w:tcPr>
            <w:tcMar>
              <w:left w:w="105" w:type="dxa"/>
              <w:top w:w="0" w:type="dxa"/>
              <w:right w:w="105" w:type="dxa"/>
              <w:bottom w:w="0" w:type="dxa"/>
            </w:tcMar>
            <w:tcW w:w="2272" w:type="dxa"/>
            <w:vAlign w:val="center"/>
            <w:textDirection w:val="lrTb"/>
            <w:noWrap w:val="false"/>
          </w:tcPr>
          <w:p>
            <w:pPr>
              <w:pStyle w:val="1151"/>
              <w:ind w:firstLine="420"/>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100≤X＜300</w:t>
            </w:r>
            <w:r>
              <w:rPr>
                <w:rFonts w:ascii="宋体" w:hAnsi="宋体" w:cs="宋体"/>
                <w:color w:val="000000"/>
                <w:szCs w:val="21"/>
              </w:rPr>
            </w:r>
            <w:r/>
          </w:p>
        </w:tc>
        <w:tc>
          <w:tcPr>
            <w:tcMar>
              <w:left w:w="105" w:type="dxa"/>
              <w:top w:w="0" w:type="dxa"/>
              <w:right w:w="105" w:type="dxa"/>
              <w:bottom w:w="0" w:type="dxa"/>
            </w:tcMar>
            <w:tcW w:w="1879" w:type="dxa"/>
            <w:vAlign w:val="center"/>
            <w:textDirection w:val="lrTb"/>
            <w:noWrap w:val="false"/>
          </w:tcPr>
          <w:p>
            <w:pPr>
              <w:pStyle w:val="1151"/>
              <w:jc w:val="left"/>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10≤X＜100</w:t>
            </w:r>
            <w:r>
              <w:rPr>
                <w:rFonts w:ascii="宋体" w:hAnsi="宋体" w:cs="宋体"/>
                <w:color w:val="000000"/>
                <w:szCs w:val="21"/>
              </w:rPr>
            </w:r>
            <w:r/>
          </w:p>
        </w:tc>
        <w:tc>
          <w:tcPr>
            <w:tcMar>
              <w:left w:w="105" w:type="dxa"/>
              <w:top w:w="0" w:type="dxa"/>
              <w:right w:w="105" w:type="dxa"/>
              <w:bottom w:w="0" w:type="dxa"/>
            </w:tcMar>
            <w:tcW w:w="1297" w:type="dxa"/>
            <w:vAlign w:val="center"/>
            <w:textDirection w:val="lrTb"/>
            <w:noWrap w:val="false"/>
          </w:tcPr>
          <w:p>
            <w:pPr>
              <w:pStyle w:val="1151"/>
              <w:jc w:val="center"/>
              <w:spacing w:before="100" w:beforeAutospacing="1" w:after="100" w:afterAutospacing="1" w:line="360" w:lineRule="auto"/>
              <w:widowControl/>
              <w:rPr>
                <w:rFonts w:ascii="宋体" w:hAnsi="宋体" w:cs="宋体"/>
                <w:color w:val="000000"/>
                <w:szCs w:val="21"/>
              </w:rPr>
            </w:pPr>
            <w:r>
              <w:rPr>
                <w:rFonts w:hint="eastAsia" w:ascii="宋体" w:hAnsi="宋体" w:cs="宋体"/>
                <w:b/>
                <w:color w:val="000000"/>
                <w:szCs w:val="21"/>
              </w:rPr>
              <w:t xml:space="preserve">X＜10</w:t>
            </w:r>
            <w:r>
              <w:rPr>
                <w:rFonts w:ascii="宋体" w:hAnsi="宋体" w:cs="宋体"/>
                <w:color w:val="000000"/>
                <w:szCs w:val="21"/>
              </w:rPr>
            </w:r>
            <w:r/>
          </w:p>
        </w:tc>
      </w:tr>
    </w:tbl>
    <w:p>
      <w:pPr>
        <w:pStyle w:val="1151"/>
        <w:ind w:firstLine="420"/>
        <w:jc w:val="left"/>
        <w:spacing w:before="100" w:beforeAutospacing="1" w:after="100" w:afterAutospacing="1" w:line="360" w:lineRule="auto"/>
        <w:widowControl/>
        <w:rPr>
          <w:rFonts w:ascii="宋体" w:hAnsi="宋体" w:cs="宋体"/>
          <w:b/>
          <w:color w:val="000000"/>
          <w:szCs w:val="21"/>
        </w:rPr>
      </w:pPr>
      <w:r>
        <w:rPr>
          <w:rFonts w:hint="eastAsia" w:ascii="宋体" w:hAnsi="宋体" w:cs="宋体"/>
          <w:b/>
          <w:color w:val="000000"/>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cs="宋体"/>
          <w:b/>
          <w:color w:val="000000"/>
          <w:szCs w:val="21"/>
        </w:rPr>
      </w:r>
      <w:r/>
    </w:p>
    <w:p>
      <w:pPr>
        <w:pStyle w:val="1151"/>
        <w:ind w:left="632" w:right="228"/>
        <w:spacing w:line="487" w:lineRule="auto"/>
        <w:rPr>
          <w:rFonts w:ascii="宋体" w:hAnsi="宋体" w:cs="宋体"/>
          <w:color w:val="000000"/>
          <w:szCs w:val="21"/>
          <w:lang w:bidi="zh-CN"/>
        </w:rPr>
      </w:pPr>
      <w:r>
        <w:rPr>
          <w:rFonts w:ascii="宋体" w:hAnsi="宋体" w:cs="宋体"/>
          <w:color w:val="000000"/>
          <w:szCs w:val="21"/>
          <w:lang w:bidi="zh-CN"/>
        </w:rPr>
      </w:r>
      <w:r/>
    </w:p>
    <w:p>
      <w:pPr>
        <w:pStyle w:val="1184"/>
        <w:jc w:val="center"/>
        <w:spacing w:before="300" w:after="452" w:line="360" w:lineRule="auto"/>
        <w:widowControl/>
        <w:rPr>
          <w:rFonts w:hint="eastAsia" w:ascii="宋体" w:hAnsi="宋体" w:cs="宋体"/>
          <w:b/>
          <w:bCs/>
          <w:color w:val="000000"/>
          <w:sz w:val="32"/>
          <w:szCs w:val="32"/>
        </w:rPr>
      </w:pPr>
      <w:r>
        <w:rPr>
          <w:rStyle w:val="1187"/>
          <w:rFonts w:hint="eastAsia" w:ascii="宋体" w:hAnsi="宋体" w:cs="宋体"/>
          <w:color w:val="000000"/>
          <w:szCs w:val="21"/>
        </w:rPr>
        <w:br w:type="page" w:clear="all"/>
      </w:r>
      <w:r>
        <w:rPr>
          <w:rFonts w:hint="eastAsia" w:ascii="宋体" w:hAnsi="宋体" w:cs="宋体"/>
          <w:b/>
          <w:bCs/>
          <w:color w:val="000000"/>
          <w:sz w:val="32"/>
          <w:szCs w:val="32"/>
        </w:rPr>
        <w:t xml:space="preserve">残疾人福利性单位声明函</w:t>
      </w:r>
      <w:r>
        <w:rPr>
          <w:rFonts w:hint="eastAsia" w:ascii="宋体" w:hAnsi="宋体" w:cs="宋体"/>
          <w:b/>
          <w:bCs/>
          <w:color w:val="000000"/>
          <w:sz w:val="32"/>
          <w:szCs w:val="32"/>
        </w:rPr>
      </w:r>
      <w:r/>
    </w:p>
    <w:p>
      <w:pPr>
        <w:pStyle w:val="1184"/>
        <w:spacing w:line="360" w:lineRule="auto"/>
        <w:widowControl/>
        <w:rPr>
          <w:rFonts w:hint="eastAsia" w:ascii="宋体" w:hAnsi="宋体" w:cs="宋体"/>
          <w:color w:val="000000"/>
          <w:szCs w:val="21"/>
        </w:rPr>
      </w:pPr>
      <w:r>
        <w:rPr>
          <w:rFonts w:hint="eastAsia" w:ascii="宋体" w:hAnsi="宋体" w:cs="宋体"/>
          <w:b/>
          <w:bCs/>
          <w:color w:val="000000"/>
          <w:sz w:val="32"/>
          <w:szCs w:val="32"/>
        </w:rPr>
        <w:t xml:space="preserve">  </w:t>
      </w:r>
      <w:r>
        <w:rPr>
          <w:rFonts w:hint="eastAsia" w:ascii="宋体" w:hAnsi="宋体" w:cs="宋体"/>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szCs w:val="21"/>
          <w:u w:val="single"/>
        </w:rPr>
        <w:t xml:space="preserve">             </w:t>
      </w:r>
      <w:r>
        <w:rPr>
          <w:rFonts w:hint="eastAsia" w:ascii="宋体" w:hAnsi="宋体" w:cs="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s="宋体"/>
          <w:color w:val="000000"/>
          <w:szCs w:val="21"/>
        </w:rPr>
      </w:r>
      <w:r/>
    </w:p>
    <w:p>
      <w:pPr>
        <w:pStyle w:val="1184"/>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本单位在本次政府采购活动中提供的残疾人福利单位产品报价合计为人民币（大写）圆整（￥：）。</w:t>
      </w:r>
      <w:r>
        <w:rPr>
          <w:rFonts w:hint="eastAsia" w:ascii="宋体" w:hAnsi="宋体" w:cs="宋体"/>
          <w:color w:val="000000"/>
          <w:szCs w:val="21"/>
        </w:rPr>
      </w:r>
      <w:r/>
    </w:p>
    <w:p>
      <w:pPr>
        <w:pStyle w:val="1151"/>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本单位对上述声明的真实性负责。如有虚假，将依法承担相应责任。</w:t>
      </w:r>
      <w:r>
        <w:rPr>
          <w:rFonts w:hint="eastAsia" w:ascii="宋体" w:hAnsi="宋体" w:cs="宋体"/>
          <w:color w:val="000000"/>
          <w:szCs w:val="21"/>
        </w:rPr>
      </w:r>
      <w:r/>
    </w:p>
    <w:p>
      <w:pPr>
        <w:pStyle w:val="1151"/>
        <w:ind w:firstLine="420"/>
        <w:jc w:val="left"/>
        <w:spacing w:line="360" w:lineRule="auto"/>
        <w:rPr>
          <w:rFonts w:hint="eastAsia" w:ascii="宋体" w:hAnsi="宋体" w:cs="宋体"/>
          <w:color w:val="000000"/>
          <w:szCs w:val="21"/>
        </w:rPr>
      </w:pPr>
      <w:r>
        <w:rPr>
          <w:rFonts w:hint="eastAsia" w:ascii="宋体" w:hAnsi="宋体" w:cs="宋体"/>
          <w:color w:val="000000"/>
          <w:szCs w:val="21"/>
        </w:rPr>
      </w:r>
      <w:r/>
    </w:p>
    <w:p>
      <w:pPr>
        <w:pStyle w:val="1151"/>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（备注：1、供应商如不提供此声明函，价格将不做相应扣除。2、成交供应商为残疾人福利单位的，此声明函将随成交结果同时公告，接受社会监督）</w:t>
      </w:r>
      <w:r>
        <w:rPr>
          <w:rFonts w:hint="eastAsia" w:ascii="宋体" w:hAnsi="宋体" w:cs="宋体"/>
          <w:color w:val="000000"/>
          <w:szCs w:val="21"/>
        </w:rPr>
      </w:r>
      <w:r/>
    </w:p>
    <w:p>
      <w:pPr>
        <w:pStyle w:val="1151"/>
        <w:ind w:firstLine="444"/>
        <w:spacing w:line="360" w:lineRule="auto"/>
        <w:rPr>
          <w:rFonts w:hint="eastAsia" w:ascii="宋体" w:hAnsi="宋体" w:cs="宋体"/>
          <w:color w:val="000000"/>
          <w:spacing w:val="6"/>
          <w:szCs w:val="21"/>
        </w:rPr>
      </w:pPr>
      <w:r>
        <w:rPr>
          <w:rFonts w:hint="eastAsia" w:ascii="宋体" w:hAnsi="宋体" w:cs="宋体"/>
          <w:color w:val="000000"/>
          <w:spacing w:val="6"/>
          <w:szCs w:val="21"/>
        </w:rPr>
      </w:r>
      <w:r/>
    </w:p>
    <w:p>
      <w:pPr>
        <w:pStyle w:val="1151"/>
        <w:ind w:firstLine="444"/>
        <w:spacing w:line="360" w:lineRule="auto"/>
        <w:rPr>
          <w:rFonts w:hint="eastAsia" w:ascii="宋体" w:hAnsi="宋体" w:cs="宋体"/>
          <w:color w:val="000000"/>
          <w:spacing w:val="6"/>
          <w:szCs w:val="21"/>
        </w:rPr>
      </w:pPr>
      <w:r>
        <w:rPr>
          <w:rFonts w:hint="eastAsia" w:ascii="宋体" w:hAnsi="宋体" w:cs="宋体"/>
          <w:color w:val="000000"/>
          <w:spacing w:val="6"/>
          <w:szCs w:val="21"/>
        </w:rPr>
      </w:r>
      <w:r/>
    </w:p>
    <w:p>
      <w:pPr>
        <w:pStyle w:val="1151"/>
        <w:ind w:right="1560" w:firstLine="420"/>
        <w:jc w:val="center"/>
        <w:spacing w:line="360" w:lineRule="auto"/>
        <w:tabs>
          <w:tab w:val="left" w:pos="4860" w:leader="none"/>
        </w:tabs>
        <w:rPr>
          <w:rFonts w:hint="eastAsia" w:ascii="宋体" w:hAnsi="宋体" w:cs="宋体"/>
          <w:color w:val="000000"/>
          <w:szCs w:val="21"/>
        </w:rPr>
      </w:pPr>
      <w:r>
        <w:rPr>
          <w:rFonts w:hint="eastAsia" w:ascii="宋体" w:hAnsi="宋体" w:cs="宋体"/>
          <w:color w:val="000000"/>
          <w:szCs w:val="21"/>
        </w:rPr>
        <w:t xml:space="preserve">                                                供应商全称（盖章）：</w:t>
      </w:r>
      <w:r>
        <w:rPr>
          <w:rFonts w:hint="eastAsia" w:ascii="宋体" w:hAnsi="宋体" w:cs="宋体"/>
          <w:color w:val="000000"/>
          <w:szCs w:val="21"/>
        </w:rPr>
      </w:r>
      <w:r/>
    </w:p>
    <w:p>
      <w:pPr>
        <w:pStyle w:val="1151"/>
        <w:ind w:right="1560" w:firstLine="420"/>
        <w:jc w:val="center"/>
        <w:spacing w:line="360" w:lineRule="auto"/>
        <w:tabs>
          <w:tab w:val="left" w:pos="4860" w:leader="none"/>
        </w:tabs>
        <w:rPr>
          <w:rFonts w:hint="eastAsia" w:ascii="宋体" w:hAnsi="宋体" w:cs="宋体"/>
          <w:color w:val="000000"/>
          <w:szCs w:val="21"/>
        </w:rPr>
      </w:pPr>
      <w:r>
        <w:rPr>
          <w:rFonts w:hint="eastAsia" w:ascii="宋体" w:hAnsi="宋体" w:cs="宋体"/>
          <w:color w:val="000000"/>
          <w:szCs w:val="21"/>
        </w:rPr>
        <w:t xml:space="preserve">                                    日期：</w:t>
      </w:r>
      <w:r>
        <w:rPr>
          <w:rFonts w:hint="eastAsia" w:ascii="宋体" w:hAnsi="宋体" w:cs="宋体"/>
          <w:color w:val="000000"/>
          <w:szCs w:val="21"/>
        </w:rPr>
      </w:r>
      <w:r/>
    </w:p>
    <w:p>
      <w:pPr>
        <w:pStyle w:val="1151"/>
        <w:spacing w:line="360" w:lineRule="auto"/>
        <w:rPr>
          <w:rFonts w:hint="eastAsia" w:ascii="宋体" w:hAnsi="宋体" w:cs="宋体"/>
          <w:b/>
          <w:bCs/>
          <w:color w:val="000000"/>
          <w:sz w:val="32"/>
          <w:szCs w:val="32"/>
        </w:rPr>
      </w:pPr>
      <w:r/>
      <w:bookmarkStart w:id="504" w:name="_Toc109304978"/>
      <w:r>
        <w:rPr>
          <w:rFonts w:hint="eastAsia" w:ascii="宋体" w:hAnsi="宋体" w:cs="宋体"/>
          <w:b/>
          <w:bCs/>
          <w:color w:val="000000"/>
          <w:sz w:val="32"/>
          <w:szCs w:val="32"/>
        </w:rPr>
      </w:r>
      <w:r/>
    </w:p>
    <w:p>
      <w:pPr>
        <w:pStyle w:val="1154"/>
        <w:spacing w:line="360" w:lineRule="auto"/>
        <w:rPr>
          <w:rFonts w:hint="eastAsia" w:ascii="宋体" w:hAnsi="宋体" w:cs="宋体"/>
          <w:color w:val="000000"/>
        </w:rPr>
      </w:pPr>
      <w:r>
        <w:rPr>
          <w:rFonts w:hint="eastAsia" w:ascii="宋体" w:hAnsi="宋体" w:cs="宋体"/>
          <w:color w:val="000000"/>
        </w:rPr>
      </w:r>
      <w:r/>
    </w:p>
    <w:p>
      <w:pPr>
        <w:pStyle w:val="1151"/>
        <w:spacing w:line="360" w:lineRule="auto"/>
        <w:rPr>
          <w:rFonts w:hint="eastAsia" w:ascii="宋体" w:hAnsi="宋体" w:cs="宋体"/>
          <w:color w:val="000000"/>
        </w:rPr>
      </w:pPr>
      <w:r>
        <w:rPr>
          <w:rFonts w:hint="eastAsia" w:ascii="宋体" w:hAnsi="宋体" w:cs="宋体"/>
          <w:color w:val="000000"/>
        </w:rPr>
      </w:r>
      <w:r/>
    </w:p>
    <w:p>
      <w:pPr>
        <w:pStyle w:val="1154"/>
        <w:spacing w:line="360" w:lineRule="auto"/>
        <w:rPr>
          <w:rFonts w:hint="eastAsia" w:ascii="宋体" w:hAnsi="宋体" w:cs="宋体"/>
          <w:color w:val="000000"/>
        </w:rPr>
      </w:pPr>
      <w:r>
        <w:rPr>
          <w:rFonts w:hint="eastAsia" w:ascii="宋体" w:hAnsi="宋体" w:cs="宋体"/>
          <w:color w:val="000000"/>
        </w:rPr>
      </w:r>
      <w:r/>
    </w:p>
    <w:p>
      <w:pPr>
        <w:pStyle w:val="1151"/>
        <w:spacing w:line="360" w:lineRule="auto"/>
        <w:rPr>
          <w:rFonts w:hint="eastAsia" w:ascii="宋体" w:hAnsi="宋体" w:cs="宋体"/>
          <w:color w:val="000000"/>
        </w:rPr>
      </w:pPr>
      <w:r>
        <w:rPr>
          <w:rFonts w:hint="eastAsia" w:ascii="宋体" w:hAnsi="宋体" w:cs="宋体"/>
          <w:color w:val="000000"/>
        </w:rPr>
      </w:r>
      <w:r/>
    </w:p>
    <w:p>
      <w:pPr>
        <w:pStyle w:val="1151"/>
        <w:rPr>
          <w:rFonts w:hint="eastAsia" w:ascii="宋体" w:hAnsi="宋体" w:cs="宋体"/>
          <w:color w:val="000000"/>
        </w:rPr>
      </w:pPr>
      <w:r>
        <w:rPr>
          <w:rFonts w:hint="eastAsia" w:ascii="宋体" w:hAnsi="宋体" w:cs="宋体"/>
          <w:color w:val="000000"/>
        </w:rPr>
      </w:r>
      <w:r/>
    </w:p>
    <w:p>
      <w:pPr>
        <w:pStyle w:val="1151"/>
        <w:spacing w:line="360" w:lineRule="auto"/>
        <w:rPr>
          <w:rFonts w:hint="eastAsia" w:ascii="宋体" w:hAnsi="宋体" w:cs="宋体"/>
          <w:color w:val="000000"/>
        </w:rPr>
      </w:pPr>
      <w:r>
        <w:rPr>
          <w:rFonts w:hint="eastAsia" w:ascii="宋体" w:hAnsi="宋体" w:cs="宋体"/>
          <w:color w:val="000000"/>
        </w:rPr>
      </w:r>
      <w:r/>
    </w:p>
    <w:p>
      <w:pPr>
        <w:pStyle w:val="1151"/>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四、报价一览表</w:t>
      </w:r>
      <w:r>
        <w:rPr>
          <w:rFonts w:hint="eastAsia" w:ascii="宋体" w:hAnsi="宋体" w:cs="宋体"/>
          <w:b/>
          <w:bCs/>
          <w:color w:val="000000"/>
          <w:sz w:val="32"/>
          <w:szCs w:val="32"/>
        </w:rPr>
      </w:r>
      <w:r/>
    </w:p>
    <w:p>
      <w:pPr>
        <w:pStyle w:val="1151"/>
        <w:spacing w:line="360" w:lineRule="auto"/>
        <w:rPr>
          <w:rFonts w:hint="eastAsia" w:ascii="宋体" w:hAnsi="宋体" w:cs="宋体"/>
          <w:color w:val="000000"/>
        </w:rPr>
      </w:pPr>
      <w:r>
        <w:rPr>
          <w:rFonts w:hint="eastAsia" w:ascii="宋体" w:hAnsi="宋体" w:cs="宋体"/>
          <w:color w:val="000000"/>
        </w:rPr>
      </w:r>
      <w:r/>
    </w:p>
    <w:p>
      <w:pPr>
        <w:pStyle w:val="1173"/>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项目名称：</w:t>
      </w:r>
      <w:r>
        <w:rPr>
          <w:rFonts w:hint="eastAsia" w:ascii="宋体" w:hAnsi="宋体" w:cs="宋体"/>
          <w:color w:val="000000"/>
          <w:sz w:val="21"/>
          <w:szCs w:val="21"/>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项目编号：</w:t>
      </w:r>
      <w:r>
        <w:rPr>
          <w:rFonts w:hint="eastAsia" w:ascii="宋体" w:hAnsi="宋体" w:cs="宋体"/>
          <w:color w:val="000000"/>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rPr>
        <w:t xml:space="preserve">本次为首次报价</w:t>
      </w:r>
      <w:r>
        <w:rPr>
          <w:rFonts w:hint="eastAsia" w:ascii="宋体" w:hAnsi="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602"/>
      </w:tblGrid>
      <w:tr>
        <w:trPr>
          <w:cantSplit/>
          <w:trHeight w:val="1849"/>
        </w:trPr>
        <w:tc>
          <w:tcPr>
            <w:tcW w:w="1242"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rPr>
              <w:t xml:space="preserve">名称</w:t>
            </w:r>
            <w:r>
              <w:rPr>
                <w:rFonts w:hint="eastAsia" w:ascii="宋体" w:hAnsi="宋体" w:cs="宋体"/>
                <w:color w:val="000000"/>
                <w:szCs w:val="21"/>
              </w:rPr>
            </w:r>
            <w:r/>
          </w:p>
        </w:tc>
        <w:tc>
          <w:tcPr>
            <w:tcW w:w="7602"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第一轮报价</w:t>
            </w:r>
            <w:r>
              <w:rPr>
                <w:rFonts w:hint="eastAsia" w:ascii="宋体" w:hAnsi="宋体" w:cs="宋体"/>
                <w:color w:val="000000"/>
                <w:szCs w:val="21"/>
              </w:rPr>
            </w:r>
            <w:r/>
          </w:p>
        </w:tc>
      </w:tr>
      <w:tr>
        <w:trPr>
          <w:cantSplit/>
          <w:trHeight w:val="1800"/>
        </w:trPr>
        <w:tc>
          <w:tcPr>
            <w:tcW w:w="1242"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报价</w:t>
            </w:r>
            <w:r>
              <w:rPr>
                <w:rFonts w:hint="eastAsia" w:ascii="宋体" w:hAnsi="宋体" w:cs="宋体"/>
                <w:color w:val="000000"/>
                <w:szCs w:val="21"/>
              </w:rPr>
            </w:r>
            <w:r/>
          </w:p>
        </w:tc>
        <w:tc>
          <w:tcPr>
            <w:tcW w:w="7602" w:type="dxa"/>
            <w:vAlign w:val="center"/>
            <w:textDirection w:val="lrTb"/>
            <w:noWrap w:val="false"/>
          </w:tcPr>
          <w:p>
            <w:pPr>
              <w:pStyle w:val="1151"/>
              <w:spacing w:line="360" w:lineRule="auto"/>
              <w:rPr>
                <w:rFonts w:hint="eastAsia" w:ascii="宋体" w:hAnsi="宋体" w:cs="宋体"/>
                <w:color w:val="000000"/>
                <w:szCs w:val="21"/>
              </w:rPr>
            </w:pPr>
            <w:r>
              <w:rPr>
                <w:rFonts w:hint="eastAsia" w:ascii="宋体" w:hAnsi="宋体" w:cs="宋体"/>
                <w:color w:val="000000"/>
                <w:szCs w:val="21"/>
              </w:rPr>
              <w:t xml:space="preserve">大写：</w:t>
            </w:r>
            <w:r>
              <w:rPr>
                <w:rFonts w:hint="eastAsia" w:ascii="宋体" w:hAnsi="宋体" w:cs="宋体"/>
                <w:color w:val="000000"/>
                <w:szCs w:val="21"/>
                <w:u w:val="single"/>
              </w:rPr>
              <w:t xml:space="preserve">                        </w:t>
            </w:r>
            <w:r>
              <w:rPr>
                <w:rFonts w:hint="eastAsia" w:ascii="宋体" w:hAnsi="宋体" w:cs="宋体"/>
                <w:color w:val="000000"/>
                <w:szCs w:val="21"/>
              </w:rPr>
            </w:r>
            <w:r/>
          </w:p>
          <w:p>
            <w:pPr>
              <w:pStyle w:val="1151"/>
              <w:spacing w:line="360" w:lineRule="auto"/>
              <w:rPr>
                <w:rFonts w:hint="eastAsia" w:ascii="宋体" w:hAnsi="宋体" w:cs="宋体"/>
                <w:color w:val="000000"/>
                <w:szCs w:val="21"/>
              </w:rPr>
            </w:pPr>
            <w:r>
              <w:rPr>
                <w:rFonts w:hint="eastAsia" w:ascii="宋体" w:hAnsi="宋体" w:cs="宋体"/>
                <w:color w:val="000000"/>
                <w:szCs w:val="21"/>
              </w:rPr>
              <w:t xml:space="preserve">小写：</w:t>
            </w:r>
            <w:r>
              <w:rPr>
                <w:rFonts w:hint="eastAsia" w:ascii="宋体" w:hAnsi="宋体" w:cs="宋体"/>
                <w:color w:val="000000"/>
                <w:szCs w:val="21"/>
                <w:u w:val="single"/>
              </w:rPr>
              <w:t xml:space="preserve">          （人民币）元  </w:t>
            </w:r>
            <w:r>
              <w:rPr>
                <w:rFonts w:hint="eastAsia" w:ascii="宋体" w:hAnsi="宋体" w:cs="宋体"/>
                <w:color w:val="000000"/>
                <w:szCs w:val="21"/>
              </w:rPr>
            </w:r>
            <w:r/>
          </w:p>
          <w:p>
            <w:pPr>
              <w:pStyle w:val="1151"/>
              <w:spacing w:line="360" w:lineRule="auto"/>
              <w:rPr>
                <w:rFonts w:hint="eastAsia" w:ascii="宋体" w:hAnsi="宋体" w:cs="宋体"/>
                <w:color w:val="000000"/>
                <w:szCs w:val="21"/>
              </w:rPr>
            </w:pPr>
            <w:r>
              <w:rPr>
                <w:rFonts w:hint="eastAsia" w:ascii="宋体" w:hAnsi="宋体" w:cs="宋体"/>
                <w:color w:val="000000"/>
                <w:szCs w:val="21"/>
              </w:rPr>
              <w:t xml:space="preserve">工期：</w:t>
            </w:r>
            <w:r>
              <w:rPr>
                <w:rFonts w:hint="eastAsia" w:ascii="宋体" w:hAnsi="宋体" w:cs="宋体"/>
                <w:color w:val="000000"/>
                <w:szCs w:val="21"/>
                <w:u w:val="single"/>
              </w:rPr>
              <w:t xml:space="preserve">                        </w:t>
            </w:r>
            <w:r>
              <w:rPr>
                <w:rFonts w:hint="eastAsia" w:ascii="宋体" w:hAnsi="宋体" w:cs="宋体"/>
                <w:color w:val="000000"/>
                <w:szCs w:val="21"/>
              </w:rPr>
            </w:r>
            <w:r/>
          </w:p>
        </w:tc>
      </w:tr>
      <w:tr>
        <w:trPr>
          <w:cantSplit/>
          <w:trHeight w:val="1849"/>
        </w:trPr>
        <w:tc>
          <w:tcPr>
            <w:tcW w:w="1242"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c>
          <w:tcPr>
            <w:tcW w:w="7602"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备注（壹 贰 叁 肆 伍 陆 柒 捌 玖）</w:t>
            </w:r>
            <w:r>
              <w:rPr>
                <w:rFonts w:hint="eastAsia" w:ascii="宋体" w:hAnsi="宋体" w:cs="宋体"/>
                <w:color w:val="000000"/>
                <w:szCs w:val="21"/>
              </w:rPr>
            </w:r>
            <w:r/>
          </w:p>
        </w:tc>
      </w:tr>
    </w:tbl>
    <w:p>
      <w:pPr>
        <w:pStyle w:val="1151"/>
        <w:spacing w:line="360" w:lineRule="auto"/>
        <w:rPr>
          <w:rFonts w:hint="eastAsia" w:ascii="宋体" w:hAnsi="宋体" w:cs="宋体"/>
          <w:color w:val="000000"/>
        </w:rPr>
      </w:pPr>
      <w:r>
        <w:rPr>
          <w:rFonts w:hint="eastAsia" w:ascii="宋体" w:hAnsi="宋体" w:cs="宋体"/>
          <w:color w:val="000000"/>
        </w:rPr>
      </w:r>
      <w:r/>
    </w:p>
    <w:p>
      <w:pPr>
        <w:pStyle w:val="1151"/>
        <w:jc w:val="center"/>
        <w:spacing w:line="360" w:lineRule="auto"/>
        <w:rPr>
          <w:rFonts w:hint="eastAsia" w:ascii="宋体" w:hAnsi="宋体" w:cs="宋体"/>
          <w:color w:val="000000"/>
        </w:rPr>
      </w:pPr>
      <w:r>
        <w:rPr>
          <w:rFonts w:hint="eastAsia" w:ascii="宋体" w:hAnsi="宋体" w:cs="宋体"/>
          <w:color w:val="000000"/>
        </w:rPr>
        <w:t xml:space="preserve">                                                        日期：</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hint="eastAsia" w:ascii="宋体" w:hAnsi="宋体" w:cs="宋体"/>
          <w:color w:val="000000"/>
        </w:rPr>
      </w:r>
      <w:r/>
    </w:p>
    <w:p>
      <w:pPr>
        <w:pStyle w:val="1151"/>
        <w:jc w:val="center"/>
        <w:spacing w:line="360" w:lineRule="auto"/>
        <w:rPr>
          <w:rFonts w:hint="eastAsia" w:ascii="宋体" w:hAnsi="宋体" w:cs="宋体"/>
          <w:color w:val="000000"/>
        </w:rPr>
      </w:pPr>
      <w:r>
        <w:rPr>
          <w:rFonts w:hint="eastAsia" w:ascii="宋体" w:hAnsi="宋体" w:cs="宋体"/>
          <w:bCs/>
          <w:color w:val="000000"/>
        </w:rPr>
        <w:br w:type="page" w:clear="all"/>
      </w:r>
      <w:r>
        <w:rPr>
          <w:rFonts w:hint="eastAsia" w:ascii="宋体" w:hAnsi="宋体" w:cs="宋体"/>
          <w:b/>
          <w:bCs/>
          <w:color w:val="000000"/>
          <w:sz w:val="32"/>
          <w:szCs w:val="32"/>
        </w:rPr>
        <w:t xml:space="preserve">五、分项报价表</w:t>
      </w:r>
      <w:r>
        <w:rPr>
          <w:rFonts w:hint="eastAsia" w:ascii="宋体" w:hAnsi="宋体" w:cs="宋体"/>
          <w:color w:val="000000"/>
        </w:rPr>
      </w:r>
      <w:r/>
    </w:p>
    <w:p>
      <w:pPr>
        <w:pStyle w:val="1151"/>
        <w:ind w:firstLine="420"/>
        <w:spacing w:line="360" w:lineRule="auto"/>
        <w:rPr>
          <w:rFonts w:hint="eastAsia" w:ascii="宋体" w:hAnsi="宋体" w:cs="宋体"/>
          <w:color w:val="000000"/>
        </w:rPr>
      </w:pPr>
      <w:r>
        <w:rPr>
          <w:rFonts w:hint="eastAsia" w:ascii="宋体" w:hAnsi="宋体" w:cs="宋体"/>
          <w:color w:val="000000"/>
        </w:rPr>
        <w:t xml:space="preserve">本次为首轮报价</w:t>
      </w:r>
      <w:r>
        <w:rPr>
          <w:rFonts w:hint="eastAsia" w:ascii="宋体" w:hAnsi="宋体" w:cs="宋体"/>
          <w:color w:val="000000"/>
        </w:rPr>
      </w:r>
      <w:r/>
    </w:p>
    <w:p>
      <w:pPr>
        <w:pStyle w:val="1173"/>
        <w:ind w:firstLine="420"/>
        <w:spacing w:line="360" w:lineRule="auto"/>
        <w:rPr>
          <w:rFonts w:hint="eastAsia" w:ascii="宋体" w:hAnsi="宋体" w:cs="宋体"/>
          <w:color w:val="000000"/>
          <w:sz w:val="21"/>
          <w:szCs w:val="22"/>
        </w:rPr>
      </w:pPr>
      <w:r>
        <w:rPr>
          <w:rFonts w:hint="eastAsia" w:ascii="宋体" w:hAnsi="宋体" w:cs="宋体"/>
          <w:color w:val="000000"/>
          <w:sz w:val="21"/>
          <w:szCs w:val="22"/>
        </w:rPr>
        <w:t xml:space="preserve">项目名称：</w:t>
      </w:r>
      <w:r>
        <w:rPr>
          <w:rFonts w:hint="eastAsia" w:ascii="宋体" w:hAnsi="宋体" w:cs="宋体"/>
          <w:color w:val="000000"/>
          <w:sz w:val="21"/>
          <w:szCs w:val="22"/>
        </w:rPr>
      </w:r>
      <w:r/>
    </w:p>
    <w:p>
      <w:pPr>
        <w:pStyle w:val="1173"/>
        <w:ind w:firstLine="420"/>
        <w:spacing w:line="360" w:lineRule="auto"/>
        <w:rPr>
          <w:rFonts w:hint="eastAsia" w:ascii="宋体" w:hAnsi="宋体" w:cs="宋体"/>
          <w:color w:val="000000"/>
          <w:sz w:val="21"/>
          <w:szCs w:val="22"/>
        </w:rPr>
      </w:pPr>
      <w:r>
        <w:rPr>
          <w:rFonts w:hint="eastAsia" w:ascii="宋体" w:hAnsi="宋体" w:cs="宋体"/>
          <w:color w:val="000000"/>
          <w:sz w:val="21"/>
          <w:szCs w:val="22"/>
        </w:rPr>
        <w:t xml:space="preserve">项目编号：</w:t>
      </w:r>
      <w:r>
        <w:rPr>
          <w:rFonts w:hint="eastAsia" w:ascii="宋体" w:hAnsi="宋体" w:cs="宋体"/>
          <w:color w:val="000000"/>
          <w:sz w:val="21"/>
          <w:szCs w:val="22"/>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rPr>
        <w:t xml:space="preserve">1、行数不够，可自行添加。</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rPr>
          <w:rFonts w:hint="eastAsia" w:ascii="宋体" w:hAnsi="宋体" w:cs="宋体"/>
          <w:color w:val="000000"/>
          <w:szCs w:val="21"/>
        </w:rPr>
      </w:r>
      <w:r/>
    </w:p>
    <w:p>
      <w:pPr>
        <w:pStyle w:val="1151"/>
        <w:spacing w:line="360" w:lineRule="auto"/>
        <w:rPr>
          <w:rFonts w:hint="eastAsia" w:ascii="宋体" w:hAnsi="宋体" w:cs="宋体"/>
          <w:color w:val="000000"/>
          <w:szCs w:val="21"/>
        </w:rPr>
      </w:pPr>
      <w:r>
        <w:rPr>
          <w:rFonts w:hint="eastAsia" w:ascii="宋体" w:hAnsi="宋体" w:cs="宋体"/>
          <w:color w:val="000000"/>
          <w:szCs w:val="21"/>
        </w:rPr>
      </w:r>
      <w:r/>
    </w:p>
    <w:p>
      <w:pPr>
        <w:pStyle w:val="1154"/>
        <w:spacing w:line="360" w:lineRule="auto"/>
        <w:rPr>
          <w:rFonts w:hint="eastAsia" w:ascii="宋体" w:hAnsi="宋体" w:cs="宋体"/>
          <w:b w:val="0"/>
          <w:bCs w:val="0"/>
          <w:color w:val="000000"/>
          <w:sz w:val="21"/>
          <w:szCs w:val="21"/>
        </w:rPr>
      </w:pPr>
      <w:r>
        <w:rPr>
          <w:rFonts w:hint="eastAsia" w:ascii="宋体" w:hAnsi="宋体" w:cs="宋体"/>
          <w:b w:val="0"/>
          <w:bCs w:val="0"/>
          <w:color w:val="000000"/>
          <w:sz w:val="21"/>
          <w:szCs w:val="21"/>
        </w:rPr>
      </w:r>
      <w:r/>
    </w:p>
    <w:p>
      <w:pPr>
        <w:pStyle w:val="1153"/>
        <w:jc w:val="center"/>
        <w:spacing w:line="360" w:lineRule="auto"/>
        <w:rPr>
          <w:rFonts w:hint="eastAsia" w:ascii="宋体" w:hAnsi="宋体" w:cs="宋体"/>
          <w:bCs w:val="0"/>
          <w:color w:val="000000"/>
        </w:rPr>
      </w:pPr>
      <w:r>
        <w:rPr>
          <w:rFonts w:hint="eastAsia" w:ascii="宋体" w:hAnsi="宋体" w:cs="宋体"/>
          <w:bCs w:val="0"/>
          <w:color w:val="000000"/>
        </w:rPr>
      </w:r>
      <w:r/>
    </w:p>
    <w:p>
      <w:pPr>
        <w:pStyle w:val="1151"/>
        <w:jc w:val="center"/>
        <w:spacing w:line="360" w:lineRule="auto"/>
        <w:rPr>
          <w:rFonts w:hint="eastAsia" w:ascii="宋体" w:hAnsi="宋体" w:cs="宋体"/>
          <w:bCs/>
          <w:color w:val="000000"/>
        </w:rPr>
      </w:pPr>
      <w:r>
        <w:rPr>
          <w:rFonts w:hint="eastAsia" w:ascii="宋体" w:hAnsi="宋体" w:cs="宋体"/>
          <w:bCs/>
          <w:color w:val="000000"/>
        </w:rPr>
        <w:br w:type="page" w:clear="all"/>
      </w:r>
      <w:r>
        <w:rPr>
          <w:rFonts w:hint="eastAsia" w:ascii="宋体" w:hAnsi="宋体" w:cs="宋体"/>
          <w:b/>
          <w:bCs/>
          <w:color w:val="000000"/>
          <w:sz w:val="32"/>
          <w:szCs w:val="32"/>
        </w:rPr>
        <w:t xml:space="preserve">六、技术参数响应及偏离表</w:t>
      </w:r>
      <w:bookmarkEnd w:id="504"/>
      <w:r>
        <w:rPr>
          <w:rFonts w:hint="eastAsia" w:ascii="宋体" w:hAnsi="宋体" w:cs="宋体"/>
          <w:bCs/>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2852"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采购要求</w:t>
            </w:r>
            <w:r>
              <w:rPr>
                <w:rFonts w:hint="eastAsia" w:ascii="宋体" w:hAnsi="宋体" w:cs="宋体"/>
                <w:color w:val="000000"/>
                <w:szCs w:val="21"/>
              </w:rPr>
            </w:r>
            <w:r/>
          </w:p>
        </w:tc>
        <w:tc>
          <w:tcPr>
            <w:tcW w:w="2852"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谈判响应</w:t>
            </w:r>
            <w:r>
              <w:rPr>
                <w:rFonts w:hint="eastAsia" w:ascii="宋体" w:hAnsi="宋体" w:cs="宋体"/>
                <w:color w:val="000000"/>
                <w:szCs w:val="21"/>
              </w:rPr>
            </w:r>
            <w:r/>
          </w:p>
        </w:tc>
        <w:tc>
          <w:tcPr>
            <w:tcW w:w="1308"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超出、符合或偏离</w:t>
            </w:r>
            <w:r>
              <w:rPr>
                <w:rFonts w:hint="eastAsia" w:ascii="宋体" w:hAnsi="宋体" w:cs="宋体"/>
                <w:color w:val="000000"/>
                <w:szCs w:val="21"/>
              </w:rPr>
            </w:r>
            <w:r/>
          </w:p>
        </w:tc>
        <w:tc>
          <w:tcPr>
            <w:tcW w:w="1173" w:type="dxa"/>
            <w:vAlign w:val="center"/>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t xml:space="preserve">证明材料</w:t>
            </w:r>
            <w:r>
              <w:rPr>
                <w:rFonts w:hint="eastAsia" w:ascii="宋体" w:hAnsi="宋体" w:cs="宋体"/>
                <w:color w:val="000000"/>
                <w:szCs w:val="21"/>
              </w:rPr>
            </w:r>
            <w:r/>
          </w:p>
        </w:tc>
      </w:tr>
      <w:tr>
        <w:trPr>
          <w:cantSplit/>
          <w:trHeight w:val="640"/>
        </w:trPr>
        <w:tc>
          <w:tcPr>
            <w:tcW w:w="984"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73"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640"/>
        </w:trPr>
        <w:tc>
          <w:tcPr>
            <w:tcW w:w="984"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73"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640"/>
        </w:trPr>
        <w:tc>
          <w:tcPr>
            <w:tcW w:w="984"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73"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640"/>
        </w:trPr>
        <w:tc>
          <w:tcPr>
            <w:tcW w:w="984"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73"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640"/>
        </w:trPr>
        <w:tc>
          <w:tcPr>
            <w:tcW w:w="984"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73"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640"/>
        </w:trPr>
        <w:tc>
          <w:tcPr>
            <w:tcW w:w="984"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73"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640"/>
        </w:trPr>
        <w:tc>
          <w:tcPr>
            <w:tcW w:w="984"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73"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640"/>
        </w:trPr>
        <w:tc>
          <w:tcPr>
            <w:tcW w:w="984"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73" w:type="dxa"/>
            <w:vAlign w:val="top"/>
            <w:textDirection w:val="lrTb"/>
            <w:noWrap w:val="false"/>
          </w:tcPr>
          <w:p>
            <w:pPr>
              <w:pStyle w:val="1151"/>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151"/>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51"/>
        <w:spacing w:line="360" w:lineRule="auto"/>
        <w:rPr>
          <w:rFonts w:hint="eastAsia" w:ascii="宋体" w:hAnsi="宋体" w:cs="宋体"/>
          <w:color w:val="000000"/>
          <w:szCs w:val="21"/>
        </w:rPr>
      </w:pPr>
      <w:r>
        <w:rPr>
          <w:rFonts w:hint="eastAsia" w:ascii="宋体" w:hAnsi="宋体" w:cs="宋体"/>
          <w:color w:val="000000"/>
          <w:szCs w:val="21"/>
        </w:rPr>
        <w:t xml:space="preserve">注：1、按照基本技术要求详细填列。</w:t>
      </w:r>
      <w:r>
        <w:rPr>
          <w:rFonts w:hint="eastAsia" w:ascii="宋体" w:hAnsi="宋体" w:cs="宋体"/>
          <w:color w:val="000000"/>
          <w:szCs w:val="21"/>
        </w:rPr>
      </w:r>
      <w:r/>
    </w:p>
    <w:p>
      <w:pPr>
        <w:pStyle w:val="1151"/>
        <w:ind w:firstLine="420"/>
        <w:spacing w:line="360" w:lineRule="auto"/>
        <w:rPr>
          <w:rFonts w:hint="eastAsia" w:ascii="宋体" w:hAnsi="宋体" w:cs="宋体"/>
          <w:color w:val="000000"/>
          <w:szCs w:val="21"/>
        </w:rPr>
      </w:pPr>
      <w:r>
        <w:rPr>
          <w:rFonts w:hint="eastAsia" w:ascii="宋体" w:hAnsi="宋体" w:cs="宋体"/>
          <w:color w:val="000000"/>
          <w:szCs w:val="21"/>
        </w:rPr>
        <w:t xml:space="preserve">2、行数不够，可自行添加。</w:t>
      </w:r>
      <w:r>
        <w:rPr>
          <w:rFonts w:hint="eastAsia" w:ascii="宋体" w:hAnsi="宋体" w:cs="宋体"/>
          <w:color w:val="000000"/>
          <w:szCs w:val="21"/>
        </w:rPr>
      </w:r>
      <w:r/>
    </w:p>
    <w:p>
      <w:pPr>
        <w:pStyle w:val="1151"/>
        <w:jc w:val="center"/>
        <w:spacing w:line="360" w:lineRule="auto"/>
        <w:rPr>
          <w:rFonts w:hint="eastAsia" w:ascii="宋体" w:hAnsi="宋体" w:cs="宋体"/>
          <w:bCs/>
          <w:color w:val="000000"/>
        </w:rPr>
      </w:pPr>
      <w:r/>
      <w:bookmarkStart w:id="505" w:name="_Hlt26955054"/>
      <w:r/>
      <w:bookmarkEnd w:id="505"/>
      <w:r/>
      <w:bookmarkStart w:id="506" w:name="_Toc109304979"/>
      <w:r>
        <w:rPr>
          <w:rFonts w:hint="eastAsia" w:ascii="宋体" w:hAnsi="宋体" w:cs="宋体"/>
          <w:bCs/>
          <w:color w:val="000000"/>
        </w:rPr>
        <w:br w:type="page" w:clear="all"/>
      </w:r>
      <w:r>
        <w:rPr>
          <w:rFonts w:hint="eastAsia" w:ascii="宋体" w:hAnsi="宋体" w:cs="宋体"/>
          <w:b/>
          <w:bCs/>
          <w:color w:val="000000"/>
          <w:sz w:val="32"/>
          <w:szCs w:val="32"/>
        </w:rPr>
        <w:t xml:space="preserve">七、商务条款响应及偏离表</w:t>
      </w:r>
      <w:bookmarkEnd w:id="506"/>
      <w:r>
        <w:rPr>
          <w:rFonts w:hint="eastAsia" w:ascii="宋体" w:hAnsi="宋体" w:cs="宋体"/>
          <w:bCs/>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pStyle w:val="1151"/>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项目</w:t>
            </w:r>
            <w:r>
              <w:rPr>
                <w:rFonts w:hint="eastAsia" w:ascii="宋体" w:hAnsi="宋体" w:cs="宋体"/>
                <w:color w:val="000000"/>
                <w:szCs w:val="21"/>
              </w:rPr>
            </w:r>
            <w:r/>
          </w:p>
        </w:tc>
        <w:tc>
          <w:tcPr>
            <w:tcW w:w="2513" w:type="dxa"/>
            <w:vAlign w:val="top"/>
            <w:textDirection w:val="lrTb"/>
            <w:noWrap w:val="false"/>
          </w:tcPr>
          <w:p>
            <w:pPr>
              <w:pStyle w:val="1151"/>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采购文件要求</w:t>
            </w:r>
            <w:r>
              <w:rPr>
                <w:rFonts w:hint="eastAsia" w:ascii="宋体" w:hAnsi="宋体" w:cs="宋体"/>
                <w:color w:val="000000"/>
                <w:szCs w:val="21"/>
              </w:rPr>
            </w:r>
            <w:r/>
          </w:p>
        </w:tc>
        <w:tc>
          <w:tcPr>
            <w:tcW w:w="1845" w:type="dxa"/>
            <w:vAlign w:val="top"/>
            <w:textDirection w:val="lrTb"/>
            <w:noWrap w:val="false"/>
          </w:tcPr>
          <w:p>
            <w:pPr>
              <w:pStyle w:val="1151"/>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是否响应</w:t>
            </w:r>
            <w:r>
              <w:rPr>
                <w:rFonts w:hint="eastAsia" w:ascii="宋体" w:hAnsi="宋体" w:cs="宋体"/>
                <w:color w:val="000000"/>
                <w:szCs w:val="21"/>
              </w:rPr>
            </w:r>
            <w:r/>
          </w:p>
        </w:tc>
        <w:tc>
          <w:tcPr>
            <w:tcW w:w="2995" w:type="dxa"/>
            <w:vAlign w:val="top"/>
            <w:textDirection w:val="lrTb"/>
            <w:noWrap w:val="false"/>
          </w:tcPr>
          <w:p>
            <w:pPr>
              <w:pStyle w:val="1151"/>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供应商的承诺或说明</w:t>
            </w:r>
            <w:r>
              <w:rPr>
                <w:rFonts w:hint="eastAsia" w:ascii="宋体" w:hAnsi="宋体" w:cs="宋体"/>
                <w:color w:val="000000"/>
                <w:szCs w:val="21"/>
              </w:rPr>
            </w:r>
            <w:r/>
          </w:p>
        </w:tc>
      </w:tr>
      <w:tr>
        <w:trPr>
          <w:trHeight w:val="593"/>
        </w:trPr>
        <w:tc>
          <w:tcPr>
            <w:tcW w:w="1645" w:type="dxa"/>
            <w:vAlign w:val="top"/>
            <w:textDirection w:val="lrTb"/>
            <w:noWrap w:val="false"/>
          </w:tcPr>
          <w:p>
            <w:pPr>
              <w:pStyle w:val="1151"/>
              <w:jc w:val="center"/>
              <w:spacing w:before="156" w:line="360" w:lineRule="auto"/>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施工工期</w:t>
            </w:r>
            <w:r>
              <w:rPr>
                <w:rFonts w:ascii="宋体" w:hAnsi="宋体" w:eastAsia="宋体" w:cs="宋体"/>
                <w:color w:val="000000"/>
                <w:szCs w:val="21"/>
                <w:lang w:val="en-US" w:eastAsia="zh-CN"/>
              </w:rPr>
            </w:r>
            <w:r/>
          </w:p>
        </w:tc>
        <w:tc>
          <w:tcPr>
            <w:tcW w:w="2513" w:type="dxa"/>
            <w:vAlign w:val="top"/>
            <w:textDirection w:val="lrTb"/>
            <w:noWrap w:val="false"/>
          </w:tcPr>
          <w:p>
            <w:pPr>
              <w:pStyle w:val="1151"/>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845" w:type="dxa"/>
            <w:vAlign w:val="top"/>
            <w:textDirection w:val="lrTb"/>
            <w:noWrap w:val="false"/>
          </w:tcPr>
          <w:p>
            <w:pPr>
              <w:pStyle w:val="1151"/>
              <w:ind w:left="43"/>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995" w:type="dxa"/>
            <w:vAlign w:val="top"/>
            <w:textDirection w:val="lrTb"/>
            <w:noWrap w:val="false"/>
          </w:tcPr>
          <w:p>
            <w:pPr>
              <w:pStyle w:val="1151"/>
              <w:ind w:left="43"/>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485"/>
        </w:trPr>
        <w:tc>
          <w:tcPr>
            <w:tcW w:w="1645" w:type="dxa"/>
            <w:vAlign w:val="top"/>
            <w:textDirection w:val="lrTb"/>
            <w:noWrap w:val="false"/>
          </w:tcPr>
          <w:p>
            <w:pPr>
              <w:pStyle w:val="1151"/>
              <w:jc w:val="center"/>
              <w:spacing w:before="156"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施工地点</w:t>
            </w:r>
            <w:r>
              <w:rPr>
                <w:rFonts w:hint="eastAsia" w:ascii="宋体" w:hAnsi="宋体" w:eastAsia="宋体" w:cs="宋体"/>
                <w:color w:val="000000"/>
                <w:sz w:val="21"/>
                <w:szCs w:val="21"/>
                <w:lang w:val="en-US" w:eastAsia="zh-CN" w:bidi="ar-SA"/>
              </w:rPr>
            </w:r>
            <w:r/>
          </w:p>
        </w:tc>
        <w:tc>
          <w:tcPr>
            <w:tcW w:w="2513" w:type="dxa"/>
            <w:vAlign w:val="top"/>
            <w:textDirection w:val="lrTb"/>
            <w:noWrap w:val="false"/>
          </w:tcPr>
          <w:p>
            <w:pPr>
              <w:pStyle w:val="1151"/>
              <w:spacing w:before="156"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r>
            <w:r/>
          </w:p>
        </w:tc>
        <w:tc>
          <w:tcPr>
            <w:tcW w:w="1845" w:type="dxa"/>
            <w:vAlign w:val="top"/>
            <w:textDirection w:val="lrTb"/>
            <w:noWrap w:val="false"/>
          </w:tcPr>
          <w:p>
            <w:pPr>
              <w:pStyle w:val="1151"/>
              <w:ind w:left="43"/>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995" w:type="dxa"/>
            <w:vAlign w:val="top"/>
            <w:textDirection w:val="lrTb"/>
            <w:noWrap w:val="false"/>
          </w:tcPr>
          <w:p>
            <w:pPr>
              <w:pStyle w:val="1151"/>
              <w:ind w:left="43"/>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507"/>
        </w:trPr>
        <w:tc>
          <w:tcPr>
            <w:tcW w:w="1645" w:type="dxa"/>
            <w:vAlign w:val="top"/>
            <w:textDirection w:val="lrTb"/>
            <w:noWrap w:val="false"/>
          </w:tcPr>
          <w:p>
            <w:pPr>
              <w:pStyle w:val="1151"/>
              <w:jc w:val="center"/>
              <w:spacing w:before="156" w:line="360" w:lineRule="auto"/>
              <w:rPr>
                <w:rFonts w:ascii="宋体" w:hAnsi="宋体" w:cs="宋体"/>
                <w:color w:val="000000"/>
                <w:sz w:val="21"/>
                <w:szCs w:val="21"/>
                <w:lang w:val="en-US" w:eastAsia="zh-CN" w:bidi="ar-SA"/>
              </w:rPr>
            </w:pPr>
            <w:r>
              <w:rPr>
                <w:rFonts w:hint="eastAsia" w:ascii="宋体" w:hAnsi="宋体" w:cs="宋体"/>
                <w:color w:val="000000"/>
                <w:szCs w:val="21"/>
              </w:rPr>
              <w:t xml:space="preserve">付款方式</w:t>
            </w:r>
            <w:r>
              <w:rPr>
                <w:rFonts w:ascii="宋体" w:hAnsi="宋体" w:cs="宋体"/>
                <w:color w:val="000000"/>
                <w:sz w:val="21"/>
                <w:szCs w:val="21"/>
                <w:lang w:val="en-US" w:eastAsia="zh-CN" w:bidi="ar-SA"/>
              </w:rPr>
            </w:r>
            <w:r/>
          </w:p>
        </w:tc>
        <w:tc>
          <w:tcPr>
            <w:tcW w:w="2513" w:type="dxa"/>
            <w:vAlign w:val="top"/>
            <w:textDirection w:val="lrTb"/>
            <w:noWrap w:val="false"/>
          </w:tcPr>
          <w:p>
            <w:pPr>
              <w:pStyle w:val="1151"/>
              <w:spacing w:before="156"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r>
            <w:r/>
          </w:p>
        </w:tc>
        <w:tc>
          <w:tcPr>
            <w:tcW w:w="1845" w:type="dxa"/>
            <w:vAlign w:val="top"/>
            <w:textDirection w:val="lrTb"/>
            <w:noWrap w:val="false"/>
          </w:tcPr>
          <w:p>
            <w:pPr>
              <w:pStyle w:val="1151"/>
              <w:ind w:left="43"/>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995" w:type="dxa"/>
            <w:vAlign w:val="top"/>
            <w:textDirection w:val="lrTb"/>
            <w:noWrap w:val="false"/>
          </w:tcPr>
          <w:p>
            <w:pPr>
              <w:pStyle w:val="1151"/>
              <w:ind w:left="43"/>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472"/>
        </w:trPr>
        <w:tc>
          <w:tcPr>
            <w:tcW w:w="1645" w:type="dxa"/>
            <w:vAlign w:val="top"/>
            <w:textDirection w:val="lrTb"/>
            <w:noWrap w:val="false"/>
          </w:tcPr>
          <w:p>
            <w:pPr>
              <w:pStyle w:val="1151"/>
              <w:jc w:val="center"/>
              <w:spacing w:before="156"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其他</w:t>
            </w:r>
            <w:r>
              <w:rPr>
                <w:rFonts w:hint="eastAsia" w:ascii="宋体" w:hAnsi="宋体" w:cs="宋体"/>
                <w:color w:val="000000"/>
                <w:sz w:val="21"/>
                <w:szCs w:val="21"/>
                <w:lang w:val="en-US" w:eastAsia="zh-CN" w:bidi="ar-SA"/>
              </w:rPr>
            </w:r>
            <w:r/>
          </w:p>
        </w:tc>
        <w:tc>
          <w:tcPr>
            <w:tcW w:w="2513" w:type="dxa"/>
            <w:vAlign w:val="top"/>
            <w:textDirection w:val="lrTb"/>
            <w:noWrap w:val="false"/>
          </w:tcPr>
          <w:p>
            <w:pPr>
              <w:pStyle w:val="1151"/>
              <w:jc w:val="center"/>
              <w:spacing w:before="156"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w:t>
            </w:r>
            <w:r>
              <w:rPr>
                <w:rFonts w:hint="eastAsia" w:ascii="宋体" w:hAnsi="宋体" w:cs="宋体"/>
                <w:color w:val="000000"/>
                <w:sz w:val="21"/>
                <w:szCs w:val="21"/>
                <w:lang w:val="en-US" w:eastAsia="zh-CN" w:bidi="ar-SA"/>
              </w:rPr>
            </w:r>
            <w:r/>
          </w:p>
        </w:tc>
        <w:tc>
          <w:tcPr>
            <w:tcW w:w="1845" w:type="dxa"/>
            <w:vAlign w:val="top"/>
            <w:textDirection w:val="lrTb"/>
            <w:noWrap w:val="false"/>
          </w:tcPr>
          <w:p>
            <w:pPr>
              <w:pStyle w:val="1151"/>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995" w:type="dxa"/>
            <w:vAlign w:val="top"/>
            <w:textDirection w:val="lrTb"/>
            <w:noWrap w:val="false"/>
          </w:tcPr>
          <w:p>
            <w:pPr>
              <w:pStyle w:val="1151"/>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483"/>
        </w:trPr>
        <w:tc>
          <w:tcPr>
            <w:tcW w:w="1645" w:type="dxa"/>
            <w:vAlign w:val="top"/>
            <w:textDirection w:val="lrTb"/>
            <w:noWrap w:val="false"/>
          </w:tcPr>
          <w:p>
            <w:pPr>
              <w:pStyle w:val="1151"/>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513" w:type="dxa"/>
            <w:vAlign w:val="top"/>
            <w:textDirection w:val="lrTb"/>
            <w:noWrap w:val="false"/>
          </w:tcPr>
          <w:p>
            <w:pPr>
              <w:pStyle w:val="1151"/>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845" w:type="dxa"/>
            <w:vAlign w:val="top"/>
            <w:textDirection w:val="lrTb"/>
            <w:noWrap w:val="false"/>
          </w:tcPr>
          <w:p>
            <w:pPr>
              <w:pStyle w:val="1151"/>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995" w:type="dxa"/>
            <w:vAlign w:val="top"/>
            <w:textDirection w:val="lrTb"/>
            <w:noWrap w:val="false"/>
          </w:tcPr>
          <w:p>
            <w:pPr>
              <w:pStyle w:val="1151"/>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r>
    </w:tbl>
    <w:p>
      <w:pPr>
        <w:pStyle w:val="1151"/>
        <w:jc w:val="center"/>
        <w:spacing w:line="360" w:lineRule="auto"/>
        <w:widowControl/>
        <w:rPr>
          <w:rFonts w:hint="eastAsia" w:ascii="宋体" w:hAnsi="宋体" w:cs="宋体"/>
          <w:b/>
          <w:bCs/>
          <w:color w:val="000000"/>
          <w:sz w:val="32"/>
          <w:szCs w:val="32"/>
        </w:rPr>
      </w:pPr>
      <w:r/>
      <w:bookmarkStart w:id="507" w:name="_Hlt26580838"/>
      <w:r/>
      <w:bookmarkEnd w:id="507"/>
      <w:r/>
      <w:bookmarkStart w:id="508" w:name="_Hlt24879081"/>
      <w:r/>
      <w:bookmarkEnd w:id="508"/>
      <w:r/>
      <w:bookmarkStart w:id="509" w:name="_Hlt26782999"/>
      <w:r/>
      <w:bookmarkEnd w:id="509"/>
      <w:r/>
      <w:bookmarkStart w:id="510" w:name="_Hlt26955064"/>
      <w:r/>
      <w:bookmarkEnd w:id="510"/>
      <w:r/>
      <w:bookmarkStart w:id="511" w:name="_Hlt26609391"/>
      <w:r/>
      <w:bookmarkEnd w:id="511"/>
      <w:r/>
      <w:bookmarkStart w:id="512" w:name="_Hlt26671372"/>
      <w:r/>
      <w:bookmarkEnd w:id="512"/>
      <w:r/>
      <w:bookmarkStart w:id="513" w:name="_Hlt26671343"/>
      <w:r/>
      <w:bookmarkEnd w:id="513"/>
      <w:r/>
      <w:bookmarkStart w:id="514" w:name="_Hlt26955056"/>
      <w:r/>
      <w:bookmarkEnd w:id="514"/>
      <w:r>
        <w:rPr>
          <w:rFonts w:hint="eastAsia" w:ascii="宋体" w:hAnsi="宋体" w:cs="宋体"/>
          <w:b/>
          <w:color w:val="000000"/>
        </w:rPr>
        <w:br w:type="page" w:clear="all"/>
      </w:r>
      <w:r>
        <w:rPr>
          <w:rFonts w:hint="eastAsia" w:ascii="宋体" w:hAnsi="宋体" w:cs="宋体"/>
          <w:b/>
          <w:bCs/>
          <w:color w:val="000000"/>
          <w:sz w:val="32"/>
          <w:szCs w:val="32"/>
        </w:rPr>
        <w:t xml:space="preserve">主要标的信息（成交后将公示）</w:t>
      </w:r>
      <w:r>
        <w:rPr>
          <w:rFonts w:hint="eastAsia" w:ascii="宋体" w:hAnsi="宋体" w:cs="宋体"/>
          <w:b/>
          <w:bCs/>
          <w:color w:val="000000"/>
          <w:sz w:val="32"/>
          <w:szCs w:val="32"/>
        </w:rPr>
      </w:r>
      <w:r/>
    </w:p>
    <w:p>
      <w:pPr>
        <w:pStyle w:val="1151"/>
        <w:spacing w:after="312" w:line="360" w:lineRule="auto"/>
        <w:rPr>
          <w:rFonts w:hint="eastAsia" w:ascii="宋体" w:hAnsi="宋体" w:cs="宋体"/>
          <w:b/>
          <w:color w:val="000000"/>
        </w:rPr>
      </w:pPr>
      <w:r>
        <w:rPr>
          <w:rFonts w:hint="eastAsia" w:ascii="宋体" w:hAnsi="宋体" w:cs="宋体"/>
          <w:color w:val="000000"/>
        </w:rPr>
        <w:t xml:space="preserve">供应商全称：</w:t>
      </w:r>
      <w:r>
        <w:rPr>
          <w:rFonts w:hint="eastAsia" w:ascii="宋体" w:hAnsi="宋体" w:cs="宋体"/>
          <w:b/>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0"/>
      </w:tblGrid>
      <w:tr>
        <w:trPr>
          <w:trHeight w:val="725"/>
        </w:trPr>
        <w:tc>
          <w:tcPr>
            <w:tcW w:w="9420" w:type="dxa"/>
            <w:vAlign w:val="top"/>
            <w:textDirection w:val="lrTb"/>
            <w:noWrap w:val="false"/>
          </w:tcPr>
          <w:p>
            <w:pPr>
              <w:pStyle w:val="1151"/>
              <w:jc w:val="center"/>
              <w:spacing w:line="360" w:lineRule="auto"/>
              <w:rPr>
                <w:rFonts w:hint="eastAsia" w:ascii="宋体" w:hAnsi="宋体" w:cs="宋体"/>
                <w:color w:val="000000"/>
              </w:rPr>
            </w:pPr>
            <w:r>
              <w:rPr>
                <w:rFonts w:hint="eastAsia" w:ascii="宋体" w:hAnsi="宋体" w:cs="宋体"/>
                <w:color w:val="000000"/>
              </w:rPr>
              <w:t xml:space="preserve">工</w:t>
            </w:r>
            <w:r>
              <w:rPr>
                <w:rFonts w:hint="eastAsia" w:ascii="宋体" w:hAnsi="宋体" w:cs="宋体"/>
                <w:color w:val="000000"/>
                <w:lang w:val="en-US" w:eastAsia="zh-CN"/>
              </w:rPr>
              <w:t xml:space="preserve">  </w:t>
            </w:r>
            <w:r>
              <w:rPr>
                <w:rFonts w:hint="eastAsia" w:ascii="宋体" w:hAnsi="宋体" w:cs="宋体"/>
                <w:color w:val="000000"/>
              </w:rPr>
              <w:t xml:space="preserve">程</w:t>
            </w:r>
            <w:r>
              <w:rPr>
                <w:rFonts w:hint="eastAsia" w:ascii="宋体" w:hAnsi="宋体" w:cs="宋体"/>
                <w:color w:val="000000"/>
                <w:lang w:val="en-US" w:eastAsia="zh-CN"/>
              </w:rPr>
              <w:t xml:space="preserve">  </w:t>
            </w:r>
            <w:r>
              <w:rPr>
                <w:rFonts w:hint="eastAsia" w:ascii="宋体" w:hAnsi="宋体" w:cs="宋体"/>
                <w:color w:val="000000"/>
              </w:rPr>
              <w:t xml:space="preserve">类</w:t>
            </w:r>
            <w:r>
              <w:rPr>
                <w:rFonts w:hint="eastAsia" w:ascii="宋体" w:hAnsi="宋体" w:cs="宋体"/>
                <w:color w:val="000000"/>
              </w:rPr>
            </w:r>
            <w:r/>
          </w:p>
        </w:tc>
      </w:tr>
      <w:tr>
        <w:trPr>
          <w:trHeight w:val="3192"/>
        </w:trPr>
        <w:tc>
          <w:tcPr>
            <w:tcW w:w="9420" w:type="dxa"/>
            <w:vAlign w:val="top"/>
            <w:textDirection w:val="lrTb"/>
            <w:noWrap w:val="false"/>
          </w:tcPr>
          <w:p>
            <w:pPr>
              <w:pStyle w:val="1151"/>
              <w:spacing w:line="360" w:lineRule="auto"/>
              <w:rPr>
                <w:rFonts w:hint="eastAsia" w:ascii="宋体" w:hAnsi="宋体" w:cs="宋体"/>
                <w:color w:val="000000"/>
              </w:rPr>
            </w:pPr>
            <w:r>
              <w:rPr>
                <w:rFonts w:hint="eastAsia" w:ascii="宋体" w:hAnsi="宋体" w:cs="宋体"/>
                <w:color w:val="000000"/>
              </w:rPr>
              <w:t xml:space="preserve">名称：</w:t>
            </w:r>
            <w:r>
              <w:rPr>
                <w:rFonts w:hint="eastAsia" w:ascii="宋体" w:hAnsi="宋体" w:cs="宋体"/>
                <w:color w:val="000000"/>
              </w:rPr>
            </w:r>
            <w:r/>
          </w:p>
          <w:p>
            <w:pPr>
              <w:pStyle w:val="1151"/>
              <w:spacing w:line="360" w:lineRule="auto"/>
              <w:rPr>
                <w:rFonts w:hint="eastAsia" w:ascii="宋体" w:hAnsi="宋体" w:cs="宋体"/>
                <w:color w:val="000000"/>
              </w:rPr>
            </w:pPr>
            <w:r>
              <w:rPr>
                <w:rFonts w:hint="eastAsia" w:ascii="宋体" w:hAnsi="宋体" w:cs="宋体"/>
                <w:color w:val="000000"/>
              </w:rPr>
              <w:t xml:space="preserve">施工范围：</w:t>
            </w:r>
            <w:r>
              <w:rPr>
                <w:rFonts w:hint="eastAsia" w:ascii="宋体" w:hAnsi="宋体" w:cs="宋体"/>
                <w:color w:val="000000"/>
              </w:rPr>
            </w:r>
            <w:r/>
          </w:p>
          <w:p>
            <w:pPr>
              <w:pStyle w:val="1151"/>
              <w:spacing w:line="360" w:lineRule="auto"/>
              <w:rPr>
                <w:rFonts w:hint="eastAsia" w:ascii="宋体" w:hAnsi="宋体" w:cs="宋体"/>
                <w:color w:val="000000"/>
              </w:rPr>
            </w:pPr>
            <w:r>
              <w:rPr>
                <w:rFonts w:hint="eastAsia" w:ascii="宋体" w:hAnsi="宋体" w:cs="宋体"/>
                <w:color w:val="000000"/>
              </w:rPr>
              <w:t xml:space="preserve">施工工期：</w:t>
            </w:r>
            <w:r>
              <w:rPr>
                <w:rFonts w:hint="eastAsia" w:ascii="宋体" w:hAnsi="宋体" w:cs="宋体"/>
                <w:color w:val="000000"/>
              </w:rPr>
            </w:r>
            <w:r/>
          </w:p>
          <w:p>
            <w:pPr>
              <w:pStyle w:val="1151"/>
              <w:spacing w:line="360" w:lineRule="auto"/>
              <w:rPr>
                <w:rFonts w:hint="eastAsia" w:ascii="宋体" w:hAnsi="宋体" w:cs="宋体"/>
                <w:color w:val="000000"/>
              </w:rPr>
            </w:pPr>
            <w:r>
              <w:rPr>
                <w:rFonts w:hint="eastAsia" w:ascii="宋体" w:hAnsi="宋体" w:cs="宋体"/>
                <w:color w:val="000000"/>
              </w:rPr>
              <w:t xml:space="preserve">项目经理：</w:t>
            </w:r>
            <w:r>
              <w:rPr>
                <w:rFonts w:hint="eastAsia" w:ascii="宋体" w:hAnsi="宋体" w:cs="宋体"/>
                <w:color w:val="000000"/>
              </w:rPr>
            </w:r>
            <w:r/>
          </w:p>
          <w:p>
            <w:pPr>
              <w:pStyle w:val="1151"/>
              <w:spacing w:line="360" w:lineRule="auto"/>
              <w:rPr>
                <w:rFonts w:hint="eastAsia" w:ascii="宋体" w:hAnsi="宋体" w:cs="宋体"/>
                <w:color w:val="000000"/>
              </w:rPr>
            </w:pPr>
            <w:r>
              <w:rPr>
                <w:rFonts w:hint="eastAsia" w:ascii="宋体" w:hAnsi="宋体" w:cs="宋体"/>
                <w:color w:val="000000"/>
              </w:rPr>
              <w:t xml:space="preserve">执业证书信息：</w:t>
            </w:r>
            <w:r>
              <w:rPr>
                <w:rFonts w:hint="eastAsia" w:ascii="宋体" w:hAnsi="宋体" w:cs="宋体"/>
                <w:color w:val="000000"/>
              </w:rPr>
            </w:r>
            <w:r/>
          </w:p>
        </w:tc>
      </w:tr>
    </w:tbl>
    <w:p>
      <w:r/>
      <w:r/>
    </w:p>
    <w:sectPr>
      <w:footerReference w:type="default" r:id="rId16"/>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Arial-BoldMT">
    <w:panose1 w:val="020B0604020202020204"/>
  </w:font>
  <w:font w:name="汉仪中黑简">
    <w:panose1 w:val="020B0503020202020204"/>
  </w:font>
  <w:font w:name="Cambria Math">
    <w:panose1 w:val="02040503050406030204"/>
  </w:font>
  <w:font w:name="方正小标宋简体">
    <w:panose1 w:val="020B0503020202020204"/>
  </w:font>
  <w:font w:name="楷体">
    <w:panose1 w:val="02010609060101010101"/>
  </w:font>
  <w:font w:name="新宋体">
    <w:panose1 w:val="02010609030101010101"/>
  </w:font>
  <w:font w:name="Symbol">
    <w:panose1 w:val="05050102010706020507"/>
  </w:font>
  <w:font w:name="Wingdings">
    <w:panose1 w:val="05000000000000000000"/>
  </w:font>
  <w:font w:name="Book Antiqua">
    <w:panose1 w:val="02040602050305030304"/>
  </w:font>
  <w:font w:name="EU-F1">
    <w:panose1 w:val="020B0503020202020204"/>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Calibri">
    <w:panose1 w:val="020F0502020204030204"/>
  </w:font>
  <w:font w:name="E-F1">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tabs>
        <w:tab w:val="center" w:pos="4153" w:leader="none"/>
        <w:tab w:val="right" w:pos="8306" w:leader="none"/>
      </w:tabs>
    </w:pPr>
    <w:r/>
    <w:r/>
  </w:p>
  <w:p>
    <w:pPr>
      <w:pStyle w:val="117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tabs>
        <w:tab w:val="center" w:pos="4153" w:leader="none"/>
        <w:tab w:val="right" w:pos="8306" w:leader="none"/>
      </w:tabs>
    </w:pPr>
    <w:r/>
    <w:r/>
  </w:p>
  <w:p>
    <w:pPr>
      <w:pStyle w:val="117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11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115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tabs>
                              <w:tab w:val="clear" w:pos="4153" w:leader="none"/>
                              <w:tab w:val="clear" w:pos="8306" w:leader="none"/>
                            </w:tabs>
                          </w:pPr>
                          <w:r>
                            <w:t xml:space="preserve">— </w:t>
                          </w:r>
                          <w:r>
                            <w:fldChar w:fldCharType="begin"/>
                          </w:r>
                          <w:r>
                            <w:instrText xml:space="preserve"> PAGE  \* MERGEFORMAT </w:instrText>
                          </w:r>
                          <w:r>
                            <w:fldChar w:fldCharType="separate"/>
                          </w:r>
                          <w:r>
                            <w:t xml:space="preserve">28</w:t>
                          </w:r>
                          <w:r>
                            <w:fldChar w:fldCharType="end"/>
                          </w:r>
                          <w:r>
                            <w:t xml:space="preserve"> —</w:t>
                          </w:r>
                          <w:r/>
                        </w:p>
                        <w:p>
                          <w:pPr>
                            <w:pStyle w:val="115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tabs>
                        <w:tab w:val="clear" w:pos="4153" w:leader="none"/>
                        <w:tab w:val="clear" w:pos="8306" w:leader="none"/>
                      </w:tabs>
                    </w:pPr>
                    <w:r>
                      <w:t xml:space="preserve">— </w:t>
                    </w:r>
                    <w:r>
                      <w:fldChar w:fldCharType="begin"/>
                    </w:r>
                    <w:r>
                      <w:instrText xml:space="preserve"> PAGE  \* MERGEFORMAT </w:instrText>
                    </w:r>
                    <w:r>
                      <w:fldChar w:fldCharType="separate"/>
                    </w:r>
                    <w:r>
                      <w:t xml:space="preserve">28</w:t>
                    </w:r>
                    <w:r>
                      <w:fldChar w:fldCharType="end"/>
                    </w:r>
                    <w:r>
                      <w:t xml:space="preserve"> —</w:t>
                    </w:r>
                    <w:r/>
                  </w:p>
                  <w:p>
                    <w:pPr>
                      <w:pStyle w:val="115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tabs>
                              <w:tab w:val="clear" w:pos="4153" w:leader="none"/>
                              <w:tab w:val="clear" w:pos="8306" w:leader="none"/>
                            </w:tabs>
                          </w:pPr>
                          <w:r>
                            <w:t xml:space="preserve">— </w:t>
                          </w:r>
                          <w:r>
                            <w:fldChar w:fldCharType="begin"/>
                          </w:r>
                          <w:r>
                            <w:instrText xml:space="preserve"> PAGE  \* MERGEFORMAT </w:instrText>
                          </w:r>
                          <w:r>
                            <w:fldChar w:fldCharType="separate"/>
                          </w:r>
                          <w:r>
                            <w:t xml:space="preserve">32</w:t>
                          </w:r>
                          <w:r>
                            <w:fldChar w:fldCharType="end"/>
                          </w:r>
                          <w:r>
                            <w:t xml:space="preserve"> —</w:t>
                          </w:r>
                          <w:r/>
                        </w:p>
                        <w:p>
                          <w:pPr>
                            <w:pStyle w:val="115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tabs>
                        <w:tab w:val="clear" w:pos="4153" w:leader="none"/>
                        <w:tab w:val="clear" w:pos="8306" w:leader="none"/>
                      </w:tabs>
                    </w:pPr>
                    <w:r>
                      <w:t xml:space="preserve">— </w:t>
                    </w:r>
                    <w:r>
                      <w:fldChar w:fldCharType="begin"/>
                    </w:r>
                    <w:r>
                      <w:instrText xml:space="preserve"> PAGE  \* MERGEFORMAT </w:instrText>
                    </w:r>
                    <w:r>
                      <w:fldChar w:fldCharType="separate"/>
                    </w:r>
                    <w:r>
                      <w:t xml:space="preserve">32</w:t>
                    </w:r>
                    <w:r>
                      <w:fldChar w:fldCharType="end"/>
                    </w:r>
                    <w:r>
                      <w:t xml:space="preserve"> —</w:t>
                    </w:r>
                    <w:r/>
                  </w:p>
                  <w:p>
                    <w:pPr>
                      <w:pStyle w:val="115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tabs>
        <w:tab w:val="center" w:pos="4153" w:leader="none"/>
        <w:tab w:val="right" w:pos="8306" w:leader="none"/>
      </w:tabs>
      <w:rPr>
        <w:rFonts w:hint="eastAsia"/>
      </w:rPr>
      <w:pBdr>
        <w:bottom w:val="none" w:color="000000" w:sz="0" w:space="1"/>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tabs>
        <w:tab w:val="center" w:pos="4153" w:leader="none"/>
        <w:tab w:val="right" w:pos="8306" w:leader="none"/>
      </w:tabs>
      <w:rPr>
        <w:rFonts w:hint="eastAsia"/>
        <w:szCs w:val="22"/>
      </w:rPr>
      <w:pBdr>
        <w:bottom w:val="none" w:color="000000" w:sz="0" w:space="1"/>
      </w:pBdr>
    </w:pPr>
    <w:r>
      <w:rPr>
        <w:rFonts w:hint="eastAsia"/>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11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51"/>
        <w:ind w:left="0" w:firstLine="0"/>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nothing"/>
      <w:lvlText w:val="%1）"/>
      <w:lvlJc w:val="left"/>
      <w:pPr>
        <w:pStyle w:val="11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69"/>
      <w:isLgl w:val="false"/>
      <w:suff w:val="tab"/>
      <w:lvlText w:val=""/>
      <w:lvlJc w:val="left"/>
      <w:pPr>
        <w:pStyle w:val="115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151"/>
        <w:ind w:left="845" w:hanging="420"/>
      </w:pPr>
      <w:rPr>
        <w:rFonts w:hint="eastAsia"/>
      </w:rPr>
    </w:lvl>
    <w:lvl w:ilvl="1">
      <w:start w:val="1"/>
      <w:numFmt w:val="lowerLetter"/>
      <w:isLgl w:val="false"/>
      <w:suff w:val="tab"/>
      <w:lvlText w:val="%2)"/>
      <w:lvlJc w:val="left"/>
      <w:pPr>
        <w:pStyle w:val="1151"/>
        <w:ind w:left="1265" w:hanging="420"/>
      </w:pPr>
      <w:rPr>
        <w:rFonts w:hint="eastAsia"/>
      </w:rPr>
    </w:lvl>
    <w:lvl w:ilvl="2">
      <w:start w:val="1"/>
      <w:numFmt w:val="lowerRoman"/>
      <w:isLgl w:val="false"/>
      <w:suff w:val="tab"/>
      <w:lvlText w:val="%3."/>
      <w:lvlJc w:val="right"/>
      <w:pPr>
        <w:pStyle w:val="1151"/>
        <w:ind w:left="1685" w:hanging="420"/>
      </w:pPr>
      <w:rPr>
        <w:rFonts w:hint="eastAsia"/>
      </w:rPr>
    </w:lvl>
    <w:lvl w:ilvl="3">
      <w:start w:val="1"/>
      <w:numFmt w:val="decimal"/>
      <w:isLgl w:val="false"/>
      <w:suff w:val="tab"/>
      <w:lvlText w:val="%4."/>
      <w:lvlJc w:val="left"/>
      <w:pPr>
        <w:pStyle w:val="1151"/>
        <w:ind w:left="2105" w:hanging="420"/>
      </w:pPr>
      <w:rPr>
        <w:rFonts w:hint="eastAsia"/>
      </w:rPr>
    </w:lvl>
    <w:lvl w:ilvl="4">
      <w:start w:val="1"/>
      <w:numFmt w:val="lowerLetter"/>
      <w:isLgl w:val="false"/>
      <w:suff w:val="tab"/>
      <w:lvlText w:val="%5)"/>
      <w:lvlJc w:val="left"/>
      <w:pPr>
        <w:pStyle w:val="1151"/>
        <w:ind w:left="2525" w:hanging="420"/>
      </w:pPr>
      <w:rPr>
        <w:rFonts w:hint="eastAsia"/>
      </w:rPr>
    </w:lvl>
    <w:lvl w:ilvl="5">
      <w:start w:val="1"/>
      <w:numFmt w:val="lowerRoman"/>
      <w:isLgl w:val="false"/>
      <w:suff w:val="tab"/>
      <w:lvlText w:val="%6."/>
      <w:lvlJc w:val="right"/>
      <w:pPr>
        <w:pStyle w:val="1151"/>
        <w:ind w:left="2945" w:hanging="420"/>
      </w:pPr>
      <w:rPr>
        <w:rFonts w:hint="eastAsia"/>
      </w:rPr>
    </w:lvl>
    <w:lvl w:ilvl="6">
      <w:start w:val="1"/>
      <w:numFmt w:val="decimal"/>
      <w:isLgl w:val="false"/>
      <w:suff w:val="tab"/>
      <w:lvlText w:val="%7."/>
      <w:lvlJc w:val="left"/>
      <w:pPr>
        <w:pStyle w:val="1151"/>
        <w:ind w:left="3365" w:hanging="420"/>
      </w:pPr>
      <w:rPr>
        <w:rFonts w:hint="eastAsia"/>
      </w:rPr>
    </w:lvl>
    <w:lvl w:ilvl="7">
      <w:start w:val="1"/>
      <w:numFmt w:val="lowerLetter"/>
      <w:isLgl w:val="false"/>
      <w:suff w:val="tab"/>
      <w:lvlText w:val="%8)"/>
      <w:lvlJc w:val="left"/>
      <w:pPr>
        <w:pStyle w:val="1151"/>
        <w:ind w:left="3785" w:hanging="420"/>
      </w:pPr>
      <w:rPr>
        <w:rFonts w:hint="eastAsia"/>
      </w:rPr>
    </w:lvl>
    <w:lvl w:ilvl="8">
      <w:start w:val="1"/>
      <w:numFmt w:val="lowerRoman"/>
      <w:isLgl w:val="false"/>
      <w:suff w:val="tab"/>
      <w:lvlText w:val="%9."/>
      <w:lvlJc w:val="right"/>
      <w:pPr>
        <w:pStyle w:val="1151"/>
        <w:ind w:left="4205" w:hanging="420"/>
      </w:pPr>
      <w:rPr>
        <w:rFonts w:hint="eastAsia"/>
      </w:rPr>
    </w:lvl>
  </w:abstractNum>
  <w:abstractNum w:abstractNumId="5">
    <w:multiLevelType w:val="hybridMultilevel"/>
    <w:lvl w:ilvl="0">
      <w:start w:val="1"/>
      <w:numFmt w:val="decimal"/>
      <w:isLgl w:val="false"/>
      <w:suff w:val="tab"/>
      <w:lvlText w:val="%1)"/>
      <w:lvlJc w:val="left"/>
      <w:pPr>
        <w:pStyle w:val="1151"/>
        <w:ind w:left="845" w:hanging="420"/>
      </w:pPr>
    </w:lvl>
    <w:lvl w:ilvl="1">
      <w:start w:val="1"/>
      <w:numFmt w:val="lowerLetter"/>
      <w:isLgl w:val="false"/>
      <w:suff w:val="tab"/>
      <w:lvlText w:val="%2)"/>
      <w:lvlJc w:val="left"/>
      <w:pPr>
        <w:pStyle w:val="1151"/>
        <w:ind w:left="1265" w:hanging="420"/>
      </w:pPr>
    </w:lvl>
    <w:lvl w:ilvl="2">
      <w:start w:val="1"/>
      <w:numFmt w:val="lowerRoman"/>
      <w:isLgl w:val="false"/>
      <w:suff w:val="tab"/>
      <w:lvlText w:val="%3."/>
      <w:lvlJc w:val="right"/>
      <w:pPr>
        <w:pStyle w:val="1151"/>
        <w:ind w:left="1685" w:hanging="420"/>
      </w:pPr>
    </w:lvl>
    <w:lvl w:ilvl="3">
      <w:start w:val="1"/>
      <w:numFmt w:val="decimal"/>
      <w:isLgl w:val="false"/>
      <w:suff w:val="tab"/>
      <w:lvlText w:val="%4."/>
      <w:lvlJc w:val="left"/>
      <w:pPr>
        <w:pStyle w:val="1151"/>
        <w:ind w:left="2105" w:hanging="420"/>
      </w:pPr>
    </w:lvl>
    <w:lvl w:ilvl="4">
      <w:start w:val="1"/>
      <w:numFmt w:val="lowerLetter"/>
      <w:isLgl w:val="false"/>
      <w:suff w:val="tab"/>
      <w:lvlText w:val="%5)"/>
      <w:lvlJc w:val="left"/>
      <w:pPr>
        <w:pStyle w:val="1151"/>
        <w:ind w:left="2525" w:hanging="420"/>
      </w:pPr>
    </w:lvl>
    <w:lvl w:ilvl="5">
      <w:start w:val="1"/>
      <w:numFmt w:val="lowerRoman"/>
      <w:isLgl w:val="false"/>
      <w:suff w:val="tab"/>
      <w:lvlText w:val="%6."/>
      <w:lvlJc w:val="right"/>
      <w:pPr>
        <w:pStyle w:val="1151"/>
        <w:ind w:left="2945" w:hanging="420"/>
      </w:pPr>
    </w:lvl>
    <w:lvl w:ilvl="6">
      <w:start w:val="1"/>
      <w:numFmt w:val="decimal"/>
      <w:isLgl w:val="false"/>
      <w:suff w:val="tab"/>
      <w:lvlText w:val="%7."/>
      <w:lvlJc w:val="left"/>
      <w:pPr>
        <w:pStyle w:val="1151"/>
        <w:ind w:left="3365" w:hanging="420"/>
      </w:pPr>
    </w:lvl>
    <w:lvl w:ilvl="7">
      <w:start w:val="1"/>
      <w:numFmt w:val="lowerLetter"/>
      <w:isLgl w:val="false"/>
      <w:suff w:val="tab"/>
      <w:lvlText w:val="%8)"/>
      <w:lvlJc w:val="left"/>
      <w:pPr>
        <w:pStyle w:val="1151"/>
        <w:ind w:left="3785" w:hanging="420"/>
      </w:pPr>
    </w:lvl>
    <w:lvl w:ilvl="8">
      <w:start w:val="1"/>
      <w:numFmt w:val="lowerRoman"/>
      <w:isLgl w:val="false"/>
      <w:suff w:val="tab"/>
      <w:lvlText w:val="%9."/>
      <w:lvlJc w:val="right"/>
      <w:pPr>
        <w:pStyle w:val="1151"/>
        <w:ind w:left="4205" w:hanging="420"/>
      </w:pPr>
    </w:lvl>
  </w:abstractNum>
  <w:abstractNum w:abstractNumId="6">
    <w:multiLevelType w:val="hybridMultilevel"/>
    <w:lvl w:ilvl="0">
      <w:start w:val="1"/>
      <w:numFmt w:val="decimal"/>
      <w:isLgl w:val="false"/>
      <w:suff w:val="nothing"/>
      <w:lvlText w:val="%1）"/>
      <w:lvlJc w:val="left"/>
      <w:pPr>
        <w:pStyle w:val="11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151"/>
        <w:ind w:left="704" w:hanging="420"/>
      </w:pPr>
      <w:rPr>
        <w:lang w:eastAsia="zh-CN"/>
      </w:rPr>
    </w:lvl>
    <w:lvl w:ilvl="1">
      <w:start w:val="1"/>
      <w:numFmt w:val="lowerLetter"/>
      <w:isLgl w:val="false"/>
      <w:suff w:val="tab"/>
      <w:lvlText w:val="%2)"/>
      <w:lvlJc w:val="left"/>
      <w:pPr>
        <w:pStyle w:val="1151"/>
        <w:ind w:left="1124" w:hanging="420"/>
      </w:pPr>
    </w:lvl>
    <w:lvl w:ilvl="2">
      <w:start w:val="1"/>
      <w:numFmt w:val="lowerRoman"/>
      <w:isLgl w:val="false"/>
      <w:suff w:val="tab"/>
      <w:lvlText w:val="%3."/>
      <w:lvlJc w:val="right"/>
      <w:pPr>
        <w:pStyle w:val="1151"/>
        <w:ind w:left="1544" w:hanging="420"/>
      </w:pPr>
    </w:lvl>
    <w:lvl w:ilvl="3">
      <w:start w:val="1"/>
      <w:numFmt w:val="decimal"/>
      <w:isLgl w:val="false"/>
      <w:suff w:val="tab"/>
      <w:lvlText w:val="%4."/>
      <w:lvlJc w:val="left"/>
      <w:pPr>
        <w:pStyle w:val="1151"/>
        <w:ind w:left="1964" w:hanging="420"/>
      </w:pPr>
    </w:lvl>
    <w:lvl w:ilvl="4">
      <w:start w:val="1"/>
      <w:numFmt w:val="lowerLetter"/>
      <w:isLgl w:val="false"/>
      <w:suff w:val="tab"/>
      <w:lvlText w:val="%5)"/>
      <w:lvlJc w:val="left"/>
      <w:pPr>
        <w:pStyle w:val="1151"/>
        <w:ind w:left="2384" w:hanging="420"/>
      </w:pPr>
    </w:lvl>
    <w:lvl w:ilvl="5">
      <w:start w:val="1"/>
      <w:numFmt w:val="lowerRoman"/>
      <w:isLgl w:val="false"/>
      <w:suff w:val="tab"/>
      <w:lvlText w:val="%6."/>
      <w:lvlJc w:val="right"/>
      <w:pPr>
        <w:pStyle w:val="1151"/>
        <w:ind w:left="2804" w:hanging="420"/>
      </w:pPr>
    </w:lvl>
    <w:lvl w:ilvl="6">
      <w:start w:val="1"/>
      <w:numFmt w:val="decimal"/>
      <w:isLgl w:val="false"/>
      <w:suff w:val="tab"/>
      <w:lvlText w:val="%7."/>
      <w:lvlJc w:val="left"/>
      <w:pPr>
        <w:pStyle w:val="1151"/>
        <w:ind w:left="3224" w:hanging="420"/>
      </w:pPr>
    </w:lvl>
    <w:lvl w:ilvl="7">
      <w:start w:val="1"/>
      <w:numFmt w:val="lowerLetter"/>
      <w:isLgl w:val="false"/>
      <w:suff w:val="tab"/>
      <w:lvlText w:val="%8)"/>
      <w:lvlJc w:val="left"/>
      <w:pPr>
        <w:pStyle w:val="1151"/>
        <w:ind w:left="3644" w:hanging="420"/>
      </w:pPr>
    </w:lvl>
    <w:lvl w:ilvl="8">
      <w:start w:val="1"/>
      <w:numFmt w:val="lowerRoman"/>
      <w:isLgl w:val="false"/>
      <w:suff w:val="tab"/>
      <w:lvlText w:val="%9."/>
      <w:lvlJc w:val="right"/>
      <w:pPr>
        <w:pStyle w:val="1151"/>
        <w:ind w:left="4064" w:hanging="420"/>
      </w:pPr>
    </w:lvl>
  </w:abstractNum>
  <w:abstractNum w:abstractNumId="8">
    <w:multiLevelType w:val="hybridMultilevel"/>
    <w:lvl w:ilvl="0">
      <w:start w:val="1"/>
      <w:numFmt w:val="decimal"/>
      <w:isLgl w:val="false"/>
      <w:suff w:val="tab"/>
      <w:lvlText w:val="%1)"/>
      <w:lvlJc w:val="left"/>
      <w:pPr>
        <w:pStyle w:val="1151"/>
        <w:ind w:left="842" w:hanging="420"/>
      </w:pPr>
      <w:rPr>
        <w:rFonts w:hint="eastAsia"/>
      </w:rPr>
    </w:lvl>
    <w:lvl w:ilvl="1">
      <w:start w:val="1"/>
      <w:numFmt w:val="decimal"/>
      <w:isLgl w:val="false"/>
      <w:suff w:val="tab"/>
      <w:lvlText w:val="%2)"/>
      <w:lvlJc w:val="left"/>
      <w:pPr>
        <w:pStyle w:val="1151"/>
        <w:ind w:left="846" w:hanging="420"/>
      </w:pPr>
      <w:rPr>
        <w:lang w:eastAsia="zh-CN"/>
      </w:rPr>
    </w:lvl>
    <w:lvl w:ilvl="2">
      <w:start w:val="1"/>
      <w:numFmt w:val="lowerRoman"/>
      <w:isLgl w:val="false"/>
      <w:suff w:val="tab"/>
      <w:lvlText w:val="%3."/>
      <w:lvlJc w:val="right"/>
      <w:pPr>
        <w:pStyle w:val="1151"/>
        <w:ind w:left="1682" w:hanging="420"/>
      </w:pPr>
      <w:rPr>
        <w:rFonts w:hint="eastAsia"/>
      </w:rPr>
    </w:lvl>
    <w:lvl w:ilvl="3">
      <w:start w:val="1"/>
      <w:numFmt w:val="decimal"/>
      <w:isLgl w:val="false"/>
      <w:suff w:val="tab"/>
      <w:lvlText w:val="%4."/>
      <w:lvlJc w:val="left"/>
      <w:pPr>
        <w:pStyle w:val="1151"/>
        <w:ind w:left="2102" w:hanging="420"/>
      </w:pPr>
      <w:rPr>
        <w:rFonts w:hint="eastAsia"/>
      </w:rPr>
    </w:lvl>
    <w:lvl w:ilvl="4">
      <w:start w:val="1"/>
      <w:numFmt w:val="lowerLetter"/>
      <w:isLgl w:val="false"/>
      <w:suff w:val="tab"/>
      <w:lvlText w:val="%5)"/>
      <w:lvlJc w:val="left"/>
      <w:pPr>
        <w:pStyle w:val="1151"/>
        <w:ind w:left="2522" w:hanging="420"/>
      </w:pPr>
      <w:rPr>
        <w:rFonts w:hint="eastAsia"/>
      </w:rPr>
    </w:lvl>
    <w:lvl w:ilvl="5">
      <w:start w:val="1"/>
      <w:numFmt w:val="lowerRoman"/>
      <w:isLgl w:val="false"/>
      <w:suff w:val="tab"/>
      <w:lvlText w:val="%6."/>
      <w:lvlJc w:val="right"/>
      <w:pPr>
        <w:pStyle w:val="1151"/>
        <w:ind w:left="2942" w:hanging="420"/>
      </w:pPr>
      <w:rPr>
        <w:rFonts w:hint="eastAsia"/>
      </w:rPr>
    </w:lvl>
    <w:lvl w:ilvl="6">
      <w:start w:val="1"/>
      <w:numFmt w:val="decimal"/>
      <w:isLgl w:val="false"/>
      <w:suff w:val="tab"/>
      <w:lvlText w:val="%7."/>
      <w:lvlJc w:val="left"/>
      <w:pPr>
        <w:pStyle w:val="1151"/>
        <w:ind w:left="3362" w:hanging="420"/>
      </w:pPr>
      <w:rPr>
        <w:rFonts w:hint="eastAsia"/>
      </w:rPr>
    </w:lvl>
    <w:lvl w:ilvl="7">
      <w:start w:val="1"/>
      <w:numFmt w:val="lowerLetter"/>
      <w:isLgl w:val="false"/>
      <w:suff w:val="tab"/>
      <w:lvlText w:val="%8)"/>
      <w:lvlJc w:val="left"/>
      <w:pPr>
        <w:pStyle w:val="1151"/>
        <w:ind w:left="3782" w:hanging="420"/>
      </w:pPr>
      <w:rPr>
        <w:rFonts w:hint="eastAsia"/>
      </w:rPr>
    </w:lvl>
    <w:lvl w:ilvl="8">
      <w:start w:val="1"/>
      <w:numFmt w:val="lowerRoman"/>
      <w:isLgl w:val="false"/>
      <w:suff w:val="tab"/>
      <w:lvlText w:val="%9."/>
      <w:lvlJc w:val="right"/>
      <w:pPr>
        <w:pStyle w:val="1151"/>
        <w:ind w:left="4202" w:hanging="420"/>
      </w:pPr>
      <w:rPr>
        <w:rFonts w:hint="eastAsia"/>
      </w:rPr>
    </w:lvl>
  </w:abstractNum>
  <w:abstractNum w:abstractNumId="9">
    <w:multiLevelType w:val="hybridMultilevel"/>
    <w:lvl w:ilvl="0">
      <w:start w:val="1"/>
      <w:numFmt w:val="decimal"/>
      <w:isLgl w:val="false"/>
      <w:suff w:val="tab"/>
      <w:lvlText w:val="%1)"/>
      <w:lvlJc w:val="left"/>
      <w:pPr>
        <w:pStyle w:val="1151"/>
        <w:ind w:left="846" w:hanging="420"/>
      </w:pPr>
      <w:rPr>
        <w:b/>
        <w:lang w:eastAsia="zh-CN"/>
      </w:rPr>
    </w:lvl>
    <w:lvl w:ilvl="1">
      <w:start w:val="1"/>
      <w:numFmt w:val="lowerLetter"/>
      <w:isLgl w:val="false"/>
      <w:suff w:val="tab"/>
      <w:lvlText w:val="%2)"/>
      <w:lvlJc w:val="left"/>
      <w:pPr>
        <w:pStyle w:val="1151"/>
        <w:ind w:left="1266" w:hanging="420"/>
      </w:pPr>
    </w:lvl>
    <w:lvl w:ilvl="2">
      <w:start w:val="1"/>
      <w:numFmt w:val="lowerRoman"/>
      <w:isLgl w:val="false"/>
      <w:suff w:val="tab"/>
      <w:lvlText w:val="%3."/>
      <w:lvlJc w:val="right"/>
      <w:pPr>
        <w:pStyle w:val="1151"/>
        <w:ind w:left="1686" w:hanging="420"/>
      </w:pPr>
    </w:lvl>
    <w:lvl w:ilvl="3">
      <w:start w:val="1"/>
      <w:numFmt w:val="decimal"/>
      <w:isLgl w:val="false"/>
      <w:suff w:val="tab"/>
      <w:lvlText w:val="%4."/>
      <w:lvlJc w:val="left"/>
      <w:pPr>
        <w:pStyle w:val="1151"/>
        <w:ind w:left="2106" w:hanging="420"/>
      </w:pPr>
    </w:lvl>
    <w:lvl w:ilvl="4">
      <w:start w:val="1"/>
      <w:numFmt w:val="lowerLetter"/>
      <w:isLgl w:val="false"/>
      <w:suff w:val="tab"/>
      <w:lvlText w:val="%5)"/>
      <w:lvlJc w:val="left"/>
      <w:pPr>
        <w:pStyle w:val="1151"/>
        <w:ind w:left="2526" w:hanging="420"/>
      </w:pPr>
    </w:lvl>
    <w:lvl w:ilvl="5">
      <w:start w:val="1"/>
      <w:numFmt w:val="lowerRoman"/>
      <w:isLgl w:val="false"/>
      <w:suff w:val="tab"/>
      <w:lvlText w:val="%6."/>
      <w:lvlJc w:val="right"/>
      <w:pPr>
        <w:pStyle w:val="1151"/>
        <w:ind w:left="2946" w:hanging="420"/>
      </w:pPr>
    </w:lvl>
    <w:lvl w:ilvl="6">
      <w:start w:val="1"/>
      <w:numFmt w:val="decimal"/>
      <w:isLgl w:val="false"/>
      <w:suff w:val="tab"/>
      <w:lvlText w:val="%7."/>
      <w:lvlJc w:val="left"/>
      <w:pPr>
        <w:pStyle w:val="1151"/>
        <w:ind w:left="3366" w:hanging="420"/>
      </w:pPr>
    </w:lvl>
    <w:lvl w:ilvl="7">
      <w:start w:val="1"/>
      <w:numFmt w:val="lowerLetter"/>
      <w:isLgl w:val="false"/>
      <w:suff w:val="tab"/>
      <w:lvlText w:val="%8)"/>
      <w:lvlJc w:val="left"/>
      <w:pPr>
        <w:pStyle w:val="1151"/>
        <w:ind w:left="3786" w:hanging="420"/>
      </w:pPr>
    </w:lvl>
    <w:lvl w:ilvl="8">
      <w:start w:val="1"/>
      <w:numFmt w:val="lowerRoman"/>
      <w:isLgl w:val="false"/>
      <w:suff w:val="tab"/>
      <w:lvlText w:val="%9."/>
      <w:lvlJc w:val="right"/>
      <w:pPr>
        <w:pStyle w:val="1151"/>
        <w:ind w:left="4206" w:hanging="420"/>
      </w:pPr>
    </w:lvl>
  </w:abstractNum>
  <w:abstractNum w:abstractNumId="10">
    <w:multiLevelType w:val="hybridMultilevel"/>
    <w:lvl w:ilvl="0">
      <w:start w:val="1"/>
      <w:numFmt w:val="decimal"/>
      <w:isLgl w:val="false"/>
      <w:suff w:val="tab"/>
      <w:lvlText w:val="%1)"/>
      <w:lvlJc w:val="left"/>
      <w:pPr>
        <w:pStyle w:val="1151"/>
        <w:ind w:left="704" w:hanging="420"/>
      </w:pPr>
      <w:rPr>
        <w:lang w:eastAsia="zh-CN"/>
      </w:rPr>
    </w:lvl>
    <w:lvl w:ilvl="1">
      <w:start w:val="1"/>
      <w:numFmt w:val="lowerLetter"/>
      <w:isLgl w:val="false"/>
      <w:suff w:val="tab"/>
      <w:lvlText w:val="%2)"/>
      <w:lvlJc w:val="left"/>
      <w:pPr>
        <w:pStyle w:val="1151"/>
        <w:ind w:left="1124" w:hanging="420"/>
      </w:pPr>
    </w:lvl>
    <w:lvl w:ilvl="2">
      <w:start w:val="1"/>
      <w:numFmt w:val="lowerRoman"/>
      <w:isLgl w:val="false"/>
      <w:suff w:val="tab"/>
      <w:lvlText w:val="%3."/>
      <w:lvlJc w:val="right"/>
      <w:pPr>
        <w:pStyle w:val="1151"/>
        <w:ind w:left="1544" w:hanging="420"/>
      </w:pPr>
    </w:lvl>
    <w:lvl w:ilvl="3">
      <w:start w:val="1"/>
      <w:numFmt w:val="decimal"/>
      <w:isLgl w:val="false"/>
      <w:suff w:val="tab"/>
      <w:lvlText w:val="%4."/>
      <w:lvlJc w:val="left"/>
      <w:pPr>
        <w:pStyle w:val="1151"/>
        <w:ind w:left="1964" w:hanging="420"/>
      </w:pPr>
    </w:lvl>
    <w:lvl w:ilvl="4">
      <w:start w:val="1"/>
      <w:numFmt w:val="lowerLetter"/>
      <w:isLgl w:val="false"/>
      <w:suff w:val="tab"/>
      <w:lvlText w:val="%5)"/>
      <w:lvlJc w:val="left"/>
      <w:pPr>
        <w:pStyle w:val="1151"/>
        <w:ind w:left="2384" w:hanging="420"/>
      </w:pPr>
    </w:lvl>
    <w:lvl w:ilvl="5">
      <w:start w:val="1"/>
      <w:numFmt w:val="lowerRoman"/>
      <w:isLgl w:val="false"/>
      <w:suff w:val="tab"/>
      <w:lvlText w:val="%6."/>
      <w:lvlJc w:val="right"/>
      <w:pPr>
        <w:pStyle w:val="1151"/>
        <w:ind w:left="2804" w:hanging="420"/>
      </w:pPr>
    </w:lvl>
    <w:lvl w:ilvl="6">
      <w:start w:val="1"/>
      <w:numFmt w:val="decimal"/>
      <w:isLgl w:val="false"/>
      <w:suff w:val="tab"/>
      <w:lvlText w:val="%7."/>
      <w:lvlJc w:val="left"/>
      <w:pPr>
        <w:pStyle w:val="1151"/>
        <w:ind w:left="3224" w:hanging="420"/>
      </w:pPr>
    </w:lvl>
    <w:lvl w:ilvl="7">
      <w:start w:val="1"/>
      <w:numFmt w:val="lowerLetter"/>
      <w:isLgl w:val="false"/>
      <w:suff w:val="tab"/>
      <w:lvlText w:val="%8)"/>
      <w:lvlJc w:val="left"/>
      <w:pPr>
        <w:pStyle w:val="1151"/>
        <w:ind w:left="3644" w:hanging="420"/>
      </w:pPr>
    </w:lvl>
    <w:lvl w:ilvl="8">
      <w:start w:val="1"/>
      <w:numFmt w:val="lowerRoman"/>
      <w:isLgl w:val="false"/>
      <w:suff w:val="tab"/>
      <w:lvlText w:val="%9."/>
      <w:lvlJc w:val="right"/>
      <w:pPr>
        <w:pStyle w:val="1151"/>
        <w:ind w:left="4064" w:hanging="420"/>
      </w:pPr>
    </w:lvl>
  </w:abstractNum>
  <w:abstractNum w:abstractNumId="11">
    <w:multiLevelType w:val="hybridMultilevel"/>
    <w:lvl w:ilvl="0">
      <w:start w:val="1"/>
      <w:numFmt w:val="decimal"/>
      <w:isLgl w:val="false"/>
      <w:suff w:val="tab"/>
      <w:lvlText w:val="%1)"/>
      <w:lvlJc w:val="left"/>
      <w:pPr>
        <w:pStyle w:val="1151"/>
        <w:ind w:left="704" w:hanging="420"/>
      </w:pPr>
      <w:rPr>
        <w:lang w:eastAsia="zh-CN"/>
      </w:rPr>
    </w:lvl>
    <w:lvl w:ilvl="1">
      <w:start w:val="1"/>
      <w:numFmt w:val="lowerLetter"/>
      <w:isLgl w:val="false"/>
      <w:suff w:val="tab"/>
      <w:lvlText w:val="%2)"/>
      <w:lvlJc w:val="left"/>
      <w:pPr>
        <w:pStyle w:val="1151"/>
        <w:ind w:left="1124" w:hanging="420"/>
      </w:pPr>
    </w:lvl>
    <w:lvl w:ilvl="2">
      <w:start w:val="1"/>
      <w:numFmt w:val="lowerRoman"/>
      <w:isLgl w:val="false"/>
      <w:suff w:val="tab"/>
      <w:lvlText w:val="%3."/>
      <w:lvlJc w:val="right"/>
      <w:pPr>
        <w:pStyle w:val="1151"/>
        <w:ind w:left="1544" w:hanging="420"/>
      </w:pPr>
    </w:lvl>
    <w:lvl w:ilvl="3">
      <w:start w:val="1"/>
      <w:numFmt w:val="decimal"/>
      <w:isLgl w:val="false"/>
      <w:suff w:val="tab"/>
      <w:lvlText w:val="%4."/>
      <w:lvlJc w:val="left"/>
      <w:pPr>
        <w:pStyle w:val="1151"/>
        <w:ind w:left="1964" w:hanging="420"/>
      </w:pPr>
    </w:lvl>
    <w:lvl w:ilvl="4">
      <w:start w:val="1"/>
      <w:numFmt w:val="lowerLetter"/>
      <w:isLgl w:val="false"/>
      <w:suff w:val="tab"/>
      <w:lvlText w:val="%5)"/>
      <w:lvlJc w:val="left"/>
      <w:pPr>
        <w:pStyle w:val="1151"/>
        <w:ind w:left="2384" w:hanging="420"/>
      </w:pPr>
    </w:lvl>
    <w:lvl w:ilvl="5">
      <w:start w:val="1"/>
      <w:numFmt w:val="lowerRoman"/>
      <w:isLgl w:val="false"/>
      <w:suff w:val="tab"/>
      <w:lvlText w:val="%6."/>
      <w:lvlJc w:val="right"/>
      <w:pPr>
        <w:pStyle w:val="1151"/>
        <w:ind w:left="2804" w:hanging="420"/>
      </w:pPr>
    </w:lvl>
    <w:lvl w:ilvl="6">
      <w:start w:val="1"/>
      <w:numFmt w:val="decimal"/>
      <w:isLgl w:val="false"/>
      <w:suff w:val="tab"/>
      <w:lvlText w:val="%7."/>
      <w:lvlJc w:val="left"/>
      <w:pPr>
        <w:pStyle w:val="1151"/>
        <w:ind w:left="3224" w:hanging="420"/>
      </w:pPr>
    </w:lvl>
    <w:lvl w:ilvl="7">
      <w:start w:val="1"/>
      <w:numFmt w:val="lowerLetter"/>
      <w:isLgl w:val="false"/>
      <w:suff w:val="tab"/>
      <w:lvlText w:val="%8)"/>
      <w:lvlJc w:val="left"/>
      <w:pPr>
        <w:pStyle w:val="1151"/>
        <w:ind w:left="3644" w:hanging="420"/>
      </w:pPr>
    </w:lvl>
    <w:lvl w:ilvl="8">
      <w:start w:val="1"/>
      <w:numFmt w:val="lowerRoman"/>
      <w:isLgl w:val="false"/>
      <w:suff w:val="tab"/>
      <w:lvlText w:val="%9."/>
      <w:lvlJc w:val="right"/>
      <w:pPr>
        <w:pStyle w:val="1151"/>
        <w:ind w:left="4064" w:hanging="420"/>
      </w:pPr>
    </w:lvl>
  </w:abstractNum>
  <w:abstractNum w:abstractNumId="12">
    <w:multiLevelType w:val="hybridMultilevel"/>
    <w:lvl w:ilvl="0">
      <w:start w:val="1"/>
      <w:numFmt w:val="decimal"/>
      <w:isLgl w:val="false"/>
      <w:suff w:val="tab"/>
      <w:lvlText w:val="%1)"/>
      <w:lvlJc w:val="left"/>
      <w:pPr>
        <w:pStyle w:val="1151"/>
        <w:ind w:left="704" w:hanging="420"/>
      </w:pPr>
      <w:rPr>
        <w:lang w:eastAsia="zh-CN"/>
      </w:rPr>
    </w:lvl>
    <w:lvl w:ilvl="1">
      <w:start w:val="1"/>
      <w:numFmt w:val="lowerLetter"/>
      <w:isLgl w:val="false"/>
      <w:suff w:val="tab"/>
      <w:lvlText w:val="%2)"/>
      <w:lvlJc w:val="left"/>
      <w:pPr>
        <w:pStyle w:val="1151"/>
        <w:ind w:left="1124" w:hanging="420"/>
      </w:pPr>
    </w:lvl>
    <w:lvl w:ilvl="2">
      <w:start w:val="1"/>
      <w:numFmt w:val="lowerRoman"/>
      <w:isLgl w:val="false"/>
      <w:suff w:val="tab"/>
      <w:lvlText w:val="%3."/>
      <w:lvlJc w:val="right"/>
      <w:pPr>
        <w:pStyle w:val="1151"/>
        <w:ind w:left="1544" w:hanging="420"/>
      </w:pPr>
    </w:lvl>
    <w:lvl w:ilvl="3">
      <w:start w:val="1"/>
      <w:numFmt w:val="decimal"/>
      <w:isLgl w:val="false"/>
      <w:suff w:val="tab"/>
      <w:lvlText w:val="%4."/>
      <w:lvlJc w:val="left"/>
      <w:pPr>
        <w:pStyle w:val="1151"/>
        <w:ind w:left="1964" w:hanging="420"/>
      </w:pPr>
    </w:lvl>
    <w:lvl w:ilvl="4">
      <w:start w:val="1"/>
      <w:numFmt w:val="lowerLetter"/>
      <w:isLgl w:val="false"/>
      <w:suff w:val="tab"/>
      <w:lvlText w:val="%5)"/>
      <w:lvlJc w:val="left"/>
      <w:pPr>
        <w:pStyle w:val="1151"/>
        <w:ind w:left="2384" w:hanging="420"/>
      </w:pPr>
    </w:lvl>
    <w:lvl w:ilvl="5">
      <w:start w:val="1"/>
      <w:numFmt w:val="lowerRoman"/>
      <w:isLgl w:val="false"/>
      <w:suff w:val="tab"/>
      <w:lvlText w:val="%6."/>
      <w:lvlJc w:val="right"/>
      <w:pPr>
        <w:pStyle w:val="1151"/>
        <w:ind w:left="2804" w:hanging="420"/>
      </w:pPr>
    </w:lvl>
    <w:lvl w:ilvl="6">
      <w:start w:val="1"/>
      <w:numFmt w:val="decimal"/>
      <w:isLgl w:val="false"/>
      <w:suff w:val="tab"/>
      <w:lvlText w:val="%7."/>
      <w:lvlJc w:val="left"/>
      <w:pPr>
        <w:pStyle w:val="1151"/>
        <w:ind w:left="3224" w:hanging="420"/>
      </w:pPr>
    </w:lvl>
    <w:lvl w:ilvl="7">
      <w:start w:val="1"/>
      <w:numFmt w:val="lowerLetter"/>
      <w:isLgl w:val="false"/>
      <w:suff w:val="tab"/>
      <w:lvlText w:val="%8)"/>
      <w:lvlJc w:val="left"/>
      <w:pPr>
        <w:pStyle w:val="1151"/>
        <w:ind w:left="3644" w:hanging="420"/>
      </w:pPr>
    </w:lvl>
    <w:lvl w:ilvl="8">
      <w:start w:val="1"/>
      <w:numFmt w:val="lowerRoman"/>
      <w:isLgl w:val="false"/>
      <w:suff w:val="tab"/>
      <w:lvlText w:val="%9."/>
      <w:lvlJc w:val="right"/>
      <w:pPr>
        <w:pStyle w:val="1151"/>
        <w:ind w:left="4064" w:hanging="420"/>
      </w:pPr>
    </w:lvl>
  </w:abstractNum>
  <w:abstractNum w:abstractNumId="13">
    <w:multiLevelType w:val="hybridMultilevel"/>
    <w:lvl w:ilvl="0">
      <w:start w:val="1"/>
      <w:numFmt w:val="decimal"/>
      <w:isLgl w:val="false"/>
      <w:suff w:val="tab"/>
      <w:lvlText w:val="%1)"/>
      <w:lvlJc w:val="left"/>
      <w:pPr>
        <w:pStyle w:val="1151"/>
        <w:ind w:left="704" w:hanging="420"/>
      </w:pPr>
      <w:rPr>
        <w:lang w:eastAsia="zh-CN"/>
      </w:rPr>
    </w:lvl>
    <w:lvl w:ilvl="1">
      <w:start w:val="1"/>
      <w:numFmt w:val="lowerLetter"/>
      <w:isLgl w:val="false"/>
      <w:suff w:val="tab"/>
      <w:lvlText w:val="%2)"/>
      <w:lvlJc w:val="left"/>
      <w:pPr>
        <w:pStyle w:val="1151"/>
        <w:ind w:left="1124" w:hanging="420"/>
      </w:pPr>
    </w:lvl>
    <w:lvl w:ilvl="2">
      <w:start w:val="1"/>
      <w:numFmt w:val="lowerRoman"/>
      <w:isLgl w:val="false"/>
      <w:suff w:val="tab"/>
      <w:lvlText w:val="%3."/>
      <w:lvlJc w:val="right"/>
      <w:pPr>
        <w:pStyle w:val="1151"/>
        <w:ind w:left="1544" w:hanging="420"/>
      </w:pPr>
    </w:lvl>
    <w:lvl w:ilvl="3">
      <w:start w:val="1"/>
      <w:numFmt w:val="decimal"/>
      <w:isLgl w:val="false"/>
      <w:suff w:val="tab"/>
      <w:lvlText w:val="%4."/>
      <w:lvlJc w:val="left"/>
      <w:pPr>
        <w:pStyle w:val="1151"/>
        <w:ind w:left="1964" w:hanging="420"/>
      </w:pPr>
    </w:lvl>
    <w:lvl w:ilvl="4">
      <w:start w:val="1"/>
      <w:numFmt w:val="lowerLetter"/>
      <w:isLgl w:val="false"/>
      <w:suff w:val="tab"/>
      <w:lvlText w:val="%5)"/>
      <w:lvlJc w:val="left"/>
      <w:pPr>
        <w:pStyle w:val="1151"/>
        <w:ind w:left="2384" w:hanging="420"/>
      </w:pPr>
    </w:lvl>
    <w:lvl w:ilvl="5">
      <w:start w:val="1"/>
      <w:numFmt w:val="lowerRoman"/>
      <w:isLgl w:val="false"/>
      <w:suff w:val="tab"/>
      <w:lvlText w:val="%6."/>
      <w:lvlJc w:val="right"/>
      <w:pPr>
        <w:pStyle w:val="1151"/>
        <w:ind w:left="2804" w:hanging="420"/>
      </w:pPr>
    </w:lvl>
    <w:lvl w:ilvl="6">
      <w:start w:val="1"/>
      <w:numFmt w:val="decimal"/>
      <w:isLgl w:val="false"/>
      <w:suff w:val="tab"/>
      <w:lvlText w:val="%7."/>
      <w:lvlJc w:val="left"/>
      <w:pPr>
        <w:pStyle w:val="1151"/>
        <w:ind w:left="3224" w:hanging="420"/>
      </w:pPr>
    </w:lvl>
    <w:lvl w:ilvl="7">
      <w:start w:val="1"/>
      <w:numFmt w:val="lowerLetter"/>
      <w:isLgl w:val="false"/>
      <w:suff w:val="tab"/>
      <w:lvlText w:val="%8)"/>
      <w:lvlJc w:val="left"/>
      <w:pPr>
        <w:pStyle w:val="1151"/>
        <w:ind w:left="3644" w:hanging="420"/>
      </w:pPr>
    </w:lvl>
    <w:lvl w:ilvl="8">
      <w:start w:val="1"/>
      <w:numFmt w:val="lowerRoman"/>
      <w:isLgl w:val="false"/>
      <w:suff w:val="tab"/>
      <w:lvlText w:val="%9."/>
      <w:lvlJc w:val="right"/>
      <w:pPr>
        <w:pStyle w:val="1151"/>
        <w:ind w:left="4064" w:hanging="420"/>
      </w:pPr>
    </w:lvl>
  </w:abstractNum>
  <w:abstractNum w:abstractNumId="14">
    <w:multiLevelType w:val="hybridMultilevel"/>
    <w:lvl w:ilvl="0">
      <w:start w:val="1"/>
      <w:numFmt w:val="decimal"/>
      <w:isLgl w:val="false"/>
      <w:suff w:val="tab"/>
      <w:lvlText w:val="%1)"/>
      <w:lvlJc w:val="left"/>
      <w:pPr>
        <w:pStyle w:val="1151"/>
        <w:ind w:left="704" w:hanging="420"/>
      </w:pPr>
      <w:rPr>
        <w:lang w:eastAsia="zh-CN"/>
      </w:rPr>
    </w:lvl>
    <w:lvl w:ilvl="1">
      <w:start w:val="1"/>
      <w:numFmt w:val="lowerLetter"/>
      <w:isLgl w:val="false"/>
      <w:suff w:val="tab"/>
      <w:lvlText w:val="%2)"/>
      <w:lvlJc w:val="left"/>
      <w:pPr>
        <w:pStyle w:val="1151"/>
        <w:ind w:left="1124" w:hanging="420"/>
      </w:pPr>
    </w:lvl>
    <w:lvl w:ilvl="2">
      <w:start w:val="1"/>
      <w:numFmt w:val="lowerRoman"/>
      <w:isLgl w:val="false"/>
      <w:suff w:val="tab"/>
      <w:lvlText w:val="%3."/>
      <w:lvlJc w:val="right"/>
      <w:pPr>
        <w:pStyle w:val="1151"/>
        <w:ind w:left="1544" w:hanging="420"/>
      </w:pPr>
    </w:lvl>
    <w:lvl w:ilvl="3">
      <w:start w:val="1"/>
      <w:numFmt w:val="decimal"/>
      <w:isLgl w:val="false"/>
      <w:suff w:val="tab"/>
      <w:lvlText w:val="%4."/>
      <w:lvlJc w:val="left"/>
      <w:pPr>
        <w:pStyle w:val="1151"/>
        <w:ind w:left="1964" w:hanging="420"/>
      </w:pPr>
    </w:lvl>
    <w:lvl w:ilvl="4">
      <w:start w:val="1"/>
      <w:numFmt w:val="lowerLetter"/>
      <w:isLgl w:val="false"/>
      <w:suff w:val="tab"/>
      <w:lvlText w:val="%5)"/>
      <w:lvlJc w:val="left"/>
      <w:pPr>
        <w:pStyle w:val="1151"/>
        <w:ind w:left="2384" w:hanging="420"/>
      </w:pPr>
    </w:lvl>
    <w:lvl w:ilvl="5">
      <w:start w:val="1"/>
      <w:numFmt w:val="lowerRoman"/>
      <w:isLgl w:val="false"/>
      <w:suff w:val="tab"/>
      <w:lvlText w:val="%6."/>
      <w:lvlJc w:val="right"/>
      <w:pPr>
        <w:pStyle w:val="1151"/>
        <w:ind w:left="2804" w:hanging="420"/>
      </w:pPr>
    </w:lvl>
    <w:lvl w:ilvl="6">
      <w:start w:val="1"/>
      <w:numFmt w:val="decimal"/>
      <w:isLgl w:val="false"/>
      <w:suff w:val="tab"/>
      <w:lvlText w:val="%7."/>
      <w:lvlJc w:val="left"/>
      <w:pPr>
        <w:pStyle w:val="1151"/>
        <w:ind w:left="3224" w:hanging="420"/>
      </w:pPr>
    </w:lvl>
    <w:lvl w:ilvl="7">
      <w:start w:val="1"/>
      <w:numFmt w:val="lowerLetter"/>
      <w:isLgl w:val="false"/>
      <w:suff w:val="tab"/>
      <w:lvlText w:val="%8)"/>
      <w:lvlJc w:val="left"/>
      <w:pPr>
        <w:pStyle w:val="1151"/>
        <w:ind w:left="3644" w:hanging="420"/>
      </w:pPr>
    </w:lvl>
    <w:lvl w:ilvl="8">
      <w:start w:val="1"/>
      <w:numFmt w:val="lowerRoman"/>
      <w:isLgl w:val="false"/>
      <w:suff w:val="tab"/>
      <w:lvlText w:val="%9."/>
      <w:lvlJc w:val="right"/>
      <w:pPr>
        <w:pStyle w:val="1151"/>
        <w:ind w:left="4064" w:hanging="420"/>
      </w:pPr>
    </w:lvl>
  </w:abstractNum>
  <w:abstractNum w:abstractNumId="15">
    <w:multiLevelType w:val="hybridMultilevel"/>
    <w:lvl w:ilvl="0">
      <w:start w:val="1"/>
      <w:numFmt w:val="decimal"/>
      <w:isLgl w:val="false"/>
      <w:suff w:val="tab"/>
      <w:lvlText w:val="%1)"/>
      <w:lvlJc w:val="left"/>
      <w:pPr>
        <w:pStyle w:val="1151"/>
        <w:ind w:left="704" w:hanging="420"/>
      </w:pPr>
      <w:rPr>
        <w:lang w:eastAsia="zh-CN"/>
      </w:rPr>
    </w:lvl>
    <w:lvl w:ilvl="1">
      <w:start w:val="1"/>
      <w:numFmt w:val="lowerLetter"/>
      <w:isLgl w:val="false"/>
      <w:suff w:val="tab"/>
      <w:lvlText w:val="%2)"/>
      <w:lvlJc w:val="left"/>
      <w:pPr>
        <w:pStyle w:val="1151"/>
        <w:ind w:left="1124" w:hanging="420"/>
      </w:pPr>
    </w:lvl>
    <w:lvl w:ilvl="2">
      <w:start w:val="1"/>
      <w:numFmt w:val="lowerRoman"/>
      <w:isLgl w:val="false"/>
      <w:suff w:val="tab"/>
      <w:lvlText w:val="%3."/>
      <w:lvlJc w:val="right"/>
      <w:pPr>
        <w:pStyle w:val="1151"/>
        <w:ind w:left="1544" w:hanging="420"/>
      </w:pPr>
    </w:lvl>
    <w:lvl w:ilvl="3">
      <w:start w:val="1"/>
      <w:numFmt w:val="decimal"/>
      <w:isLgl w:val="false"/>
      <w:suff w:val="tab"/>
      <w:lvlText w:val="%4."/>
      <w:lvlJc w:val="left"/>
      <w:pPr>
        <w:pStyle w:val="1151"/>
        <w:ind w:left="1964" w:hanging="420"/>
      </w:pPr>
    </w:lvl>
    <w:lvl w:ilvl="4">
      <w:start w:val="1"/>
      <w:numFmt w:val="lowerLetter"/>
      <w:isLgl w:val="false"/>
      <w:suff w:val="tab"/>
      <w:lvlText w:val="%5)"/>
      <w:lvlJc w:val="left"/>
      <w:pPr>
        <w:pStyle w:val="1151"/>
        <w:ind w:left="2384" w:hanging="420"/>
      </w:pPr>
    </w:lvl>
    <w:lvl w:ilvl="5">
      <w:start w:val="1"/>
      <w:numFmt w:val="lowerRoman"/>
      <w:isLgl w:val="false"/>
      <w:suff w:val="tab"/>
      <w:lvlText w:val="%6."/>
      <w:lvlJc w:val="right"/>
      <w:pPr>
        <w:pStyle w:val="1151"/>
        <w:ind w:left="2804" w:hanging="420"/>
      </w:pPr>
    </w:lvl>
    <w:lvl w:ilvl="6">
      <w:start w:val="1"/>
      <w:numFmt w:val="decimal"/>
      <w:isLgl w:val="false"/>
      <w:suff w:val="tab"/>
      <w:lvlText w:val="%7."/>
      <w:lvlJc w:val="left"/>
      <w:pPr>
        <w:pStyle w:val="1151"/>
        <w:ind w:left="3224" w:hanging="420"/>
      </w:pPr>
    </w:lvl>
    <w:lvl w:ilvl="7">
      <w:start w:val="1"/>
      <w:numFmt w:val="lowerLetter"/>
      <w:isLgl w:val="false"/>
      <w:suff w:val="tab"/>
      <w:lvlText w:val="%8)"/>
      <w:lvlJc w:val="left"/>
      <w:pPr>
        <w:pStyle w:val="1151"/>
        <w:ind w:left="3644" w:hanging="420"/>
      </w:pPr>
    </w:lvl>
    <w:lvl w:ilvl="8">
      <w:start w:val="1"/>
      <w:numFmt w:val="lowerRoman"/>
      <w:isLgl w:val="false"/>
      <w:suff w:val="tab"/>
      <w:lvlText w:val="%9."/>
      <w:lvlJc w:val="right"/>
      <w:pPr>
        <w:pStyle w:val="1151"/>
        <w:ind w:left="4064" w:hanging="420"/>
      </w:pPr>
    </w:lvl>
  </w:abstractNum>
  <w:abstractNum w:abstractNumId="16">
    <w:multiLevelType w:val="hybridMultilevel"/>
    <w:lvl w:ilvl="0">
      <w:start w:val="1"/>
      <w:numFmt w:val="decimal"/>
      <w:isLgl w:val="false"/>
      <w:suff w:val="tab"/>
      <w:lvlText w:val="%1)"/>
      <w:lvlJc w:val="left"/>
      <w:pPr>
        <w:pStyle w:val="1151"/>
        <w:ind w:left="704" w:hanging="420"/>
      </w:pPr>
      <w:rPr>
        <w:lang w:eastAsia="zh-CN"/>
      </w:rPr>
    </w:lvl>
    <w:lvl w:ilvl="1">
      <w:start w:val="1"/>
      <w:numFmt w:val="lowerLetter"/>
      <w:isLgl w:val="false"/>
      <w:suff w:val="tab"/>
      <w:lvlText w:val="%2)"/>
      <w:lvlJc w:val="left"/>
      <w:pPr>
        <w:pStyle w:val="1151"/>
        <w:ind w:left="1124" w:hanging="420"/>
      </w:pPr>
    </w:lvl>
    <w:lvl w:ilvl="2">
      <w:start w:val="1"/>
      <w:numFmt w:val="lowerRoman"/>
      <w:isLgl w:val="false"/>
      <w:suff w:val="tab"/>
      <w:lvlText w:val="%3."/>
      <w:lvlJc w:val="right"/>
      <w:pPr>
        <w:pStyle w:val="1151"/>
        <w:ind w:left="1544" w:hanging="420"/>
      </w:pPr>
    </w:lvl>
    <w:lvl w:ilvl="3">
      <w:start w:val="1"/>
      <w:numFmt w:val="decimal"/>
      <w:isLgl w:val="false"/>
      <w:suff w:val="tab"/>
      <w:lvlText w:val="%4."/>
      <w:lvlJc w:val="left"/>
      <w:pPr>
        <w:pStyle w:val="1151"/>
        <w:ind w:left="1964" w:hanging="420"/>
      </w:pPr>
    </w:lvl>
    <w:lvl w:ilvl="4">
      <w:start w:val="1"/>
      <w:numFmt w:val="lowerLetter"/>
      <w:isLgl w:val="false"/>
      <w:suff w:val="tab"/>
      <w:lvlText w:val="%5)"/>
      <w:lvlJc w:val="left"/>
      <w:pPr>
        <w:pStyle w:val="1151"/>
        <w:ind w:left="2384" w:hanging="420"/>
      </w:pPr>
    </w:lvl>
    <w:lvl w:ilvl="5">
      <w:start w:val="1"/>
      <w:numFmt w:val="lowerRoman"/>
      <w:isLgl w:val="false"/>
      <w:suff w:val="tab"/>
      <w:lvlText w:val="%6."/>
      <w:lvlJc w:val="right"/>
      <w:pPr>
        <w:pStyle w:val="1151"/>
        <w:ind w:left="2804" w:hanging="420"/>
      </w:pPr>
    </w:lvl>
    <w:lvl w:ilvl="6">
      <w:start w:val="1"/>
      <w:numFmt w:val="decimal"/>
      <w:isLgl w:val="false"/>
      <w:suff w:val="tab"/>
      <w:lvlText w:val="%7."/>
      <w:lvlJc w:val="left"/>
      <w:pPr>
        <w:pStyle w:val="1151"/>
        <w:ind w:left="3224" w:hanging="420"/>
      </w:pPr>
    </w:lvl>
    <w:lvl w:ilvl="7">
      <w:start w:val="1"/>
      <w:numFmt w:val="lowerLetter"/>
      <w:isLgl w:val="false"/>
      <w:suff w:val="tab"/>
      <w:lvlText w:val="%8)"/>
      <w:lvlJc w:val="left"/>
      <w:pPr>
        <w:pStyle w:val="1151"/>
        <w:ind w:left="3644" w:hanging="420"/>
      </w:pPr>
    </w:lvl>
    <w:lvl w:ilvl="8">
      <w:start w:val="1"/>
      <w:numFmt w:val="lowerRoman"/>
      <w:isLgl w:val="false"/>
      <w:suff w:val="tab"/>
      <w:lvlText w:val="%9."/>
      <w:lvlJc w:val="right"/>
      <w:pPr>
        <w:pStyle w:val="1151"/>
        <w:ind w:left="4064" w:hanging="420"/>
      </w:pPr>
    </w:lvl>
  </w:abstractNum>
  <w:abstractNum w:abstractNumId="17">
    <w:multiLevelType w:val="hybridMultilevel"/>
    <w:lvl w:ilvl="0">
      <w:start w:val="1"/>
      <w:numFmt w:val="decimal"/>
      <w:isLgl w:val="false"/>
      <w:suff w:val="tab"/>
      <w:lvlText w:val="%1)"/>
      <w:lvlJc w:val="left"/>
      <w:pPr>
        <w:pStyle w:val="1151"/>
        <w:ind w:left="704" w:hanging="420"/>
      </w:pPr>
      <w:rPr>
        <w:lang w:eastAsia="zh-CN"/>
      </w:rPr>
    </w:lvl>
    <w:lvl w:ilvl="1">
      <w:start w:val="1"/>
      <w:numFmt w:val="lowerLetter"/>
      <w:isLgl w:val="false"/>
      <w:suff w:val="tab"/>
      <w:lvlText w:val="%2)"/>
      <w:lvlJc w:val="left"/>
      <w:pPr>
        <w:pStyle w:val="1151"/>
        <w:ind w:left="1124" w:hanging="420"/>
      </w:pPr>
    </w:lvl>
    <w:lvl w:ilvl="2">
      <w:start w:val="1"/>
      <w:numFmt w:val="lowerRoman"/>
      <w:isLgl w:val="false"/>
      <w:suff w:val="tab"/>
      <w:lvlText w:val="%3."/>
      <w:lvlJc w:val="right"/>
      <w:pPr>
        <w:pStyle w:val="1151"/>
        <w:ind w:left="1544" w:hanging="420"/>
      </w:pPr>
    </w:lvl>
    <w:lvl w:ilvl="3">
      <w:start w:val="1"/>
      <w:numFmt w:val="decimal"/>
      <w:isLgl w:val="false"/>
      <w:suff w:val="tab"/>
      <w:lvlText w:val="%4."/>
      <w:lvlJc w:val="left"/>
      <w:pPr>
        <w:pStyle w:val="1151"/>
        <w:ind w:left="1964" w:hanging="420"/>
      </w:pPr>
    </w:lvl>
    <w:lvl w:ilvl="4">
      <w:start w:val="1"/>
      <w:numFmt w:val="lowerLetter"/>
      <w:isLgl w:val="false"/>
      <w:suff w:val="tab"/>
      <w:lvlText w:val="%5)"/>
      <w:lvlJc w:val="left"/>
      <w:pPr>
        <w:pStyle w:val="1151"/>
        <w:ind w:left="2384" w:hanging="420"/>
      </w:pPr>
    </w:lvl>
    <w:lvl w:ilvl="5">
      <w:start w:val="1"/>
      <w:numFmt w:val="lowerRoman"/>
      <w:isLgl w:val="false"/>
      <w:suff w:val="tab"/>
      <w:lvlText w:val="%6."/>
      <w:lvlJc w:val="right"/>
      <w:pPr>
        <w:pStyle w:val="1151"/>
        <w:ind w:left="2804" w:hanging="420"/>
      </w:pPr>
    </w:lvl>
    <w:lvl w:ilvl="6">
      <w:start w:val="1"/>
      <w:numFmt w:val="decimal"/>
      <w:isLgl w:val="false"/>
      <w:suff w:val="tab"/>
      <w:lvlText w:val="%7."/>
      <w:lvlJc w:val="left"/>
      <w:pPr>
        <w:pStyle w:val="1151"/>
        <w:ind w:left="3224" w:hanging="420"/>
      </w:pPr>
    </w:lvl>
    <w:lvl w:ilvl="7">
      <w:start w:val="1"/>
      <w:numFmt w:val="lowerLetter"/>
      <w:isLgl w:val="false"/>
      <w:suff w:val="tab"/>
      <w:lvlText w:val="%8)"/>
      <w:lvlJc w:val="left"/>
      <w:pPr>
        <w:pStyle w:val="1151"/>
        <w:ind w:left="3644" w:hanging="420"/>
      </w:pPr>
    </w:lvl>
    <w:lvl w:ilvl="8">
      <w:start w:val="1"/>
      <w:numFmt w:val="lowerRoman"/>
      <w:isLgl w:val="false"/>
      <w:suff w:val="tab"/>
      <w:lvlText w:val="%9."/>
      <w:lvlJc w:val="right"/>
      <w:pPr>
        <w:pStyle w:val="1151"/>
        <w:ind w:left="4064" w:hanging="420"/>
      </w:pPr>
    </w:lvl>
  </w:abstractNum>
  <w:abstractNum w:abstractNumId="18">
    <w:multiLevelType w:val="hybridMultilevel"/>
    <w:lvl w:ilvl="0">
      <w:start w:val="1"/>
      <w:numFmt w:val="decimal"/>
      <w:isLgl w:val="false"/>
      <w:suff w:val="tab"/>
      <w:lvlText w:val="%1)"/>
      <w:lvlJc w:val="left"/>
      <w:pPr>
        <w:pStyle w:val="1151"/>
        <w:ind w:left="840" w:hanging="420"/>
      </w:pPr>
      <w:rPr>
        <w:lang w:eastAsia="zh-CN"/>
      </w:rPr>
    </w:lvl>
    <w:lvl w:ilvl="1">
      <w:start w:val="1"/>
      <w:numFmt w:val="decimal"/>
      <w:isLgl w:val="false"/>
      <w:suff w:val="tab"/>
      <w:lvlText w:val="%2)"/>
      <w:lvlJc w:val="left"/>
      <w:pPr>
        <w:pStyle w:val="1151"/>
        <w:ind w:left="704" w:hanging="420"/>
      </w:pPr>
      <w:rPr>
        <w:lang w:eastAsia="zh-CN"/>
      </w:r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19">
    <w:multiLevelType w:val="hybridMultilevel"/>
    <w:lvl w:ilvl="0">
      <w:start w:val="1"/>
      <w:numFmt w:val="decimal"/>
      <w:isLgl w:val="false"/>
      <w:suff w:val="tab"/>
      <w:lvlText w:val="%1)"/>
      <w:lvlJc w:val="left"/>
      <w:pPr>
        <w:pStyle w:val="1151"/>
        <w:ind w:left="704" w:hanging="420"/>
      </w:pPr>
      <w:rPr>
        <w:lang w:eastAsia="zh-CN"/>
      </w:rPr>
    </w:lvl>
    <w:lvl w:ilvl="1">
      <w:start w:val="1"/>
      <w:numFmt w:val="lowerLetter"/>
      <w:isLgl w:val="false"/>
      <w:suff w:val="tab"/>
      <w:lvlText w:val="%2)"/>
      <w:lvlJc w:val="left"/>
      <w:pPr>
        <w:pStyle w:val="1151"/>
        <w:ind w:left="1124" w:hanging="420"/>
      </w:pPr>
    </w:lvl>
    <w:lvl w:ilvl="2">
      <w:start w:val="1"/>
      <w:numFmt w:val="lowerRoman"/>
      <w:isLgl w:val="false"/>
      <w:suff w:val="tab"/>
      <w:lvlText w:val="%3."/>
      <w:lvlJc w:val="right"/>
      <w:pPr>
        <w:pStyle w:val="1151"/>
        <w:ind w:left="1544" w:hanging="420"/>
      </w:pPr>
    </w:lvl>
    <w:lvl w:ilvl="3">
      <w:start w:val="1"/>
      <w:numFmt w:val="decimal"/>
      <w:isLgl w:val="false"/>
      <w:suff w:val="tab"/>
      <w:lvlText w:val="%4."/>
      <w:lvlJc w:val="left"/>
      <w:pPr>
        <w:pStyle w:val="1151"/>
        <w:ind w:left="1964" w:hanging="420"/>
      </w:pPr>
    </w:lvl>
    <w:lvl w:ilvl="4">
      <w:start w:val="1"/>
      <w:numFmt w:val="lowerLetter"/>
      <w:isLgl w:val="false"/>
      <w:suff w:val="tab"/>
      <w:lvlText w:val="%5)"/>
      <w:lvlJc w:val="left"/>
      <w:pPr>
        <w:pStyle w:val="1151"/>
        <w:ind w:left="2384" w:hanging="420"/>
      </w:pPr>
    </w:lvl>
    <w:lvl w:ilvl="5">
      <w:start w:val="1"/>
      <w:numFmt w:val="lowerRoman"/>
      <w:isLgl w:val="false"/>
      <w:suff w:val="tab"/>
      <w:lvlText w:val="%6."/>
      <w:lvlJc w:val="right"/>
      <w:pPr>
        <w:pStyle w:val="1151"/>
        <w:ind w:left="2804" w:hanging="420"/>
      </w:pPr>
    </w:lvl>
    <w:lvl w:ilvl="6">
      <w:start w:val="1"/>
      <w:numFmt w:val="decimal"/>
      <w:isLgl w:val="false"/>
      <w:suff w:val="tab"/>
      <w:lvlText w:val="%7."/>
      <w:lvlJc w:val="left"/>
      <w:pPr>
        <w:pStyle w:val="1151"/>
        <w:ind w:left="3224" w:hanging="420"/>
      </w:pPr>
    </w:lvl>
    <w:lvl w:ilvl="7">
      <w:start w:val="1"/>
      <w:numFmt w:val="lowerLetter"/>
      <w:isLgl w:val="false"/>
      <w:suff w:val="tab"/>
      <w:lvlText w:val="%8)"/>
      <w:lvlJc w:val="left"/>
      <w:pPr>
        <w:pStyle w:val="1151"/>
        <w:ind w:left="3644" w:hanging="420"/>
      </w:pPr>
    </w:lvl>
    <w:lvl w:ilvl="8">
      <w:start w:val="1"/>
      <w:numFmt w:val="lowerRoman"/>
      <w:isLgl w:val="false"/>
      <w:suff w:val="tab"/>
      <w:lvlText w:val="%9."/>
      <w:lvlJc w:val="right"/>
      <w:pPr>
        <w:pStyle w:val="1151"/>
        <w:ind w:left="4064" w:hanging="420"/>
      </w:pPr>
    </w:lvl>
  </w:abstractNum>
  <w:abstractNum w:abstractNumId="20">
    <w:multiLevelType w:val="hybridMultilevel"/>
    <w:lvl w:ilvl="0">
      <w:start w:val="1"/>
      <w:numFmt w:val="decimal"/>
      <w:isLgl w:val="false"/>
      <w:suff w:val="tab"/>
      <w:lvlText w:val="%1)"/>
      <w:lvlJc w:val="left"/>
      <w:pPr>
        <w:pStyle w:val="1151"/>
        <w:ind w:left="840" w:hanging="420"/>
      </w:pPr>
    </w:lvl>
    <w:lvl w:ilvl="1">
      <w:start w:val="1"/>
      <w:numFmt w:val="lowerLetter"/>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21">
    <w:multiLevelType w:val="hybridMultilevel"/>
    <w:lvl w:ilvl="0">
      <w:start w:val="1"/>
      <w:numFmt w:val="decimal"/>
      <w:isLgl w:val="false"/>
      <w:suff w:val="tab"/>
      <w:lvlText w:val="%1)"/>
      <w:lvlJc w:val="left"/>
      <w:pPr>
        <w:pStyle w:val="1151"/>
        <w:ind w:left="704" w:hanging="420"/>
      </w:pPr>
      <w:rPr>
        <w:lang w:eastAsia="zh-CN"/>
      </w:rPr>
    </w:lvl>
    <w:lvl w:ilvl="1">
      <w:start w:val="1"/>
      <w:numFmt w:val="lowerLetter"/>
      <w:isLgl w:val="false"/>
      <w:suff w:val="tab"/>
      <w:lvlText w:val="%2)"/>
      <w:lvlJc w:val="left"/>
      <w:pPr>
        <w:pStyle w:val="1151"/>
        <w:ind w:left="1124" w:hanging="420"/>
      </w:pPr>
    </w:lvl>
    <w:lvl w:ilvl="2">
      <w:start w:val="1"/>
      <w:numFmt w:val="lowerRoman"/>
      <w:isLgl w:val="false"/>
      <w:suff w:val="tab"/>
      <w:lvlText w:val="%3."/>
      <w:lvlJc w:val="right"/>
      <w:pPr>
        <w:pStyle w:val="1151"/>
        <w:ind w:left="1544" w:hanging="420"/>
      </w:pPr>
    </w:lvl>
    <w:lvl w:ilvl="3">
      <w:start w:val="1"/>
      <w:numFmt w:val="decimal"/>
      <w:isLgl w:val="false"/>
      <w:suff w:val="tab"/>
      <w:lvlText w:val="%4."/>
      <w:lvlJc w:val="left"/>
      <w:pPr>
        <w:pStyle w:val="1151"/>
        <w:ind w:left="1964" w:hanging="420"/>
      </w:pPr>
    </w:lvl>
    <w:lvl w:ilvl="4">
      <w:start w:val="1"/>
      <w:numFmt w:val="lowerLetter"/>
      <w:isLgl w:val="false"/>
      <w:suff w:val="tab"/>
      <w:lvlText w:val="%5)"/>
      <w:lvlJc w:val="left"/>
      <w:pPr>
        <w:pStyle w:val="1151"/>
        <w:ind w:left="2384" w:hanging="420"/>
      </w:pPr>
    </w:lvl>
    <w:lvl w:ilvl="5">
      <w:start w:val="1"/>
      <w:numFmt w:val="lowerRoman"/>
      <w:isLgl w:val="false"/>
      <w:suff w:val="tab"/>
      <w:lvlText w:val="%6."/>
      <w:lvlJc w:val="right"/>
      <w:pPr>
        <w:pStyle w:val="1151"/>
        <w:ind w:left="2804" w:hanging="420"/>
      </w:pPr>
    </w:lvl>
    <w:lvl w:ilvl="6">
      <w:start w:val="1"/>
      <w:numFmt w:val="decimal"/>
      <w:isLgl w:val="false"/>
      <w:suff w:val="tab"/>
      <w:lvlText w:val="%7."/>
      <w:lvlJc w:val="left"/>
      <w:pPr>
        <w:pStyle w:val="1151"/>
        <w:ind w:left="3224" w:hanging="420"/>
      </w:pPr>
    </w:lvl>
    <w:lvl w:ilvl="7">
      <w:start w:val="1"/>
      <w:numFmt w:val="lowerLetter"/>
      <w:isLgl w:val="false"/>
      <w:suff w:val="tab"/>
      <w:lvlText w:val="%8)"/>
      <w:lvlJc w:val="left"/>
      <w:pPr>
        <w:pStyle w:val="1151"/>
        <w:ind w:left="3644" w:hanging="420"/>
      </w:pPr>
    </w:lvl>
    <w:lvl w:ilvl="8">
      <w:start w:val="1"/>
      <w:numFmt w:val="lowerRoman"/>
      <w:isLgl w:val="false"/>
      <w:suff w:val="tab"/>
      <w:lvlText w:val="%9."/>
      <w:lvlJc w:val="right"/>
      <w:pPr>
        <w:pStyle w:val="1151"/>
        <w:ind w:left="4064" w:hanging="420"/>
      </w:pPr>
    </w:lvl>
  </w:abstractNum>
  <w:abstractNum w:abstractNumId="22">
    <w:multiLevelType w:val="hybridMultilevel"/>
    <w:lvl w:ilvl="0">
      <w:start w:val="1"/>
      <w:numFmt w:val="decimal"/>
      <w:isLgl w:val="false"/>
      <w:suff w:val="tab"/>
      <w:lvlText w:val="%1)"/>
      <w:lvlJc w:val="left"/>
      <w:pPr>
        <w:pStyle w:val="1151"/>
        <w:ind w:left="704" w:hanging="420"/>
      </w:pPr>
      <w:rPr>
        <w:lang w:eastAsia="zh-CN"/>
      </w:rPr>
    </w:lvl>
    <w:lvl w:ilvl="1">
      <w:start w:val="1"/>
      <w:numFmt w:val="lowerLetter"/>
      <w:isLgl w:val="false"/>
      <w:suff w:val="tab"/>
      <w:lvlText w:val="%2)"/>
      <w:lvlJc w:val="left"/>
      <w:pPr>
        <w:pStyle w:val="1151"/>
        <w:ind w:left="1124" w:hanging="420"/>
      </w:pPr>
    </w:lvl>
    <w:lvl w:ilvl="2">
      <w:start w:val="1"/>
      <w:numFmt w:val="lowerRoman"/>
      <w:isLgl w:val="false"/>
      <w:suff w:val="tab"/>
      <w:lvlText w:val="%3."/>
      <w:lvlJc w:val="right"/>
      <w:pPr>
        <w:pStyle w:val="1151"/>
        <w:ind w:left="1544" w:hanging="420"/>
      </w:pPr>
    </w:lvl>
    <w:lvl w:ilvl="3">
      <w:start w:val="1"/>
      <w:numFmt w:val="decimal"/>
      <w:isLgl w:val="false"/>
      <w:suff w:val="tab"/>
      <w:lvlText w:val="%4."/>
      <w:lvlJc w:val="left"/>
      <w:pPr>
        <w:pStyle w:val="1151"/>
        <w:ind w:left="1964" w:hanging="420"/>
      </w:pPr>
    </w:lvl>
    <w:lvl w:ilvl="4">
      <w:start w:val="1"/>
      <w:numFmt w:val="lowerLetter"/>
      <w:isLgl w:val="false"/>
      <w:suff w:val="tab"/>
      <w:lvlText w:val="%5)"/>
      <w:lvlJc w:val="left"/>
      <w:pPr>
        <w:pStyle w:val="1151"/>
        <w:ind w:left="2384" w:hanging="420"/>
      </w:pPr>
    </w:lvl>
    <w:lvl w:ilvl="5">
      <w:start w:val="1"/>
      <w:numFmt w:val="lowerRoman"/>
      <w:isLgl w:val="false"/>
      <w:suff w:val="tab"/>
      <w:lvlText w:val="%6."/>
      <w:lvlJc w:val="right"/>
      <w:pPr>
        <w:pStyle w:val="1151"/>
        <w:ind w:left="2804" w:hanging="420"/>
      </w:pPr>
    </w:lvl>
    <w:lvl w:ilvl="6">
      <w:start w:val="1"/>
      <w:numFmt w:val="decimal"/>
      <w:isLgl w:val="false"/>
      <w:suff w:val="tab"/>
      <w:lvlText w:val="%7."/>
      <w:lvlJc w:val="left"/>
      <w:pPr>
        <w:pStyle w:val="1151"/>
        <w:ind w:left="3224" w:hanging="420"/>
      </w:pPr>
    </w:lvl>
    <w:lvl w:ilvl="7">
      <w:start w:val="1"/>
      <w:numFmt w:val="lowerLetter"/>
      <w:isLgl w:val="false"/>
      <w:suff w:val="tab"/>
      <w:lvlText w:val="%8)"/>
      <w:lvlJc w:val="left"/>
      <w:pPr>
        <w:pStyle w:val="1151"/>
        <w:ind w:left="3644" w:hanging="420"/>
      </w:pPr>
    </w:lvl>
    <w:lvl w:ilvl="8">
      <w:start w:val="1"/>
      <w:numFmt w:val="lowerRoman"/>
      <w:isLgl w:val="false"/>
      <w:suff w:val="tab"/>
      <w:lvlText w:val="%9."/>
      <w:lvlJc w:val="right"/>
      <w:pPr>
        <w:pStyle w:val="1151"/>
        <w:ind w:left="4064" w:hanging="420"/>
      </w:pPr>
    </w:lvl>
  </w:abstractNum>
  <w:abstractNum w:abstractNumId="23">
    <w:multiLevelType w:val="hybridMultilevel"/>
    <w:lvl w:ilvl="0">
      <w:start w:val="1"/>
      <w:numFmt w:val="bullet"/>
      <w:pStyle w:val="1196"/>
      <w:isLgl w:val="false"/>
      <w:suff w:val="tab"/>
      <w:lvlText w:val=""/>
      <w:lvlJc w:val="left"/>
      <w:pPr>
        <w:pStyle w:val="1151"/>
        <w:ind w:left="780" w:hanging="360"/>
        <w:tabs>
          <w:tab w:val="num" w:pos="780" w:leader="none"/>
        </w:tabs>
      </w:pPr>
      <w:rPr>
        <w:rFonts w:ascii="Wingdings" w:hAnsi="Wingdings"/>
      </w:rPr>
    </w:lvl>
    <w:lvl w:ilvl="1">
      <w:start w:val="1"/>
      <w:numFmt w:val="bullet"/>
      <w:isLgl w:val="false"/>
      <w:suff w:val="tab"/>
      <w:lvlText w:val="o"/>
      <w:lvlJc w:val="left"/>
      <w:pPr>
        <w:pStyle w:val="1151"/>
        <w:ind w:left="1440" w:hanging="360"/>
      </w:pPr>
      <w:rPr>
        <w:rFonts w:ascii="Courier New" w:hAnsi="Courier New" w:eastAsia="Courier New" w:cs="Courier New"/>
      </w:rPr>
    </w:lvl>
    <w:lvl w:ilvl="2">
      <w:start w:val="1"/>
      <w:numFmt w:val="bullet"/>
      <w:isLgl w:val="false"/>
      <w:suff w:val="tab"/>
      <w:lvlText w:val="§"/>
      <w:lvlJc w:val="left"/>
      <w:pPr>
        <w:pStyle w:val="1151"/>
        <w:ind w:left="2160" w:hanging="360"/>
      </w:pPr>
      <w:rPr>
        <w:rFonts w:ascii="Wingdings" w:hAnsi="Wingdings" w:eastAsia="Wingdings" w:cs="Wingdings"/>
      </w:rPr>
    </w:lvl>
    <w:lvl w:ilvl="3">
      <w:start w:val="1"/>
      <w:numFmt w:val="bullet"/>
      <w:isLgl w:val="false"/>
      <w:suff w:val="tab"/>
      <w:lvlText w:val="·"/>
      <w:lvlJc w:val="left"/>
      <w:pPr>
        <w:pStyle w:val="1151"/>
        <w:ind w:left="2880" w:hanging="360"/>
      </w:pPr>
      <w:rPr>
        <w:rFonts w:ascii="Symbol" w:hAnsi="Symbol" w:eastAsia="Symbol" w:cs="Symbol"/>
      </w:rPr>
    </w:lvl>
    <w:lvl w:ilvl="4">
      <w:start w:val="1"/>
      <w:numFmt w:val="bullet"/>
      <w:isLgl w:val="false"/>
      <w:suff w:val="tab"/>
      <w:lvlText w:val="o"/>
      <w:lvlJc w:val="left"/>
      <w:pPr>
        <w:pStyle w:val="1151"/>
        <w:ind w:left="3600" w:hanging="360"/>
      </w:pPr>
      <w:rPr>
        <w:rFonts w:ascii="Courier New" w:hAnsi="Courier New" w:eastAsia="Courier New" w:cs="Courier New"/>
      </w:rPr>
    </w:lvl>
    <w:lvl w:ilvl="5">
      <w:start w:val="1"/>
      <w:numFmt w:val="bullet"/>
      <w:isLgl w:val="false"/>
      <w:suff w:val="tab"/>
      <w:lvlText w:val="§"/>
      <w:lvlJc w:val="left"/>
      <w:pPr>
        <w:pStyle w:val="1151"/>
        <w:ind w:left="4320" w:hanging="360"/>
      </w:pPr>
      <w:rPr>
        <w:rFonts w:ascii="Wingdings" w:hAnsi="Wingdings" w:eastAsia="Wingdings" w:cs="Wingdings"/>
      </w:rPr>
    </w:lvl>
    <w:lvl w:ilvl="6">
      <w:start w:val="1"/>
      <w:numFmt w:val="bullet"/>
      <w:isLgl w:val="false"/>
      <w:suff w:val="tab"/>
      <w:lvlText w:val="·"/>
      <w:lvlJc w:val="left"/>
      <w:pPr>
        <w:pStyle w:val="1151"/>
        <w:ind w:left="5040" w:hanging="360"/>
      </w:pPr>
      <w:rPr>
        <w:rFonts w:ascii="Symbol" w:hAnsi="Symbol" w:eastAsia="Symbol" w:cs="Symbol"/>
      </w:rPr>
    </w:lvl>
    <w:lvl w:ilvl="7">
      <w:start w:val="1"/>
      <w:numFmt w:val="bullet"/>
      <w:isLgl w:val="false"/>
      <w:suff w:val="tab"/>
      <w:lvlText w:val="o"/>
      <w:lvlJc w:val="left"/>
      <w:pPr>
        <w:pStyle w:val="1151"/>
        <w:ind w:left="5760" w:hanging="360"/>
      </w:pPr>
      <w:rPr>
        <w:rFonts w:ascii="Courier New" w:hAnsi="Courier New" w:eastAsia="Courier New" w:cs="Courier New"/>
      </w:rPr>
    </w:lvl>
    <w:lvl w:ilvl="8">
      <w:start w:val="1"/>
      <w:numFmt w:val="bullet"/>
      <w:isLgl w:val="false"/>
      <w:suff w:val="tab"/>
      <w:lvlText w:val="§"/>
      <w:lvlJc w:val="left"/>
      <w:pPr>
        <w:pStyle w:val="1151"/>
        <w:ind w:left="6480" w:hanging="360"/>
      </w:pPr>
      <w:rPr>
        <w:rFonts w:ascii="Wingdings" w:hAnsi="Wingdings" w:eastAsia="Wingdings" w:cs="Wingdings"/>
      </w:rPr>
    </w:lvl>
  </w:abstractNum>
  <w:abstractNum w:abstractNumId="24">
    <w:multiLevelType w:val="hybridMultilevel"/>
    <w:lvl w:ilvl="0">
      <w:start w:val="1"/>
      <w:numFmt w:val="lowerLetter"/>
      <w:isLgl w:val="false"/>
      <w:suff w:val="tab"/>
      <w:lvlText w:val="%1)"/>
      <w:lvlJc w:val="left"/>
      <w:pPr>
        <w:pStyle w:val="1151"/>
        <w:ind w:left="1260" w:hanging="420"/>
      </w:pPr>
    </w:lvl>
    <w:lvl w:ilvl="1">
      <w:start w:val="1"/>
      <w:numFmt w:val="lowerLetter"/>
      <w:isLgl w:val="false"/>
      <w:suff w:val="tab"/>
      <w:lvlText w:val="%2)"/>
      <w:lvlJc w:val="left"/>
      <w:pPr>
        <w:pStyle w:val="1151"/>
        <w:ind w:left="1680" w:hanging="420"/>
      </w:pPr>
    </w:lvl>
    <w:lvl w:ilvl="2">
      <w:start w:val="1"/>
      <w:numFmt w:val="lowerRoman"/>
      <w:isLgl w:val="false"/>
      <w:suff w:val="tab"/>
      <w:lvlText w:val="%3."/>
      <w:lvlJc w:val="right"/>
      <w:pPr>
        <w:pStyle w:val="1151"/>
        <w:ind w:left="2100" w:hanging="420"/>
      </w:pPr>
    </w:lvl>
    <w:lvl w:ilvl="3">
      <w:start w:val="1"/>
      <w:numFmt w:val="decimal"/>
      <w:isLgl w:val="false"/>
      <w:suff w:val="tab"/>
      <w:lvlText w:val="%4."/>
      <w:lvlJc w:val="left"/>
      <w:pPr>
        <w:pStyle w:val="1151"/>
        <w:ind w:left="2520" w:hanging="420"/>
      </w:pPr>
    </w:lvl>
    <w:lvl w:ilvl="4">
      <w:start w:val="1"/>
      <w:numFmt w:val="lowerLetter"/>
      <w:isLgl w:val="false"/>
      <w:suff w:val="tab"/>
      <w:lvlText w:val="%5)"/>
      <w:lvlJc w:val="left"/>
      <w:pPr>
        <w:pStyle w:val="1151"/>
        <w:ind w:left="2940" w:hanging="420"/>
      </w:pPr>
    </w:lvl>
    <w:lvl w:ilvl="5">
      <w:start w:val="1"/>
      <w:numFmt w:val="lowerRoman"/>
      <w:isLgl w:val="false"/>
      <w:suff w:val="tab"/>
      <w:lvlText w:val="%6."/>
      <w:lvlJc w:val="right"/>
      <w:pPr>
        <w:pStyle w:val="1151"/>
        <w:ind w:left="3360" w:hanging="420"/>
      </w:pPr>
    </w:lvl>
    <w:lvl w:ilvl="6">
      <w:start w:val="1"/>
      <w:numFmt w:val="decimal"/>
      <w:isLgl w:val="false"/>
      <w:suff w:val="tab"/>
      <w:lvlText w:val="%7."/>
      <w:lvlJc w:val="left"/>
      <w:pPr>
        <w:pStyle w:val="1151"/>
        <w:ind w:left="3780" w:hanging="420"/>
      </w:pPr>
    </w:lvl>
    <w:lvl w:ilvl="7">
      <w:start w:val="1"/>
      <w:numFmt w:val="lowerLetter"/>
      <w:isLgl w:val="false"/>
      <w:suff w:val="tab"/>
      <w:lvlText w:val="%8)"/>
      <w:lvlJc w:val="left"/>
      <w:pPr>
        <w:pStyle w:val="1151"/>
        <w:ind w:left="4200" w:hanging="420"/>
      </w:pPr>
    </w:lvl>
    <w:lvl w:ilvl="8">
      <w:start w:val="1"/>
      <w:numFmt w:val="lowerRoman"/>
      <w:isLgl w:val="false"/>
      <w:suff w:val="tab"/>
      <w:lvlText w:val="%9."/>
      <w:lvlJc w:val="right"/>
      <w:pPr>
        <w:pStyle w:val="1151"/>
        <w:ind w:left="4620" w:hanging="420"/>
      </w:pPr>
    </w:lvl>
  </w:abstractNum>
  <w:abstractNum w:abstractNumId="25">
    <w:multiLevelType w:val="hybridMultilevel"/>
    <w:lvl w:ilvl="0">
      <w:start w:val="1"/>
      <w:numFmt w:val="lowerLetter"/>
      <w:isLgl w:val="false"/>
      <w:suff w:val="tab"/>
      <w:lvlText w:val="%1)"/>
      <w:lvlJc w:val="left"/>
      <w:pPr>
        <w:pStyle w:val="1151"/>
        <w:ind w:left="1260" w:hanging="420"/>
      </w:pPr>
    </w:lvl>
    <w:lvl w:ilvl="1">
      <w:start w:val="1"/>
      <w:numFmt w:val="lowerLetter"/>
      <w:isLgl w:val="false"/>
      <w:suff w:val="tab"/>
      <w:lvlText w:val="%2)"/>
      <w:lvlJc w:val="left"/>
      <w:pPr>
        <w:pStyle w:val="1151"/>
        <w:ind w:left="1680" w:hanging="420"/>
      </w:pPr>
    </w:lvl>
    <w:lvl w:ilvl="2">
      <w:start w:val="1"/>
      <w:numFmt w:val="lowerRoman"/>
      <w:isLgl w:val="false"/>
      <w:suff w:val="tab"/>
      <w:lvlText w:val="%3."/>
      <w:lvlJc w:val="right"/>
      <w:pPr>
        <w:pStyle w:val="1151"/>
        <w:ind w:left="2100" w:hanging="420"/>
      </w:pPr>
    </w:lvl>
    <w:lvl w:ilvl="3">
      <w:start w:val="1"/>
      <w:numFmt w:val="decimal"/>
      <w:isLgl w:val="false"/>
      <w:suff w:val="tab"/>
      <w:lvlText w:val="%4."/>
      <w:lvlJc w:val="left"/>
      <w:pPr>
        <w:pStyle w:val="1151"/>
        <w:ind w:left="2520" w:hanging="420"/>
      </w:pPr>
    </w:lvl>
    <w:lvl w:ilvl="4">
      <w:start w:val="1"/>
      <w:numFmt w:val="lowerLetter"/>
      <w:isLgl w:val="false"/>
      <w:suff w:val="tab"/>
      <w:lvlText w:val="%5)"/>
      <w:lvlJc w:val="left"/>
      <w:pPr>
        <w:pStyle w:val="1151"/>
        <w:ind w:left="2940" w:hanging="420"/>
      </w:pPr>
    </w:lvl>
    <w:lvl w:ilvl="5">
      <w:start w:val="1"/>
      <w:numFmt w:val="lowerRoman"/>
      <w:isLgl w:val="false"/>
      <w:suff w:val="tab"/>
      <w:lvlText w:val="%6."/>
      <w:lvlJc w:val="right"/>
      <w:pPr>
        <w:pStyle w:val="1151"/>
        <w:ind w:left="3360" w:hanging="420"/>
      </w:pPr>
    </w:lvl>
    <w:lvl w:ilvl="6">
      <w:start w:val="1"/>
      <w:numFmt w:val="decimal"/>
      <w:isLgl w:val="false"/>
      <w:suff w:val="tab"/>
      <w:lvlText w:val="%7."/>
      <w:lvlJc w:val="left"/>
      <w:pPr>
        <w:pStyle w:val="1151"/>
        <w:ind w:left="3780" w:hanging="420"/>
      </w:pPr>
    </w:lvl>
    <w:lvl w:ilvl="7">
      <w:start w:val="1"/>
      <w:numFmt w:val="lowerLetter"/>
      <w:isLgl w:val="false"/>
      <w:suff w:val="tab"/>
      <w:lvlText w:val="%8)"/>
      <w:lvlJc w:val="left"/>
      <w:pPr>
        <w:pStyle w:val="1151"/>
        <w:ind w:left="4200" w:hanging="420"/>
      </w:pPr>
    </w:lvl>
    <w:lvl w:ilvl="8">
      <w:start w:val="1"/>
      <w:numFmt w:val="lowerRoman"/>
      <w:isLgl w:val="false"/>
      <w:suff w:val="tab"/>
      <w:lvlText w:val="%9."/>
      <w:lvlJc w:val="right"/>
      <w:pPr>
        <w:pStyle w:val="1151"/>
        <w:ind w:left="4620" w:hanging="420"/>
      </w:pPr>
    </w:lvl>
  </w:abstractNum>
  <w:abstractNum w:abstractNumId="26">
    <w:multiLevelType w:val="hybridMultilevel"/>
    <w:lvl w:ilvl="0">
      <w:start w:val="1"/>
      <w:numFmt w:val="lowerLetter"/>
      <w:isLgl w:val="false"/>
      <w:suff w:val="tab"/>
      <w:lvlText w:val="(%1)"/>
      <w:lvlJc w:val="left"/>
      <w:pPr>
        <w:pStyle w:val="1151"/>
        <w:ind w:left="840" w:hanging="360"/>
      </w:pPr>
    </w:lvl>
    <w:lvl w:ilvl="1">
      <w:start w:val="1"/>
      <w:numFmt w:val="lowerLetter"/>
      <w:isLgl w:val="false"/>
      <w:suff w:val="tab"/>
      <w:lvlText w:val="%2)"/>
      <w:lvlJc w:val="left"/>
      <w:pPr>
        <w:pStyle w:val="1151"/>
        <w:ind w:left="1320" w:hanging="420"/>
      </w:pPr>
    </w:lvl>
    <w:lvl w:ilvl="2">
      <w:start w:val="1"/>
      <w:numFmt w:val="lowerRoman"/>
      <w:isLgl w:val="false"/>
      <w:suff w:val="tab"/>
      <w:lvlText w:val="%3."/>
      <w:lvlJc w:val="right"/>
      <w:pPr>
        <w:pStyle w:val="1151"/>
        <w:ind w:left="1740" w:hanging="420"/>
      </w:pPr>
    </w:lvl>
    <w:lvl w:ilvl="3">
      <w:start w:val="1"/>
      <w:numFmt w:val="decimal"/>
      <w:isLgl w:val="false"/>
      <w:suff w:val="tab"/>
      <w:lvlText w:val="%4."/>
      <w:lvlJc w:val="left"/>
      <w:pPr>
        <w:pStyle w:val="1151"/>
        <w:ind w:left="2160" w:hanging="420"/>
      </w:pPr>
    </w:lvl>
    <w:lvl w:ilvl="4">
      <w:start w:val="1"/>
      <w:numFmt w:val="lowerLetter"/>
      <w:isLgl w:val="false"/>
      <w:suff w:val="tab"/>
      <w:lvlText w:val="%5)"/>
      <w:lvlJc w:val="left"/>
      <w:pPr>
        <w:pStyle w:val="1151"/>
        <w:ind w:left="2580" w:hanging="420"/>
      </w:pPr>
    </w:lvl>
    <w:lvl w:ilvl="5">
      <w:start w:val="1"/>
      <w:numFmt w:val="lowerRoman"/>
      <w:isLgl w:val="false"/>
      <w:suff w:val="tab"/>
      <w:lvlText w:val="%6."/>
      <w:lvlJc w:val="right"/>
      <w:pPr>
        <w:pStyle w:val="1151"/>
        <w:ind w:left="3000" w:hanging="420"/>
      </w:pPr>
    </w:lvl>
    <w:lvl w:ilvl="6">
      <w:start w:val="1"/>
      <w:numFmt w:val="decimal"/>
      <w:isLgl w:val="false"/>
      <w:suff w:val="tab"/>
      <w:lvlText w:val="%7."/>
      <w:lvlJc w:val="left"/>
      <w:pPr>
        <w:pStyle w:val="1151"/>
        <w:ind w:left="3420" w:hanging="420"/>
      </w:pPr>
    </w:lvl>
    <w:lvl w:ilvl="7">
      <w:start w:val="1"/>
      <w:numFmt w:val="lowerLetter"/>
      <w:isLgl w:val="false"/>
      <w:suff w:val="tab"/>
      <w:lvlText w:val="%8)"/>
      <w:lvlJc w:val="left"/>
      <w:pPr>
        <w:pStyle w:val="1151"/>
        <w:ind w:left="3840" w:hanging="420"/>
      </w:pPr>
    </w:lvl>
    <w:lvl w:ilvl="8">
      <w:start w:val="1"/>
      <w:numFmt w:val="lowerRoman"/>
      <w:isLgl w:val="false"/>
      <w:suff w:val="tab"/>
      <w:lvlText w:val="%9."/>
      <w:lvlJc w:val="right"/>
      <w:pPr>
        <w:pStyle w:val="1151"/>
        <w:ind w:left="4260" w:hanging="420"/>
      </w:pPr>
    </w:lvl>
  </w:abstractNum>
  <w:abstractNum w:abstractNumId="27">
    <w:multiLevelType w:val="hybridMultilevel"/>
    <w:lvl w:ilvl="0">
      <w:start w:val="1"/>
      <w:numFmt w:val="lowerLetter"/>
      <w:isLgl w:val="false"/>
      <w:suff w:val="tab"/>
      <w:lvlText w:val="%1)"/>
      <w:lvlJc w:val="left"/>
      <w:pPr>
        <w:pStyle w:val="1151"/>
        <w:ind w:left="840" w:hanging="420"/>
      </w:pPr>
    </w:lvl>
    <w:lvl w:ilvl="1">
      <w:start w:val="1"/>
      <w:numFmt w:val="lowerLetter"/>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28">
    <w:multiLevelType w:val="hybridMultilevel"/>
    <w:lvl w:ilvl="0">
      <w:start w:val="1"/>
      <w:numFmt w:val="lowerLetter"/>
      <w:isLgl w:val="false"/>
      <w:suff w:val="tab"/>
      <w:lvlText w:val="%1)"/>
      <w:lvlJc w:val="left"/>
      <w:pPr>
        <w:pStyle w:val="1151"/>
        <w:ind w:left="840" w:hanging="420"/>
      </w:pPr>
    </w:lvl>
    <w:lvl w:ilvl="1">
      <w:start w:val="1"/>
      <w:numFmt w:val="lowerLetter"/>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29">
    <w:multiLevelType w:val="hybridMultilevel"/>
    <w:lvl w:ilvl="0">
      <w:start w:val="1"/>
      <w:numFmt w:val="lowerLetter"/>
      <w:isLgl w:val="false"/>
      <w:suff w:val="tab"/>
      <w:lvlText w:val="%1)"/>
      <w:lvlJc w:val="left"/>
      <w:pPr>
        <w:pStyle w:val="1151"/>
        <w:ind w:left="840" w:hanging="420"/>
      </w:pPr>
    </w:lvl>
    <w:lvl w:ilvl="1">
      <w:start w:val="1"/>
      <w:numFmt w:val="lowerLetter"/>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30">
    <w:multiLevelType w:val="hybridMultilevel"/>
    <w:lvl w:ilvl="0">
      <w:start w:val="1"/>
      <w:numFmt w:val="decimal"/>
      <w:isLgl w:val="false"/>
      <w:suff w:val="tab"/>
      <w:lvlText w:val="%1)"/>
      <w:lvlJc w:val="left"/>
      <w:pPr>
        <w:pStyle w:val="1151"/>
        <w:ind w:left="840" w:hanging="420"/>
      </w:pPr>
    </w:lvl>
    <w:lvl w:ilvl="1">
      <w:start w:val="1"/>
      <w:numFmt w:val="lowerLetter"/>
      <w:isLgl w:val="false"/>
      <w:suff w:val="tab"/>
      <w:lvlText w:val="%2)"/>
      <w:lvlJc w:val="left"/>
      <w:pPr>
        <w:pStyle w:val="1151"/>
        <w:ind w:left="1200" w:hanging="36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31">
    <w:multiLevelType w:val="hybridMultilevel"/>
    <w:lvl w:ilvl="0">
      <w:start w:val="1"/>
      <w:numFmt w:val="decimal"/>
      <w:isLgl w:val="false"/>
      <w:suff w:val="tab"/>
      <w:lvlText w:val="%1)"/>
      <w:lvlJc w:val="left"/>
      <w:pPr>
        <w:pStyle w:val="1151"/>
        <w:ind w:left="845" w:hanging="420"/>
      </w:pPr>
    </w:lvl>
    <w:lvl w:ilvl="1">
      <w:start w:val="1"/>
      <w:numFmt w:val="lowerLetter"/>
      <w:isLgl w:val="false"/>
      <w:suff w:val="tab"/>
      <w:lvlText w:val="%2)"/>
      <w:lvlJc w:val="left"/>
      <w:pPr>
        <w:pStyle w:val="1151"/>
        <w:ind w:left="1265" w:hanging="420"/>
      </w:pPr>
    </w:lvl>
    <w:lvl w:ilvl="2">
      <w:start w:val="1"/>
      <w:numFmt w:val="lowerRoman"/>
      <w:isLgl w:val="false"/>
      <w:suff w:val="tab"/>
      <w:lvlText w:val="%3."/>
      <w:lvlJc w:val="right"/>
      <w:pPr>
        <w:pStyle w:val="1151"/>
        <w:ind w:left="1685" w:hanging="420"/>
      </w:pPr>
    </w:lvl>
    <w:lvl w:ilvl="3">
      <w:start w:val="1"/>
      <w:numFmt w:val="decimal"/>
      <w:isLgl w:val="false"/>
      <w:suff w:val="tab"/>
      <w:lvlText w:val="%4."/>
      <w:lvlJc w:val="left"/>
      <w:pPr>
        <w:pStyle w:val="1151"/>
        <w:ind w:left="2105" w:hanging="420"/>
      </w:pPr>
    </w:lvl>
    <w:lvl w:ilvl="4">
      <w:start w:val="1"/>
      <w:numFmt w:val="lowerLetter"/>
      <w:isLgl w:val="false"/>
      <w:suff w:val="tab"/>
      <w:lvlText w:val="%5)"/>
      <w:lvlJc w:val="left"/>
      <w:pPr>
        <w:pStyle w:val="1151"/>
        <w:ind w:left="2525" w:hanging="420"/>
      </w:pPr>
    </w:lvl>
    <w:lvl w:ilvl="5">
      <w:start w:val="1"/>
      <w:numFmt w:val="lowerRoman"/>
      <w:isLgl w:val="false"/>
      <w:suff w:val="tab"/>
      <w:lvlText w:val="%6."/>
      <w:lvlJc w:val="right"/>
      <w:pPr>
        <w:pStyle w:val="1151"/>
        <w:ind w:left="2945" w:hanging="420"/>
      </w:pPr>
    </w:lvl>
    <w:lvl w:ilvl="6">
      <w:start w:val="1"/>
      <w:numFmt w:val="decimal"/>
      <w:isLgl w:val="false"/>
      <w:suff w:val="tab"/>
      <w:lvlText w:val="%7."/>
      <w:lvlJc w:val="left"/>
      <w:pPr>
        <w:pStyle w:val="1151"/>
        <w:ind w:left="3365" w:hanging="420"/>
      </w:pPr>
    </w:lvl>
    <w:lvl w:ilvl="7">
      <w:start w:val="1"/>
      <w:numFmt w:val="lowerLetter"/>
      <w:isLgl w:val="false"/>
      <w:suff w:val="tab"/>
      <w:lvlText w:val="%8)"/>
      <w:lvlJc w:val="left"/>
      <w:pPr>
        <w:pStyle w:val="1151"/>
        <w:ind w:left="3785" w:hanging="420"/>
      </w:pPr>
    </w:lvl>
    <w:lvl w:ilvl="8">
      <w:start w:val="1"/>
      <w:numFmt w:val="lowerRoman"/>
      <w:isLgl w:val="false"/>
      <w:suff w:val="tab"/>
      <w:lvlText w:val="%9."/>
      <w:lvlJc w:val="right"/>
      <w:pPr>
        <w:pStyle w:val="1151"/>
        <w:ind w:left="4205" w:hanging="420"/>
      </w:pPr>
    </w:lvl>
  </w:abstractNum>
  <w:abstractNum w:abstractNumId="32">
    <w:multiLevelType w:val="hybridMultilevel"/>
    <w:lvl w:ilvl="0">
      <w:start w:val="1"/>
      <w:numFmt w:val="decimal"/>
      <w:isLgl w:val="false"/>
      <w:suff w:val="tab"/>
      <w:lvlText w:val="%1)"/>
      <w:lvlJc w:val="left"/>
      <w:pPr>
        <w:pStyle w:val="1151"/>
        <w:ind w:left="840" w:hanging="420"/>
      </w:pPr>
    </w:lvl>
    <w:lvl w:ilvl="1">
      <w:start w:val="1"/>
      <w:numFmt w:val="lowerRoman"/>
      <w:isLgl w:val="false"/>
      <w:suff w:val="tab"/>
      <w:lvlText w:val="%2）"/>
      <w:lvlJc w:val="left"/>
      <w:pPr>
        <w:pStyle w:val="1151"/>
        <w:ind w:left="1560" w:hanging="7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33">
    <w:multiLevelType w:val="hybridMultilevel"/>
    <w:lvl w:ilvl="0">
      <w:start w:val="1"/>
      <w:numFmt w:val="lowerLetter"/>
      <w:isLgl w:val="false"/>
      <w:suff w:val="tab"/>
      <w:lvlText w:val="%1)"/>
      <w:lvlJc w:val="left"/>
      <w:pPr>
        <w:pStyle w:val="1151"/>
        <w:ind w:left="1260" w:hanging="420"/>
      </w:pPr>
    </w:lvl>
    <w:lvl w:ilvl="1">
      <w:start w:val="1"/>
      <w:numFmt w:val="lowerLetter"/>
      <w:isLgl w:val="false"/>
      <w:suff w:val="tab"/>
      <w:lvlText w:val="%2)"/>
      <w:lvlJc w:val="left"/>
      <w:pPr>
        <w:pStyle w:val="1151"/>
        <w:ind w:left="1680" w:hanging="420"/>
      </w:pPr>
    </w:lvl>
    <w:lvl w:ilvl="2">
      <w:start w:val="1"/>
      <w:numFmt w:val="lowerRoman"/>
      <w:isLgl w:val="false"/>
      <w:suff w:val="tab"/>
      <w:lvlText w:val="%3."/>
      <w:lvlJc w:val="right"/>
      <w:pPr>
        <w:pStyle w:val="1151"/>
        <w:ind w:left="2100" w:hanging="420"/>
      </w:pPr>
    </w:lvl>
    <w:lvl w:ilvl="3">
      <w:start w:val="1"/>
      <w:numFmt w:val="decimal"/>
      <w:isLgl w:val="false"/>
      <w:suff w:val="tab"/>
      <w:lvlText w:val="%4."/>
      <w:lvlJc w:val="left"/>
      <w:pPr>
        <w:pStyle w:val="1151"/>
        <w:ind w:left="2520" w:hanging="420"/>
      </w:pPr>
    </w:lvl>
    <w:lvl w:ilvl="4">
      <w:start w:val="1"/>
      <w:numFmt w:val="lowerLetter"/>
      <w:isLgl w:val="false"/>
      <w:suff w:val="tab"/>
      <w:lvlText w:val="%5)"/>
      <w:lvlJc w:val="left"/>
      <w:pPr>
        <w:pStyle w:val="1151"/>
        <w:ind w:left="2940" w:hanging="420"/>
      </w:pPr>
    </w:lvl>
    <w:lvl w:ilvl="5">
      <w:start w:val="1"/>
      <w:numFmt w:val="lowerRoman"/>
      <w:isLgl w:val="false"/>
      <w:suff w:val="tab"/>
      <w:lvlText w:val="%6."/>
      <w:lvlJc w:val="right"/>
      <w:pPr>
        <w:pStyle w:val="1151"/>
        <w:ind w:left="3360" w:hanging="420"/>
      </w:pPr>
    </w:lvl>
    <w:lvl w:ilvl="6">
      <w:start w:val="1"/>
      <w:numFmt w:val="decimal"/>
      <w:isLgl w:val="false"/>
      <w:suff w:val="tab"/>
      <w:lvlText w:val="%7."/>
      <w:lvlJc w:val="left"/>
      <w:pPr>
        <w:pStyle w:val="1151"/>
        <w:ind w:left="3780" w:hanging="420"/>
      </w:pPr>
    </w:lvl>
    <w:lvl w:ilvl="7">
      <w:start w:val="1"/>
      <w:numFmt w:val="lowerLetter"/>
      <w:isLgl w:val="false"/>
      <w:suff w:val="tab"/>
      <w:lvlText w:val="%8)"/>
      <w:lvlJc w:val="left"/>
      <w:pPr>
        <w:pStyle w:val="1151"/>
        <w:ind w:left="4200" w:hanging="420"/>
      </w:pPr>
    </w:lvl>
    <w:lvl w:ilvl="8">
      <w:start w:val="1"/>
      <w:numFmt w:val="lowerRoman"/>
      <w:isLgl w:val="false"/>
      <w:suff w:val="tab"/>
      <w:lvlText w:val="%9."/>
      <w:lvlJc w:val="right"/>
      <w:pPr>
        <w:pStyle w:val="1151"/>
        <w:ind w:left="4620" w:hanging="420"/>
      </w:pPr>
    </w:lvl>
  </w:abstractNum>
  <w:abstractNum w:abstractNumId="34">
    <w:multiLevelType w:val="hybridMultilevel"/>
    <w:lvl w:ilvl="0">
      <w:start w:val="1"/>
      <w:numFmt w:val="decimal"/>
      <w:isLgl w:val="false"/>
      <w:suff w:val="tab"/>
      <w:lvlText w:val="%1)"/>
      <w:lvlJc w:val="left"/>
      <w:pPr>
        <w:pStyle w:val="1151"/>
        <w:ind w:left="704" w:hanging="420"/>
      </w:pPr>
      <w:rPr>
        <w:lang w:eastAsia="zh-CN"/>
      </w:rPr>
    </w:lvl>
    <w:lvl w:ilvl="1">
      <w:start w:val="1"/>
      <w:numFmt w:val="lowerLetter"/>
      <w:isLgl w:val="false"/>
      <w:suff w:val="tab"/>
      <w:lvlText w:val="%2)"/>
      <w:lvlJc w:val="left"/>
      <w:pPr>
        <w:pStyle w:val="1151"/>
        <w:ind w:left="1124" w:hanging="420"/>
      </w:pPr>
    </w:lvl>
    <w:lvl w:ilvl="2">
      <w:start w:val="1"/>
      <w:numFmt w:val="lowerRoman"/>
      <w:isLgl w:val="false"/>
      <w:suff w:val="tab"/>
      <w:lvlText w:val="%3."/>
      <w:lvlJc w:val="right"/>
      <w:pPr>
        <w:pStyle w:val="1151"/>
        <w:ind w:left="1544" w:hanging="420"/>
      </w:pPr>
    </w:lvl>
    <w:lvl w:ilvl="3">
      <w:start w:val="1"/>
      <w:numFmt w:val="decimal"/>
      <w:isLgl w:val="false"/>
      <w:suff w:val="tab"/>
      <w:lvlText w:val="%4."/>
      <w:lvlJc w:val="left"/>
      <w:pPr>
        <w:pStyle w:val="1151"/>
        <w:ind w:left="1964" w:hanging="420"/>
      </w:pPr>
    </w:lvl>
    <w:lvl w:ilvl="4">
      <w:start w:val="1"/>
      <w:numFmt w:val="lowerLetter"/>
      <w:isLgl w:val="false"/>
      <w:suff w:val="tab"/>
      <w:lvlText w:val="%5)"/>
      <w:lvlJc w:val="left"/>
      <w:pPr>
        <w:pStyle w:val="1151"/>
        <w:ind w:left="2384" w:hanging="420"/>
      </w:pPr>
    </w:lvl>
    <w:lvl w:ilvl="5">
      <w:start w:val="1"/>
      <w:numFmt w:val="lowerRoman"/>
      <w:isLgl w:val="false"/>
      <w:suff w:val="tab"/>
      <w:lvlText w:val="%6."/>
      <w:lvlJc w:val="right"/>
      <w:pPr>
        <w:pStyle w:val="1151"/>
        <w:ind w:left="2804" w:hanging="420"/>
      </w:pPr>
    </w:lvl>
    <w:lvl w:ilvl="6">
      <w:start w:val="1"/>
      <w:numFmt w:val="decimal"/>
      <w:isLgl w:val="false"/>
      <w:suff w:val="tab"/>
      <w:lvlText w:val="%7."/>
      <w:lvlJc w:val="left"/>
      <w:pPr>
        <w:pStyle w:val="1151"/>
        <w:ind w:left="3224" w:hanging="420"/>
      </w:pPr>
    </w:lvl>
    <w:lvl w:ilvl="7">
      <w:start w:val="1"/>
      <w:numFmt w:val="lowerLetter"/>
      <w:isLgl w:val="false"/>
      <w:suff w:val="tab"/>
      <w:lvlText w:val="%8)"/>
      <w:lvlJc w:val="left"/>
      <w:pPr>
        <w:pStyle w:val="1151"/>
        <w:ind w:left="3644" w:hanging="420"/>
      </w:pPr>
    </w:lvl>
    <w:lvl w:ilvl="8">
      <w:start w:val="1"/>
      <w:numFmt w:val="lowerRoman"/>
      <w:isLgl w:val="false"/>
      <w:suff w:val="tab"/>
      <w:lvlText w:val="%9."/>
      <w:lvlJc w:val="right"/>
      <w:pPr>
        <w:pStyle w:val="1151"/>
        <w:ind w:left="4064" w:hanging="420"/>
      </w:pPr>
    </w:lvl>
  </w:abstractNum>
  <w:abstractNum w:abstractNumId="35">
    <w:multiLevelType w:val="hybridMultilevel"/>
    <w:lvl w:ilvl="0">
      <w:start w:val="1"/>
      <w:numFmt w:val="decimalEnclosedCircle"/>
      <w:isLgl w:val="false"/>
      <w:suff w:val="tab"/>
      <w:lvlText w:val="%1"/>
      <w:lvlJc w:val="left"/>
      <w:pPr>
        <w:pStyle w:val="1151"/>
        <w:ind w:left="1080" w:hanging="360"/>
      </w:pPr>
    </w:lvl>
    <w:lvl w:ilvl="1">
      <w:start w:val="1"/>
      <w:numFmt w:val="lowerLetter"/>
      <w:isLgl w:val="false"/>
      <w:suff w:val="tab"/>
      <w:lvlText w:val="%2)"/>
      <w:lvlJc w:val="left"/>
      <w:pPr>
        <w:pStyle w:val="1151"/>
        <w:ind w:left="1560" w:hanging="420"/>
      </w:pPr>
    </w:lvl>
    <w:lvl w:ilvl="2">
      <w:start w:val="1"/>
      <w:numFmt w:val="lowerRoman"/>
      <w:isLgl w:val="false"/>
      <w:suff w:val="tab"/>
      <w:lvlText w:val="%3."/>
      <w:lvlJc w:val="right"/>
      <w:pPr>
        <w:pStyle w:val="1151"/>
        <w:ind w:left="1980" w:hanging="420"/>
      </w:pPr>
    </w:lvl>
    <w:lvl w:ilvl="3">
      <w:start w:val="1"/>
      <w:numFmt w:val="decimal"/>
      <w:isLgl w:val="false"/>
      <w:suff w:val="tab"/>
      <w:lvlText w:val="%4."/>
      <w:lvlJc w:val="left"/>
      <w:pPr>
        <w:pStyle w:val="1151"/>
        <w:ind w:left="2400" w:hanging="420"/>
      </w:pPr>
    </w:lvl>
    <w:lvl w:ilvl="4">
      <w:start w:val="1"/>
      <w:numFmt w:val="lowerLetter"/>
      <w:isLgl w:val="false"/>
      <w:suff w:val="tab"/>
      <w:lvlText w:val="%5)"/>
      <w:lvlJc w:val="left"/>
      <w:pPr>
        <w:pStyle w:val="1151"/>
        <w:ind w:left="2820" w:hanging="420"/>
      </w:pPr>
    </w:lvl>
    <w:lvl w:ilvl="5">
      <w:start w:val="1"/>
      <w:numFmt w:val="lowerRoman"/>
      <w:isLgl w:val="false"/>
      <w:suff w:val="tab"/>
      <w:lvlText w:val="%6."/>
      <w:lvlJc w:val="right"/>
      <w:pPr>
        <w:pStyle w:val="1151"/>
        <w:ind w:left="3240" w:hanging="420"/>
      </w:pPr>
    </w:lvl>
    <w:lvl w:ilvl="6">
      <w:start w:val="1"/>
      <w:numFmt w:val="decimal"/>
      <w:isLgl w:val="false"/>
      <w:suff w:val="tab"/>
      <w:lvlText w:val="%7."/>
      <w:lvlJc w:val="left"/>
      <w:pPr>
        <w:pStyle w:val="1151"/>
        <w:ind w:left="3660" w:hanging="420"/>
      </w:pPr>
    </w:lvl>
    <w:lvl w:ilvl="7">
      <w:start w:val="1"/>
      <w:numFmt w:val="lowerLetter"/>
      <w:isLgl w:val="false"/>
      <w:suff w:val="tab"/>
      <w:lvlText w:val="%8)"/>
      <w:lvlJc w:val="left"/>
      <w:pPr>
        <w:pStyle w:val="1151"/>
        <w:ind w:left="4080" w:hanging="420"/>
      </w:pPr>
    </w:lvl>
    <w:lvl w:ilvl="8">
      <w:start w:val="1"/>
      <w:numFmt w:val="lowerRoman"/>
      <w:isLgl w:val="false"/>
      <w:suff w:val="tab"/>
      <w:lvlText w:val="%9."/>
      <w:lvlJc w:val="right"/>
      <w:pPr>
        <w:pStyle w:val="1151"/>
        <w:ind w:left="4500" w:hanging="420"/>
      </w:pPr>
    </w:lvl>
  </w:abstractNum>
  <w:abstractNum w:abstractNumId="36">
    <w:multiLevelType w:val="hybridMultilevel"/>
    <w:lvl w:ilvl="0">
      <w:start w:val="1"/>
      <w:numFmt w:val="decimal"/>
      <w:isLgl w:val="false"/>
      <w:suff w:val="tab"/>
      <w:lvlText w:val="%1)"/>
      <w:lvlJc w:val="left"/>
      <w:pPr>
        <w:pStyle w:val="1151"/>
        <w:ind w:left="840" w:hanging="420"/>
      </w:pPr>
    </w:lvl>
    <w:lvl w:ilvl="1">
      <w:start w:val="1"/>
      <w:numFmt w:val="lowerRoman"/>
      <w:isLgl w:val="false"/>
      <w:suff w:val="tab"/>
      <w:lvlText w:val="%2）"/>
      <w:lvlJc w:val="left"/>
      <w:pPr>
        <w:pStyle w:val="1151"/>
        <w:ind w:left="1560" w:hanging="7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37">
    <w:multiLevelType w:val="hybridMultilevel"/>
    <w:lvl w:ilvl="0">
      <w:start w:val="1"/>
      <w:numFmt w:val="lowerRoman"/>
      <w:isLgl w:val="false"/>
      <w:suff w:val="tab"/>
      <w:lvlText w:val="%1."/>
      <w:lvlJc w:val="right"/>
      <w:pPr>
        <w:pStyle w:val="1151"/>
        <w:ind w:left="1680" w:hanging="420"/>
      </w:pPr>
    </w:lvl>
    <w:lvl w:ilvl="1">
      <w:start w:val="1"/>
      <w:numFmt w:val="lowerLetter"/>
      <w:isLgl w:val="false"/>
      <w:suff w:val="tab"/>
      <w:lvlText w:val="%2)"/>
      <w:lvlJc w:val="left"/>
      <w:pPr>
        <w:pStyle w:val="1151"/>
        <w:ind w:left="2100" w:hanging="420"/>
      </w:pPr>
    </w:lvl>
    <w:lvl w:ilvl="2">
      <w:start w:val="1"/>
      <w:numFmt w:val="lowerRoman"/>
      <w:isLgl w:val="false"/>
      <w:suff w:val="tab"/>
      <w:lvlText w:val="%3."/>
      <w:lvlJc w:val="right"/>
      <w:pPr>
        <w:pStyle w:val="1151"/>
        <w:ind w:left="2520" w:hanging="420"/>
      </w:pPr>
    </w:lvl>
    <w:lvl w:ilvl="3">
      <w:start w:val="1"/>
      <w:numFmt w:val="decimal"/>
      <w:isLgl w:val="false"/>
      <w:suff w:val="tab"/>
      <w:lvlText w:val="%4."/>
      <w:lvlJc w:val="left"/>
      <w:pPr>
        <w:pStyle w:val="1151"/>
        <w:ind w:left="2940" w:hanging="420"/>
      </w:pPr>
    </w:lvl>
    <w:lvl w:ilvl="4">
      <w:start w:val="1"/>
      <w:numFmt w:val="lowerLetter"/>
      <w:isLgl w:val="false"/>
      <w:suff w:val="tab"/>
      <w:lvlText w:val="%5)"/>
      <w:lvlJc w:val="left"/>
      <w:pPr>
        <w:pStyle w:val="1151"/>
        <w:ind w:left="3360" w:hanging="420"/>
      </w:pPr>
    </w:lvl>
    <w:lvl w:ilvl="5">
      <w:start w:val="1"/>
      <w:numFmt w:val="lowerRoman"/>
      <w:isLgl w:val="false"/>
      <w:suff w:val="tab"/>
      <w:lvlText w:val="%6."/>
      <w:lvlJc w:val="right"/>
      <w:pPr>
        <w:pStyle w:val="1151"/>
        <w:ind w:left="3780" w:hanging="420"/>
      </w:pPr>
    </w:lvl>
    <w:lvl w:ilvl="6">
      <w:start w:val="1"/>
      <w:numFmt w:val="decimal"/>
      <w:isLgl w:val="false"/>
      <w:suff w:val="tab"/>
      <w:lvlText w:val="%7."/>
      <w:lvlJc w:val="left"/>
      <w:pPr>
        <w:pStyle w:val="1151"/>
        <w:ind w:left="4200" w:hanging="420"/>
      </w:pPr>
    </w:lvl>
    <w:lvl w:ilvl="7">
      <w:start w:val="1"/>
      <w:numFmt w:val="lowerLetter"/>
      <w:isLgl w:val="false"/>
      <w:suff w:val="tab"/>
      <w:lvlText w:val="%8)"/>
      <w:lvlJc w:val="left"/>
      <w:pPr>
        <w:pStyle w:val="1151"/>
        <w:ind w:left="4620" w:hanging="420"/>
      </w:pPr>
    </w:lvl>
    <w:lvl w:ilvl="8">
      <w:start w:val="1"/>
      <w:numFmt w:val="lowerRoman"/>
      <w:isLgl w:val="false"/>
      <w:suff w:val="tab"/>
      <w:lvlText w:val="%9."/>
      <w:lvlJc w:val="right"/>
      <w:pPr>
        <w:pStyle w:val="1151"/>
        <w:ind w:left="5040" w:hanging="420"/>
      </w:pPr>
    </w:lvl>
  </w:abstractNum>
  <w:abstractNum w:abstractNumId="38">
    <w:multiLevelType w:val="hybridMultilevel"/>
    <w:lvl w:ilvl="0">
      <w:start w:val="1"/>
      <w:numFmt w:val="decimal"/>
      <w:isLgl w:val="false"/>
      <w:suff w:val="tab"/>
      <w:lvlText w:val="%1)"/>
      <w:lvlJc w:val="left"/>
      <w:pPr>
        <w:pStyle w:val="1151"/>
        <w:ind w:left="845" w:hanging="420"/>
      </w:pPr>
    </w:lvl>
    <w:lvl w:ilvl="1">
      <w:start w:val="1"/>
      <w:numFmt w:val="lowerLetter"/>
      <w:isLgl w:val="false"/>
      <w:suff w:val="tab"/>
      <w:lvlText w:val="%2)"/>
      <w:lvlJc w:val="left"/>
      <w:pPr>
        <w:pStyle w:val="1151"/>
        <w:ind w:left="1265" w:hanging="420"/>
      </w:pPr>
    </w:lvl>
    <w:lvl w:ilvl="2">
      <w:start w:val="1"/>
      <w:numFmt w:val="lowerRoman"/>
      <w:isLgl w:val="false"/>
      <w:suff w:val="tab"/>
      <w:lvlText w:val="%3."/>
      <w:lvlJc w:val="right"/>
      <w:pPr>
        <w:pStyle w:val="1151"/>
        <w:ind w:left="1685" w:hanging="420"/>
      </w:pPr>
    </w:lvl>
    <w:lvl w:ilvl="3">
      <w:start w:val="1"/>
      <w:numFmt w:val="decimal"/>
      <w:isLgl w:val="false"/>
      <w:suff w:val="tab"/>
      <w:lvlText w:val="%4."/>
      <w:lvlJc w:val="left"/>
      <w:pPr>
        <w:pStyle w:val="1151"/>
        <w:ind w:left="2105" w:hanging="420"/>
      </w:pPr>
    </w:lvl>
    <w:lvl w:ilvl="4">
      <w:start w:val="1"/>
      <w:numFmt w:val="lowerLetter"/>
      <w:isLgl w:val="false"/>
      <w:suff w:val="tab"/>
      <w:lvlText w:val="%5)"/>
      <w:lvlJc w:val="left"/>
      <w:pPr>
        <w:pStyle w:val="1151"/>
        <w:ind w:left="2525" w:hanging="420"/>
      </w:pPr>
    </w:lvl>
    <w:lvl w:ilvl="5">
      <w:start w:val="1"/>
      <w:numFmt w:val="lowerRoman"/>
      <w:isLgl w:val="false"/>
      <w:suff w:val="tab"/>
      <w:lvlText w:val="%6."/>
      <w:lvlJc w:val="right"/>
      <w:pPr>
        <w:pStyle w:val="1151"/>
        <w:ind w:left="2945" w:hanging="420"/>
      </w:pPr>
    </w:lvl>
    <w:lvl w:ilvl="6">
      <w:start w:val="1"/>
      <w:numFmt w:val="decimal"/>
      <w:isLgl w:val="false"/>
      <w:suff w:val="tab"/>
      <w:lvlText w:val="%7."/>
      <w:lvlJc w:val="left"/>
      <w:pPr>
        <w:pStyle w:val="1151"/>
        <w:ind w:left="3365" w:hanging="420"/>
      </w:pPr>
    </w:lvl>
    <w:lvl w:ilvl="7">
      <w:start w:val="1"/>
      <w:numFmt w:val="lowerLetter"/>
      <w:isLgl w:val="false"/>
      <w:suff w:val="tab"/>
      <w:lvlText w:val="%8)"/>
      <w:lvlJc w:val="left"/>
      <w:pPr>
        <w:pStyle w:val="1151"/>
        <w:ind w:left="3785" w:hanging="420"/>
      </w:pPr>
    </w:lvl>
    <w:lvl w:ilvl="8">
      <w:start w:val="1"/>
      <w:numFmt w:val="lowerRoman"/>
      <w:isLgl w:val="false"/>
      <w:suff w:val="tab"/>
      <w:lvlText w:val="%9."/>
      <w:lvlJc w:val="right"/>
      <w:pPr>
        <w:pStyle w:val="1151"/>
        <w:ind w:left="4205" w:hanging="420"/>
      </w:pPr>
    </w:lvl>
  </w:abstractNum>
  <w:abstractNum w:abstractNumId="39">
    <w:multiLevelType w:val="hybridMultilevel"/>
    <w:lvl w:ilvl="0">
      <w:start w:val="1"/>
      <w:numFmt w:val="decimal"/>
      <w:isLgl w:val="false"/>
      <w:suff w:val="tab"/>
      <w:lvlText w:val="%1)"/>
      <w:lvlJc w:val="left"/>
      <w:pPr>
        <w:pStyle w:val="1151"/>
        <w:ind w:left="840" w:hanging="420"/>
      </w:pPr>
      <w:rPr>
        <w:lang w:eastAsia="zh-CN"/>
      </w:rPr>
    </w:lvl>
    <w:lvl w:ilvl="1">
      <w:start w:val="1"/>
      <w:numFmt w:val="decimal"/>
      <w:isLgl w:val="false"/>
      <w:suff w:val="tab"/>
      <w:lvlText w:val="%2)"/>
      <w:lvlJc w:val="left"/>
      <w:pPr>
        <w:pStyle w:val="1151"/>
        <w:ind w:left="704" w:hanging="420"/>
      </w:pPr>
      <w:rPr>
        <w:lang w:eastAsia="zh-CN"/>
      </w:r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40">
    <w:multiLevelType w:val="hybridMultilevel"/>
    <w:lvl w:ilvl="0">
      <w:start w:val="1"/>
      <w:numFmt w:val="decimal"/>
      <w:isLgl w:val="false"/>
      <w:suff w:val="tab"/>
      <w:lvlText w:val="%1."/>
      <w:lvlJc w:val="left"/>
      <w:pPr>
        <w:pStyle w:val="115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pStyle w:val="1151"/>
        <w:ind w:left="840" w:hanging="420"/>
      </w:pPr>
    </w:lvl>
    <w:lvl w:ilvl="1">
      <w:start w:val="1"/>
      <w:numFmt w:val="lowerLetter"/>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42">
    <w:multiLevelType w:val="hybridMultilevel"/>
    <w:lvl w:ilvl="0">
      <w:start w:val="1"/>
      <w:numFmt w:val="decimalEnclosedCircle"/>
      <w:isLgl w:val="false"/>
      <w:suff w:val="tab"/>
      <w:lvlText w:val="%1"/>
      <w:lvlJc w:val="left"/>
      <w:pPr>
        <w:pStyle w:val="1151"/>
        <w:ind w:left="1080" w:hanging="360"/>
      </w:pPr>
    </w:lvl>
    <w:lvl w:ilvl="1">
      <w:start w:val="1"/>
      <w:numFmt w:val="lowerLetter"/>
      <w:isLgl w:val="false"/>
      <w:suff w:val="tab"/>
      <w:lvlText w:val="%2)"/>
      <w:lvlJc w:val="left"/>
      <w:pPr>
        <w:pStyle w:val="1151"/>
        <w:ind w:left="1560" w:hanging="420"/>
      </w:pPr>
    </w:lvl>
    <w:lvl w:ilvl="2">
      <w:start w:val="1"/>
      <w:numFmt w:val="lowerRoman"/>
      <w:isLgl w:val="false"/>
      <w:suff w:val="tab"/>
      <w:lvlText w:val="%3."/>
      <w:lvlJc w:val="right"/>
      <w:pPr>
        <w:pStyle w:val="1151"/>
        <w:ind w:left="1980" w:hanging="420"/>
      </w:pPr>
    </w:lvl>
    <w:lvl w:ilvl="3">
      <w:start w:val="1"/>
      <w:numFmt w:val="decimal"/>
      <w:isLgl w:val="false"/>
      <w:suff w:val="tab"/>
      <w:lvlText w:val="%4."/>
      <w:lvlJc w:val="left"/>
      <w:pPr>
        <w:pStyle w:val="1151"/>
        <w:ind w:left="2400" w:hanging="420"/>
      </w:pPr>
    </w:lvl>
    <w:lvl w:ilvl="4">
      <w:start w:val="1"/>
      <w:numFmt w:val="lowerLetter"/>
      <w:isLgl w:val="false"/>
      <w:suff w:val="tab"/>
      <w:lvlText w:val="%5)"/>
      <w:lvlJc w:val="left"/>
      <w:pPr>
        <w:pStyle w:val="1151"/>
        <w:ind w:left="2820" w:hanging="420"/>
      </w:pPr>
    </w:lvl>
    <w:lvl w:ilvl="5">
      <w:start w:val="1"/>
      <w:numFmt w:val="lowerRoman"/>
      <w:isLgl w:val="false"/>
      <w:suff w:val="tab"/>
      <w:lvlText w:val="%6."/>
      <w:lvlJc w:val="right"/>
      <w:pPr>
        <w:pStyle w:val="1151"/>
        <w:ind w:left="3240" w:hanging="420"/>
      </w:pPr>
    </w:lvl>
    <w:lvl w:ilvl="6">
      <w:start w:val="1"/>
      <w:numFmt w:val="decimal"/>
      <w:isLgl w:val="false"/>
      <w:suff w:val="tab"/>
      <w:lvlText w:val="%7."/>
      <w:lvlJc w:val="left"/>
      <w:pPr>
        <w:pStyle w:val="1151"/>
        <w:ind w:left="3660" w:hanging="420"/>
      </w:pPr>
    </w:lvl>
    <w:lvl w:ilvl="7">
      <w:start w:val="1"/>
      <w:numFmt w:val="lowerLetter"/>
      <w:isLgl w:val="false"/>
      <w:suff w:val="tab"/>
      <w:lvlText w:val="%8)"/>
      <w:lvlJc w:val="left"/>
      <w:pPr>
        <w:pStyle w:val="1151"/>
        <w:ind w:left="4080" w:hanging="420"/>
      </w:pPr>
    </w:lvl>
    <w:lvl w:ilvl="8">
      <w:start w:val="1"/>
      <w:numFmt w:val="lowerRoman"/>
      <w:isLgl w:val="false"/>
      <w:suff w:val="tab"/>
      <w:lvlText w:val="%9."/>
      <w:lvlJc w:val="right"/>
      <w:pPr>
        <w:pStyle w:val="1151"/>
        <w:ind w:left="4500" w:hanging="420"/>
      </w:pPr>
    </w:lvl>
  </w:abstractNum>
  <w:abstractNum w:abstractNumId="43">
    <w:multiLevelType w:val="hybridMultilevel"/>
    <w:lvl w:ilvl="0">
      <w:start w:val="1"/>
      <w:numFmt w:val="decimal"/>
      <w:isLgl w:val="false"/>
      <w:suff w:val="tab"/>
      <w:lvlText w:val="%1)"/>
      <w:lvlJc w:val="left"/>
      <w:pPr>
        <w:pStyle w:val="1151"/>
        <w:ind w:left="840" w:hanging="420"/>
      </w:pPr>
      <w:rPr>
        <w:lang w:eastAsia="zh-CN"/>
      </w:rPr>
    </w:lvl>
    <w:lvl w:ilvl="1">
      <w:start w:val="1"/>
      <w:numFmt w:val="decimal"/>
      <w:isLgl w:val="false"/>
      <w:suff w:val="tab"/>
      <w:lvlText w:val="%2)"/>
      <w:lvlJc w:val="left"/>
      <w:pPr>
        <w:pStyle w:val="1151"/>
        <w:ind w:left="704" w:hanging="420"/>
      </w:pPr>
      <w:rPr>
        <w:lang w:eastAsia="zh-CN"/>
      </w:r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44">
    <w:multiLevelType w:val="hybridMultilevel"/>
    <w:lvl w:ilvl="0">
      <w:start w:val="1"/>
      <w:numFmt w:val="decimal"/>
      <w:isLgl w:val="false"/>
      <w:suff w:val="tab"/>
      <w:lvlText w:val="%1)"/>
      <w:lvlJc w:val="left"/>
      <w:pPr>
        <w:pStyle w:val="1151"/>
        <w:ind w:left="840" w:hanging="420"/>
      </w:pPr>
    </w:lvl>
    <w:lvl w:ilvl="1">
      <w:start w:val="1"/>
      <w:numFmt w:val="lowerLetter"/>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45">
    <w:multiLevelType w:val="hybridMultilevel"/>
    <w:lvl w:ilvl="0">
      <w:start w:val="1"/>
      <w:numFmt w:val="decimal"/>
      <w:isLgl w:val="false"/>
      <w:suff w:val="tab"/>
      <w:lvlText w:val="%1)"/>
      <w:lvlJc w:val="left"/>
      <w:pPr>
        <w:pStyle w:val="1151"/>
        <w:ind w:left="840" w:hanging="420"/>
      </w:pPr>
    </w:lvl>
    <w:lvl w:ilvl="1">
      <w:start w:val="1"/>
      <w:numFmt w:val="lowerLetter"/>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46">
    <w:multiLevelType w:val="hybridMultilevel"/>
    <w:lvl w:ilvl="0">
      <w:start w:val="1"/>
      <w:numFmt w:val="lowerRoman"/>
      <w:isLgl w:val="false"/>
      <w:suff w:val="tab"/>
      <w:lvlText w:val="%1."/>
      <w:lvlJc w:val="right"/>
      <w:pPr>
        <w:pStyle w:val="1151"/>
        <w:ind w:left="1680" w:hanging="420"/>
      </w:pPr>
    </w:lvl>
    <w:lvl w:ilvl="1">
      <w:start w:val="1"/>
      <w:numFmt w:val="lowerLetter"/>
      <w:isLgl w:val="false"/>
      <w:suff w:val="tab"/>
      <w:lvlText w:val="%2)"/>
      <w:lvlJc w:val="left"/>
      <w:pPr>
        <w:pStyle w:val="1151"/>
        <w:ind w:left="2100" w:hanging="420"/>
      </w:pPr>
    </w:lvl>
    <w:lvl w:ilvl="2">
      <w:start w:val="1"/>
      <w:numFmt w:val="lowerRoman"/>
      <w:isLgl w:val="false"/>
      <w:suff w:val="tab"/>
      <w:lvlText w:val="%3."/>
      <w:lvlJc w:val="right"/>
      <w:pPr>
        <w:pStyle w:val="1151"/>
        <w:ind w:left="2520" w:hanging="420"/>
      </w:pPr>
    </w:lvl>
    <w:lvl w:ilvl="3">
      <w:start w:val="1"/>
      <w:numFmt w:val="decimal"/>
      <w:isLgl w:val="false"/>
      <w:suff w:val="tab"/>
      <w:lvlText w:val="%4."/>
      <w:lvlJc w:val="left"/>
      <w:pPr>
        <w:pStyle w:val="1151"/>
        <w:ind w:left="2940" w:hanging="420"/>
      </w:pPr>
    </w:lvl>
    <w:lvl w:ilvl="4">
      <w:start w:val="1"/>
      <w:numFmt w:val="lowerLetter"/>
      <w:isLgl w:val="false"/>
      <w:suff w:val="tab"/>
      <w:lvlText w:val="%5)"/>
      <w:lvlJc w:val="left"/>
      <w:pPr>
        <w:pStyle w:val="1151"/>
        <w:ind w:left="3360" w:hanging="420"/>
      </w:pPr>
    </w:lvl>
    <w:lvl w:ilvl="5">
      <w:start w:val="1"/>
      <w:numFmt w:val="lowerRoman"/>
      <w:isLgl w:val="false"/>
      <w:suff w:val="tab"/>
      <w:lvlText w:val="%6."/>
      <w:lvlJc w:val="right"/>
      <w:pPr>
        <w:pStyle w:val="1151"/>
        <w:ind w:left="3780" w:hanging="420"/>
      </w:pPr>
    </w:lvl>
    <w:lvl w:ilvl="6">
      <w:start w:val="1"/>
      <w:numFmt w:val="decimal"/>
      <w:isLgl w:val="false"/>
      <w:suff w:val="tab"/>
      <w:lvlText w:val="%7."/>
      <w:lvlJc w:val="left"/>
      <w:pPr>
        <w:pStyle w:val="1151"/>
        <w:ind w:left="4200" w:hanging="420"/>
      </w:pPr>
    </w:lvl>
    <w:lvl w:ilvl="7">
      <w:start w:val="1"/>
      <w:numFmt w:val="lowerLetter"/>
      <w:isLgl w:val="false"/>
      <w:suff w:val="tab"/>
      <w:lvlText w:val="%8)"/>
      <w:lvlJc w:val="left"/>
      <w:pPr>
        <w:pStyle w:val="1151"/>
        <w:ind w:left="4620" w:hanging="420"/>
      </w:pPr>
    </w:lvl>
    <w:lvl w:ilvl="8">
      <w:start w:val="1"/>
      <w:numFmt w:val="lowerRoman"/>
      <w:isLgl w:val="false"/>
      <w:suff w:val="tab"/>
      <w:lvlText w:val="%9."/>
      <w:lvlJc w:val="right"/>
      <w:pPr>
        <w:pStyle w:val="1151"/>
        <w:ind w:left="5040" w:hanging="420"/>
      </w:pPr>
    </w:lvl>
  </w:abstractNum>
  <w:abstractNum w:abstractNumId="47">
    <w:multiLevelType w:val="hybridMultilevel"/>
    <w:lvl w:ilvl="0">
      <w:start w:val="1"/>
      <w:numFmt w:val="decimal"/>
      <w:isLgl w:val="false"/>
      <w:suff w:val="tab"/>
      <w:lvlText w:val="%1)"/>
      <w:lvlJc w:val="left"/>
      <w:pPr>
        <w:pStyle w:val="1151"/>
        <w:ind w:left="845" w:hanging="420"/>
      </w:pPr>
    </w:lvl>
    <w:lvl w:ilvl="1">
      <w:start w:val="1"/>
      <w:numFmt w:val="lowerLetter"/>
      <w:isLgl w:val="false"/>
      <w:suff w:val="tab"/>
      <w:lvlText w:val="%2)"/>
      <w:lvlJc w:val="left"/>
      <w:pPr>
        <w:pStyle w:val="1151"/>
        <w:ind w:left="1265" w:hanging="420"/>
      </w:pPr>
    </w:lvl>
    <w:lvl w:ilvl="2">
      <w:start w:val="1"/>
      <w:numFmt w:val="lowerRoman"/>
      <w:isLgl w:val="false"/>
      <w:suff w:val="tab"/>
      <w:lvlText w:val="%3."/>
      <w:lvlJc w:val="right"/>
      <w:pPr>
        <w:pStyle w:val="1151"/>
        <w:ind w:left="1685" w:hanging="420"/>
      </w:pPr>
    </w:lvl>
    <w:lvl w:ilvl="3">
      <w:start w:val="1"/>
      <w:numFmt w:val="decimal"/>
      <w:isLgl w:val="false"/>
      <w:suff w:val="tab"/>
      <w:lvlText w:val="%4."/>
      <w:lvlJc w:val="left"/>
      <w:pPr>
        <w:pStyle w:val="1151"/>
        <w:ind w:left="2105" w:hanging="420"/>
      </w:pPr>
    </w:lvl>
    <w:lvl w:ilvl="4">
      <w:start w:val="1"/>
      <w:numFmt w:val="lowerLetter"/>
      <w:isLgl w:val="false"/>
      <w:suff w:val="tab"/>
      <w:lvlText w:val="%5)"/>
      <w:lvlJc w:val="left"/>
      <w:pPr>
        <w:pStyle w:val="1151"/>
        <w:ind w:left="2525" w:hanging="420"/>
      </w:pPr>
    </w:lvl>
    <w:lvl w:ilvl="5">
      <w:start w:val="1"/>
      <w:numFmt w:val="lowerRoman"/>
      <w:isLgl w:val="false"/>
      <w:suff w:val="tab"/>
      <w:lvlText w:val="%6."/>
      <w:lvlJc w:val="right"/>
      <w:pPr>
        <w:pStyle w:val="1151"/>
        <w:ind w:left="2945" w:hanging="420"/>
      </w:pPr>
    </w:lvl>
    <w:lvl w:ilvl="6">
      <w:start w:val="1"/>
      <w:numFmt w:val="decimal"/>
      <w:isLgl w:val="false"/>
      <w:suff w:val="tab"/>
      <w:lvlText w:val="%7."/>
      <w:lvlJc w:val="left"/>
      <w:pPr>
        <w:pStyle w:val="1151"/>
        <w:ind w:left="3365" w:hanging="420"/>
      </w:pPr>
    </w:lvl>
    <w:lvl w:ilvl="7">
      <w:start w:val="1"/>
      <w:numFmt w:val="lowerLetter"/>
      <w:isLgl w:val="false"/>
      <w:suff w:val="tab"/>
      <w:lvlText w:val="%8)"/>
      <w:lvlJc w:val="left"/>
      <w:pPr>
        <w:pStyle w:val="1151"/>
        <w:ind w:left="3785" w:hanging="420"/>
      </w:pPr>
    </w:lvl>
    <w:lvl w:ilvl="8">
      <w:start w:val="1"/>
      <w:numFmt w:val="lowerRoman"/>
      <w:isLgl w:val="false"/>
      <w:suff w:val="tab"/>
      <w:lvlText w:val="%9."/>
      <w:lvlJc w:val="right"/>
      <w:pPr>
        <w:pStyle w:val="1151"/>
        <w:ind w:left="4205" w:hanging="420"/>
      </w:pPr>
    </w:lvl>
  </w:abstractNum>
  <w:abstractNum w:abstractNumId="48">
    <w:multiLevelType w:val="hybridMultilevel"/>
    <w:lvl w:ilvl="0">
      <w:start w:val="1"/>
      <w:numFmt w:val="decimal"/>
      <w:isLgl w:val="false"/>
      <w:suff w:val="tab"/>
      <w:lvlText w:val="%1)"/>
      <w:lvlJc w:val="left"/>
      <w:pPr>
        <w:pStyle w:val="1151"/>
        <w:ind w:left="840" w:hanging="420"/>
      </w:pPr>
    </w:lvl>
    <w:lvl w:ilvl="1">
      <w:start w:val="1"/>
      <w:numFmt w:val="lowerLetter"/>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49">
    <w:multiLevelType w:val="hybridMultilevel"/>
    <w:lvl w:ilvl="0">
      <w:start w:val="1"/>
      <w:numFmt w:val="decimal"/>
      <w:isLgl w:val="false"/>
      <w:suff w:val="nothing"/>
      <w:lvlText w:val="%1"/>
      <w:lvlJc w:val="left"/>
      <w:pPr>
        <w:pStyle w:val="1151"/>
        <w:ind w:left="0" w:firstLine="0"/>
      </w:pPr>
      <w:rPr>
        <w:rFonts w:hint="eastAsia"/>
      </w:rPr>
    </w:lvl>
    <w:lvl w:ilvl="1">
      <w:start w:val="1"/>
      <w:numFmt w:val="lowerLetter"/>
      <w:isLgl w:val="false"/>
      <w:suff w:val="tab"/>
      <w:lvlText w:val="%2)"/>
      <w:lvlJc w:val="left"/>
      <w:pPr>
        <w:pStyle w:val="1151"/>
        <w:ind w:left="840" w:hanging="420"/>
      </w:pPr>
    </w:lvl>
    <w:lvl w:ilvl="2">
      <w:start w:val="1"/>
      <w:numFmt w:val="lowerRoman"/>
      <w:isLgl w:val="false"/>
      <w:suff w:val="tab"/>
      <w:lvlText w:val="%3."/>
      <w:lvlJc w:val="right"/>
      <w:pPr>
        <w:pStyle w:val="1151"/>
        <w:ind w:left="1260" w:hanging="420"/>
      </w:pPr>
    </w:lvl>
    <w:lvl w:ilvl="3">
      <w:start w:val="1"/>
      <w:numFmt w:val="decimal"/>
      <w:isLgl w:val="false"/>
      <w:suff w:val="tab"/>
      <w:lvlText w:val="%4."/>
      <w:lvlJc w:val="left"/>
      <w:pPr>
        <w:pStyle w:val="1151"/>
        <w:ind w:left="1680" w:hanging="420"/>
      </w:pPr>
    </w:lvl>
    <w:lvl w:ilvl="4">
      <w:start w:val="1"/>
      <w:numFmt w:val="lowerLetter"/>
      <w:isLgl w:val="false"/>
      <w:suff w:val="tab"/>
      <w:lvlText w:val="%5)"/>
      <w:lvlJc w:val="left"/>
      <w:pPr>
        <w:pStyle w:val="1151"/>
        <w:ind w:left="2100" w:hanging="420"/>
      </w:pPr>
    </w:lvl>
    <w:lvl w:ilvl="5">
      <w:start w:val="1"/>
      <w:numFmt w:val="lowerRoman"/>
      <w:isLgl w:val="false"/>
      <w:suff w:val="tab"/>
      <w:lvlText w:val="%6."/>
      <w:lvlJc w:val="right"/>
      <w:pPr>
        <w:pStyle w:val="1151"/>
        <w:ind w:left="2520" w:hanging="420"/>
      </w:pPr>
    </w:lvl>
    <w:lvl w:ilvl="6">
      <w:start w:val="1"/>
      <w:numFmt w:val="decimal"/>
      <w:isLgl w:val="false"/>
      <w:suff w:val="tab"/>
      <w:lvlText w:val="%7."/>
      <w:lvlJc w:val="left"/>
      <w:pPr>
        <w:pStyle w:val="1151"/>
        <w:ind w:left="2940" w:hanging="420"/>
      </w:pPr>
    </w:lvl>
    <w:lvl w:ilvl="7">
      <w:start w:val="1"/>
      <w:numFmt w:val="lowerLetter"/>
      <w:isLgl w:val="false"/>
      <w:suff w:val="tab"/>
      <w:lvlText w:val="%8)"/>
      <w:lvlJc w:val="left"/>
      <w:pPr>
        <w:pStyle w:val="1151"/>
        <w:ind w:left="3360" w:hanging="420"/>
      </w:pPr>
    </w:lvl>
    <w:lvl w:ilvl="8">
      <w:start w:val="1"/>
      <w:numFmt w:val="lowerRoman"/>
      <w:isLgl w:val="false"/>
      <w:suff w:val="tab"/>
      <w:lvlText w:val="%9."/>
      <w:lvlJc w:val="right"/>
      <w:pPr>
        <w:pStyle w:val="1151"/>
        <w:ind w:left="3780" w:hanging="420"/>
      </w:pPr>
    </w:lvl>
  </w:abstractNum>
  <w:abstractNum w:abstractNumId="50">
    <w:multiLevelType w:val="hybridMultilevel"/>
    <w:lvl w:ilvl="0">
      <w:start w:val="1"/>
      <w:numFmt w:val="bullet"/>
      <w:isLgl w:val="false"/>
      <w:suff w:val="tab"/>
      <w:lvlText w:val=""/>
      <w:lvlJc w:val="left"/>
      <w:pPr>
        <w:pStyle w:val="1151"/>
        <w:ind w:left="420" w:hanging="420"/>
      </w:pPr>
      <w:rPr>
        <w:rFonts w:ascii="Wingdings" w:hAnsi="Wingdings"/>
      </w:rPr>
    </w:lvl>
    <w:lvl w:ilvl="1">
      <w:start w:val="1"/>
      <w:numFmt w:val="bullet"/>
      <w:isLgl w:val="false"/>
      <w:suff w:val="tab"/>
      <w:lvlText w:val=""/>
      <w:lvlJc w:val="left"/>
      <w:pPr>
        <w:pStyle w:val="1151"/>
        <w:ind w:left="840" w:hanging="420"/>
      </w:pPr>
      <w:rPr>
        <w:rFonts w:ascii="Wingdings" w:hAnsi="Wingdings"/>
      </w:rPr>
    </w:lvl>
    <w:lvl w:ilvl="2">
      <w:start w:val="1"/>
      <w:numFmt w:val="bullet"/>
      <w:isLgl w:val="false"/>
      <w:suff w:val="tab"/>
      <w:lvlText w:val=""/>
      <w:lvlJc w:val="left"/>
      <w:pPr>
        <w:pStyle w:val="1151"/>
        <w:ind w:left="1260" w:hanging="420"/>
      </w:pPr>
      <w:rPr>
        <w:rFonts w:ascii="Wingdings" w:hAnsi="Wingdings"/>
      </w:rPr>
    </w:lvl>
    <w:lvl w:ilvl="3">
      <w:start w:val="1"/>
      <w:numFmt w:val="bullet"/>
      <w:isLgl w:val="false"/>
      <w:suff w:val="tab"/>
      <w:lvlText w:val=""/>
      <w:lvlJc w:val="left"/>
      <w:pPr>
        <w:pStyle w:val="1151"/>
        <w:ind w:left="1680" w:hanging="420"/>
      </w:pPr>
      <w:rPr>
        <w:rFonts w:ascii="Wingdings" w:hAnsi="Wingdings"/>
      </w:rPr>
    </w:lvl>
    <w:lvl w:ilvl="4">
      <w:start w:val="1"/>
      <w:numFmt w:val="bullet"/>
      <w:isLgl w:val="false"/>
      <w:suff w:val="tab"/>
      <w:lvlText w:val=""/>
      <w:lvlJc w:val="left"/>
      <w:pPr>
        <w:pStyle w:val="1151"/>
        <w:ind w:left="2100" w:hanging="420"/>
      </w:pPr>
      <w:rPr>
        <w:rFonts w:ascii="Wingdings" w:hAnsi="Wingdings"/>
      </w:rPr>
    </w:lvl>
    <w:lvl w:ilvl="5">
      <w:start w:val="1"/>
      <w:numFmt w:val="bullet"/>
      <w:isLgl w:val="false"/>
      <w:suff w:val="tab"/>
      <w:lvlText w:val=""/>
      <w:lvlJc w:val="left"/>
      <w:pPr>
        <w:pStyle w:val="1151"/>
        <w:ind w:left="2520" w:hanging="420"/>
      </w:pPr>
      <w:rPr>
        <w:rFonts w:ascii="Wingdings" w:hAnsi="Wingdings"/>
      </w:rPr>
    </w:lvl>
    <w:lvl w:ilvl="6">
      <w:start w:val="1"/>
      <w:numFmt w:val="bullet"/>
      <w:isLgl w:val="false"/>
      <w:suff w:val="tab"/>
      <w:lvlText w:val=""/>
      <w:lvlJc w:val="left"/>
      <w:pPr>
        <w:pStyle w:val="1151"/>
        <w:ind w:left="2940" w:hanging="420"/>
      </w:pPr>
      <w:rPr>
        <w:rFonts w:ascii="Wingdings" w:hAnsi="Wingdings"/>
      </w:rPr>
    </w:lvl>
    <w:lvl w:ilvl="7">
      <w:start w:val="1"/>
      <w:numFmt w:val="bullet"/>
      <w:isLgl w:val="false"/>
      <w:suff w:val="tab"/>
      <w:lvlText w:val=""/>
      <w:lvlJc w:val="left"/>
      <w:pPr>
        <w:pStyle w:val="1151"/>
        <w:ind w:left="3360" w:hanging="420"/>
      </w:pPr>
      <w:rPr>
        <w:rFonts w:ascii="Wingdings" w:hAnsi="Wingdings"/>
      </w:rPr>
    </w:lvl>
    <w:lvl w:ilvl="8">
      <w:start w:val="1"/>
      <w:numFmt w:val="bullet"/>
      <w:isLgl w:val="false"/>
      <w:suff w:val="tab"/>
      <w:lvlText w:val=""/>
      <w:lvlJc w:val="left"/>
      <w:pPr>
        <w:pStyle w:val="1151"/>
        <w:ind w:left="3780" w:hanging="420"/>
      </w:pPr>
      <w:rPr>
        <w:rFonts w:ascii="Wingdings" w:hAnsi="Wingdings"/>
      </w:rPr>
    </w:lvl>
  </w:abstractNum>
  <w:abstractNum w:abstractNumId="51">
    <w:multiLevelType w:val="hybridMultilevel"/>
    <w:lvl w:ilvl="0">
      <w:start w:val="3"/>
      <w:numFmt w:val="decimal"/>
      <w:isLgl w:val="false"/>
      <w:suff w:val="nothing"/>
      <w:lvlText w:val="%1）"/>
      <w:lvlJc w:val="left"/>
      <w:pPr>
        <w:pStyle w:val="11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EnclosedCircle"/>
      <w:isLgl w:val="false"/>
      <w:suff w:val="tab"/>
      <w:lvlText w:val="%1"/>
      <w:lvlJc w:val="left"/>
      <w:pPr>
        <w:pStyle w:val="1151"/>
        <w:ind w:left="840" w:hanging="360"/>
      </w:pPr>
    </w:lvl>
    <w:lvl w:ilvl="1">
      <w:start w:val="1"/>
      <w:numFmt w:val="lowerLetter"/>
      <w:isLgl w:val="false"/>
      <w:suff w:val="tab"/>
      <w:lvlText w:val="%2)"/>
      <w:lvlJc w:val="left"/>
      <w:pPr>
        <w:pStyle w:val="1151"/>
        <w:ind w:left="1320" w:hanging="420"/>
      </w:pPr>
    </w:lvl>
    <w:lvl w:ilvl="2">
      <w:start w:val="1"/>
      <w:numFmt w:val="lowerRoman"/>
      <w:isLgl w:val="false"/>
      <w:suff w:val="tab"/>
      <w:lvlText w:val="%3."/>
      <w:lvlJc w:val="right"/>
      <w:pPr>
        <w:pStyle w:val="1151"/>
        <w:ind w:left="1740" w:hanging="420"/>
      </w:pPr>
    </w:lvl>
    <w:lvl w:ilvl="3">
      <w:start w:val="1"/>
      <w:numFmt w:val="decimal"/>
      <w:isLgl w:val="false"/>
      <w:suff w:val="tab"/>
      <w:lvlText w:val="%4."/>
      <w:lvlJc w:val="left"/>
      <w:pPr>
        <w:pStyle w:val="1151"/>
        <w:ind w:left="2160" w:hanging="420"/>
      </w:pPr>
    </w:lvl>
    <w:lvl w:ilvl="4">
      <w:start w:val="1"/>
      <w:numFmt w:val="lowerLetter"/>
      <w:isLgl w:val="false"/>
      <w:suff w:val="tab"/>
      <w:lvlText w:val="%5)"/>
      <w:lvlJc w:val="left"/>
      <w:pPr>
        <w:pStyle w:val="1151"/>
        <w:ind w:left="2580" w:hanging="420"/>
      </w:pPr>
    </w:lvl>
    <w:lvl w:ilvl="5">
      <w:start w:val="1"/>
      <w:numFmt w:val="lowerRoman"/>
      <w:isLgl w:val="false"/>
      <w:suff w:val="tab"/>
      <w:lvlText w:val="%6."/>
      <w:lvlJc w:val="right"/>
      <w:pPr>
        <w:pStyle w:val="1151"/>
        <w:ind w:left="3000" w:hanging="420"/>
      </w:pPr>
    </w:lvl>
    <w:lvl w:ilvl="6">
      <w:start w:val="1"/>
      <w:numFmt w:val="decimal"/>
      <w:isLgl w:val="false"/>
      <w:suff w:val="tab"/>
      <w:lvlText w:val="%7."/>
      <w:lvlJc w:val="left"/>
      <w:pPr>
        <w:pStyle w:val="1151"/>
        <w:ind w:left="3420" w:hanging="420"/>
      </w:pPr>
    </w:lvl>
    <w:lvl w:ilvl="7">
      <w:start w:val="1"/>
      <w:numFmt w:val="lowerLetter"/>
      <w:isLgl w:val="false"/>
      <w:suff w:val="tab"/>
      <w:lvlText w:val="%8)"/>
      <w:lvlJc w:val="left"/>
      <w:pPr>
        <w:pStyle w:val="1151"/>
        <w:ind w:left="3840" w:hanging="420"/>
      </w:pPr>
    </w:lvl>
    <w:lvl w:ilvl="8">
      <w:start w:val="1"/>
      <w:numFmt w:val="lowerRoman"/>
      <w:isLgl w:val="false"/>
      <w:suff w:val="tab"/>
      <w:lvlText w:val="%9."/>
      <w:lvlJc w:val="right"/>
      <w:pPr>
        <w:pStyle w:val="1151"/>
        <w:ind w:left="4260" w:hanging="420"/>
      </w:pPr>
    </w:lvl>
  </w:abstractNum>
  <w:abstractNum w:abstractNumId="53">
    <w:multiLevelType w:val="hybridMultilevel"/>
    <w:lvl w:ilvl="0">
      <w:start w:val="1"/>
      <w:numFmt w:val="lowerLetter"/>
      <w:isLgl w:val="false"/>
      <w:suff w:val="tab"/>
      <w:lvlText w:val="(%1)"/>
      <w:lvlJc w:val="left"/>
      <w:pPr>
        <w:pStyle w:val="1151"/>
        <w:ind w:left="780" w:hanging="360"/>
      </w:pPr>
    </w:lvl>
    <w:lvl w:ilvl="1">
      <w:start w:val="1"/>
      <w:numFmt w:val="lowerLetter"/>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54">
    <w:multiLevelType w:val="hybridMultilevel"/>
    <w:lvl w:ilvl="0">
      <w:start w:val="1"/>
      <w:numFmt w:val="lowerLetter"/>
      <w:isLgl w:val="false"/>
      <w:suff w:val="tab"/>
      <w:lvlText w:val="%1)"/>
      <w:lvlJc w:val="left"/>
      <w:pPr>
        <w:pStyle w:val="1151"/>
        <w:ind w:left="840" w:hanging="420"/>
      </w:pPr>
    </w:lvl>
    <w:lvl w:ilvl="1">
      <w:start w:val="1"/>
      <w:numFmt w:val="lowerLetter"/>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55">
    <w:multiLevelType w:val="hybridMultilevel"/>
    <w:lvl w:ilvl="0">
      <w:start w:val="1"/>
      <w:numFmt w:val="decimal"/>
      <w:isLgl w:val="false"/>
      <w:suff w:val="tab"/>
      <w:lvlText w:val="（%1）"/>
      <w:lvlJc w:val="left"/>
      <w:pPr>
        <w:pStyle w:val="1151"/>
        <w:ind w:left="840" w:hanging="420"/>
      </w:pPr>
    </w:lvl>
    <w:lvl w:ilvl="1">
      <w:start w:val="1"/>
      <w:numFmt w:val="lowerLetter"/>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56">
    <w:multiLevelType w:val="hybridMultilevel"/>
    <w:lvl w:ilvl="0">
      <w:start w:val="1"/>
      <w:numFmt w:val="lowerLetter"/>
      <w:isLgl w:val="false"/>
      <w:suff w:val="tab"/>
      <w:lvlText w:val="%1)"/>
      <w:lvlJc w:val="left"/>
      <w:pPr>
        <w:pStyle w:val="1151"/>
        <w:ind w:left="1260" w:hanging="420"/>
      </w:pPr>
    </w:lvl>
    <w:lvl w:ilvl="1">
      <w:start w:val="1"/>
      <w:numFmt w:val="lowerLetter"/>
      <w:isLgl w:val="false"/>
      <w:suff w:val="tab"/>
      <w:lvlText w:val="%2)"/>
      <w:lvlJc w:val="left"/>
      <w:pPr>
        <w:pStyle w:val="1151"/>
        <w:ind w:left="1680" w:hanging="420"/>
      </w:pPr>
    </w:lvl>
    <w:lvl w:ilvl="2">
      <w:start w:val="1"/>
      <w:numFmt w:val="lowerRoman"/>
      <w:isLgl w:val="false"/>
      <w:suff w:val="tab"/>
      <w:lvlText w:val="%3."/>
      <w:lvlJc w:val="right"/>
      <w:pPr>
        <w:pStyle w:val="1151"/>
        <w:ind w:left="2100" w:hanging="420"/>
      </w:pPr>
    </w:lvl>
    <w:lvl w:ilvl="3">
      <w:start w:val="1"/>
      <w:numFmt w:val="decimal"/>
      <w:isLgl w:val="false"/>
      <w:suff w:val="tab"/>
      <w:lvlText w:val="%4."/>
      <w:lvlJc w:val="left"/>
      <w:pPr>
        <w:pStyle w:val="1151"/>
        <w:ind w:left="2520" w:hanging="420"/>
      </w:pPr>
    </w:lvl>
    <w:lvl w:ilvl="4">
      <w:start w:val="1"/>
      <w:numFmt w:val="lowerLetter"/>
      <w:isLgl w:val="false"/>
      <w:suff w:val="tab"/>
      <w:lvlText w:val="%5)"/>
      <w:lvlJc w:val="left"/>
      <w:pPr>
        <w:pStyle w:val="1151"/>
        <w:ind w:left="2940" w:hanging="420"/>
      </w:pPr>
    </w:lvl>
    <w:lvl w:ilvl="5">
      <w:start w:val="1"/>
      <w:numFmt w:val="lowerRoman"/>
      <w:isLgl w:val="false"/>
      <w:suff w:val="tab"/>
      <w:lvlText w:val="%6."/>
      <w:lvlJc w:val="right"/>
      <w:pPr>
        <w:pStyle w:val="1151"/>
        <w:ind w:left="3360" w:hanging="420"/>
      </w:pPr>
    </w:lvl>
    <w:lvl w:ilvl="6">
      <w:start w:val="1"/>
      <w:numFmt w:val="decimal"/>
      <w:isLgl w:val="false"/>
      <w:suff w:val="tab"/>
      <w:lvlText w:val="%7."/>
      <w:lvlJc w:val="left"/>
      <w:pPr>
        <w:pStyle w:val="1151"/>
        <w:ind w:left="3780" w:hanging="420"/>
      </w:pPr>
    </w:lvl>
    <w:lvl w:ilvl="7">
      <w:start w:val="1"/>
      <w:numFmt w:val="lowerLetter"/>
      <w:isLgl w:val="false"/>
      <w:suff w:val="tab"/>
      <w:lvlText w:val="%8)"/>
      <w:lvlJc w:val="left"/>
      <w:pPr>
        <w:pStyle w:val="1151"/>
        <w:ind w:left="4200" w:hanging="420"/>
      </w:pPr>
    </w:lvl>
    <w:lvl w:ilvl="8">
      <w:start w:val="1"/>
      <w:numFmt w:val="lowerRoman"/>
      <w:isLgl w:val="false"/>
      <w:suff w:val="tab"/>
      <w:lvlText w:val="%9."/>
      <w:lvlJc w:val="right"/>
      <w:pPr>
        <w:pStyle w:val="1151"/>
        <w:ind w:left="4620" w:hanging="420"/>
      </w:pPr>
    </w:lvl>
  </w:abstractNum>
  <w:abstractNum w:abstractNumId="57">
    <w:multiLevelType w:val="hybridMultilevel"/>
    <w:lvl w:ilvl="0">
      <w:start w:val="1"/>
      <w:numFmt w:val="decimal"/>
      <w:isLgl w:val="false"/>
      <w:suff w:val="tab"/>
      <w:lvlText w:val="%1)"/>
      <w:lvlJc w:val="left"/>
      <w:pPr>
        <w:pStyle w:val="1151"/>
        <w:ind w:left="704" w:hanging="420"/>
      </w:pPr>
      <w:rPr>
        <w:lang w:eastAsia="zh-CN"/>
      </w:rPr>
    </w:lvl>
    <w:lvl w:ilvl="1">
      <w:start w:val="1"/>
      <w:numFmt w:val="lowerLetter"/>
      <w:isLgl w:val="false"/>
      <w:suff w:val="tab"/>
      <w:lvlText w:val="%2)"/>
      <w:lvlJc w:val="left"/>
      <w:pPr>
        <w:pStyle w:val="1151"/>
        <w:ind w:left="1124" w:hanging="420"/>
      </w:pPr>
    </w:lvl>
    <w:lvl w:ilvl="2">
      <w:start w:val="1"/>
      <w:numFmt w:val="lowerRoman"/>
      <w:isLgl w:val="false"/>
      <w:suff w:val="tab"/>
      <w:lvlText w:val="%3）"/>
      <w:lvlJc w:val="left"/>
      <w:pPr>
        <w:pStyle w:val="1151"/>
        <w:ind w:left="1544" w:hanging="420"/>
      </w:pPr>
    </w:lvl>
    <w:lvl w:ilvl="3">
      <w:start w:val="1"/>
      <w:numFmt w:val="decimal"/>
      <w:isLgl w:val="false"/>
      <w:suff w:val="tab"/>
      <w:lvlText w:val="%4."/>
      <w:lvlJc w:val="left"/>
      <w:pPr>
        <w:pStyle w:val="1151"/>
        <w:ind w:left="1964" w:hanging="420"/>
      </w:pPr>
    </w:lvl>
    <w:lvl w:ilvl="4">
      <w:start w:val="1"/>
      <w:numFmt w:val="lowerLetter"/>
      <w:isLgl w:val="false"/>
      <w:suff w:val="tab"/>
      <w:lvlText w:val="%5)"/>
      <w:lvlJc w:val="left"/>
      <w:pPr>
        <w:pStyle w:val="1151"/>
        <w:ind w:left="2384" w:hanging="420"/>
      </w:pPr>
    </w:lvl>
    <w:lvl w:ilvl="5">
      <w:start w:val="1"/>
      <w:numFmt w:val="lowerRoman"/>
      <w:isLgl w:val="false"/>
      <w:suff w:val="tab"/>
      <w:lvlText w:val="%6."/>
      <w:lvlJc w:val="right"/>
      <w:pPr>
        <w:pStyle w:val="1151"/>
        <w:ind w:left="2804" w:hanging="420"/>
      </w:pPr>
    </w:lvl>
    <w:lvl w:ilvl="6">
      <w:start w:val="1"/>
      <w:numFmt w:val="decimal"/>
      <w:isLgl w:val="false"/>
      <w:suff w:val="tab"/>
      <w:lvlText w:val="%7."/>
      <w:lvlJc w:val="left"/>
      <w:pPr>
        <w:pStyle w:val="1151"/>
        <w:ind w:left="3224" w:hanging="420"/>
      </w:pPr>
    </w:lvl>
    <w:lvl w:ilvl="7">
      <w:start w:val="1"/>
      <w:numFmt w:val="lowerLetter"/>
      <w:isLgl w:val="false"/>
      <w:suff w:val="tab"/>
      <w:lvlText w:val="%8)"/>
      <w:lvlJc w:val="left"/>
      <w:pPr>
        <w:pStyle w:val="1151"/>
        <w:ind w:left="3644" w:hanging="420"/>
      </w:pPr>
    </w:lvl>
    <w:lvl w:ilvl="8">
      <w:start w:val="1"/>
      <w:numFmt w:val="lowerRoman"/>
      <w:isLgl w:val="false"/>
      <w:suff w:val="tab"/>
      <w:lvlText w:val="%9."/>
      <w:lvlJc w:val="right"/>
      <w:pPr>
        <w:pStyle w:val="1151"/>
        <w:ind w:left="4064" w:hanging="420"/>
      </w:pPr>
    </w:lvl>
  </w:abstractNum>
  <w:abstractNum w:abstractNumId="58">
    <w:multiLevelType w:val="hybridMultilevel"/>
    <w:lvl w:ilvl="0">
      <w:start w:val="1"/>
      <w:numFmt w:val="lowerLetter"/>
      <w:isLgl w:val="false"/>
      <w:suff w:val="tab"/>
      <w:lvlText w:val="%1)"/>
      <w:lvlJc w:val="left"/>
      <w:pPr>
        <w:pStyle w:val="1151"/>
        <w:ind w:left="840" w:hanging="420"/>
      </w:pPr>
    </w:lvl>
    <w:lvl w:ilvl="1">
      <w:start w:val="1"/>
      <w:numFmt w:val="lowerLetter"/>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59">
    <w:multiLevelType w:val="hybridMultilevel"/>
    <w:lvl w:ilvl="0">
      <w:start w:val="1"/>
      <w:numFmt w:val="lowerRoman"/>
      <w:isLgl w:val="false"/>
      <w:suff w:val="tab"/>
      <w:lvlText w:val="%1."/>
      <w:lvlJc w:val="left"/>
      <w:pPr>
        <w:pStyle w:val="1151"/>
        <w:ind w:left="1680" w:hanging="420"/>
      </w:pPr>
      <w:rPr>
        <w:rFonts w:hint="eastAsia"/>
      </w:rPr>
    </w:lvl>
    <w:lvl w:ilvl="1">
      <w:start w:val="1"/>
      <w:numFmt w:val="lowerRoman"/>
      <w:isLgl w:val="false"/>
      <w:suff w:val="tab"/>
      <w:lvlText w:val="%2."/>
      <w:lvlJc w:val="left"/>
      <w:pPr>
        <w:pStyle w:val="1151"/>
        <w:ind w:left="2531" w:hanging="420"/>
      </w:pPr>
      <w:rPr>
        <w:rFonts w:hint="eastAsia"/>
      </w:rPr>
    </w:lvl>
    <w:lvl w:ilvl="2">
      <w:start w:val="1"/>
      <w:numFmt w:val="lowerRoman"/>
      <w:isLgl w:val="false"/>
      <w:suff w:val="tab"/>
      <w:lvlText w:val="%3."/>
      <w:lvlJc w:val="right"/>
      <w:pPr>
        <w:pStyle w:val="1151"/>
        <w:ind w:left="2520" w:hanging="420"/>
      </w:pPr>
    </w:lvl>
    <w:lvl w:ilvl="3">
      <w:start w:val="1"/>
      <w:numFmt w:val="decimal"/>
      <w:isLgl w:val="false"/>
      <w:suff w:val="tab"/>
      <w:lvlText w:val="%4."/>
      <w:lvlJc w:val="left"/>
      <w:pPr>
        <w:pStyle w:val="1151"/>
        <w:ind w:left="2940" w:hanging="420"/>
      </w:pPr>
    </w:lvl>
    <w:lvl w:ilvl="4">
      <w:start w:val="1"/>
      <w:numFmt w:val="lowerLetter"/>
      <w:isLgl w:val="false"/>
      <w:suff w:val="tab"/>
      <w:lvlText w:val="%5)"/>
      <w:lvlJc w:val="left"/>
      <w:pPr>
        <w:pStyle w:val="1151"/>
        <w:ind w:left="3360" w:hanging="420"/>
      </w:pPr>
    </w:lvl>
    <w:lvl w:ilvl="5">
      <w:start w:val="1"/>
      <w:numFmt w:val="lowerRoman"/>
      <w:isLgl w:val="false"/>
      <w:suff w:val="tab"/>
      <w:lvlText w:val="%6."/>
      <w:lvlJc w:val="right"/>
      <w:pPr>
        <w:pStyle w:val="1151"/>
        <w:ind w:left="3780" w:hanging="420"/>
      </w:pPr>
    </w:lvl>
    <w:lvl w:ilvl="6">
      <w:start w:val="1"/>
      <w:numFmt w:val="decimal"/>
      <w:isLgl w:val="false"/>
      <w:suff w:val="tab"/>
      <w:lvlText w:val="%7."/>
      <w:lvlJc w:val="left"/>
      <w:pPr>
        <w:pStyle w:val="1151"/>
        <w:ind w:left="4200" w:hanging="420"/>
      </w:pPr>
    </w:lvl>
    <w:lvl w:ilvl="7">
      <w:start w:val="1"/>
      <w:numFmt w:val="lowerLetter"/>
      <w:isLgl w:val="false"/>
      <w:suff w:val="tab"/>
      <w:lvlText w:val="%8)"/>
      <w:lvlJc w:val="left"/>
      <w:pPr>
        <w:pStyle w:val="1151"/>
        <w:ind w:left="4620" w:hanging="420"/>
      </w:pPr>
    </w:lvl>
    <w:lvl w:ilvl="8">
      <w:start w:val="1"/>
      <w:numFmt w:val="lowerRoman"/>
      <w:isLgl w:val="false"/>
      <w:suff w:val="tab"/>
      <w:lvlText w:val="%9."/>
      <w:lvlJc w:val="right"/>
      <w:pPr>
        <w:pStyle w:val="1151"/>
        <w:ind w:left="5040" w:hanging="420"/>
      </w:pPr>
    </w:lvl>
  </w:abstractNum>
  <w:abstractNum w:abstractNumId="60">
    <w:multiLevelType w:val="hybridMultilevel"/>
    <w:lvl w:ilvl="0">
      <w:start w:val="1"/>
      <w:numFmt w:val="decimal"/>
      <w:isLgl w:val="false"/>
      <w:suff w:val="tab"/>
      <w:lvlText w:val="%1)"/>
      <w:lvlJc w:val="left"/>
      <w:pPr>
        <w:pStyle w:val="1151"/>
        <w:ind w:left="845" w:hanging="420"/>
      </w:pPr>
    </w:lvl>
    <w:lvl w:ilvl="1">
      <w:start w:val="1"/>
      <w:numFmt w:val="lowerLetter"/>
      <w:isLgl w:val="false"/>
      <w:suff w:val="tab"/>
      <w:lvlText w:val="%2)"/>
      <w:lvlJc w:val="left"/>
      <w:pPr>
        <w:pStyle w:val="1151"/>
        <w:ind w:left="1265" w:hanging="420"/>
      </w:pPr>
    </w:lvl>
    <w:lvl w:ilvl="2">
      <w:start w:val="1"/>
      <w:numFmt w:val="lowerRoman"/>
      <w:isLgl w:val="false"/>
      <w:suff w:val="tab"/>
      <w:lvlText w:val="%3."/>
      <w:lvlJc w:val="right"/>
      <w:pPr>
        <w:pStyle w:val="1151"/>
        <w:ind w:left="1685" w:hanging="420"/>
      </w:pPr>
    </w:lvl>
    <w:lvl w:ilvl="3">
      <w:start w:val="1"/>
      <w:numFmt w:val="decimal"/>
      <w:isLgl w:val="false"/>
      <w:suff w:val="tab"/>
      <w:lvlText w:val="%4."/>
      <w:lvlJc w:val="left"/>
      <w:pPr>
        <w:pStyle w:val="1151"/>
        <w:ind w:left="2105" w:hanging="420"/>
      </w:pPr>
    </w:lvl>
    <w:lvl w:ilvl="4">
      <w:start w:val="1"/>
      <w:numFmt w:val="lowerLetter"/>
      <w:isLgl w:val="false"/>
      <w:suff w:val="tab"/>
      <w:lvlText w:val="%5)"/>
      <w:lvlJc w:val="left"/>
      <w:pPr>
        <w:pStyle w:val="1151"/>
        <w:ind w:left="2525" w:hanging="420"/>
      </w:pPr>
    </w:lvl>
    <w:lvl w:ilvl="5">
      <w:start w:val="1"/>
      <w:numFmt w:val="lowerRoman"/>
      <w:isLgl w:val="false"/>
      <w:suff w:val="tab"/>
      <w:lvlText w:val="%6."/>
      <w:lvlJc w:val="right"/>
      <w:pPr>
        <w:pStyle w:val="1151"/>
        <w:ind w:left="2945" w:hanging="420"/>
      </w:pPr>
    </w:lvl>
    <w:lvl w:ilvl="6">
      <w:start w:val="1"/>
      <w:numFmt w:val="decimal"/>
      <w:isLgl w:val="false"/>
      <w:suff w:val="tab"/>
      <w:lvlText w:val="%7."/>
      <w:lvlJc w:val="left"/>
      <w:pPr>
        <w:pStyle w:val="1151"/>
        <w:ind w:left="3365" w:hanging="420"/>
      </w:pPr>
    </w:lvl>
    <w:lvl w:ilvl="7">
      <w:start w:val="1"/>
      <w:numFmt w:val="lowerLetter"/>
      <w:isLgl w:val="false"/>
      <w:suff w:val="tab"/>
      <w:lvlText w:val="%8)"/>
      <w:lvlJc w:val="left"/>
      <w:pPr>
        <w:pStyle w:val="1151"/>
        <w:ind w:left="3785" w:hanging="420"/>
      </w:pPr>
    </w:lvl>
    <w:lvl w:ilvl="8">
      <w:start w:val="1"/>
      <w:numFmt w:val="lowerRoman"/>
      <w:isLgl w:val="false"/>
      <w:suff w:val="tab"/>
      <w:lvlText w:val="%9."/>
      <w:lvlJc w:val="right"/>
      <w:pPr>
        <w:pStyle w:val="1151"/>
        <w:ind w:left="4205" w:hanging="420"/>
      </w:pPr>
    </w:lvl>
  </w:abstractNum>
  <w:abstractNum w:abstractNumId="61">
    <w:multiLevelType w:val="hybridMultilevel"/>
    <w:lvl w:ilvl="0">
      <w:start w:val="1"/>
      <w:numFmt w:val="lowerLetter"/>
      <w:isLgl w:val="false"/>
      <w:suff w:val="tab"/>
      <w:lvlText w:val="(%1)"/>
      <w:lvlJc w:val="left"/>
      <w:pPr>
        <w:pStyle w:val="1151"/>
        <w:ind w:left="780" w:hanging="360"/>
      </w:pPr>
    </w:lvl>
    <w:lvl w:ilvl="1">
      <w:start w:val="1"/>
      <w:numFmt w:val="lowerLetter"/>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62">
    <w:multiLevelType w:val="hybridMultilevel"/>
    <w:lvl w:ilvl="0">
      <w:start w:val="1"/>
      <w:numFmt w:val="decimalEnclosedCircle"/>
      <w:isLgl w:val="false"/>
      <w:suff w:val="tab"/>
      <w:lvlText w:val="%1"/>
      <w:lvlJc w:val="left"/>
      <w:pPr>
        <w:pStyle w:val="1151"/>
        <w:ind w:left="1211" w:hanging="360"/>
      </w:pPr>
    </w:lvl>
    <w:lvl w:ilvl="1">
      <w:start w:val="1"/>
      <w:numFmt w:val="lowerLetter"/>
      <w:isLgl w:val="false"/>
      <w:suff w:val="tab"/>
      <w:lvlText w:val="%2)"/>
      <w:lvlJc w:val="left"/>
      <w:pPr>
        <w:pStyle w:val="1151"/>
        <w:ind w:left="1560" w:hanging="420"/>
      </w:pPr>
    </w:lvl>
    <w:lvl w:ilvl="2">
      <w:start w:val="1"/>
      <w:numFmt w:val="lowerRoman"/>
      <w:isLgl w:val="false"/>
      <w:suff w:val="tab"/>
      <w:lvlText w:val="%3."/>
      <w:lvlJc w:val="right"/>
      <w:pPr>
        <w:pStyle w:val="1151"/>
        <w:ind w:left="1980" w:hanging="420"/>
      </w:pPr>
    </w:lvl>
    <w:lvl w:ilvl="3">
      <w:start w:val="1"/>
      <w:numFmt w:val="decimal"/>
      <w:isLgl w:val="false"/>
      <w:suff w:val="tab"/>
      <w:lvlText w:val="%4."/>
      <w:lvlJc w:val="left"/>
      <w:pPr>
        <w:pStyle w:val="1151"/>
        <w:ind w:left="2400" w:hanging="420"/>
      </w:pPr>
    </w:lvl>
    <w:lvl w:ilvl="4">
      <w:start w:val="1"/>
      <w:numFmt w:val="lowerLetter"/>
      <w:isLgl w:val="false"/>
      <w:suff w:val="tab"/>
      <w:lvlText w:val="%5)"/>
      <w:lvlJc w:val="left"/>
      <w:pPr>
        <w:pStyle w:val="1151"/>
        <w:ind w:left="2820" w:hanging="420"/>
      </w:pPr>
    </w:lvl>
    <w:lvl w:ilvl="5">
      <w:start w:val="1"/>
      <w:numFmt w:val="lowerRoman"/>
      <w:isLgl w:val="false"/>
      <w:suff w:val="tab"/>
      <w:lvlText w:val="%6."/>
      <w:lvlJc w:val="right"/>
      <w:pPr>
        <w:pStyle w:val="1151"/>
        <w:ind w:left="3240" w:hanging="420"/>
      </w:pPr>
    </w:lvl>
    <w:lvl w:ilvl="6">
      <w:start w:val="1"/>
      <w:numFmt w:val="decimal"/>
      <w:isLgl w:val="false"/>
      <w:suff w:val="tab"/>
      <w:lvlText w:val="%7."/>
      <w:lvlJc w:val="left"/>
      <w:pPr>
        <w:pStyle w:val="1151"/>
        <w:ind w:left="3660" w:hanging="420"/>
      </w:pPr>
    </w:lvl>
    <w:lvl w:ilvl="7">
      <w:start w:val="1"/>
      <w:numFmt w:val="lowerLetter"/>
      <w:isLgl w:val="false"/>
      <w:suff w:val="tab"/>
      <w:lvlText w:val="%8)"/>
      <w:lvlJc w:val="left"/>
      <w:pPr>
        <w:pStyle w:val="1151"/>
        <w:ind w:left="4080" w:hanging="420"/>
      </w:pPr>
    </w:lvl>
    <w:lvl w:ilvl="8">
      <w:start w:val="1"/>
      <w:numFmt w:val="lowerRoman"/>
      <w:isLgl w:val="false"/>
      <w:suff w:val="tab"/>
      <w:lvlText w:val="%9."/>
      <w:lvlJc w:val="right"/>
      <w:pPr>
        <w:pStyle w:val="1151"/>
        <w:ind w:left="4500" w:hanging="420"/>
      </w:pPr>
    </w:lvl>
  </w:abstractNum>
  <w:abstractNum w:abstractNumId="63">
    <w:multiLevelType w:val="hybridMultilevel"/>
    <w:lvl w:ilvl="0">
      <w:start w:val="1"/>
      <w:numFmt w:val="decimal"/>
      <w:isLgl w:val="false"/>
      <w:suff w:val="tab"/>
      <w:lvlText w:val="（%1）"/>
      <w:lvlJc w:val="left"/>
      <w:pPr>
        <w:pStyle w:val="1151"/>
        <w:ind w:left="720" w:hanging="720"/>
      </w:pPr>
    </w:lvl>
    <w:lvl w:ilvl="1">
      <w:start w:val="1"/>
      <w:numFmt w:val="decimalEnclosedCircle"/>
      <w:isLgl w:val="false"/>
      <w:suff w:val="tab"/>
      <w:lvlText w:val="%2"/>
      <w:lvlJc w:val="left"/>
      <w:pPr>
        <w:pStyle w:val="1151"/>
        <w:ind w:left="780" w:hanging="360"/>
      </w:pPr>
    </w:lvl>
    <w:lvl w:ilvl="2">
      <w:start w:val="1"/>
      <w:numFmt w:val="lowerRoman"/>
      <w:isLgl w:val="false"/>
      <w:suff w:val="tab"/>
      <w:lvlText w:val="%3."/>
      <w:lvlJc w:val="right"/>
      <w:pPr>
        <w:pStyle w:val="1151"/>
        <w:ind w:left="1260" w:hanging="420"/>
      </w:pPr>
    </w:lvl>
    <w:lvl w:ilvl="3">
      <w:start w:val="1"/>
      <w:numFmt w:val="decimal"/>
      <w:isLgl w:val="false"/>
      <w:suff w:val="tab"/>
      <w:lvlText w:val="%4."/>
      <w:lvlJc w:val="left"/>
      <w:pPr>
        <w:pStyle w:val="1151"/>
        <w:ind w:left="1680" w:hanging="420"/>
      </w:pPr>
    </w:lvl>
    <w:lvl w:ilvl="4">
      <w:start w:val="1"/>
      <w:numFmt w:val="lowerLetter"/>
      <w:isLgl w:val="false"/>
      <w:suff w:val="tab"/>
      <w:lvlText w:val="%5)"/>
      <w:lvlJc w:val="left"/>
      <w:pPr>
        <w:pStyle w:val="1151"/>
        <w:ind w:left="2100" w:hanging="420"/>
      </w:pPr>
    </w:lvl>
    <w:lvl w:ilvl="5">
      <w:start w:val="1"/>
      <w:numFmt w:val="lowerRoman"/>
      <w:isLgl w:val="false"/>
      <w:suff w:val="tab"/>
      <w:lvlText w:val="%6."/>
      <w:lvlJc w:val="right"/>
      <w:pPr>
        <w:pStyle w:val="1151"/>
        <w:ind w:left="2520" w:hanging="420"/>
      </w:pPr>
    </w:lvl>
    <w:lvl w:ilvl="6">
      <w:start w:val="1"/>
      <w:numFmt w:val="decimal"/>
      <w:isLgl w:val="false"/>
      <w:suff w:val="tab"/>
      <w:lvlText w:val="%7."/>
      <w:lvlJc w:val="left"/>
      <w:pPr>
        <w:pStyle w:val="1151"/>
        <w:ind w:left="2940" w:hanging="420"/>
      </w:pPr>
    </w:lvl>
    <w:lvl w:ilvl="7">
      <w:start w:val="1"/>
      <w:numFmt w:val="lowerLetter"/>
      <w:isLgl w:val="false"/>
      <w:suff w:val="tab"/>
      <w:lvlText w:val="%8)"/>
      <w:lvlJc w:val="left"/>
      <w:pPr>
        <w:pStyle w:val="1151"/>
        <w:ind w:left="3360" w:hanging="420"/>
      </w:pPr>
    </w:lvl>
    <w:lvl w:ilvl="8">
      <w:start w:val="1"/>
      <w:numFmt w:val="lowerRoman"/>
      <w:isLgl w:val="false"/>
      <w:suff w:val="tab"/>
      <w:lvlText w:val="%9."/>
      <w:lvlJc w:val="right"/>
      <w:pPr>
        <w:pStyle w:val="1151"/>
        <w:ind w:left="3780" w:hanging="420"/>
      </w:pPr>
    </w:lvl>
  </w:abstractNum>
  <w:abstractNum w:abstractNumId="64">
    <w:multiLevelType w:val="hybridMultilevel"/>
    <w:lvl w:ilvl="0">
      <w:start w:val="1"/>
      <w:numFmt w:val="lowerLetter"/>
      <w:isLgl w:val="false"/>
      <w:suff w:val="tab"/>
      <w:lvlText w:val="%1)"/>
      <w:lvlJc w:val="left"/>
      <w:pPr>
        <w:pStyle w:val="1151"/>
        <w:ind w:left="1260" w:hanging="420"/>
      </w:pPr>
    </w:lvl>
    <w:lvl w:ilvl="1">
      <w:start w:val="1"/>
      <w:numFmt w:val="lowerLetter"/>
      <w:isLgl w:val="false"/>
      <w:suff w:val="tab"/>
      <w:lvlText w:val="%2)"/>
      <w:lvlJc w:val="left"/>
      <w:pPr>
        <w:pStyle w:val="1151"/>
        <w:ind w:left="1680" w:hanging="420"/>
      </w:pPr>
    </w:lvl>
    <w:lvl w:ilvl="2">
      <w:start w:val="1"/>
      <w:numFmt w:val="lowerRoman"/>
      <w:isLgl w:val="false"/>
      <w:suff w:val="tab"/>
      <w:lvlText w:val="%3."/>
      <w:lvlJc w:val="right"/>
      <w:pPr>
        <w:pStyle w:val="1151"/>
        <w:ind w:left="2100" w:hanging="420"/>
      </w:pPr>
    </w:lvl>
    <w:lvl w:ilvl="3">
      <w:start w:val="1"/>
      <w:numFmt w:val="decimal"/>
      <w:isLgl w:val="false"/>
      <w:suff w:val="tab"/>
      <w:lvlText w:val="%4."/>
      <w:lvlJc w:val="left"/>
      <w:pPr>
        <w:pStyle w:val="1151"/>
        <w:ind w:left="2520" w:hanging="420"/>
      </w:pPr>
    </w:lvl>
    <w:lvl w:ilvl="4">
      <w:start w:val="1"/>
      <w:numFmt w:val="lowerLetter"/>
      <w:isLgl w:val="false"/>
      <w:suff w:val="tab"/>
      <w:lvlText w:val="%5)"/>
      <w:lvlJc w:val="left"/>
      <w:pPr>
        <w:pStyle w:val="1151"/>
        <w:ind w:left="2940" w:hanging="420"/>
      </w:pPr>
    </w:lvl>
    <w:lvl w:ilvl="5">
      <w:start w:val="1"/>
      <w:numFmt w:val="lowerRoman"/>
      <w:isLgl w:val="false"/>
      <w:suff w:val="tab"/>
      <w:lvlText w:val="%6."/>
      <w:lvlJc w:val="right"/>
      <w:pPr>
        <w:pStyle w:val="1151"/>
        <w:ind w:left="3360" w:hanging="420"/>
      </w:pPr>
    </w:lvl>
    <w:lvl w:ilvl="6">
      <w:start w:val="1"/>
      <w:numFmt w:val="decimal"/>
      <w:isLgl w:val="false"/>
      <w:suff w:val="tab"/>
      <w:lvlText w:val="%7."/>
      <w:lvlJc w:val="left"/>
      <w:pPr>
        <w:pStyle w:val="1151"/>
        <w:ind w:left="3780" w:hanging="420"/>
      </w:pPr>
    </w:lvl>
    <w:lvl w:ilvl="7">
      <w:start w:val="1"/>
      <w:numFmt w:val="lowerLetter"/>
      <w:isLgl w:val="false"/>
      <w:suff w:val="tab"/>
      <w:lvlText w:val="%8)"/>
      <w:lvlJc w:val="left"/>
      <w:pPr>
        <w:pStyle w:val="1151"/>
        <w:ind w:left="4200" w:hanging="420"/>
      </w:pPr>
    </w:lvl>
    <w:lvl w:ilvl="8">
      <w:start w:val="1"/>
      <w:numFmt w:val="lowerRoman"/>
      <w:isLgl w:val="false"/>
      <w:suff w:val="tab"/>
      <w:lvlText w:val="%9."/>
      <w:lvlJc w:val="right"/>
      <w:pPr>
        <w:pStyle w:val="1151"/>
        <w:ind w:left="4620" w:hanging="420"/>
      </w:pPr>
    </w:lvl>
  </w:abstractNum>
  <w:abstractNum w:abstractNumId="65">
    <w:multiLevelType w:val="hybridMultilevel"/>
    <w:lvl w:ilvl="0">
      <w:start w:val="1"/>
      <w:numFmt w:val="decimal"/>
      <w:isLgl w:val="false"/>
      <w:suff w:val="tab"/>
      <w:lvlText w:val="%1)"/>
      <w:lvlJc w:val="left"/>
      <w:pPr>
        <w:pStyle w:val="1151"/>
        <w:ind w:left="704" w:hanging="420"/>
      </w:pPr>
      <w:rPr>
        <w:lang w:eastAsia="zh-CN"/>
      </w:rPr>
    </w:lvl>
    <w:lvl w:ilvl="1">
      <w:start w:val="1"/>
      <w:numFmt w:val="lowerLetter"/>
      <w:isLgl w:val="false"/>
      <w:suff w:val="tab"/>
      <w:lvlText w:val="%2)"/>
      <w:lvlJc w:val="left"/>
      <w:pPr>
        <w:pStyle w:val="1151"/>
        <w:ind w:left="1124" w:hanging="420"/>
      </w:pPr>
    </w:lvl>
    <w:lvl w:ilvl="2">
      <w:start w:val="1"/>
      <w:numFmt w:val="lowerRoman"/>
      <w:isLgl w:val="false"/>
      <w:suff w:val="tab"/>
      <w:lvlText w:val="%3."/>
      <w:lvlJc w:val="right"/>
      <w:pPr>
        <w:pStyle w:val="1151"/>
        <w:ind w:left="1544" w:hanging="420"/>
      </w:pPr>
    </w:lvl>
    <w:lvl w:ilvl="3">
      <w:start w:val="1"/>
      <w:numFmt w:val="decimal"/>
      <w:isLgl w:val="false"/>
      <w:suff w:val="tab"/>
      <w:lvlText w:val="%4."/>
      <w:lvlJc w:val="left"/>
      <w:pPr>
        <w:pStyle w:val="1151"/>
        <w:ind w:left="1964" w:hanging="420"/>
      </w:pPr>
    </w:lvl>
    <w:lvl w:ilvl="4">
      <w:start w:val="1"/>
      <w:numFmt w:val="lowerLetter"/>
      <w:isLgl w:val="false"/>
      <w:suff w:val="tab"/>
      <w:lvlText w:val="%5)"/>
      <w:lvlJc w:val="left"/>
      <w:pPr>
        <w:pStyle w:val="1151"/>
        <w:ind w:left="2384" w:hanging="420"/>
      </w:pPr>
    </w:lvl>
    <w:lvl w:ilvl="5">
      <w:start w:val="1"/>
      <w:numFmt w:val="lowerRoman"/>
      <w:isLgl w:val="false"/>
      <w:suff w:val="tab"/>
      <w:lvlText w:val="%6."/>
      <w:lvlJc w:val="right"/>
      <w:pPr>
        <w:pStyle w:val="1151"/>
        <w:ind w:left="2804" w:hanging="420"/>
      </w:pPr>
    </w:lvl>
    <w:lvl w:ilvl="6">
      <w:start w:val="1"/>
      <w:numFmt w:val="decimal"/>
      <w:isLgl w:val="false"/>
      <w:suff w:val="tab"/>
      <w:lvlText w:val="%7."/>
      <w:lvlJc w:val="left"/>
      <w:pPr>
        <w:pStyle w:val="1151"/>
        <w:ind w:left="3224" w:hanging="420"/>
      </w:pPr>
    </w:lvl>
    <w:lvl w:ilvl="7">
      <w:start w:val="1"/>
      <w:numFmt w:val="lowerLetter"/>
      <w:isLgl w:val="false"/>
      <w:suff w:val="tab"/>
      <w:lvlText w:val="%8)"/>
      <w:lvlJc w:val="left"/>
      <w:pPr>
        <w:pStyle w:val="1151"/>
        <w:ind w:left="3644" w:hanging="420"/>
      </w:pPr>
    </w:lvl>
    <w:lvl w:ilvl="8">
      <w:start w:val="1"/>
      <w:numFmt w:val="lowerRoman"/>
      <w:isLgl w:val="false"/>
      <w:suff w:val="tab"/>
      <w:lvlText w:val="%9."/>
      <w:lvlJc w:val="right"/>
      <w:pPr>
        <w:pStyle w:val="1151"/>
        <w:ind w:left="4064" w:hanging="420"/>
      </w:pPr>
    </w:lvl>
  </w:abstractNum>
  <w:abstractNum w:abstractNumId="66">
    <w:multiLevelType w:val="hybridMultilevel"/>
    <w:lvl w:ilvl="0">
      <w:start w:val="1"/>
      <w:numFmt w:val="decimal"/>
      <w:isLgl w:val="false"/>
      <w:suff w:val="tab"/>
      <w:lvlText w:val="%1)"/>
      <w:lvlJc w:val="left"/>
      <w:pPr>
        <w:pStyle w:val="1151"/>
        <w:ind w:left="1040" w:hanging="420"/>
      </w:pPr>
    </w:lvl>
    <w:lvl w:ilvl="1">
      <w:start w:val="1"/>
      <w:numFmt w:val="lowerLetter"/>
      <w:isLgl w:val="false"/>
      <w:suff w:val="tab"/>
      <w:lvlText w:val="%2)"/>
      <w:lvlJc w:val="left"/>
      <w:pPr>
        <w:pStyle w:val="1151"/>
        <w:ind w:left="1460" w:hanging="420"/>
      </w:pPr>
    </w:lvl>
    <w:lvl w:ilvl="2">
      <w:start w:val="1"/>
      <w:numFmt w:val="lowerRoman"/>
      <w:isLgl w:val="false"/>
      <w:suff w:val="tab"/>
      <w:lvlText w:val="%3."/>
      <w:lvlJc w:val="right"/>
      <w:pPr>
        <w:pStyle w:val="1151"/>
        <w:ind w:left="1880" w:hanging="420"/>
      </w:pPr>
    </w:lvl>
    <w:lvl w:ilvl="3">
      <w:start w:val="1"/>
      <w:numFmt w:val="decimal"/>
      <w:isLgl w:val="false"/>
      <w:suff w:val="tab"/>
      <w:lvlText w:val="%4."/>
      <w:lvlJc w:val="left"/>
      <w:pPr>
        <w:pStyle w:val="1151"/>
        <w:ind w:left="2300" w:hanging="420"/>
      </w:pPr>
    </w:lvl>
    <w:lvl w:ilvl="4">
      <w:start w:val="1"/>
      <w:numFmt w:val="lowerLetter"/>
      <w:isLgl w:val="false"/>
      <w:suff w:val="tab"/>
      <w:lvlText w:val="%5)"/>
      <w:lvlJc w:val="left"/>
      <w:pPr>
        <w:pStyle w:val="1151"/>
        <w:ind w:left="2720" w:hanging="420"/>
      </w:pPr>
    </w:lvl>
    <w:lvl w:ilvl="5">
      <w:start w:val="1"/>
      <w:numFmt w:val="lowerRoman"/>
      <w:isLgl w:val="false"/>
      <w:suff w:val="tab"/>
      <w:lvlText w:val="%6."/>
      <w:lvlJc w:val="right"/>
      <w:pPr>
        <w:pStyle w:val="1151"/>
        <w:ind w:left="3140" w:hanging="420"/>
      </w:pPr>
    </w:lvl>
    <w:lvl w:ilvl="6">
      <w:start w:val="1"/>
      <w:numFmt w:val="decimal"/>
      <w:isLgl w:val="false"/>
      <w:suff w:val="tab"/>
      <w:lvlText w:val="%7."/>
      <w:lvlJc w:val="left"/>
      <w:pPr>
        <w:pStyle w:val="1151"/>
        <w:ind w:left="3560" w:hanging="420"/>
      </w:pPr>
    </w:lvl>
    <w:lvl w:ilvl="7">
      <w:start w:val="1"/>
      <w:numFmt w:val="lowerLetter"/>
      <w:isLgl w:val="false"/>
      <w:suff w:val="tab"/>
      <w:lvlText w:val="%8)"/>
      <w:lvlJc w:val="left"/>
      <w:pPr>
        <w:pStyle w:val="1151"/>
        <w:ind w:left="3980" w:hanging="420"/>
      </w:pPr>
    </w:lvl>
    <w:lvl w:ilvl="8">
      <w:start w:val="1"/>
      <w:numFmt w:val="lowerRoman"/>
      <w:isLgl w:val="false"/>
      <w:suff w:val="tab"/>
      <w:lvlText w:val="%9."/>
      <w:lvlJc w:val="right"/>
      <w:pPr>
        <w:pStyle w:val="1151"/>
        <w:ind w:left="4400" w:hanging="420"/>
      </w:pPr>
    </w:lvl>
  </w:abstractNum>
  <w:abstractNum w:abstractNumId="67">
    <w:multiLevelType w:val="hybridMultilevel"/>
    <w:lvl w:ilvl="0">
      <w:start w:val="1"/>
      <w:numFmt w:val="decimalEnclosedCircle"/>
      <w:isLgl w:val="false"/>
      <w:suff w:val="tab"/>
      <w:lvlText w:val="%1"/>
      <w:lvlJc w:val="left"/>
      <w:pPr>
        <w:pStyle w:val="1151"/>
        <w:ind w:left="1080" w:hanging="360"/>
      </w:pPr>
    </w:lvl>
    <w:lvl w:ilvl="1">
      <w:start w:val="1"/>
      <w:numFmt w:val="lowerLetter"/>
      <w:isLgl w:val="false"/>
      <w:suff w:val="tab"/>
      <w:lvlText w:val="%2)"/>
      <w:lvlJc w:val="left"/>
      <w:pPr>
        <w:pStyle w:val="1151"/>
        <w:ind w:left="1560" w:hanging="420"/>
      </w:pPr>
    </w:lvl>
    <w:lvl w:ilvl="2">
      <w:start w:val="1"/>
      <w:numFmt w:val="lowerRoman"/>
      <w:isLgl w:val="false"/>
      <w:suff w:val="tab"/>
      <w:lvlText w:val="%3."/>
      <w:lvlJc w:val="right"/>
      <w:pPr>
        <w:pStyle w:val="1151"/>
        <w:ind w:left="1980" w:hanging="420"/>
      </w:pPr>
    </w:lvl>
    <w:lvl w:ilvl="3">
      <w:start w:val="1"/>
      <w:numFmt w:val="decimal"/>
      <w:isLgl w:val="false"/>
      <w:suff w:val="tab"/>
      <w:lvlText w:val="%4."/>
      <w:lvlJc w:val="left"/>
      <w:pPr>
        <w:pStyle w:val="1151"/>
        <w:ind w:left="2400" w:hanging="420"/>
      </w:pPr>
    </w:lvl>
    <w:lvl w:ilvl="4">
      <w:start w:val="1"/>
      <w:numFmt w:val="lowerLetter"/>
      <w:isLgl w:val="false"/>
      <w:suff w:val="tab"/>
      <w:lvlText w:val="%5)"/>
      <w:lvlJc w:val="left"/>
      <w:pPr>
        <w:pStyle w:val="1151"/>
        <w:ind w:left="2820" w:hanging="420"/>
      </w:pPr>
    </w:lvl>
    <w:lvl w:ilvl="5">
      <w:start w:val="1"/>
      <w:numFmt w:val="lowerRoman"/>
      <w:isLgl w:val="false"/>
      <w:suff w:val="tab"/>
      <w:lvlText w:val="%6."/>
      <w:lvlJc w:val="right"/>
      <w:pPr>
        <w:pStyle w:val="1151"/>
        <w:ind w:left="3240" w:hanging="420"/>
      </w:pPr>
    </w:lvl>
    <w:lvl w:ilvl="6">
      <w:start w:val="1"/>
      <w:numFmt w:val="decimal"/>
      <w:isLgl w:val="false"/>
      <w:suff w:val="tab"/>
      <w:lvlText w:val="%7."/>
      <w:lvlJc w:val="left"/>
      <w:pPr>
        <w:pStyle w:val="1151"/>
        <w:ind w:left="3660" w:hanging="420"/>
      </w:pPr>
    </w:lvl>
    <w:lvl w:ilvl="7">
      <w:start w:val="1"/>
      <w:numFmt w:val="lowerLetter"/>
      <w:isLgl w:val="false"/>
      <w:suff w:val="tab"/>
      <w:lvlText w:val="%8)"/>
      <w:lvlJc w:val="left"/>
      <w:pPr>
        <w:pStyle w:val="1151"/>
        <w:ind w:left="4080" w:hanging="420"/>
      </w:pPr>
    </w:lvl>
    <w:lvl w:ilvl="8">
      <w:start w:val="1"/>
      <w:numFmt w:val="lowerRoman"/>
      <w:isLgl w:val="false"/>
      <w:suff w:val="tab"/>
      <w:lvlText w:val="%9."/>
      <w:lvlJc w:val="right"/>
      <w:pPr>
        <w:pStyle w:val="1151"/>
        <w:ind w:left="4500" w:hanging="420"/>
      </w:pPr>
    </w:lvl>
  </w:abstractNum>
  <w:abstractNum w:abstractNumId="68">
    <w:multiLevelType w:val="hybridMultilevel"/>
    <w:lvl w:ilvl="0">
      <w:start w:val="1"/>
      <w:numFmt w:val="decimal"/>
      <w:isLgl w:val="false"/>
      <w:suff w:val="tab"/>
      <w:lvlText w:val="%1)"/>
      <w:lvlJc w:val="left"/>
      <w:pPr>
        <w:pStyle w:val="1151"/>
        <w:ind w:left="840" w:hanging="420"/>
      </w:pPr>
    </w:lvl>
    <w:lvl w:ilvl="1">
      <w:start w:val="1"/>
      <w:numFmt w:val="lowerLetter"/>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69">
    <w:multiLevelType w:val="hybridMultilevel"/>
    <w:lvl w:ilvl="0">
      <w:start w:val="1"/>
      <w:numFmt w:val="decimal"/>
      <w:isLgl w:val="false"/>
      <w:suff w:val="tab"/>
      <w:lvlText w:val="%1)"/>
      <w:lvlJc w:val="left"/>
      <w:pPr>
        <w:pStyle w:val="1151"/>
        <w:ind w:left="840" w:hanging="420"/>
      </w:pPr>
      <w:rPr>
        <w:rFonts w:hint="eastAsia"/>
      </w:rPr>
    </w:lvl>
    <w:lvl w:ilvl="1">
      <w:start w:val="1"/>
      <w:numFmt w:val="decimal"/>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70">
    <w:multiLevelType w:val="hybridMultilevel"/>
    <w:lvl w:ilvl="0">
      <w:start w:val="1"/>
      <w:numFmt w:val="lowerRoman"/>
      <w:isLgl w:val="false"/>
      <w:suff w:val="tab"/>
      <w:lvlText w:val="%1."/>
      <w:lvlJc w:val="right"/>
      <w:pPr>
        <w:pStyle w:val="1151"/>
        <w:ind w:left="1680" w:hanging="420"/>
      </w:pPr>
    </w:lvl>
    <w:lvl w:ilvl="1">
      <w:start w:val="1"/>
      <w:numFmt w:val="lowerLetter"/>
      <w:isLgl w:val="false"/>
      <w:suff w:val="tab"/>
      <w:lvlText w:val="%2)"/>
      <w:lvlJc w:val="left"/>
      <w:pPr>
        <w:pStyle w:val="1151"/>
        <w:ind w:left="2100" w:hanging="420"/>
      </w:pPr>
    </w:lvl>
    <w:lvl w:ilvl="2">
      <w:start w:val="1"/>
      <w:numFmt w:val="lowerRoman"/>
      <w:isLgl w:val="false"/>
      <w:suff w:val="tab"/>
      <w:lvlText w:val="%3."/>
      <w:lvlJc w:val="right"/>
      <w:pPr>
        <w:pStyle w:val="1151"/>
        <w:ind w:left="2520" w:hanging="420"/>
      </w:pPr>
    </w:lvl>
    <w:lvl w:ilvl="3">
      <w:start w:val="1"/>
      <w:numFmt w:val="decimal"/>
      <w:isLgl w:val="false"/>
      <w:suff w:val="tab"/>
      <w:lvlText w:val="%4."/>
      <w:lvlJc w:val="left"/>
      <w:pPr>
        <w:pStyle w:val="1151"/>
        <w:ind w:left="2940" w:hanging="420"/>
      </w:pPr>
    </w:lvl>
    <w:lvl w:ilvl="4">
      <w:start w:val="1"/>
      <w:numFmt w:val="lowerLetter"/>
      <w:isLgl w:val="false"/>
      <w:suff w:val="tab"/>
      <w:lvlText w:val="%5)"/>
      <w:lvlJc w:val="left"/>
      <w:pPr>
        <w:pStyle w:val="1151"/>
        <w:ind w:left="3360" w:hanging="420"/>
      </w:pPr>
    </w:lvl>
    <w:lvl w:ilvl="5">
      <w:start w:val="1"/>
      <w:numFmt w:val="lowerRoman"/>
      <w:isLgl w:val="false"/>
      <w:suff w:val="tab"/>
      <w:lvlText w:val="%6."/>
      <w:lvlJc w:val="right"/>
      <w:pPr>
        <w:pStyle w:val="1151"/>
        <w:ind w:left="3780" w:hanging="420"/>
      </w:pPr>
    </w:lvl>
    <w:lvl w:ilvl="6">
      <w:start w:val="1"/>
      <w:numFmt w:val="decimal"/>
      <w:isLgl w:val="false"/>
      <w:suff w:val="tab"/>
      <w:lvlText w:val="%7."/>
      <w:lvlJc w:val="left"/>
      <w:pPr>
        <w:pStyle w:val="1151"/>
        <w:ind w:left="4200" w:hanging="420"/>
      </w:pPr>
    </w:lvl>
    <w:lvl w:ilvl="7">
      <w:start w:val="1"/>
      <w:numFmt w:val="lowerLetter"/>
      <w:isLgl w:val="false"/>
      <w:suff w:val="tab"/>
      <w:lvlText w:val="%8)"/>
      <w:lvlJc w:val="left"/>
      <w:pPr>
        <w:pStyle w:val="1151"/>
        <w:ind w:left="4620" w:hanging="420"/>
      </w:pPr>
    </w:lvl>
    <w:lvl w:ilvl="8">
      <w:start w:val="1"/>
      <w:numFmt w:val="lowerRoman"/>
      <w:isLgl w:val="false"/>
      <w:suff w:val="tab"/>
      <w:lvlText w:val="%9."/>
      <w:lvlJc w:val="right"/>
      <w:pPr>
        <w:pStyle w:val="1151"/>
        <w:ind w:left="5040" w:hanging="420"/>
      </w:pPr>
    </w:lvl>
  </w:abstractNum>
  <w:abstractNum w:abstractNumId="71">
    <w:multiLevelType w:val="hybridMultilevel"/>
    <w:lvl w:ilvl="0">
      <w:start w:val="1"/>
      <w:numFmt w:val="decimal"/>
      <w:isLgl w:val="false"/>
      <w:suff w:val="tab"/>
      <w:lvlText w:val="%1)"/>
      <w:lvlJc w:val="left"/>
      <w:pPr>
        <w:pStyle w:val="1151"/>
        <w:ind w:left="704" w:hanging="420"/>
      </w:pPr>
      <w:rPr>
        <w:lang w:eastAsia="zh-CN"/>
      </w:rPr>
    </w:lvl>
    <w:lvl w:ilvl="1">
      <w:start w:val="1"/>
      <w:numFmt w:val="lowerLetter"/>
      <w:isLgl w:val="false"/>
      <w:suff w:val="tab"/>
      <w:lvlText w:val="%2)"/>
      <w:lvlJc w:val="left"/>
      <w:pPr>
        <w:pStyle w:val="1151"/>
        <w:ind w:left="1124" w:hanging="420"/>
      </w:pPr>
    </w:lvl>
    <w:lvl w:ilvl="2">
      <w:start w:val="1"/>
      <w:numFmt w:val="lowerRoman"/>
      <w:isLgl w:val="false"/>
      <w:suff w:val="tab"/>
      <w:lvlText w:val="%3."/>
      <w:lvlJc w:val="right"/>
      <w:pPr>
        <w:pStyle w:val="1151"/>
        <w:ind w:left="1544" w:hanging="420"/>
      </w:pPr>
    </w:lvl>
    <w:lvl w:ilvl="3">
      <w:start w:val="1"/>
      <w:numFmt w:val="decimal"/>
      <w:isLgl w:val="false"/>
      <w:suff w:val="tab"/>
      <w:lvlText w:val="%4."/>
      <w:lvlJc w:val="left"/>
      <w:pPr>
        <w:pStyle w:val="1151"/>
        <w:ind w:left="1964" w:hanging="420"/>
      </w:pPr>
    </w:lvl>
    <w:lvl w:ilvl="4">
      <w:start w:val="1"/>
      <w:numFmt w:val="lowerLetter"/>
      <w:isLgl w:val="false"/>
      <w:suff w:val="tab"/>
      <w:lvlText w:val="%5)"/>
      <w:lvlJc w:val="left"/>
      <w:pPr>
        <w:pStyle w:val="1151"/>
        <w:ind w:left="2384" w:hanging="420"/>
      </w:pPr>
    </w:lvl>
    <w:lvl w:ilvl="5">
      <w:start w:val="1"/>
      <w:numFmt w:val="lowerRoman"/>
      <w:isLgl w:val="false"/>
      <w:suff w:val="tab"/>
      <w:lvlText w:val="%6."/>
      <w:lvlJc w:val="right"/>
      <w:pPr>
        <w:pStyle w:val="1151"/>
        <w:ind w:left="2804" w:hanging="420"/>
      </w:pPr>
    </w:lvl>
    <w:lvl w:ilvl="6">
      <w:start w:val="1"/>
      <w:numFmt w:val="decimal"/>
      <w:isLgl w:val="false"/>
      <w:suff w:val="tab"/>
      <w:lvlText w:val="%7."/>
      <w:lvlJc w:val="left"/>
      <w:pPr>
        <w:pStyle w:val="1151"/>
        <w:ind w:left="3224" w:hanging="420"/>
      </w:pPr>
    </w:lvl>
    <w:lvl w:ilvl="7">
      <w:start w:val="1"/>
      <w:numFmt w:val="lowerLetter"/>
      <w:isLgl w:val="false"/>
      <w:suff w:val="tab"/>
      <w:lvlText w:val="%8)"/>
      <w:lvlJc w:val="left"/>
      <w:pPr>
        <w:pStyle w:val="1151"/>
        <w:ind w:left="3644" w:hanging="420"/>
      </w:pPr>
    </w:lvl>
    <w:lvl w:ilvl="8">
      <w:start w:val="1"/>
      <w:numFmt w:val="lowerRoman"/>
      <w:isLgl w:val="false"/>
      <w:suff w:val="tab"/>
      <w:lvlText w:val="%9."/>
      <w:lvlJc w:val="right"/>
      <w:pPr>
        <w:pStyle w:val="1151"/>
        <w:ind w:left="4064" w:hanging="420"/>
      </w:pPr>
    </w:lvl>
  </w:abstractNum>
  <w:abstractNum w:abstractNumId="72">
    <w:multiLevelType w:val="hybridMultilevel"/>
    <w:lvl w:ilvl="0">
      <w:start w:val="1"/>
      <w:numFmt w:val="lowerLetter"/>
      <w:isLgl w:val="false"/>
      <w:suff w:val="tab"/>
      <w:lvlText w:val="%1)"/>
      <w:lvlJc w:val="left"/>
      <w:pPr>
        <w:pStyle w:val="1151"/>
        <w:ind w:left="840" w:hanging="420"/>
      </w:pPr>
    </w:lvl>
    <w:lvl w:ilvl="1">
      <w:start w:val="1"/>
      <w:numFmt w:val="lowerLetter"/>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73">
    <w:multiLevelType w:val="hybridMultilevel"/>
    <w:lvl w:ilvl="0">
      <w:start w:val="1"/>
      <w:numFmt w:val="lowerLetter"/>
      <w:isLgl w:val="false"/>
      <w:suff w:val="tab"/>
      <w:lvlText w:val="%1)"/>
      <w:lvlJc w:val="left"/>
      <w:pPr>
        <w:pStyle w:val="1151"/>
        <w:ind w:left="840" w:hanging="420"/>
      </w:pPr>
    </w:lvl>
    <w:lvl w:ilvl="1">
      <w:start w:val="1"/>
      <w:numFmt w:val="lowerLetter"/>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74">
    <w:multiLevelType w:val="hybridMultilevel"/>
    <w:lvl w:ilvl="0">
      <w:start w:val="1"/>
      <w:numFmt w:val="decimal"/>
      <w:isLgl w:val="false"/>
      <w:suff w:val="tab"/>
      <w:lvlText w:val="%1)"/>
      <w:lvlJc w:val="left"/>
      <w:pPr>
        <w:pStyle w:val="1151"/>
        <w:ind w:left="845" w:hanging="420"/>
      </w:pPr>
    </w:lvl>
    <w:lvl w:ilvl="1">
      <w:start w:val="1"/>
      <w:numFmt w:val="lowerLetter"/>
      <w:isLgl w:val="false"/>
      <w:suff w:val="tab"/>
      <w:lvlText w:val="%2)"/>
      <w:lvlJc w:val="left"/>
      <w:pPr>
        <w:pStyle w:val="1151"/>
        <w:ind w:left="1265" w:hanging="420"/>
      </w:pPr>
    </w:lvl>
    <w:lvl w:ilvl="2">
      <w:start w:val="1"/>
      <w:numFmt w:val="lowerRoman"/>
      <w:isLgl w:val="false"/>
      <w:suff w:val="tab"/>
      <w:lvlText w:val="%3."/>
      <w:lvlJc w:val="right"/>
      <w:pPr>
        <w:pStyle w:val="1151"/>
        <w:ind w:left="1685" w:hanging="420"/>
      </w:pPr>
    </w:lvl>
    <w:lvl w:ilvl="3">
      <w:start w:val="1"/>
      <w:numFmt w:val="decimal"/>
      <w:isLgl w:val="false"/>
      <w:suff w:val="tab"/>
      <w:lvlText w:val="%4."/>
      <w:lvlJc w:val="left"/>
      <w:pPr>
        <w:pStyle w:val="1151"/>
        <w:ind w:left="2105" w:hanging="420"/>
      </w:pPr>
    </w:lvl>
    <w:lvl w:ilvl="4">
      <w:start w:val="1"/>
      <w:numFmt w:val="lowerLetter"/>
      <w:isLgl w:val="false"/>
      <w:suff w:val="tab"/>
      <w:lvlText w:val="%5)"/>
      <w:lvlJc w:val="left"/>
      <w:pPr>
        <w:pStyle w:val="1151"/>
        <w:ind w:left="2525" w:hanging="420"/>
      </w:pPr>
    </w:lvl>
    <w:lvl w:ilvl="5">
      <w:start w:val="1"/>
      <w:numFmt w:val="lowerRoman"/>
      <w:isLgl w:val="false"/>
      <w:suff w:val="tab"/>
      <w:lvlText w:val="%6."/>
      <w:lvlJc w:val="right"/>
      <w:pPr>
        <w:pStyle w:val="1151"/>
        <w:ind w:left="2945" w:hanging="420"/>
      </w:pPr>
    </w:lvl>
    <w:lvl w:ilvl="6">
      <w:start w:val="1"/>
      <w:numFmt w:val="decimal"/>
      <w:isLgl w:val="false"/>
      <w:suff w:val="tab"/>
      <w:lvlText w:val="%7."/>
      <w:lvlJc w:val="left"/>
      <w:pPr>
        <w:pStyle w:val="1151"/>
        <w:ind w:left="3365" w:hanging="420"/>
      </w:pPr>
    </w:lvl>
    <w:lvl w:ilvl="7">
      <w:start w:val="1"/>
      <w:numFmt w:val="lowerLetter"/>
      <w:isLgl w:val="false"/>
      <w:suff w:val="tab"/>
      <w:lvlText w:val="%8)"/>
      <w:lvlJc w:val="left"/>
      <w:pPr>
        <w:pStyle w:val="1151"/>
        <w:ind w:left="3785" w:hanging="420"/>
      </w:pPr>
    </w:lvl>
    <w:lvl w:ilvl="8">
      <w:start w:val="1"/>
      <w:numFmt w:val="lowerRoman"/>
      <w:isLgl w:val="false"/>
      <w:suff w:val="tab"/>
      <w:lvlText w:val="%9."/>
      <w:lvlJc w:val="right"/>
      <w:pPr>
        <w:pStyle w:val="1151"/>
        <w:ind w:left="4205" w:hanging="420"/>
      </w:pPr>
    </w:lvl>
  </w:abstractNum>
  <w:abstractNum w:abstractNumId="75">
    <w:multiLevelType w:val="hybridMultilevel"/>
    <w:lvl w:ilvl="0">
      <w:start w:val="1"/>
      <w:numFmt w:val="decimalEnclosedCircle"/>
      <w:isLgl w:val="false"/>
      <w:suff w:val="tab"/>
      <w:lvlText w:val="%1"/>
      <w:lvlJc w:val="left"/>
      <w:pPr>
        <w:pStyle w:val="1151"/>
        <w:ind w:left="780" w:hanging="360"/>
      </w:pPr>
    </w:lvl>
    <w:lvl w:ilvl="1">
      <w:start w:val="1"/>
      <w:numFmt w:val="lowerLetter"/>
      <w:isLgl w:val="false"/>
      <w:suff w:val="tab"/>
      <w:lvlText w:val="%2)"/>
      <w:lvlJc w:val="left"/>
      <w:pPr>
        <w:pStyle w:val="1151"/>
        <w:ind w:left="840" w:hanging="420"/>
      </w:pPr>
    </w:lvl>
    <w:lvl w:ilvl="2">
      <w:start w:val="1"/>
      <w:numFmt w:val="lowerRoman"/>
      <w:isLgl w:val="false"/>
      <w:suff w:val="tab"/>
      <w:lvlText w:val="%3."/>
      <w:lvlJc w:val="right"/>
      <w:pPr>
        <w:pStyle w:val="1151"/>
        <w:ind w:left="1260" w:hanging="420"/>
      </w:pPr>
    </w:lvl>
    <w:lvl w:ilvl="3">
      <w:start w:val="1"/>
      <w:numFmt w:val="decimal"/>
      <w:isLgl w:val="false"/>
      <w:suff w:val="tab"/>
      <w:lvlText w:val="%4."/>
      <w:lvlJc w:val="left"/>
      <w:pPr>
        <w:pStyle w:val="1151"/>
        <w:ind w:left="1680" w:hanging="420"/>
      </w:pPr>
    </w:lvl>
    <w:lvl w:ilvl="4">
      <w:start w:val="1"/>
      <w:numFmt w:val="lowerLetter"/>
      <w:isLgl w:val="false"/>
      <w:suff w:val="tab"/>
      <w:lvlText w:val="%5)"/>
      <w:lvlJc w:val="left"/>
      <w:pPr>
        <w:pStyle w:val="1151"/>
        <w:ind w:left="2100" w:hanging="420"/>
      </w:pPr>
    </w:lvl>
    <w:lvl w:ilvl="5">
      <w:start w:val="1"/>
      <w:numFmt w:val="lowerRoman"/>
      <w:isLgl w:val="false"/>
      <w:suff w:val="tab"/>
      <w:lvlText w:val="%6."/>
      <w:lvlJc w:val="right"/>
      <w:pPr>
        <w:pStyle w:val="1151"/>
        <w:ind w:left="2520" w:hanging="420"/>
      </w:pPr>
    </w:lvl>
    <w:lvl w:ilvl="6">
      <w:start w:val="1"/>
      <w:numFmt w:val="decimal"/>
      <w:isLgl w:val="false"/>
      <w:suff w:val="tab"/>
      <w:lvlText w:val="%7."/>
      <w:lvlJc w:val="left"/>
      <w:pPr>
        <w:pStyle w:val="1151"/>
        <w:ind w:left="2940" w:hanging="420"/>
      </w:pPr>
    </w:lvl>
    <w:lvl w:ilvl="7">
      <w:start w:val="1"/>
      <w:numFmt w:val="lowerLetter"/>
      <w:isLgl w:val="false"/>
      <w:suff w:val="tab"/>
      <w:lvlText w:val="%8)"/>
      <w:lvlJc w:val="left"/>
      <w:pPr>
        <w:pStyle w:val="1151"/>
        <w:ind w:left="3360" w:hanging="420"/>
      </w:pPr>
    </w:lvl>
    <w:lvl w:ilvl="8">
      <w:start w:val="1"/>
      <w:numFmt w:val="lowerRoman"/>
      <w:isLgl w:val="false"/>
      <w:suff w:val="tab"/>
      <w:lvlText w:val="%9."/>
      <w:lvlJc w:val="right"/>
      <w:pPr>
        <w:pStyle w:val="1151"/>
        <w:ind w:left="3780" w:hanging="420"/>
      </w:pPr>
    </w:lvl>
  </w:abstractNum>
  <w:abstractNum w:abstractNumId="76">
    <w:multiLevelType w:val="hybridMultilevel"/>
    <w:lvl w:ilvl="0">
      <w:start w:val="1"/>
      <w:numFmt w:val="decimal"/>
      <w:isLgl w:val="false"/>
      <w:suff w:val="tab"/>
      <w:lvlText w:val="（%1）"/>
      <w:lvlJc w:val="left"/>
      <w:pPr>
        <w:pStyle w:val="1151"/>
        <w:ind w:left="840" w:hanging="420"/>
      </w:pPr>
    </w:lvl>
    <w:lvl w:ilvl="1">
      <w:start w:val="1"/>
      <w:numFmt w:val="lowerLetter"/>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77">
    <w:multiLevelType w:val="hybridMultilevel"/>
    <w:lvl w:ilvl="0">
      <w:start w:val="1"/>
      <w:numFmt w:val="decimal"/>
      <w:isLgl w:val="false"/>
      <w:suff w:val="tab"/>
      <w:lvlText w:val="%1)"/>
      <w:lvlJc w:val="left"/>
      <w:pPr>
        <w:pStyle w:val="1151"/>
        <w:ind w:left="704" w:hanging="420"/>
      </w:pPr>
      <w:rPr>
        <w:lang w:eastAsia="zh-CN"/>
      </w:rPr>
    </w:lvl>
    <w:lvl w:ilvl="1">
      <w:start w:val="1"/>
      <w:numFmt w:val="lowerLetter"/>
      <w:isLgl w:val="false"/>
      <w:suff w:val="tab"/>
      <w:lvlText w:val="%2)"/>
      <w:lvlJc w:val="left"/>
      <w:pPr>
        <w:pStyle w:val="1151"/>
        <w:ind w:left="1124" w:hanging="420"/>
      </w:pPr>
    </w:lvl>
    <w:lvl w:ilvl="2">
      <w:start w:val="1"/>
      <w:numFmt w:val="lowerRoman"/>
      <w:isLgl w:val="false"/>
      <w:suff w:val="tab"/>
      <w:lvlText w:val="%3."/>
      <w:lvlJc w:val="right"/>
      <w:pPr>
        <w:pStyle w:val="1151"/>
        <w:ind w:left="1544" w:hanging="420"/>
      </w:pPr>
    </w:lvl>
    <w:lvl w:ilvl="3">
      <w:start w:val="1"/>
      <w:numFmt w:val="decimal"/>
      <w:isLgl w:val="false"/>
      <w:suff w:val="tab"/>
      <w:lvlText w:val="%4."/>
      <w:lvlJc w:val="left"/>
      <w:pPr>
        <w:pStyle w:val="1151"/>
        <w:ind w:left="1964" w:hanging="420"/>
      </w:pPr>
    </w:lvl>
    <w:lvl w:ilvl="4">
      <w:start w:val="1"/>
      <w:numFmt w:val="lowerLetter"/>
      <w:isLgl w:val="false"/>
      <w:suff w:val="tab"/>
      <w:lvlText w:val="%5)"/>
      <w:lvlJc w:val="left"/>
      <w:pPr>
        <w:pStyle w:val="1151"/>
        <w:ind w:left="2384" w:hanging="420"/>
      </w:pPr>
    </w:lvl>
    <w:lvl w:ilvl="5">
      <w:start w:val="1"/>
      <w:numFmt w:val="lowerRoman"/>
      <w:isLgl w:val="false"/>
      <w:suff w:val="tab"/>
      <w:lvlText w:val="%6."/>
      <w:lvlJc w:val="right"/>
      <w:pPr>
        <w:pStyle w:val="1151"/>
        <w:ind w:left="2804" w:hanging="420"/>
      </w:pPr>
    </w:lvl>
    <w:lvl w:ilvl="6">
      <w:start w:val="1"/>
      <w:numFmt w:val="decimal"/>
      <w:isLgl w:val="false"/>
      <w:suff w:val="tab"/>
      <w:lvlText w:val="%7."/>
      <w:lvlJc w:val="left"/>
      <w:pPr>
        <w:pStyle w:val="1151"/>
        <w:ind w:left="3224" w:hanging="420"/>
      </w:pPr>
    </w:lvl>
    <w:lvl w:ilvl="7">
      <w:start w:val="1"/>
      <w:numFmt w:val="lowerLetter"/>
      <w:isLgl w:val="false"/>
      <w:suff w:val="tab"/>
      <w:lvlText w:val="%8)"/>
      <w:lvlJc w:val="left"/>
      <w:pPr>
        <w:pStyle w:val="1151"/>
        <w:ind w:left="3644" w:hanging="420"/>
      </w:pPr>
    </w:lvl>
    <w:lvl w:ilvl="8">
      <w:start w:val="1"/>
      <w:numFmt w:val="lowerRoman"/>
      <w:isLgl w:val="false"/>
      <w:suff w:val="tab"/>
      <w:lvlText w:val="%9."/>
      <w:lvlJc w:val="right"/>
      <w:pPr>
        <w:pStyle w:val="1151"/>
        <w:ind w:left="4064" w:hanging="420"/>
      </w:pPr>
    </w:lvl>
  </w:abstractNum>
  <w:abstractNum w:abstractNumId="78">
    <w:multiLevelType w:val="hybridMultilevel"/>
    <w:lvl w:ilvl="0">
      <w:start w:val="1"/>
      <w:numFmt w:val="decimal"/>
      <w:isLgl w:val="false"/>
      <w:suff w:val="tab"/>
      <w:lvlText w:val="%1)"/>
      <w:lvlJc w:val="left"/>
      <w:pPr>
        <w:pStyle w:val="1151"/>
        <w:ind w:left="840" w:hanging="420"/>
      </w:pPr>
    </w:lvl>
    <w:lvl w:ilvl="1">
      <w:start w:val="1"/>
      <w:numFmt w:val="lowerLetter"/>
      <w:isLgl w:val="false"/>
      <w:suff w:val="tab"/>
      <w:lvlText w:val="%2)"/>
      <w:lvlJc w:val="left"/>
      <w:pPr>
        <w:pStyle w:val="1151"/>
        <w:ind w:left="1260" w:hanging="420"/>
      </w:pPr>
    </w:lvl>
    <w:lvl w:ilvl="2">
      <w:start w:val="1"/>
      <w:numFmt w:val="lowerRoman"/>
      <w:isLgl w:val="false"/>
      <w:suff w:val="tab"/>
      <w:lvlText w:val="%3."/>
      <w:lvlJc w:val="right"/>
      <w:pPr>
        <w:pStyle w:val="1151"/>
        <w:ind w:left="1680" w:hanging="420"/>
      </w:pPr>
    </w:lvl>
    <w:lvl w:ilvl="3">
      <w:start w:val="1"/>
      <w:numFmt w:val="decimal"/>
      <w:isLgl w:val="false"/>
      <w:suff w:val="tab"/>
      <w:lvlText w:val="%4."/>
      <w:lvlJc w:val="left"/>
      <w:pPr>
        <w:pStyle w:val="1151"/>
        <w:ind w:left="2100" w:hanging="420"/>
      </w:pPr>
    </w:lvl>
    <w:lvl w:ilvl="4">
      <w:start w:val="1"/>
      <w:numFmt w:val="lowerLetter"/>
      <w:isLgl w:val="false"/>
      <w:suff w:val="tab"/>
      <w:lvlText w:val="%5)"/>
      <w:lvlJc w:val="left"/>
      <w:pPr>
        <w:pStyle w:val="1151"/>
        <w:ind w:left="2520" w:hanging="420"/>
      </w:pPr>
    </w:lvl>
    <w:lvl w:ilvl="5">
      <w:start w:val="1"/>
      <w:numFmt w:val="lowerRoman"/>
      <w:isLgl w:val="false"/>
      <w:suff w:val="tab"/>
      <w:lvlText w:val="%6."/>
      <w:lvlJc w:val="right"/>
      <w:pPr>
        <w:pStyle w:val="1151"/>
        <w:ind w:left="2940" w:hanging="420"/>
      </w:pPr>
    </w:lvl>
    <w:lvl w:ilvl="6">
      <w:start w:val="1"/>
      <w:numFmt w:val="decimal"/>
      <w:isLgl w:val="false"/>
      <w:suff w:val="tab"/>
      <w:lvlText w:val="%7."/>
      <w:lvlJc w:val="left"/>
      <w:pPr>
        <w:pStyle w:val="1151"/>
        <w:ind w:left="3360" w:hanging="420"/>
      </w:pPr>
    </w:lvl>
    <w:lvl w:ilvl="7">
      <w:start w:val="1"/>
      <w:numFmt w:val="lowerLetter"/>
      <w:isLgl w:val="false"/>
      <w:suff w:val="tab"/>
      <w:lvlText w:val="%8)"/>
      <w:lvlJc w:val="left"/>
      <w:pPr>
        <w:pStyle w:val="1151"/>
        <w:ind w:left="3780" w:hanging="420"/>
      </w:pPr>
    </w:lvl>
    <w:lvl w:ilvl="8">
      <w:start w:val="1"/>
      <w:numFmt w:val="lowerRoman"/>
      <w:isLgl w:val="false"/>
      <w:suff w:val="tab"/>
      <w:lvlText w:val="%9."/>
      <w:lvlJc w:val="right"/>
      <w:pPr>
        <w:pStyle w:val="1151"/>
        <w:ind w:left="4200" w:hanging="420"/>
      </w:pPr>
    </w:lvl>
  </w:abstractNum>
  <w:abstractNum w:abstractNumId="79">
    <w:multiLevelType w:val="hybridMultilevel"/>
    <w:lvl w:ilvl="0">
      <w:start w:val="1"/>
      <w:numFmt w:val="decimal"/>
      <w:isLgl w:val="false"/>
      <w:suff w:val="tab"/>
      <w:lvlText w:val="%1)"/>
      <w:lvlJc w:val="left"/>
      <w:pPr>
        <w:pStyle w:val="1151"/>
        <w:ind w:left="845" w:hanging="420"/>
      </w:pPr>
    </w:lvl>
    <w:lvl w:ilvl="1">
      <w:start w:val="1"/>
      <w:numFmt w:val="lowerLetter"/>
      <w:isLgl w:val="false"/>
      <w:suff w:val="tab"/>
      <w:lvlText w:val="%2)"/>
      <w:lvlJc w:val="left"/>
      <w:pPr>
        <w:pStyle w:val="1151"/>
        <w:ind w:left="1265" w:hanging="420"/>
      </w:pPr>
    </w:lvl>
    <w:lvl w:ilvl="2">
      <w:start w:val="1"/>
      <w:numFmt w:val="lowerRoman"/>
      <w:isLgl w:val="false"/>
      <w:suff w:val="tab"/>
      <w:lvlText w:val="%3."/>
      <w:lvlJc w:val="right"/>
      <w:pPr>
        <w:pStyle w:val="1151"/>
        <w:ind w:left="1685" w:hanging="420"/>
      </w:pPr>
    </w:lvl>
    <w:lvl w:ilvl="3">
      <w:start w:val="1"/>
      <w:numFmt w:val="decimal"/>
      <w:isLgl w:val="false"/>
      <w:suff w:val="tab"/>
      <w:lvlText w:val="%4."/>
      <w:lvlJc w:val="left"/>
      <w:pPr>
        <w:pStyle w:val="1151"/>
        <w:ind w:left="2105" w:hanging="420"/>
      </w:pPr>
    </w:lvl>
    <w:lvl w:ilvl="4">
      <w:start w:val="1"/>
      <w:numFmt w:val="lowerLetter"/>
      <w:isLgl w:val="false"/>
      <w:suff w:val="tab"/>
      <w:lvlText w:val="%5)"/>
      <w:lvlJc w:val="left"/>
      <w:pPr>
        <w:pStyle w:val="1151"/>
        <w:ind w:left="2525" w:hanging="420"/>
      </w:pPr>
    </w:lvl>
    <w:lvl w:ilvl="5">
      <w:start w:val="1"/>
      <w:numFmt w:val="lowerRoman"/>
      <w:isLgl w:val="false"/>
      <w:suff w:val="tab"/>
      <w:lvlText w:val="%6."/>
      <w:lvlJc w:val="right"/>
      <w:pPr>
        <w:pStyle w:val="1151"/>
        <w:ind w:left="2945" w:hanging="420"/>
      </w:pPr>
    </w:lvl>
    <w:lvl w:ilvl="6">
      <w:start w:val="1"/>
      <w:numFmt w:val="decimal"/>
      <w:isLgl w:val="false"/>
      <w:suff w:val="tab"/>
      <w:lvlText w:val="%7."/>
      <w:lvlJc w:val="left"/>
      <w:pPr>
        <w:pStyle w:val="1151"/>
        <w:ind w:left="3365" w:hanging="420"/>
      </w:pPr>
    </w:lvl>
    <w:lvl w:ilvl="7">
      <w:start w:val="1"/>
      <w:numFmt w:val="lowerLetter"/>
      <w:isLgl w:val="false"/>
      <w:suff w:val="tab"/>
      <w:lvlText w:val="%8)"/>
      <w:lvlJc w:val="left"/>
      <w:pPr>
        <w:pStyle w:val="1151"/>
        <w:ind w:left="3785" w:hanging="420"/>
      </w:pPr>
    </w:lvl>
    <w:lvl w:ilvl="8">
      <w:start w:val="1"/>
      <w:numFmt w:val="lowerRoman"/>
      <w:isLgl w:val="false"/>
      <w:suff w:val="tab"/>
      <w:lvlText w:val="%9."/>
      <w:lvlJc w:val="right"/>
      <w:pPr>
        <w:pStyle w:val="1151"/>
        <w:ind w:left="4205" w:hanging="420"/>
      </w:pPr>
    </w:lvl>
  </w:abstractNum>
  <w:abstractNum w:abstractNumId="80">
    <w:multiLevelType w:val="hybridMultilevel"/>
    <w:lvl w:ilvl="0">
      <w:start w:val="1"/>
      <w:numFmt w:val="decimalEnclosedCircle"/>
      <w:isLgl w:val="false"/>
      <w:suff w:val="tab"/>
      <w:lvlText w:val="%1"/>
      <w:lvlJc w:val="left"/>
      <w:pPr>
        <w:pStyle w:val="1151"/>
        <w:ind w:left="1080" w:hanging="360"/>
      </w:pPr>
    </w:lvl>
    <w:lvl w:ilvl="1">
      <w:start w:val="1"/>
      <w:numFmt w:val="lowerLetter"/>
      <w:isLgl w:val="false"/>
      <w:suff w:val="tab"/>
      <w:lvlText w:val="%2)"/>
      <w:lvlJc w:val="left"/>
      <w:pPr>
        <w:pStyle w:val="1151"/>
        <w:ind w:left="1560" w:hanging="420"/>
      </w:pPr>
    </w:lvl>
    <w:lvl w:ilvl="2">
      <w:start w:val="1"/>
      <w:numFmt w:val="lowerRoman"/>
      <w:isLgl w:val="false"/>
      <w:suff w:val="tab"/>
      <w:lvlText w:val="%3."/>
      <w:lvlJc w:val="right"/>
      <w:pPr>
        <w:pStyle w:val="1151"/>
        <w:ind w:left="1980" w:hanging="420"/>
      </w:pPr>
    </w:lvl>
    <w:lvl w:ilvl="3">
      <w:start w:val="1"/>
      <w:numFmt w:val="decimal"/>
      <w:isLgl w:val="false"/>
      <w:suff w:val="tab"/>
      <w:lvlText w:val="%4."/>
      <w:lvlJc w:val="left"/>
      <w:pPr>
        <w:pStyle w:val="1151"/>
        <w:ind w:left="2400" w:hanging="420"/>
      </w:pPr>
    </w:lvl>
    <w:lvl w:ilvl="4">
      <w:start w:val="1"/>
      <w:numFmt w:val="lowerLetter"/>
      <w:isLgl w:val="false"/>
      <w:suff w:val="tab"/>
      <w:lvlText w:val="%5)"/>
      <w:lvlJc w:val="left"/>
      <w:pPr>
        <w:pStyle w:val="1151"/>
        <w:ind w:left="2820" w:hanging="420"/>
      </w:pPr>
    </w:lvl>
    <w:lvl w:ilvl="5">
      <w:start w:val="1"/>
      <w:numFmt w:val="lowerRoman"/>
      <w:isLgl w:val="false"/>
      <w:suff w:val="tab"/>
      <w:lvlText w:val="%6."/>
      <w:lvlJc w:val="right"/>
      <w:pPr>
        <w:pStyle w:val="1151"/>
        <w:ind w:left="3240" w:hanging="420"/>
      </w:pPr>
    </w:lvl>
    <w:lvl w:ilvl="6">
      <w:start w:val="1"/>
      <w:numFmt w:val="decimal"/>
      <w:isLgl w:val="false"/>
      <w:suff w:val="tab"/>
      <w:lvlText w:val="%7."/>
      <w:lvlJc w:val="left"/>
      <w:pPr>
        <w:pStyle w:val="1151"/>
        <w:ind w:left="3660" w:hanging="420"/>
      </w:pPr>
    </w:lvl>
    <w:lvl w:ilvl="7">
      <w:start w:val="1"/>
      <w:numFmt w:val="lowerLetter"/>
      <w:isLgl w:val="false"/>
      <w:suff w:val="tab"/>
      <w:lvlText w:val="%8)"/>
      <w:lvlJc w:val="left"/>
      <w:pPr>
        <w:pStyle w:val="1151"/>
        <w:ind w:left="4080" w:hanging="420"/>
      </w:pPr>
    </w:lvl>
    <w:lvl w:ilvl="8">
      <w:start w:val="1"/>
      <w:numFmt w:val="lowerRoman"/>
      <w:isLgl w:val="false"/>
      <w:suff w:val="tab"/>
      <w:lvlText w:val="%9."/>
      <w:lvlJc w:val="right"/>
      <w:pPr>
        <w:pStyle w:val="1151"/>
        <w:ind w:left="4500" w:hanging="420"/>
      </w:pPr>
    </w:lvl>
  </w:abstractNum>
  <w:num w:numId="1">
    <w:abstractNumId w:val="3"/>
  </w:num>
  <w:num w:numId="2">
    <w:abstractNumId w:val="23"/>
  </w:num>
  <w:num w:numId="3">
    <w:abstractNumId w:val="42"/>
  </w:num>
  <w:num w:numId="4">
    <w:abstractNumId w:val="63"/>
  </w:num>
  <w:num w:numId="5">
    <w:abstractNumId w:val="75"/>
  </w:num>
  <w:num w:numId="6">
    <w:abstractNumId w:val="52"/>
  </w:num>
  <w:num w:numId="7">
    <w:abstractNumId w:val="67"/>
  </w:num>
  <w:num w:numId="8">
    <w:abstractNumId w:val="80"/>
  </w:num>
  <w:num w:numId="9">
    <w:abstractNumId w:val="62"/>
  </w:num>
  <w:num w:numId="10">
    <w:abstractNumId w:val="35"/>
  </w:num>
  <w:num w:numId="11">
    <w:abstractNumId w:val="0"/>
  </w:num>
  <w:num w:numId="12">
    <w:abstractNumId w:val="51"/>
  </w:num>
  <w:num w:numId="13">
    <w:abstractNumId w:val="20"/>
  </w:num>
  <w:num w:numId="14">
    <w:abstractNumId w:val="48"/>
  </w:num>
  <w:num w:numId="15">
    <w:abstractNumId w:val="44"/>
  </w:num>
  <w:num w:numId="16">
    <w:abstractNumId w:val="30"/>
  </w:num>
  <w:num w:numId="17">
    <w:abstractNumId w:val="45"/>
  </w:num>
  <w:num w:numId="18">
    <w:abstractNumId w:val="2"/>
  </w:num>
  <w:num w:numId="19">
    <w:abstractNumId w:val="78"/>
  </w:num>
  <w:num w:numId="20">
    <w:abstractNumId w:val="66"/>
  </w:num>
  <w:num w:numId="21">
    <w:abstractNumId w:val="32"/>
  </w:num>
  <w:num w:numId="22">
    <w:abstractNumId w:val="36"/>
  </w:num>
  <w:num w:numId="23">
    <w:abstractNumId w:val="60"/>
  </w:num>
  <w:num w:numId="24">
    <w:abstractNumId w:val="5"/>
  </w:num>
  <w:num w:numId="25">
    <w:abstractNumId w:val="38"/>
  </w:num>
  <w:num w:numId="26">
    <w:abstractNumId w:val="31"/>
  </w:num>
  <w:num w:numId="27">
    <w:abstractNumId w:val="79"/>
  </w:num>
  <w:num w:numId="28">
    <w:abstractNumId w:val="68"/>
  </w:num>
  <w:num w:numId="29">
    <w:abstractNumId w:val="58"/>
  </w:num>
  <w:num w:numId="30">
    <w:abstractNumId w:val="29"/>
  </w:num>
  <w:num w:numId="31">
    <w:abstractNumId w:val="41"/>
  </w:num>
  <w:num w:numId="32">
    <w:abstractNumId w:val="27"/>
  </w:num>
  <w:num w:numId="33">
    <w:abstractNumId w:val="49"/>
  </w:num>
  <w:num w:numId="34">
    <w:abstractNumId w:val="47"/>
  </w:num>
  <w:num w:numId="35">
    <w:abstractNumId w:val="46"/>
  </w:num>
  <w:num w:numId="36">
    <w:abstractNumId w:val="37"/>
  </w:num>
  <w:num w:numId="37">
    <w:abstractNumId w:val="25"/>
  </w:num>
  <w:num w:numId="38">
    <w:abstractNumId w:val="33"/>
  </w:num>
  <w:num w:numId="39">
    <w:abstractNumId w:val="24"/>
  </w:num>
  <w:num w:numId="40">
    <w:abstractNumId w:val="70"/>
  </w:num>
  <w:num w:numId="41">
    <w:abstractNumId w:val="56"/>
  </w:num>
  <w:num w:numId="42">
    <w:abstractNumId w:val="59"/>
  </w:num>
  <w:num w:numId="43">
    <w:abstractNumId w:val="4"/>
  </w:num>
  <w:num w:numId="44">
    <w:abstractNumId w:val="64"/>
  </w:num>
  <w:num w:numId="45">
    <w:abstractNumId w:val="74"/>
  </w:num>
  <w:num w:numId="46">
    <w:abstractNumId w:val="8"/>
  </w:num>
  <w:num w:numId="47">
    <w:abstractNumId w:val="9"/>
  </w:num>
  <w:num w:numId="48">
    <w:abstractNumId w:val="72"/>
  </w:num>
  <w:num w:numId="49">
    <w:abstractNumId w:val="28"/>
  </w:num>
  <w:num w:numId="50">
    <w:abstractNumId w:val="54"/>
  </w:num>
  <w:num w:numId="51">
    <w:abstractNumId w:val="73"/>
  </w:num>
  <w:num w:numId="52">
    <w:abstractNumId w:val="18"/>
  </w:num>
  <w:num w:numId="53">
    <w:abstractNumId w:val="39"/>
  </w:num>
  <w:num w:numId="54">
    <w:abstractNumId w:val="43"/>
  </w:num>
  <w:num w:numId="55">
    <w:abstractNumId w:val="22"/>
  </w:num>
  <w:num w:numId="56">
    <w:abstractNumId w:val="21"/>
  </w:num>
  <w:num w:numId="57">
    <w:abstractNumId w:val="11"/>
  </w:num>
  <w:num w:numId="58">
    <w:abstractNumId w:val="13"/>
  </w:num>
  <w:num w:numId="59">
    <w:abstractNumId w:val="7"/>
  </w:num>
  <w:num w:numId="60">
    <w:abstractNumId w:val="14"/>
  </w:num>
  <w:num w:numId="61">
    <w:abstractNumId w:val="17"/>
  </w:num>
  <w:num w:numId="62">
    <w:abstractNumId w:val="12"/>
  </w:num>
  <w:num w:numId="63">
    <w:abstractNumId w:val="10"/>
  </w:num>
  <w:num w:numId="64">
    <w:abstractNumId w:val="16"/>
  </w:num>
  <w:num w:numId="65">
    <w:abstractNumId w:val="15"/>
  </w:num>
  <w:num w:numId="66">
    <w:abstractNumId w:val="19"/>
  </w:num>
  <w:num w:numId="67">
    <w:abstractNumId w:val="69"/>
  </w:num>
  <w:num w:numId="68">
    <w:abstractNumId w:val="6"/>
  </w:num>
  <w:num w:numId="69">
    <w:abstractNumId w:val="26"/>
  </w:num>
  <w:num w:numId="70">
    <w:abstractNumId w:val="53"/>
  </w:num>
  <w:num w:numId="71">
    <w:abstractNumId w:val="61"/>
  </w:num>
  <w:num w:numId="72">
    <w:abstractNumId w:val="1"/>
  </w:num>
  <w:num w:numId="73">
    <w:abstractNumId w:val="65"/>
  </w:num>
  <w:num w:numId="74">
    <w:abstractNumId w:val="71"/>
  </w:num>
  <w:num w:numId="75">
    <w:abstractNumId w:val="57"/>
  </w:num>
  <w:num w:numId="76">
    <w:abstractNumId w:val="34"/>
  </w:num>
  <w:num w:numId="77">
    <w:abstractNumId w:val="77"/>
  </w:num>
  <w:num w:numId="78">
    <w:abstractNumId w:val="40"/>
  </w:num>
  <w:num w:numId="79">
    <w:abstractNumId w:val="55"/>
  </w:num>
  <w:num w:numId="80">
    <w:abstractNumId w:val="76"/>
  </w:num>
  <w:num w:numId="8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4">
    <w:name w:val="Heading 1"/>
    <w:basedOn w:val="1151"/>
    <w:next w:val="1151"/>
    <w:link w:val="975"/>
    <w:uiPriority w:val="9"/>
    <w:qFormat/>
    <w:pPr>
      <w:keepLines/>
      <w:keepNext/>
      <w:spacing w:before="480" w:after="200"/>
      <w:outlineLvl w:val="0"/>
    </w:pPr>
    <w:rPr>
      <w:rFonts w:ascii="Arial" w:hAnsi="Arial" w:eastAsia="Arial" w:cs="Arial"/>
      <w:sz w:val="40"/>
      <w:szCs w:val="40"/>
    </w:rPr>
  </w:style>
  <w:style w:type="character" w:styleId="975">
    <w:name w:val="Heading 1 Char"/>
    <w:link w:val="974"/>
    <w:uiPriority w:val="9"/>
    <w:rPr>
      <w:rFonts w:ascii="Arial" w:hAnsi="Arial" w:eastAsia="Arial" w:cs="Arial"/>
      <w:sz w:val="40"/>
      <w:szCs w:val="40"/>
    </w:rPr>
  </w:style>
  <w:style w:type="paragraph" w:styleId="976">
    <w:name w:val="Heading 2"/>
    <w:basedOn w:val="1151"/>
    <w:next w:val="1151"/>
    <w:link w:val="977"/>
    <w:uiPriority w:val="9"/>
    <w:unhideWhenUsed/>
    <w:qFormat/>
    <w:pPr>
      <w:keepLines/>
      <w:keepNext/>
      <w:spacing w:before="360" w:after="200"/>
      <w:outlineLvl w:val="1"/>
    </w:pPr>
    <w:rPr>
      <w:rFonts w:ascii="Arial" w:hAnsi="Arial" w:eastAsia="Arial" w:cs="Arial"/>
      <w:sz w:val="34"/>
    </w:rPr>
  </w:style>
  <w:style w:type="character" w:styleId="977">
    <w:name w:val="Heading 2 Char"/>
    <w:link w:val="976"/>
    <w:uiPriority w:val="9"/>
    <w:rPr>
      <w:rFonts w:ascii="Arial" w:hAnsi="Arial" w:eastAsia="Arial" w:cs="Arial"/>
      <w:sz w:val="34"/>
    </w:rPr>
  </w:style>
  <w:style w:type="paragraph" w:styleId="978">
    <w:name w:val="Heading 3"/>
    <w:basedOn w:val="1151"/>
    <w:next w:val="1151"/>
    <w:link w:val="979"/>
    <w:uiPriority w:val="9"/>
    <w:unhideWhenUsed/>
    <w:qFormat/>
    <w:pPr>
      <w:keepLines/>
      <w:keepNext/>
      <w:spacing w:before="320" w:after="200"/>
      <w:outlineLvl w:val="2"/>
    </w:pPr>
    <w:rPr>
      <w:rFonts w:ascii="Arial" w:hAnsi="Arial" w:eastAsia="Arial" w:cs="Arial"/>
      <w:sz w:val="30"/>
      <w:szCs w:val="30"/>
    </w:rPr>
  </w:style>
  <w:style w:type="character" w:styleId="979">
    <w:name w:val="Heading 3 Char"/>
    <w:link w:val="978"/>
    <w:uiPriority w:val="9"/>
    <w:rPr>
      <w:rFonts w:ascii="Arial" w:hAnsi="Arial" w:eastAsia="Arial" w:cs="Arial"/>
      <w:sz w:val="30"/>
      <w:szCs w:val="30"/>
    </w:rPr>
  </w:style>
  <w:style w:type="paragraph" w:styleId="980">
    <w:name w:val="Heading 4"/>
    <w:basedOn w:val="1151"/>
    <w:next w:val="1151"/>
    <w:link w:val="981"/>
    <w:uiPriority w:val="9"/>
    <w:unhideWhenUsed/>
    <w:qFormat/>
    <w:pPr>
      <w:keepLines/>
      <w:keepNext/>
      <w:spacing w:before="320" w:after="200"/>
      <w:outlineLvl w:val="3"/>
    </w:pPr>
    <w:rPr>
      <w:rFonts w:ascii="Arial" w:hAnsi="Arial" w:eastAsia="Arial" w:cs="Arial"/>
      <w:b/>
      <w:bCs/>
      <w:sz w:val="26"/>
      <w:szCs w:val="26"/>
    </w:rPr>
  </w:style>
  <w:style w:type="character" w:styleId="981">
    <w:name w:val="Heading 4 Char"/>
    <w:link w:val="980"/>
    <w:uiPriority w:val="9"/>
    <w:rPr>
      <w:rFonts w:ascii="Arial" w:hAnsi="Arial" w:eastAsia="Arial" w:cs="Arial"/>
      <w:b/>
      <w:bCs/>
      <w:sz w:val="26"/>
      <w:szCs w:val="26"/>
    </w:rPr>
  </w:style>
  <w:style w:type="paragraph" w:styleId="982">
    <w:name w:val="Heading 5"/>
    <w:basedOn w:val="1151"/>
    <w:next w:val="1151"/>
    <w:link w:val="983"/>
    <w:uiPriority w:val="9"/>
    <w:unhideWhenUsed/>
    <w:qFormat/>
    <w:pPr>
      <w:keepLines/>
      <w:keepNext/>
      <w:spacing w:before="320" w:after="200"/>
      <w:outlineLvl w:val="4"/>
    </w:pPr>
    <w:rPr>
      <w:rFonts w:ascii="Arial" w:hAnsi="Arial" w:eastAsia="Arial" w:cs="Arial"/>
      <w:b/>
      <w:bCs/>
      <w:sz w:val="24"/>
      <w:szCs w:val="24"/>
    </w:rPr>
  </w:style>
  <w:style w:type="character" w:styleId="983">
    <w:name w:val="Heading 5 Char"/>
    <w:link w:val="982"/>
    <w:uiPriority w:val="9"/>
    <w:rPr>
      <w:rFonts w:ascii="Arial" w:hAnsi="Arial" w:eastAsia="Arial" w:cs="Arial"/>
      <w:b/>
      <w:bCs/>
      <w:sz w:val="24"/>
      <w:szCs w:val="24"/>
    </w:rPr>
  </w:style>
  <w:style w:type="paragraph" w:styleId="984">
    <w:name w:val="Heading 6"/>
    <w:basedOn w:val="1151"/>
    <w:next w:val="1151"/>
    <w:link w:val="985"/>
    <w:uiPriority w:val="9"/>
    <w:unhideWhenUsed/>
    <w:qFormat/>
    <w:pPr>
      <w:keepLines/>
      <w:keepNext/>
      <w:spacing w:before="320" w:after="200"/>
      <w:outlineLvl w:val="5"/>
    </w:pPr>
    <w:rPr>
      <w:rFonts w:ascii="Arial" w:hAnsi="Arial" w:eastAsia="Arial" w:cs="Arial"/>
      <w:b/>
      <w:bCs/>
      <w:sz w:val="22"/>
      <w:szCs w:val="22"/>
    </w:rPr>
  </w:style>
  <w:style w:type="character" w:styleId="985">
    <w:name w:val="Heading 6 Char"/>
    <w:link w:val="984"/>
    <w:uiPriority w:val="9"/>
    <w:rPr>
      <w:rFonts w:ascii="Arial" w:hAnsi="Arial" w:eastAsia="Arial" w:cs="Arial"/>
      <w:b/>
      <w:bCs/>
      <w:sz w:val="22"/>
      <w:szCs w:val="22"/>
    </w:rPr>
  </w:style>
  <w:style w:type="paragraph" w:styleId="986">
    <w:name w:val="Heading 7"/>
    <w:basedOn w:val="1151"/>
    <w:next w:val="1151"/>
    <w:link w:val="987"/>
    <w:uiPriority w:val="9"/>
    <w:unhideWhenUsed/>
    <w:qFormat/>
    <w:pPr>
      <w:keepLines/>
      <w:keepNext/>
      <w:spacing w:before="320" w:after="200"/>
      <w:outlineLvl w:val="6"/>
    </w:pPr>
    <w:rPr>
      <w:rFonts w:ascii="Arial" w:hAnsi="Arial" w:eastAsia="Arial" w:cs="Arial"/>
      <w:b/>
      <w:bCs/>
      <w:i/>
      <w:iCs/>
      <w:sz w:val="22"/>
      <w:szCs w:val="22"/>
    </w:rPr>
  </w:style>
  <w:style w:type="character" w:styleId="987">
    <w:name w:val="Heading 7 Char"/>
    <w:link w:val="986"/>
    <w:uiPriority w:val="9"/>
    <w:rPr>
      <w:rFonts w:ascii="Arial" w:hAnsi="Arial" w:eastAsia="Arial" w:cs="Arial"/>
      <w:b/>
      <w:bCs/>
      <w:i/>
      <w:iCs/>
      <w:sz w:val="22"/>
      <w:szCs w:val="22"/>
    </w:rPr>
  </w:style>
  <w:style w:type="paragraph" w:styleId="988">
    <w:name w:val="Heading 8"/>
    <w:basedOn w:val="1151"/>
    <w:next w:val="1151"/>
    <w:link w:val="989"/>
    <w:uiPriority w:val="9"/>
    <w:unhideWhenUsed/>
    <w:qFormat/>
    <w:pPr>
      <w:keepLines/>
      <w:keepNext/>
      <w:spacing w:before="320" w:after="200"/>
      <w:outlineLvl w:val="7"/>
    </w:pPr>
    <w:rPr>
      <w:rFonts w:ascii="Arial" w:hAnsi="Arial" w:eastAsia="Arial" w:cs="Arial"/>
      <w:i/>
      <w:iCs/>
      <w:sz w:val="22"/>
      <w:szCs w:val="22"/>
    </w:rPr>
  </w:style>
  <w:style w:type="character" w:styleId="989">
    <w:name w:val="Heading 8 Char"/>
    <w:link w:val="988"/>
    <w:uiPriority w:val="9"/>
    <w:rPr>
      <w:rFonts w:ascii="Arial" w:hAnsi="Arial" w:eastAsia="Arial" w:cs="Arial"/>
      <w:i/>
      <w:iCs/>
      <w:sz w:val="22"/>
      <w:szCs w:val="22"/>
    </w:rPr>
  </w:style>
  <w:style w:type="paragraph" w:styleId="990">
    <w:name w:val="Heading 9"/>
    <w:basedOn w:val="1151"/>
    <w:next w:val="1151"/>
    <w:link w:val="991"/>
    <w:uiPriority w:val="9"/>
    <w:unhideWhenUsed/>
    <w:qFormat/>
    <w:pPr>
      <w:keepLines/>
      <w:keepNext/>
      <w:spacing w:before="320" w:after="200"/>
      <w:outlineLvl w:val="8"/>
    </w:pPr>
    <w:rPr>
      <w:rFonts w:ascii="Arial" w:hAnsi="Arial" w:eastAsia="Arial" w:cs="Arial"/>
      <w:i/>
      <w:iCs/>
      <w:sz w:val="21"/>
      <w:szCs w:val="21"/>
    </w:rPr>
  </w:style>
  <w:style w:type="character" w:styleId="991">
    <w:name w:val="Heading 9 Char"/>
    <w:link w:val="990"/>
    <w:uiPriority w:val="9"/>
    <w:rPr>
      <w:rFonts w:ascii="Arial" w:hAnsi="Arial" w:eastAsia="Arial" w:cs="Arial"/>
      <w:i/>
      <w:iCs/>
      <w:sz w:val="21"/>
      <w:szCs w:val="21"/>
    </w:rPr>
  </w:style>
  <w:style w:type="paragraph" w:styleId="992">
    <w:name w:val="No Spacing"/>
    <w:uiPriority w:val="1"/>
    <w:qFormat/>
    <w:pPr>
      <w:spacing w:before="0" w:after="0" w:line="240" w:lineRule="auto"/>
    </w:pPr>
  </w:style>
  <w:style w:type="paragraph" w:styleId="993">
    <w:name w:val="Title"/>
    <w:basedOn w:val="1151"/>
    <w:next w:val="1151"/>
    <w:link w:val="994"/>
    <w:uiPriority w:val="10"/>
    <w:qFormat/>
    <w:pPr>
      <w:contextualSpacing/>
      <w:spacing w:before="300" w:after="200"/>
    </w:pPr>
    <w:rPr>
      <w:sz w:val="48"/>
      <w:szCs w:val="48"/>
    </w:rPr>
  </w:style>
  <w:style w:type="character" w:styleId="994">
    <w:name w:val="Title Char"/>
    <w:link w:val="993"/>
    <w:uiPriority w:val="10"/>
    <w:rPr>
      <w:sz w:val="48"/>
      <w:szCs w:val="48"/>
    </w:rPr>
  </w:style>
  <w:style w:type="paragraph" w:styleId="995">
    <w:name w:val="Subtitle"/>
    <w:basedOn w:val="1151"/>
    <w:next w:val="1151"/>
    <w:link w:val="996"/>
    <w:uiPriority w:val="11"/>
    <w:qFormat/>
    <w:pPr>
      <w:spacing w:before="200" w:after="200"/>
    </w:pPr>
    <w:rPr>
      <w:sz w:val="24"/>
      <w:szCs w:val="24"/>
    </w:rPr>
  </w:style>
  <w:style w:type="character" w:styleId="996">
    <w:name w:val="Subtitle Char"/>
    <w:link w:val="995"/>
    <w:uiPriority w:val="11"/>
    <w:rPr>
      <w:sz w:val="24"/>
      <w:szCs w:val="24"/>
    </w:rPr>
  </w:style>
  <w:style w:type="paragraph" w:styleId="997">
    <w:name w:val="Quote"/>
    <w:basedOn w:val="1151"/>
    <w:next w:val="1151"/>
    <w:link w:val="998"/>
    <w:uiPriority w:val="29"/>
    <w:qFormat/>
    <w:pPr>
      <w:ind w:left="720" w:right="720"/>
    </w:pPr>
    <w:rPr>
      <w:i/>
    </w:rPr>
  </w:style>
  <w:style w:type="character" w:styleId="998">
    <w:name w:val="Quote Char"/>
    <w:link w:val="997"/>
    <w:uiPriority w:val="29"/>
    <w:rPr>
      <w:i/>
    </w:rPr>
  </w:style>
  <w:style w:type="paragraph" w:styleId="999">
    <w:name w:val="Intense Quote"/>
    <w:basedOn w:val="1151"/>
    <w:next w:val="1151"/>
    <w:link w:val="10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0">
    <w:name w:val="Intense Quote Char"/>
    <w:link w:val="999"/>
    <w:uiPriority w:val="30"/>
    <w:rPr>
      <w:i/>
    </w:rPr>
  </w:style>
  <w:style w:type="paragraph" w:styleId="1001">
    <w:name w:val="Header"/>
    <w:basedOn w:val="1151"/>
    <w:link w:val="1002"/>
    <w:uiPriority w:val="99"/>
    <w:unhideWhenUsed/>
    <w:pPr>
      <w:spacing w:after="0" w:line="240" w:lineRule="auto"/>
      <w:tabs>
        <w:tab w:val="center" w:pos="7143" w:leader="none"/>
        <w:tab w:val="right" w:pos="14287" w:leader="none"/>
      </w:tabs>
    </w:pPr>
  </w:style>
  <w:style w:type="character" w:styleId="1002">
    <w:name w:val="Header Char"/>
    <w:link w:val="1001"/>
    <w:uiPriority w:val="99"/>
  </w:style>
  <w:style w:type="paragraph" w:styleId="1003">
    <w:name w:val="Footer"/>
    <w:basedOn w:val="1151"/>
    <w:link w:val="1006"/>
    <w:uiPriority w:val="99"/>
    <w:unhideWhenUsed/>
    <w:pPr>
      <w:spacing w:after="0" w:line="240" w:lineRule="auto"/>
      <w:tabs>
        <w:tab w:val="center" w:pos="7143" w:leader="none"/>
        <w:tab w:val="right" w:pos="14287" w:leader="none"/>
      </w:tabs>
    </w:pPr>
  </w:style>
  <w:style w:type="character" w:styleId="1004">
    <w:name w:val="Footer Char"/>
    <w:link w:val="1003"/>
    <w:uiPriority w:val="99"/>
  </w:style>
  <w:style w:type="paragraph" w:styleId="1005">
    <w:name w:val="Caption"/>
    <w:basedOn w:val="1151"/>
    <w:next w:val="1151"/>
    <w:uiPriority w:val="35"/>
    <w:semiHidden/>
    <w:unhideWhenUsed/>
    <w:qFormat/>
    <w:pPr>
      <w:spacing w:line="276" w:lineRule="auto"/>
    </w:pPr>
    <w:rPr>
      <w:b/>
      <w:bCs/>
      <w:color w:val="4f81bd" w:themeColor="accent1"/>
      <w:sz w:val="18"/>
      <w:szCs w:val="18"/>
    </w:rPr>
  </w:style>
  <w:style w:type="character" w:styleId="1006">
    <w:name w:val="Caption Char"/>
    <w:basedOn w:val="1005"/>
    <w:link w:val="1003"/>
    <w:uiPriority w:val="99"/>
  </w:style>
  <w:style w:type="table" w:styleId="10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33">
    <w:name w:val="Hyperlink"/>
    <w:uiPriority w:val="99"/>
    <w:unhideWhenUsed/>
    <w:rPr>
      <w:color w:val="0000ff" w:themeColor="hyperlink"/>
      <w:u w:val="single"/>
    </w:rPr>
  </w:style>
  <w:style w:type="paragraph" w:styleId="1134">
    <w:name w:val="footnote text"/>
    <w:basedOn w:val="1151"/>
    <w:link w:val="1135"/>
    <w:uiPriority w:val="99"/>
    <w:semiHidden/>
    <w:unhideWhenUsed/>
    <w:pPr>
      <w:spacing w:after="40" w:line="240" w:lineRule="auto"/>
    </w:pPr>
    <w:rPr>
      <w:sz w:val="18"/>
    </w:rPr>
  </w:style>
  <w:style w:type="character" w:styleId="1135">
    <w:name w:val="Footnote Text Char"/>
    <w:link w:val="1134"/>
    <w:uiPriority w:val="99"/>
    <w:rPr>
      <w:sz w:val="18"/>
    </w:rPr>
  </w:style>
  <w:style w:type="character" w:styleId="1136">
    <w:name w:val="footnote reference"/>
    <w:uiPriority w:val="99"/>
    <w:unhideWhenUsed/>
    <w:rPr>
      <w:vertAlign w:val="superscript"/>
    </w:rPr>
  </w:style>
  <w:style w:type="paragraph" w:styleId="1137">
    <w:name w:val="endnote text"/>
    <w:basedOn w:val="1151"/>
    <w:link w:val="1138"/>
    <w:uiPriority w:val="99"/>
    <w:semiHidden/>
    <w:unhideWhenUsed/>
    <w:pPr>
      <w:spacing w:after="0" w:line="240" w:lineRule="auto"/>
    </w:pPr>
    <w:rPr>
      <w:sz w:val="20"/>
    </w:rPr>
  </w:style>
  <w:style w:type="character" w:styleId="1138">
    <w:name w:val="Endnote Text Char"/>
    <w:link w:val="1137"/>
    <w:uiPriority w:val="99"/>
    <w:rPr>
      <w:sz w:val="20"/>
    </w:rPr>
  </w:style>
  <w:style w:type="character" w:styleId="1139">
    <w:name w:val="endnote reference"/>
    <w:uiPriority w:val="99"/>
    <w:semiHidden/>
    <w:unhideWhenUsed/>
    <w:rPr>
      <w:vertAlign w:val="superscript"/>
    </w:rPr>
  </w:style>
  <w:style w:type="paragraph" w:styleId="1140">
    <w:name w:val="toc 1"/>
    <w:basedOn w:val="1151"/>
    <w:next w:val="1151"/>
    <w:uiPriority w:val="39"/>
    <w:unhideWhenUsed/>
    <w:pPr>
      <w:ind w:left="0" w:right="0" w:firstLine="0"/>
      <w:spacing w:after="57"/>
    </w:pPr>
  </w:style>
  <w:style w:type="paragraph" w:styleId="1141">
    <w:name w:val="toc 2"/>
    <w:basedOn w:val="1151"/>
    <w:next w:val="1151"/>
    <w:uiPriority w:val="39"/>
    <w:unhideWhenUsed/>
    <w:pPr>
      <w:ind w:left="283" w:right="0" w:firstLine="0"/>
      <w:spacing w:after="57"/>
    </w:pPr>
  </w:style>
  <w:style w:type="paragraph" w:styleId="1142">
    <w:name w:val="toc 3"/>
    <w:basedOn w:val="1151"/>
    <w:next w:val="1151"/>
    <w:uiPriority w:val="39"/>
    <w:unhideWhenUsed/>
    <w:pPr>
      <w:ind w:left="567" w:right="0" w:firstLine="0"/>
      <w:spacing w:after="57"/>
    </w:pPr>
  </w:style>
  <w:style w:type="paragraph" w:styleId="1143">
    <w:name w:val="toc 4"/>
    <w:basedOn w:val="1151"/>
    <w:next w:val="1151"/>
    <w:uiPriority w:val="39"/>
    <w:unhideWhenUsed/>
    <w:pPr>
      <w:ind w:left="850" w:right="0" w:firstLine="0"/>
      <w:spacing w:after="57"/>
    </w:pPr>
  </w:style>
  <w:style w:type="paragraph" w:styleId="1144">
    <w:name w:val="toc 5"/>
    <w:basedOn w:val="1151"/>
    <w:next w:val="1151"/>
    <w:uiPriority w:val="39"/>
    <w:unhideWhenUsed/>
    <w:pPr>
      <w:ind w:left="1134" w:right="0" w:firstLine="0"/>
      <w:spacing w:after="57"/>
    </w:pPr>
  </w:style>
  <w:style w:type="paragraph" w:styleId="1145">
    <w:name w:val="toc 6"/>
    <w:basedOn w:val="1151"/>
    <w:next w:val="1151"/>
    <w:uiPriority w:val="39"/>
    <w:unhideWhenUsed/>
    <w:pPr>
      <w:ind w:left="1417" w:right="0" w:firstLine="0"/>
      <w:spacing w:after="57"/>
    </w:pPr>
  </w:style>
  <w:style w:type="paragraph" w:styleId="1146">
    <w:name w:val="toc 7"/>
    <w:basedOn w:val="1151"/>
    <w:next w:val="1151"/>
    <w:uiPriority w:val="39"/>
    <w:unhideWhenUsed/>
    <w:pPr>
      <w:ind w:left="1701" w:right="0" w:firstLine="0"/>
      <w:spacing w:after="57"/>
    </w:pPr>
  </w:style>
  <w:style w:type="paragraph" w:styleId="1147">
    <w:name w:val="toc 8"/>
    <w:basedOn w:val="1151"/>
    <w:next w:val="1151"/>
    <w:uiPriority w:val="39"/>
    <w:unhideWhenUsed/>
    <w:pPr>
      <w:ind w:left="1984" w:right="0" w:firstLine="0"/>
      <w:spacing w:after="57"/>
    </w:pPr>
  </w:style>
  <w:style w:type="paragraph" w:styleId="1148">
    <w:name w:val="toc 9"/>
    <w:basedOn w:val="1151"/>
    <w:next w:val="1151"/>
    <w:uiPriority w:val="39"/>
    <w:unhideWhenUsed/>
    <w:pPr>
      <w:ind w:left="2268" w:right="0" w:firstLine="0"/>
      <w:spacing w:after="57"/>
    </w:pPr>
  </w:style>
  <w:style w:type="paragraph" w:styleId="1149">
    <w:name w:val="TOC Heading"/>
    <w:uiPriority w:val="39"/>
    <w:unhideWhenUsed/>
  </w:style>
  <w:style w:type="paragraph" w:styleId="1150">
    <w:name w:val="table of figures"/>
    <w:basedOn w:val="1151"/>
    <w:next w:val="1151"/>
    <w:uiPriority w:val="99"/>
    <w:unhideWhenUsed/>
    <w:pPr>
      <w:spacing w:after="0" w:afterAutospacing="0"/>
    </w:pPr>
  </w:style>
  <w:style w:type="paragraph" w:styleId="1151" w:default="1">
    <w:name w:val="Normal"/>
    <w:next w:val="1151"/>
    <w:link w:val="1151"/>
    <w:qFormat/>
    <w:pPr>
      <w:jc w:val="both"/>
      <w:widowControl w:val="off"/>
    </w:pPr>
    <w:rPr>
      <w:sz w:val="21"/>
      <w:szCs w:val="22"/>
      <w:lang w:val="en-US" w:eastAsia="zh-CN" w:bidi="ar-SA"/>
    </w:rPr>
  </w:style>
  <w:style w:type="paragraph" w:styleId="1152">
    <w:name w:val="标题 1"/>
    <w:basedOn w:val="1151"/>
    <w:next w:val="1151"/>
    <w:link w:val="1158"/>
    <w:uiPriority w:val="99"/>
    <w:qFormat/>
    <w:pPr>
      <w:keepLines/>
      <w:keepNext/>
      <w:spacing w:before="340" w:after="330" w:line="578" w:lineRule="auto"/>
      <w:outlineLvl w:val="0"/>
    </w:pPr>
    <w:rPr>
      <w:rFonts w:ascii="Calibri" w:hAnsi="Calibri"/>
      <w:b/>
      <w:bCs/>
      <w:sz w:val="44"/>
      <w:szCs w:val="44"/>
    </w:rPr>
  </w:style>
  <w:style w:type="paragraph" w:styleId="1153">
    <w:name w:val="标题 2"/>
    <w:basedOn w:val="1151"/>
    <w:next w:val="1160"/>
    <w:link w:val="1159"/>
    <w:uiPriority w:val="9"/>
    <w:qFormat/>
    <w:pPr>
      <w:keepLines/>
      <w:keepNext/>
      <w:spacing w:before="260" w:after="260" w:line="416" w:lineRule="auto"/>
      <w:outlineLvl w:val="1"/>
    </w:pPr>
    <w:rPr>
      <w:rFonts w:ascii="Cambria" w:hAnsi="Cambria"/>
      <w:b/>
      <w:bCs/>
      <w:sz w:val="32"/>
      <w:szCs w:val="32"/>
    </w:rPr>
  </w:style>
  <w:style w:type="paragraph" w:styleId="1154">
    <w:name w:val="标题 3"/>
    <w:basedOn w:val="1151"/>
    <w:next w:val="1151"/>
    <w:link w:val="1161"/>
    <w:qFormat/>
    <w:pPr>
      <w:keepLines/>
      <w:keepNext/>
      <w:spacing w:before="260" w:after="260" w:line="416" w:lineRule="auto"/>
      <w:outlineLvl w:val="2"/>
    </w:pPr>
    <w:rPr>
      <w:rFonts w:ascii="Calibri" w:hAnsi="Calibri"/>
      <w:b/>
      <w:bCs/>
      <w:sz w:val="32"/>
      <w:szCs w:val="32"/>
    </w:rPr>
  </w:style>
  <w:style w:type="paragraph" w:styleId="1155">
    <w:name w:val="标题 4"/>
    <w:basedOn w:val="1151"/>
    <w:next w:val="1160"/>
    <w:link w:val="1162"/>
    <w:qFormat/>
    <w:pPr>
      <w:spacing w:before="280" w:after="290" w:line="377" w:lineRule="auto"/>
      <w:outlineLvl w:val="3"/>
    </w:pPr>
    <w:rPr>
      <w:rFonts w:ascii="Arial" w:hAnsi="Arial" w:eastAsia="黑体"/>
      <w:b/>
      <w:bCs/>
      <w:sz w:val="28"/>
      <w:szCs w:val="28"/>
    </w:rPr>
  </w:style>
  <w:style w:type="character" w:styleId="1156">
    <w:name w:val="默认段落字体"/>
    <w:next w:val="1156"/>
    <w:link w:val="1151"/>
    <w:uiPriority w:val="1"/>
    <w:unhideWhenUsed/>
  </w:style>
  <w:style w:type="table" w:styleId="1157">
    <w:name w:val="普通表格"/>
    <w:next w:val="1157"/>
    <w:link w:val="1151"/>
    <w:uiPriority w:val="99"/>
    <w:unhideWhenUsed/>
    <w:tblPr/>
  </w:style>
  <w:style w:type="character" w:styleId="1158">
    <w:name w:val="标题 1 Char"/>
    <w:next w:val="1158"/>
    <w:link w:val="1152"/>
    <w:uiPriority w:val="99"/>
    <w:rPr>
      <w:rFonts w:ascii="Calibri" w:hAnsi="Calibri" w:eastAsia="宋体" w:cs="Times New Roman"/>
      <w:b/>
      <w:bCs/>
      <w:sz w:val="44"/>
      <w:szCs w:val="44"/>
    </w:rPr>
  </w:style>
  <w:style w:type="character" w:styleId="1159">
    <w:name w:val="标题 2 Char"/>
    <w:next w:val="1159"/>
    <w:link w:val="1153"/>
    <w:uiPriority w:val="9"/>
    <w:rPr>
      <w:rFonts w:ascii="Cambria" w:hAnsi="Cambria" w:eastAsia="宋体" w:cs="Times New Roman"/>
      <w:b/>
      <w:bCs/>
      <w:sz w:val="32"/>
      <w:szCs w:val="32"/>
    </w:rPr>
  </w:style>
  <w:style w:type="paragraph" w:styleId="1160">
    <w:name w:val="正文缩进"/>
    <w:basedOn w:val="1151"/>
    <w:next w:val="1160"/>
    <w:link w:val="1151"/>
    <w:unhideWhenUsed/>
    <w:pPr>
      <w:ind w:firstLine="420"/>
    </w:pPr>
    <w:rPr>
      <w:rFonts w:ascii="Calibri" w:hAnsi="Calibri" w:eastAsia="宋体" w:cs="Times New Roman"/>
    </w:rPr>
  </w:style>
  <w:style w:type="character" w:styleId="1161">
    <w:name w:val="标题 3 Char"/>
    <w:next w:val="1161"/>
    <w:link w:val="1154"/>
    <w:rPr>
      <w:rFonts w:ascii="Calibri" w:hAnsi="Calibri" w:eastAsia="宋体" w:cs="Times New Roman"/>
      <w:b/>
      <w:bCs/>
      <w:sz w:val="32"/>
      <w:szCs w:val="32"/>
    </w:rPr>
  </w:style>
  <w:style w:type="character" w:styleId="1162">
    <w:name w:val="标题 4 Char"/>
    <w:next w:val="1162"/>
    <w:link w:val="1155"/>
    <w:rPr>
      <w:rFonts w:ascii="Arial" w:hAnsi="Arial" w:eastAsia="黑体" w:cs="Times New Roman"/>
      <w:b/>
      <w:bCs/>
      <w:sz w:val="28"/>
      <w:szCs w:val="28"/>
    </w:rPr>
  </w:style>
  <w:style w:type="paragraph" w:styleId="1163">
    <w:name w:val="文档结构图"/>
    <w:basedOn w:val="1151"/>
    <w:next w:val="1163"/>
    <w:link w:val="1164"/>
    <w:uiPriority w:val="99"/>
    <w:unhideWhenUsed/>
    <w:rPr>
      <w:rFonts w:ascii="宋体"/>
      <w:sz w:val="18"/>
      <w:szCs w:val="18"/>
    </w:rPr>
  </w:style>
  <w:style w:type="character" w:styleId="1164">
    <w:name w:val="文档结构图 Char"/>
    <w:next w:val="1164"/>
    <w:link w:val="1163"/>
    <w:uiPriority w:val="99"/>
    <w:semiHidden/>
    <w:rPr>
      <w:rFonts w:ascii="宋体"/>
      <w:sz w:val="18"/>
      <w:szCs w:val="18"/>
    </w:rPr>
  </w:style>
  <w:style w:type="paragraph" w:styleId="1165">
    <w:name w:val="索引 6"/>
    <w:basedOn w:val="1151"/>
    <w:next w:val="1151"/>
    <w:link w:val="1151"/>
    <w:qFormat/>
    <w:pPr>
      <w:ind w:left="1260" w:hanging="210"/>
      <w:jc w:val="left"/>
    </w:pPr>
    <w:rPr>
      <w:rFonts w:ascii="Calibri" w:hAnsi="Calibri"/>
      <w:sz w:val="20"/>
      <w:szCs w:val="20"/>
    </w:rPr>
  </w:style>
  <w:style w:type="paragraph" w:styleId="1166">
    <w:name w:val="正文文本"/>
    <w:basedOn w:val="1151"/>
    <w:next w:val="1166"/>
    <w:link w:val="1151"/>
    <w:qFormat/>
    <w:rPr>
      <w:rFonts w:ascii="楷体_GB2312" w:hAnsi="Arial" w:eastAsia="楷体_GB2312"/>
      <w:sz w:val="28"/>
      <w:szCs w:val="28"/>
    </w:rPr>
  </w:style>
  <w:style w:type="paragraph" w:styleId="1167">
    <w:name w:val="正文文本缩进"/>
    <w:basedOn w:val="1151"/>
    <w:next w:val="1167"/>
    <w:link w:val="1151"/>
    <w:qFormat/>
    <w:pPr>
      <w:ind w:left="400" w:hanging="400"/>
    </w:pPr>
    <w:rPr>
      <w:rFonts w:eastAsia="黑体"/>
      <w:sz w:val="48"/>
    </w:rPr>
  </w:style>
  <w:style w:type="paragraph" w:styleId="1168">
    <w:name w:val="文本块"/>
    <w:basedOn w:val="1151"/>
    <w:next w:val="1168"/>
    <w:link w:val="1151"/>
    <w:uiPriority w:val="99"/>
    <w:unhideWhenUsed/>
    <w:qFormat/>
    <w:pPr>
      <w:ind w:left="567" w:right="454" w:firstLine="498"/>
      <w:jc w:val="left"/>
    </w:pPr>
    <w:rPr>
      <w:rFonts w:ascii="仿宋_GB2312" w:eastAsia="仿宋_GB2312"/>
      <w:sz w:val="30"/>
      <w:szCs w:val="20"/>
    </w:rPr>
  </w:style>
  <w:style w:type="paragraph" w:styleId="1169">
    <w:name w:val="列表项目符号 2"/>
    <w:basedOn w:val="1151"/>
    <w:next w:val="1169"/>
    <w:link w:val="1151"/>
    <w:uiPriority w:val="99"/>
    <w:unhideWhenUsed/>
    <w:pPr>
      <w:numPr>
        <w:ilvl w:val="0"/>
        <w:numId w:val="1"/>
      </w:numPr>
      <w:tabs>
        <w:tab w:val="left" w:pos="780" w:leader="none"/>
      </w:tabs>
    </w:pPr>
  </w:style>
  <w:style w:type="paragraph" w:styleId="1170">
    <w:name w:val="目录 3"/>
    <w:basedOn w:val="1151"/>
    <w:next w:val="1151"/>
    <w:link w:val="1151"/>
    <w:uiPriority w:val="39"/>
    <w:unhideWhenUsed/>
    <w:pPr>
      <w:ind w:left="840"/>
    </w:pPr>
  </w:style>
  <w:style w:type="paragraph" w:styleId="1171">
    <w:name w:val="纯文本"/>
    <w:basedOn w:val="1151"/>
    <w:next w:val="1171"/>
    <w:link w:val="1172"/>
    <w:uiPriority w:val="99"/>
    <w:unhideWhenUsed/>
    <w:qFormat/>
    <w:rPr>
      <w:rFonts w:ascii="宋体" w:hAnsi="Courier New"/>
      <w:sz w:val="20"/>
      <w:szCs w:val="20"/>
    </w:rPr>
  </w:style>
  <w:style w:type="character" w:styleId="1172">
    <w:name w:val="纯文本 Char"/>
    <w:next w:val="1172"/>
    <w:link w:val="1171"/>
    <w:uiPriority w:val="99"/>
    <w:rPr>
      <w:rFonts w:ascii="宋体" w:hAnsi="Courier New"/>
    </w:rPr>
  </w:style>
  <w:style w:type="paragraph" w:styleId="1173">
    <w:name w:val="日期"/>
    <w:basedOn w:val="1151"/>
    <w:next w:val="1151"/>
    <w:link w:val="1174"/>
    <w:qFormat/>
    <w:rPr>
      <w:sz w:val="24"/>
      <w:szCs w:val="20"/>
    </w:rPr>
  </w:style>
  <w:style w:type="character" w:styleId="1174">
    <w:name w:val="日期 Char"/>
    <w:next w:val="1174"/>
    <w:link w:val="1173"/>
    <w:rPr>
      <w:rFonts w:ascii="Times New Roman" w:hAnsi="Times New Roman"/>
      <w:sz w:val="24"/>
    </w:rPr>
  </w:style>
  <w:style w:type="paragraph" w:styleId="1175">
    <w:name w:val="正文文本缩进 2"/>
    <w:basedOn w:val="1151"/>
    <w:next w:val="1175"/>
    <w:link w:val="1151"/>
    <w:uiPriority w:val="99"/>
    <w:unhideWhenUsed/>
    <w:qFormat/>
    <w:pPr>
      <w:ind w:firstLine="562"/>
      <w:spacing w:line="480" w:lineRule="exact"/>
    </w:pPr>
    <w:rPr>
      <w:b/>
      <w:bCs/>
      <w:sz w:val="28"/>
      <w:szCs w:val="28"/>
    </w:rPr>
  </w:style>
  <w:style w:type="paragraph" w:styleId="1176">
    <w:name w:val="批注框文本"/>
    <w:basedOn w:val="1151"/>
    <w:next w:val="1176"/>
    <w:link w:val="1177"/>
    <w:uiPriority w:val="99"/>
    <w:unhideWhenUsed/>
    <w:rPr>
      <w:sz w:val="18"/>
      <w:szCs w:val="18"/>
    </w:rPr>
  </w:style>
  <w:style w:type="character" w:styleId="1177">
    <w:name w:val="批注框文本 Char"/>
    <w:next w:val="1177"/>
    <w:link w:val="1176"/>
    <w:uiPriority w:val="99"/>
    <w:semiHidden/>
    <w:rPr>
      <w:sz w:val="18"/>
      <w:szCs w:val="18"/>
    </w:rPr>
  </w:style>
  <w:style w:type="paragraph" w:styleId="1178">
    <w:name w:val="页脚"/>
    <w:basedOn w:val="1151"/>
    <w:next w:val="1178"/>
    <w:link w:val="1179"/>
    <w:uiPriority w:val="99"/>
    <w:unhideWhenUsed/>
    <w:pPr>
      <w:jc w:val="left"/>
      <w:tabs>
        <w:tab w:val="center" w:pos="4153" w:leader="none"/>
        <w:tab w:val="right" w:pos="8306" w:leader="none"/>
      </w:tabs>
    </w:pPr>
    <w:rPr>
      <w:sz w:val="18"/>
      <w:szCs w:val="18"/>
    </w:rPr>
  </w:style>
  <w:style w:type="character" w:styleId="1179">
    <w:name w:val="页脚 Char"/>
    <w:next w:val="1179"/>
    <w:link w:val="1178"/>
    <w:uiPriority w:val="99"/>
    <w:rPr>
      <w:sz w:val="18"/>
      <w:szCs w:val="18"/>
    </w:rPr>
  </w:style>
  <w:style w:type="paragraph" w:styleId="1180">
    <w:name w:val="页眉"/>
    <w:basedOn w:val="1151"/>
    <w:next w:val="1180"/>
    <w:link w:val="1181"/>
    <w:uiPriority w:val="99"/>
    <w:unhideWhenUsed/>
    <w:pPr>
      <w:jc w:val="center"/>
      <w:tabs>
        <w:tab w:val="center" w:pos="4153" w:leader="none"/>
        <w:tab w:val="right" w:pos="8306" w:leader="none"/>
      </w:tabs>
      <w:pBdr>
        <w:bottom w:val="single" w:color="000000" w:sz="6" w:space="1"/>
      </w:pBdr>
    </w:pPr>
    <w:rPr>
      <w:sz w:val="18"/>
      <w:szCs w:val="18"/>
    </w:rPr>
  </w:style>
  <w:style w:type="character" w:styleId="1181">
    <w:name w:val="页眉 Char"/>
    <w:next w:val="1181"/>
    <w:link w:val="1180"/>
    <w:uiPriority w:val="99"/>
    <w:rPr>
      <w:sz w:val="18"/>
      <w:szCs w:val="18"/>
    </w:rPr>
  </w:style>
  <w:style w:type="paragraph" w:styleId="1182">
    <w:name w:val="目录 1"/>
    <w:basedOn w:val="1151"/>
    <w:next w:val="1151"/>
    <w:link w:val="1151"/>
    <w:uiPriority w:val="39"/>
    <w:unhideWhenUsed/>
    <w:rPr>
      <w:rFonts w:ascii="Calibri" w:hAnsi="Calibri" w:eastAsia="宋体" w:cs="Times New Roman"/>
    </w:rPr>
  </w:style>
  <w:style w:type="paragraph" w:styleId="1183">
    <w:name w:val="目录 2"/>
    <w:basedOn w:val="1151"/>
    <w:next w:val="1151"/>
    <w:link w:val="1151"/>
    <w:uiPriority w:val="39"/>
    <w:unhideWhenUsed/>
    <w:pPr>
      <w:ind w:left="420"/>
    </w:pPr>
  </w:style>
  <w:style w:type="paragraph" w:styleId="1184">
    <w:name w:val="普通(网站)"/>
    <w:basedOn w:val="1151"/>
    <w:next w:val="1184"/>
    <w:link w:val="1151"/>
    <w:unhideWhenUsed/>
    <w:pPr>
      <w:jc w:val="left"/>
    </w:pPr>
    <w:rPr>
      <w:rFonts w:ascii="Calibri" w:hAnsi="Calibri" w:eastAsia="宋体" w:cs="Times New Roman"/>
      <w:sz w:val="24"/>
      <w:szCs w:val="24"/>
    </w:rPr>
  </w:style>
  <w:style w:type="paragraph" w:styleId="1185">
    <w:name w:val="标题"/>
    <w:basedOn w:val="1151"/>
    <w:next w:val="1151"/>
    <w:link w:val="1151"/>
    <w:uiPriority w:val="10"/>
    <w:qFormat/>
    <w:pPr>
      <w:jc w:val="center"/>
      <w:spacing w:before="240" w:after="60"/>
      <w:outlineLvl w:val="0"/>
    </w:pPr>
    <w:rPr>
      <w:rFonts w:ascii="Cambria" w:hAnsi="Cambria"/>
      <w:b/>
      <w:bCs/>
      <w:sz w:val="32"/>
      <w:szCs w:val="32"/>
    </w:rPr>
  </w:style>
  <w:style w:type="paragraph" w:styleId="1186">
    <w:name w:val="正文首行缩进 2"/>
    <w:basedOn w:val="1167"/>
    <w:next w:val="1186"/>
    <w:link w:val="1151"/>
    <w:qFormat/>
    <w:pPr>
      <w:ind w:left="420" w:firstLine="210"/>
      <w:spacing w:after="120"/>
    </w:pPr>
    <w:rPr>
      <w:sz w:val="20"/>
    </w:rPr>
  </w:style>
  <w:style w:type="character" w:styleId="1187">
    <w:name w:val="要点"/>
    <w:next w:val="1187"/>
    <w:link w:val="1151"/>
    <w:qFormat/>
    <w:rPr>
      <w:b/>
    </w:rPr>
  </w:style>
  <w:style w:type="character" w:styleId="1188">
    <w:name w:val="页码"/>
    <w:next w:val="1188"/>
    <w:link w:val="1151"/>
  </w:style>
  <w:style w:type="character" w:styleId="1189">
    <w:name w:val="已访问的超链接"/>
    <w:basedOn w:val="1156"/>
    <w:next w:val="1189"/>
    <w:link w:val="1151"/>
    <w:uiPriority w:val="99"/>
    <w:unhideWhenUsed/>
    <w:rPr>
      <w:color w:val="333333"/>
      <w:u w:val="none"/>
    </w:rPr>
  </w:style>
  <w:style w:type="character" w:styleId="1190">
    <w:name w:val="强调"/>
    <w:basedOn w:val="1156"/>
    <w:next w:val="1190"/>
    <w:link w:val="1151"/>
    <w:uiPriority w:val="20"/>
    <w:qFormat/>
    <w:rPr>
      <w:i/>
    </w:rPr>
  </w:style>
  <w:style w:type="character" w:styleId="1191">
    <w:name w:val="HTML 定义"/>
    <w:basedOn w:val="1156"/>
    <w:next w:val="1191"/>
    <w:link w:val="1151"/>
    <w:uiPriority w:val="99"/>
    <w:unhideWhenUsed/>
    <w:rPr>
      <w:b w:val="0"/>
      <w:bCs w:val="0"/>
      <w:i w:val="0"/>
      <w:iCs w:val="0"/>
    </w:rPr>
  </w:style>
  <w:style w:type="character" w:styleId="1192">
    <w:name w:val="HTML 变量"/>
    <w:basedOn w:val="1156"/>
    <w:next w:val="1192"/>
    <w:link w:val="1151"/>
    <w:uiPriority w:val="99"/>
    <w:unhideWhenUsed/>
    <w:rPr>
      <w:b w:val="0"/>
      <w:bCs w:val="0"/>
      <w:i w:val="0"/>
      <w:iCs w:val="0"/>
    </w:rPr>
  </w:style>
  <w:style w:type="character" w:styleId="1193">
    <w:name w:val="超链接"/>
    <w:next w:val="1193"/>
    <w:link w:val="1151"/>
    <w:uiPriority w:val="99"/>
    <w:unhideWhenUsed/>
    <w:rPr>
      <w:color w:val="0563c1"/>
      <w:u w:val="single"/>
    </w:rPr>
  </w:style>
  <w:style w:type="character" w:styleId="1194">
    <w:name w:val="HTML 代码"/>
    <w:basedOn w:val="1156"/>
    <w:next w:val="1194"/>
    <w:link w:val="1151"/>
    <w:uiPriority w:val="99"/>
    <w:unhideWhenUsed/>
    <w:rPr>
      <w:rFonts w:ascii="Courier New" w:hAnsi="Courier New"/>
      <w:b w:val="0"/>
      <w:bCs w:val="0"/>
      <w:i w:val="0"/>
      <w:iCs w:val="0"/>
      <w:sz w:val="20"/>
    </w:rPr>
  </w:style>
  <w:style w:type="character" w:styleId="1195">
    <w:name w:val="HTML 引文"/>
    <w:basedOn w:val="1156"/>
    <w:next w:val="1195"/>
    <w:link w:val="1151"/>
    <w:uiPriority w:val="99"/>
    <w:unhideWhenUsed/>
    <w:rPr>
      <w:b w:val="0"/>
      <w:bCs w:val="0"/>
      <w:i w:val="0"/>
      <w:iCs w:val="0"/>
    </w:rPr>
  </w:style>
  <w:style w:type="paragraph" w:styleId="1196">
    <w:name w:val="列表项目符号 21"/>
    <w:basedOn w:val="1151"/>
    <w:next w:val="1196"/>
    <w:link w:val="1151"/>
    <w:uiPriority w:val="99"/>
    <w:unhideWhenUsed/>
    <w:qFormat/>
    <w:pPr>
      <w:numPr>
        <w:ilvl w:val="0"/>
        <w:numId w:val="2"/>
      </w:numPr>
      <w:tabs>
        <w:tab w:val="left" w:pos="780" w:leader="none"/>
      </w:tabs>
    </w:pPr>
  </w:style>
  <w:style w:type="paragraph" w:styleId="1197">
    <w:name w:val="正文1"/>
    <w:basedOn w:val="1151"/>
    <w:next w:val="1198"/>
    <w:link w:val="1151"/>
    <w:qFormat/>
    <w:pPr>
      <w:jc w:val="left"/>
      <w:spacing w:line="360" w:lineRule="atLeast"/>
    </w:pPr>
    <w:rPr>
      <w:rFonts w:ascii="宋体" w:hAnsi="Calibri" w:eastAsia="宋体" w:cs="Times New Roman"/>
      <w:sz w:val="24"/>
      <w:szCs w:val="20"/>
    </w:rPr>
  </w:style>
  <w:style w:type="paragraph" w:styleId="1198">
    <w:name w:val="正文文本1"/>
    <w:basedOn w:val="1197"/>
    <w:next w:val="1199"/>
    <w:link w:val="1151"/>
    <w:qFormat/>
    <w:pPr>
      <w:spacing w:after="120"/>
    </w:pPr>
    <w:rPr>
      <w:lang w:val="en-US" w:eastAsia="en-US"/>
    </w:rPr>
  </w:style>
  <w:style w:type="paragraph" w:styleId="1199">
    <w:name w:val="一级条标题"/>
    <w:basedOn w:val="1200"/>
    <w:next w:val="1151"/>
    <w:link w:val="115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00">
    <w:name w:val="章标题"/>
    <w:next w:val="1151"/>
    <w:link w:val="115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201">
    <w:name w:val="段"/>
    <w:basedOn w:val="1197"/>
    <w:next w:val="1201"/>
    <w:link w:val="1151"/>
    <w:qFormat/>
    <w:pPr>
      <w:ind w:firstLine="200"/>
      <w:widowControl/>
    </w:pPr>
    <w:rPr>
      <w:rFonts w:ascii="宋体"/>
      <w:sz w:val="20"/>
      <w:szCs w:val="20"/>
    </w:rPr>
  </w:style>
  <w:style w:type="character" w:styleId="1202">
    <w:name w:val="日期 Char1"/>
    <w:next w:val="1202"/>
    <w:link w:val="1151"/>
    <w:uiPriority w:val="99"/>
    <w:semiHidden/>
  </w:style>
  <w:style w:type="character" w:styleId="1203">
    <w:name w:val="htd0"/>
    <w:next w:val="1203"/>
    <w:link w:val="1151"/>
    <w:qFormat/>
  </w:style>
  <w:style w:type="character" w:styleId="1204">
    <w:name w:val="纯文本 Char1"/>
    <w:next w:val="1204"/>
    <w:link w:val="1151"/>
    <w:uiPriority w:val="99"/>
    <w:semiHidden/>
    <w:rPr>
      <w:rFonts w:ascii="宋体" w:hAnsi="Courier New" w:eastAsia="宋体" w:cs="Courier New"/>
      <w:szCs w:val="21"/>
    </w:rPr>
  </w:style>
  <w:style w:type="character" w:styleId="1205">
    <w:name w:val="页眉 Char1"/>
    <w:next w:val="1205"/>
    <w:link w:val="1151"/>
    <w:uiPriority w:val="99"/>
    <w:semiHidden/>
    <w:rPr>
      <w:sz w:val="18"/>
      <w:szCs w:val="18"/>
    </w:rPr>
  </w:style>
  <w:style w:type="character" w:styleId="1206">
    <w:name w:val="批注引用1"/>
    <w:next w:val="1206"/>
    <w:link w:val="1207"/>
    <w:qFormat/>
    <w:rPr>
      <w:rFonts w:ascii="Calibri" w:hAnsi="Calibri"/>
      <w:sz w:val="21"/>
      <w:szCs w:val="24"/>
      <w:lang w:val="en-US" w:eastAsia="zh-CN" w:bidi="ar-SA"/>
    </w:rPr>
  </w:style>
  <w:style w:type="paragraph" w:styleId="1207">
    <w:name w:val="正文111"/>
    <w:next w:val="1208"/>
    <w:link w:val="1206"/>
    <w:qFormat/>
    <w:pPr>
      <w:jc w:val="both"/>
      <w:widowControl w:val="off"/>
    </w:pPr>
    <w:rPr>
      <w:rFonts w:ascii="Calibri" w:hAnsi="Calibri"/>
      <w:sz w:val="21"/>
      <w:szCs w:val="24"/>
      <w:lang w:val="en-US" w:eastAsia="zh-CN" w:bidi="ar-SA"/>
    </w:rPr>
  </w:style>
  <w:style w:type="paragraph" w:styleId="1208">
    <w:name w:val="文本块1"/>
    <w:basedOn w:val="1207"/>
    <w:next w:val="1208"/>
    <w:link w:val="1151"/>
    <w:qFormat/>
    <w:pPr>
      <w:ind w:left="567" w:right="454" w:firstLine="498"/>
      <w:jc w:val="left"/>
      <w:widowControl/>
    </w:pPr>
    <w:rPr>
      <w:rFonts w:ascii="仿宋_GB2312" w:eastAsia="仿宋_GB2312"/>
      <w:sz w:val="30"/>
      <w:szCs w:val="20"/>
    </w:rPr>
  </w:style>
  <w:style w:type="character" w:styleId="1209">
    <w:name w:val="页脚 Char1"/>
    <w:next w:val="1209"/>
    <w:link w:val="1151"/>
    <w:uiPriority w:val="99"/>
    <w:semiHidden/>
    <w:rPr>
      <w:sz w:val="18"/>
      <w:szCs w:val="18"/>
    </w:rPr>
  </w:style>
  <w:style w:type="paragraph" w:styleId="1210">
    <w:name w:val="普通正文"/>
    <w:basedOn w:val="1151"/>
    <w:next w:val="1210"/>
    <w:link w:val="1151"/>
    <w:pPr>
      <w:ind w:firstLine="480"/>
      <w:jc w:val="left"/>
      <w:spacing w:before="120" w:after="120" w:line="360" w:lineRule="auto"/>
    </w:pPr>
    <w:rPr>
      <w:rFonts w:ascii="Arial" w:hAnsi="Arial" w:eastAsia="宋体" w:cs="Times New Roman"/>
      <w:sz w:val="24"/>
      <w:szCs w:val="24"/>
    </w:rPr>
  </w:style>
  <w:style w:type="paragraph" w:styleId="1211">
    <w:name w:val="正文_0"/>
    <w:next w:val="1211"/>
    <w:link w:val="1151"/>
    <w:qFormat/>
    <w:pPr>
      <w:jc w:val="both"/>
      <w:widowControl w:val="off"/>
    </w:pPr>
    <w:rPr>
      <w:rFonts w:ascii="Calibri" w:hAnsi="Calibri"/>
      <w:sz w:val="21"/>
      <w:szCs w:val="22"/>
      <w:lang w:val="en-US" w:eastAsia="zh-CN" w:bidi="ar-SA"/>
    </w:rPr>
  </w:style>
  <w:style w:type="paragraph" w:styleId="1212">
    <w:name w:val="Char"/>
    <w:basedOn w:val="1151"/>
    <w:next w:val="1212"/>
    <w:link w:val="1151"/>
    <w:qFormat/>
    <w:pPr>
      <w:ind w:firstLine="200"/>
      <w:tabs>
        <w:tab w:val="left" w:pos="360" w:leader="none"/>
      </w:tabs>
    </w:pPr>
    <w:rPr>
      <w:rFonts w:ascii="Times New Roman" w:hAnsi="Times New Roman" w:eastAsia="宋体" w:cs="Times New Roman"/>
      <w:sz w:val="28"/>
      <w:szCs w:val="30"/>
    </w:rPr>
  </w:style>
  <w:style w:type="paragraph" w:styleId="1213">
    <w:name w:val="Default"/>
    <w:next w:val="1151"/>
    <w:link w:val="1151"/>
    <w:qFormat/>
    <w:pPr>
      <w:widowControl w:val="off"/>
    </w:pPr>
    <w:rPr>
      <w:rFonts w:ascii="宋体" w:hAnsi="宋体"/>
      <w:color w:val="000000"/>
      <w:sz w:val="24"/>
      <w:szCs w:val="22"/>
      <w:lang w:val="en-US" w:eastAsia="zh-CN" w:bidi="ar-SA"/>
    </w:rPr>
  </w:style>
  <w:style w:type="paragraph" w:styleId="1214">
    <w:name w:val="无间隔"/>
    <w:next w:val="1214"/>
    <w:link w:val="1151"/>
    <w:uiPriority w:val="99"/>
    <w:qFormat/>
    <w:pPr>
      <w:jc w:val="both"/>
      <w:widowControl w:val="off"/>
    </w:pPr>
    <w:rPr>
      <w:sz w:val="21"/>
      <w:szCs w:val="21"/>
      <w:lang w:val="en-US" w:eastAsia="zh-CN" w:bidi="ar-SA"/>
    </w:rPr>
  </w:style>
  <w:style w:type="paragraph" w:styleId="1215">
    <w:name w:val="默认段落字体 Para Char Char Char Char Char Char Char"/>
    <w:basedOn w:val="1151"/>
    <w:next w:val="1151"/>
    <w:link w:val="1151"/>
    <w:uiPriority w:val="99"/>
    <w:qFormat/>
    <w:pPr>
      <w:ind w:firstLine="200"/>
    </w:pPr>
    <w:rPr>
      <w:rFonts w:ascii="Calibri" w:hAnsi="Calibri" w:eastAsia="宋体" w:cs="Arial"/>
      <w:szCs w:val="24"/>
    </w:rPr>
  </w:style>
  <w:style w:type="paragraph" w:styleId="1216">
    <w:name w:val="正文_0_0"/>
    <w:next w:val="1216"/>
    <w:link w:val="1151"/>
    <w:qFormat/>
    <w:pPr>
      <w:jc w:val="both"/>
      <w:widowControl w:val="off"/>
    </w:pPr>
    <w:rPr>
      <w:sz w:val="21"/>
      <w:szCs w:val="22"/>
      <w:lang w:val="en-US" w:eastAsia="zh-CN" w:bidi="ar-SA"/>
    </w:rPr>
  </w:style>
  <w:style w:type="paragraph" w:styleId="1217">
    <w:name w:val="页脚1"/>
    <w:basedOn w:val="1207"/>
    <w:next w:val="1217"/>
    <w:link w:val="1151"/>
    <w:qFormat/>
    <w:pPr>
      <w:jc w:val="left"/>
      <w:tabs>
        <w:tab w:val="center" w:pos="4153" w:leader="none"/>
        <w:tab w:val="right" w:pos="8306" w:leader="none"/>
      </w:tabs>
    </w:pPr>
    <w:rPr>
      <w:sz w:val="18"/>
      <w:szCs w:val="18"/>
    </w:rPr>
  </w:style>
  <w:style w:type="paragraph" w:styleId="1218">
    <w:name w:val="正文（缩进）"/>
    <w:basedOn w:val="1151"/>
    <w:next w:val="1151"/>
    <w:link w:val="1151"/>
    <w:qFormat/>
    <w:pPr>
      <w:ind w:firstLine="480"/>
    </w:pPr>
    <w:rPr>
      <w:rFonts w:ascii="Calibri" w:hAnsi="Calibri" w:eastAsia="宋体" w:cs="Times New Roman"/>
      <w:szCs w:val="24"/>
    </w:rPr>
  </w:style>
  <w:style w:type="paragraph" w:styleId="1219">
    <w:name w:val="页眉1"/>
    <w:basedOn w:val="1207"/>
    <w:next w:val="1219"/>
    <w:link w:val="1151"/>
    <w:qFormat/>
    <w:pPr>
      <w:jc w:val="center"/>
      <w:tabs>
        <w:tab w:val="center" w:pos="4153" w:leader="none"/>
        <w:tab w:val="right" w:pos="8306" w:leader="none"/>
      </w:tabs>
      <w:pBdr>
        <w:bottom w:val="single" w:color="000000" w:sz="6" w:space="1"/>
      </w:pBdr>
    </w:pPr>
    <w:rPr>
      <w:sz w:val="18"/>
      <w:szCs w:val="18"/>
    </w:rPr>
  </w:style>
  <w:style w:type="paragraph" w:styleId="1220">
    <w:name w:val="纯文本1"/>
    <w:basedOn w:val="1207"/>
    <w:next w:val="1220"/>
    <w:link w:val="1151"/>
    <w:qFormat/>
    <w:rPr>
      <w:rFonts w:ascii="宋体" w:hAnsi="Courier New"/>
      <w:sz w:val="21"/>
      <w:szCs w:val="21"/>
    </w:rPr>
  </w:style>
  <w:style w:type="table" w:styleId="1221">
    <w:name w:val="Table Normal"/>
    <w:next w:val="1221"/>
    <w:link w:val="1151"/>
    <w:unhideWhenUsed/>
    <w:qFormat/>
    <w:rPr>
      <w:lang w:val="en-US" w:eastAsia="zh-CN" w:bidi="ar-SA"/>
    </w:rPr>
    <w:tblPr/>
  </w:style>
  <w:style w:type="paragraph" w:styleId="1222">
    <w:name w:val="Table Text"/>
    <w:basedOn w:val="1151"/>
    <w:next w:val="1222"/>
    <w:link w:val="1151"/>
    <w:semiHidden/>
    <w:qFormat/>
    <w:rPr>
      <w:rFonts w:ascii="仿宋" w:hAnsi="仿宋" w:eastAsia="仿宋" w:cs="仿宋"/>
      <w:sz w:val="21"/>
      <w:szCs w:val="21"/>
      <w:lang w:val="en-US" w:eastAsia="en-US" w:bidi="ar-SA"/>
    </w:rPr>
  </w:style>
  <w:style w:type="paragraph" w:styleId="1223">
    <w:name w:val="纯文本11"/>
    <w:basedOn w:val="1151"/>
    <w:next w:val="1223"/>
    <w:link w:val="1151"/>
    <w:uiPriority w:val="99"/>
    <w:qFormat/>
    <w:rPr>
      <w:rFonts w:ascii="宋体" w:hAnsi="Courier New"/>
      <w:sz w:val="20"/>
      <w:szCs w:val="21"/>
    </w:rPr>
  </w:style>
  <w:style w:type="character" w:styleId="1224">
    <w:name w:val="hover"/>
    <w:basedOn w:val="1156"/>
    <w:next w:val="1224"/>
    <w:link w:val="1151"/>
    <w:rPr>
      <w:color w:val="ffffff"/>
    </w:rPr>
  </w:style>
  <w:style w:type="character" w:styleId="1225">
    <w:name w:val="hover1"/>
    <w:basedOn w:val="1156"/>
    <w:next w:val="1225"/>
    <w:link w:val="1151"/>
    <w:rPr>
      <w:color w:val="5fb878"/>
    </w:rPr>
  </w:style>
  <w:style w:type="character" w:styleId="1226">
    <w:name w:val="hover2"/>
    <w:basedOn w:val="1156"/>
    <w:next w:val="1226"/>
    <w:link w:val="1151"/>
    <w:rPr>
      <w:color w:val="5fb878"/>
    </w:rPr>
  </w:style>
  <w:style w:type="character" w:styleId="1227">
    <w:name w:val="hover3"/>
    <w:basedOn w:val="1156"/>
    <w:next w:val="1227"/>
    <w:link w:val="1151"/>
    <w:rPr>
      <w:shd w:val="clear" w:color="auto" w:fill="929292"/>
    </w:rPr>
  </w:style>
  <w:style w:type="character" w:styleId="1228">
    <w:name w:val="layui-laypage-curr"/>
    <w:basedOn w:val="1156"/>
    <w:next w:val="1228"/>
    <w:link w:val="1151"/>
  </w:style>
  <w:style w:type="character" w:styleId="1229">
    <w:name w:val="first-child1"/>
    <w:basedOn w:val="1156"/>
    <w:next w:val="1229"/>
    <w:link w:val="1151"/>
  </w:style>
  <w:style w:type="character" w:styleId="1230">
    <w:name w:val="layui-this4"/>
    <w:basedOn w:val="1156"/>
    <w:next w:val="1230"/>
    <w:link w:val="1151"/>
    <w:rPr>
      <w:shd w:val="clear" w:color="auto" w:fill="ffffff"/>
    </w:rPr>
  </w:style>
  <w:style w:type="character" w:styleId="1231">
    <w:name w:val="hover22"/>
    <w:basedOn w:val="1156"/>
    <w:next w:val="1231"/>
    <w:link w:val="1151"/>
    <w:rPr>
      <w:shd w:val="clear" w:color="auto" w:fill="929292"/>
    </w:rPr>
  </w:style>
  <w:style w:type="character" w:styleId="1232">
    <w:name w:val="hover23"/>
    <w:basedOn w:val="1156"/>
    <w:next w:val="1232"/>
    <w:link w:val="1151"/>
    <w:rPr>
      <w:color w:val="5fb878"/>
    </w:rPr>
  </w:style>
  <w:style w:type="character" w:styleId="1233">
    <w:name w:val="hover24"/>
    <w:basedOn w:val="1156"/>
    <w:next w:val="1233"/>
    <w:link w:val="1151"/>
    <w:rPr>
      <w:color w:val="5fb878"/>
    </w:rPr>
  </w:style>
  <w:style w:type="character" w:styleId="1234">
    <w:name w:val="hover25"/>
    <w:basedOn w:val="1156"/>
    <w:next w:val="1234"/>
    <w:link w:val="1151"/>
    <w:rPr>
      <w:color w:val="ffffff"/>
    </w:rPr>
  </w:style>
  <w:style w:type="character" w:styleId="1235">
    <w:name w:val="first-child"/>
    <w:basedOn w:val="1156"/>
    <w:next w:val="1235"/>
    <w:link w:val="1151"/>
  </w:style>
  <w:style w:type="paragraph" w:styleId="1236">
    <w:name w:val="TOC 标题1"/>
    <w:basedOn w:val="1152"/>
    <w:next w:val="1151"/>
    <w:link w:val="1151"/>
    <w:unhideWhenUsed/>
    <w:qFormat/>
    <w:pPr>
      <w:jc w:val="left"/>
      <w:keepLines/>
      <w:spacing w:before="480" w:line="276" w:lineRule="auto"/>
      <w:widowControl/>
      <w:outlineLvl w:val="9"/>
    </w:pPr>
    <w:rPr>
      <w:rFonts w:ascii="Cambria" w:hAnsi="Cambria" w:cs="黑体"/>
      <w:color w:val="365f90"/>
      <w:szCs w:val="28"/>
    </w:rPr>
  </w:style>
  <w:style w:type="paragraph" w:styleId="1237">
    <w:name w:val="样式6"/>
    <w:basedOn w:val="1151"/>
    <w:next w:val="1237"/>
    <w:link w:val="1151"/>
    <w:qFormat/>
    <w:pPr>
      <w:jc w:val="center"/>
      <w:spacing w:before="560" w:after="560" w:line="560" w:lineRule="exact"/>
    </w:pPr>
    <w:rPr>
      <w:rFonts w:eastAsia="黑体"/>
      <w:sz w:val="32"/>
      <w:szCs w:val="20"/>
    </w:rPr>
  </w:style>
  <w:style w:type="paragraph" w:styleId="1238">
    <w:name w:val="样式1"/>
    <w:basedOn w:val="1151"/>
    <w:next w:val="1238"/>
    <w:link w:val="1151"/>
    <w:qFormat/>
    <w:pPr>
      <w:spacing w:line="480" w:lineRule="auto"/>
    </w:pPr>
    <w:rPr>
      <w:rFonts w:ascii="EU-F1" w:eastAsia="黑体"/>
      <w:szCs w:val="21"/>
    </w:rPr>
  </w:style>
  <w:style w:type="paragraph" w:styleId="1239">
    <w:name w:val="表头"/>
    <w:basedOn w:val="1151"/>
    <w:next w:val="1239"/>
    <w:link w:val="1151"/>
    <w:qFormat/>
    <w:pPr>
      <w:jc w:val="center"/>
      <w:spacing w:before="160" w:after="60" w:line="312" w:lineRule="exact"/>
    </w:pPr>
    <w:rPr>
      <w:rFonts w:ascii="EU-F1" w:eastAsia="黑体"/>
      <w:szCs w:val="21"/>
    </w:rPr>
  </w:style>
  <w:style w:type="paragraph" w:styleId="1240">
    <w:name w:val="样式2"/>
    <w:basedOn w:val="1151"/>
    <w:next w:val="1240"/>
    <w:link w:val="1151"/>
    <w:qFormat/>
    <w:pPr>
      <w:spacing w:line="312" w:lineRule="exact"/>
      <w:widowControl/>
    </w:pPr>
    <w:rPr>
      <w:rFonts w:ascii="EU-F1" w:eastAsia="黑体"/>
      <w:color w:val="000000"/>
      <w:szCs w:val="21"/>
    </w:rPr>
  </w:style>
  <w:style w:type="paragraph" w:styleId="1241">
    <w:name w:val="p0"/>
    <w:basedOn w:val="1151"/>
    <w:next w:val="1241"/>
    <w:link w:val="1151"/>
    <w:qFormat/>
    <w:pPr>
      <w:widowControl/>
    </w:pPr>
    <w:rPr>
      <w:rFonts w:ascii="Calibri" w:hAnsi="Calibri" w:cs="宋体"/>
      <w:szCs w:val="21"/>
    </w:rPr>
  </w:style>
  <w:style w:type="paragraph" w:styleId="1242">
    <w:name w:val="三级条标题"/>
    <w:basedOn w:val="1243"/>
    <w:next w:val="1201"/>
    <w:link w:val="1151"/>
    <w:qFormat/>
    <w:pPr>
      <w:outlineLvl w:val="4"/>
    </w:pPr>
  </w:style>
  <w:style w:type="paragraph" w:styleId="1243">
    <w:name w:val="二级条标题"/>
    <w:basedOn w:val="1151"/>
    <w:next w:val="1201"/>
    <w:link w:val="1151"/>
    <w:qFormat/>
    <w:pPr>
      <w:jc w:val="left"/>
      <w:spacing w:before="50" w:after="50"/>
      <w:widowControl/>
      <w:outlineLvl w:val="3"/>
    </w:pPr>
    <w:rPr>
      <w:rFonts w:ascii="黑体" w:eastAsia="黑体"/>
      <w:sz w:val="20"/>
      <w:szCs w:val="20"/>
    </w:rPr>
  </w:style>
  <w:style w:type="paragraph" w:styleId="1244">
    <w:name w:val="列出段落1"/>
    <w:basedOn w:val="1151"/>
    <w:next w:val="1244"/>
    <w:link w:val="1151"/>
    <w:uiPriority w:val="34"/>
    <w:qFormat/>
    <w:pPr>
      <w:ind w:firstLine="420"/>
    </w:pPr>
  </w:style>
  <w:style w:type="paragraph" w:styleId="1245">
    <w:name w:val="00"/>
    <w:basedOn w:val="1151"/>
    <w:next w:val="1245"/>
    <w:link w:val="1151"/>
    <w:qFormat/>
    <w:pPr>
      <w:spacing w:line="312" w:lineRule="exact"/>
    </w:pPr>
  </w:style>
  <w:style w:type="character" w:styleId="1246">
    <w:name w:val="D2 Char Char"/>
    <w:basedOn w:val="1156"/>
    <w:next w:val="1246"/>
    <w:link w:val="1247"/>
    <w:qFormat/>
  </w:style>
  <w:style w:type="paragraph" w:styleId="1247">
    <w:name w:val="D2"/>
    <w:basedOn w:val="1248"/>
    <w:next w:val="1247"/>
    <w:link w:val="1246"/>
    <w:qFormat/>
  </w:style>
  <w:style w:type="paragraph" w:styleId="1248">
    <w:name w:val="附录二"/>
    <w:basedOn w:val="1220"/>
    <w:next w:val="1248"/>
    <w:link w:val="1151"/>
    <w:qFormat/>
    <w:pPr>
      <w:spacing w:line="312" w:lineRule="exact"/>
    </w:pPr>
    <w:rPr>
      <w:rFonts w:ascii="EU-F1" w:hAnsi="Times New Roman" w:eastAsia="黑体"/>
    </w:rPr>
  </w:style>
  <w:style w:type="paragraph" w:styleId="1249">
    <w:name w:val="List Paragraph"/>
    <w:basedOn w:val="1151"/>
    <w:next w:val="1249"/>
    <w:link w:val="1151"/>
    <w:uiPriority w:val="34"/>
    <w:qFormat/>
    <w:pPr>
      <w:ind w:left="142" w:firstLine="420"/>
      <w:spacing w:line="580" w:lineRule="exact"/>
    </w:pPr>
    <w:rPr>
      <w:szCs w:val="20"/>
    </w:rPr>
  </w:style>
  <w:style w:type="paragraph" w:styleId="1250">
    <w:name w:val="Char Char Char Char Char2 Char2"/>
    <w:basedOn w:val="1151"/>
    <w:next w:val="1250"/>
    <w:link w:val="1151"/>
    <w:qFormat/>
    <w:rPr>
      <w:szCs w:val="20"/>
    </w:rPr>
  </w:style>
  <w:style w:type="paragraph" w:styleId="1251">
    <w:name w:val="正文表标题"/>
    <w:next w:val="1151"/>
    <w:link w:val="1151"/>
    <w:qFormat/>
    <w:pPr>
      <w:jc w:val="center"/>
      <w:tabs>
        <w:tab w:val="left" w:pos="360" w:leader="none"/>
      </w:tabs>
    </w:pPr>
    <w:rPr>
      <w:rFonts w:ascii="黑体" w:hAnsi="Times New Roman" w:eastAsia="黑体" w:cs="Times New Roman"/>
      <w:lang w:val="en-US" w:eastAsia="zh-CN" w:bidi="ar-SA"/>
    </w:rPr>
  </w:style>
  <w:style w:type="paragraph" w:styleId="1252">
    <w:name w:val="注×："/>
    <w:next w:val="1252"/>
    <w:link w:val="1151"/>
    <w:qFormat/>
    <w:pPr>
      <w:ind w:left="900" w:hanging="500"/>
      <w:jc w:val="both"/>
      <w:spacing w:line="360" w:lineRule="atLeast"/>
      <w:widowControl w:val="off"/>
      <w:tabs>
        <w:tab w:val="left" w:pos="630" w:leader="none"/>
      </w:tabs>
    </w:pPr>
    <w:rPr>
      <w:rFonts w:ascii="宋体" w:hAnsi="Times New Roman" w:eastAsia="宋体" w:cs="Times New Roman"/>
      <w:sz w:val="18"/>
      <w:lang w:val="en-US" w:eastAsia="zh-CN" w:bidi="ar-SA"/>
    </w:rPr>
  </w:style>
  <w:style w:type="paragraph" w:styleId="1253">
    <w:name w:val="图片"/>
    <w:basedOn w:val="1151"/>
    <w:next w:val="1253"/>
    <w:link w:val="1151"/>
    <w:qFormat/>
    <w:pPr>
      <w:jc w:val="center"/>
      <w:spacing w:before="160" w:after="60"/>
    </w:pPr>
    <w:rPr>
      <w:szCs w:val="21"/>
    </w:rPr>
  </w:style>
  <w:style w:type="paragraph" w:styleId="1254">
    <w:name w:val="附录表标题"/>
    <w:basedOn w:val="1151"/>
    <w:next w:val="1201"/>
    <w:link w:val="1151"/>
    <w:qFormat/>
    <w:pPr>
      <w:ind w:left="1190" w:hanging="567"/>
      <w:jc w:val="center"/>
    </w:pPr>
    <w:rPr>
      <w:rFonts w:ascii="黑体" w:eastAsia="黑体"/>
      <w:szCs w:val="20"/>
    </w:rPr>
  </w:style>
  <w:style w:type="paragraph" w:styleId="1255">
    <w:name w:val="Table Heading"/>
    <w:basedOn w:val="1151"/>
    <w:next w:val="1255"/>
    <w:link w:val="1151"/>
    <w:qFormat/>
    <w:pPr>
      <w:jc w:val="left"/>
      <w:spacing w:before="80" w:after="80" w:line="240" w:lineRule="atLeast"/>
    </w:pPr>
    <w:rPr>
      <w:rFonts w:hint="eastAsia" w:ascii="Book Antiqua" w:hAnsi="Book Antiqua" w:eastAsia="黑体" w:cs="Book Antiqua"/>
      <w:bCs/>
      <w:szCs w:val="21"/>
    </w:rPr>
  </w:style>
  <w:style w:type="paragraph" w:styleId="1256">
    <w:name w:val="列出段落11"/>
    <w:basedOn w:val="1151"/>
    <w:next w:val="1256"/>
    <w:link w:val="1151"/>
    <w:uiPriority w:val="34"/>
    <w:qFormat/>
    <w:pPr>
      <w:ind w:firstLine="420"/>
    </w:pPr>
  </w:style>
  <w:style w:type="paragraph" w:styleId="1257">
    <w:name w:val="批注框文本1"/>
    <w:basedOn w:val="1151"/>
    <w:next w:val="1257"/>
    <w:link w:val="1151"/>
    <w:qFormat/>
    <w:rPr>
      <w:sz w:val="18"/>
      <w:szCs w:val="20"/>
    </w:rPr>
  </w:style>
  <w:style w:type="paragraph" w:styleId="1258">
    <w:name w:val="01"/>
    <w:basedOn w:val="1259"/>
    <w:next w:val="1258"/>
    <w:link w:val="1151"/>
    <w:qFormat/>
    <w:pPr>
      <w:ind w:firstLine="420"/>
      <w:spacing w:line="240" w:lineRule="auto"/>
      <w:tabs>
        <w:tab w:val="left" w:pos="3585" w:leader="none"/>
      </w:tabs>
    </w:pPr>
  </w:style>
  <w:style w:type="paragraph" w:styleId="1259">
    <w:name w:val="样式1正文（首行缩进两字） Char"/>
    <w:basedOn w:val="1151"/>
    <w:next w:val="1260"/>
    <w:link w:val="1151"/>
    <w:qFormat/>
    <w:pPr>
      <w:spacing w:line="312" w:lineRule="exact"/>
      <w:tabs>
        <w:tab w:val="left" w:pos="3585" w:leader="none"/>
      </w:tabs>
    </w:pPr>
    <w:rPr>
      <w:rFonts w:ascii="宋体" w:hAnsi="宋体"/>
      <w:szCs w:val="20"/>
    </w:rPr>
  </w:style>
  <w:style w:type="paragraph" w:styleId="1260">
    <w:name w:val="样式 正文（首行缩进两字） Char + Times New Roman"/>
    <w:basedOn w:val="1259"/>
    <w:next w:val="1260"/>
    <w:link w:val="1151"/>
    <w:qFormat/>
    <w:pPr>
      <w:ind w:firstLine="420"/>
      <w:spacing w:line="240" w:lineRule="auto"/>
      <w:tabs>
        <w:tab w:val="left" w:pos="3585" w:leader="none"/>
      </w:tabs>
    </w:pPr>
    <w:rPr>
      <w:color w:val="000000"/>
    </w:rPr>
  </w:style>
  <w:style w:type="paragraph" w:styleId="1261">
    <w:name w:val="B"/>
    <w:basedOn w:val="1239"/>
    <w:next w:val="1261"/>
    <w:link w:val="1151"/>
    <w:qFormat/>
    <w:pPr>
      <w:jc w:val="both"/>
      <w:tabs>
        <w:tab w:val="center" w:pos="4706" w:leader="none"/>
        <w:tab w:val="right" w:pos="9044" w:leader="none"/>
      </w:tabs>
    </w:pPr>
    <w:rPr>
      <w:rFonts w:ascii="E-F1"/>
      <w:szCs w:val="20"/>
    </w:rPr>
  </w:style>
  <w:style w:type="paragraph" w:styleId="1262">
    <w:name w:val="目次、标准名称标题"/>
    <w:basedOn w:val="1151"/>
    <w:next w:val="1201"/>
    <w:link w:val="1151"/>
    <w:qFormat/>
    <w:pPr>
      <w:jc w:val="center"/>
      <w:spacing w:before="640" w:after="560" w:line="460" w:lineRule="exact"/>
      <w:shd w:val="clear" w:color="ffffff" w:fill="ffffff"/>
      <w:widowControl/>
      <w:outlineLvl w:val="0"/>
    </w:pPr>
    <w:rPr>
      <w:rFonts w:ascii="黑体" w:eastAsia="黑体"/>
      <w:sz w:val="32"/>
      <w:szCs w:val="20"/>
    </w:rPr>
  </w:style>
  <w:style w:type="character" w:styleId="1263">
    <w:name w:val="active"/>
    <w:basedOn w:val="1156"/>
    <w:next w:val="1263"/>
    <w:link w:val="1151"/>
    <w:rPr>
      <w:color w:val="ffffff"/>
      <w:shd w:val="clear" w:color="auto" w:fill="0f5bb9"/>
    </w:rPr>
  </w:style>
  <w:style w:type="character" w:styleId="1264">
    <w:name w:val="last-child"/>
    <w:basedOn w:val="1156"/>
    <w:next w:val="1264"/>
    <w:link w:val="1151"/>
  </w:style>
  <w:style w:type="character" w:styleId="1265" w:default="1">
    <w:name w:val="Default Paragraph Font"/>
    <w:uiPriority w:val="1"/>
    <w:semiHidden/>
    <w:unhideWhenUsed/>
  </w:style>
  <w:style w:type="numbering" w:styleId="1266" w:default="1">
    <w:name w:val="No List"/>
    <w:uiPriority w:val="99"/>
    <w:semiHidden/>
    <w:unhideWhenUsed/>
  </w:style>
  <w:style w:type="table" w:styleId="12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png"/><Relationship Id="rId18" Type="http://schemas.openxmlformats.org/officeDocument/2006/relationships/image" Target="media/image2.wmf"/><Relationship Id="rId19" Type="http://schemas.openxmlformats.org/officeDocument/2006/relationships/image" Target="media/image3.wmf"/><Relationship Id="rId20" Type="http://schemas.openxmlformats.org/officeDocument/2006/relationships/image" Target="media/image4.wmf"/><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wmf"/><Relationship Id="rId24" Type="http://schemas.openxmlformats.org/officeDocument/2006/relationships/image" Target="media/image8.wmf"/><Relationship Id="rId25" Type="http://schemas.openxmlformats.org/officeDocument/2006/relationships/image" Target="media/image9.png"/><Relationship Id="rId26" Type="http://schemas.openxmlformats.org/officeDocument/2006/relationships/image" Target="media/image10.wmf"/><Relationship Id="rId27" Type="http://schemas.openxmlformats.org/officeDocument/2006/relationships/image" Target="media/image11.emf"/><Relationship Id="rId28" Type="http://schemas.openxmlformats.org/officeDocument/2006/relationships/image" Target="media/image12.png"/><Relationship Id="rId29" Type="http://schemas.openxmlformats.org/officeDocument/2006/relationships/image" Target="media/image13.wmf"/><Relationship Id="rId30" Type="http://schemas.openxmlformats.org/officeDocument/2006/relationships/image" Target="media/image14.wmf"/><Relationship Id="rId31" Type="http://schemas.openxmlformats.org/officeDocument/2006/relationships/image" Target="media/image15.wmf"/><Relationship Id="rId32" Type="http://schemas.openxmlformats.org/officeDocument/2006/relationships/image" Target="media/image16.wmf"/><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wmf"/><Relationship Id="rId39" Type="http://schemas.openxmlformats.org/officeDocument/2006/relationships/image" Target="media/image23.png"/><Relationship Id="rId40" Type="http://schemas.openxmlformats.org/officeDocument/2006/relationships/image" Target="media/image24.wmf"/><Relationship Id="rId41" Type="http://schemas.openxmlformats.org/officeDocument/2006/relationships/image" Target="media/image25.png"/><Relationship Id="rId42" Type="http://schemas.openxmlformats.org/officeDocument/2006/relationships/image" Target="media/image26.wmf"/><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wmf"/><Relationship Id="rId50" Type="http://schemas.openxmlformats.org/officeDocument/2006/relationships/image" Target="media/image34.emf"/><Relationship Id="rId51" Type="http://schemas.openxmlformats.org/officeDocument/2006/relationships/image" Target="media/image35.wmf"/><Relationship Id="rId52" Type="http://schemas.openxmlformats.org/officeDocument/2006/relationships/image" Target="media/image36.png"/><Relationship Id="rId53" Type="http://schemas.openxmlformats.org/officeDocument/2006/relationships/image" Target="media/image37.jp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jp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jp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emf"/><Relationship Id="rId65" Type="http://schemas.openxmlformats.org/officeDocument/2006/relationships/image" Target="media/image49.emf"/><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emf"/><Relationship Id="rId71" Type="http://schemas.openxmlformats.org/officeDocument/2006/relationships/oleObject" Target="embeddings/oleObject1.bin"/><Relationship Id="rId72" Type="http://schemas.openxmlformats.org/officeDocument/2006/relationships/image" Target="media/image55.emf"/><Relationship Id="rId73" Type="http://schemas.openxmlformats.org/officeDocument/2006/relationships/oleObject" Target="embeddings/oleObject2.bin"/><Relationship Id="rId74" Type="http://schemas.openxmlformats.org/officeDocument/2006/relationships/image" Target="media/image56.emf"/><Relationship Id="rId75" Type="http://schemas.openxmlformats.org/officeDocument/2006/relationships/oleObject" Target="embeddings/oleObject3.bin"/><Relationship Id="rId76" Type="http://schemas.openxmlformats.org/officeDocument/2006/relationships/image" Target="media/image57.emf"/><Relationship Id="rId77" Type="http://schemas.openxmlformats.org/officeDocument/2006/relationships/oleObject" Target="embeddings/oleObject4.bin"/><Relationship Id="rId78" Type="http://schemas.openxmlformats.org/officeDocument/2006/relationships/image" Target="media/image58.jpg"/><Relationship Id="rId79" Type="http://schemas.openxmlformats.org/officeDocument/2006/relationships/image" Target="media/image59.jp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jpg"/><Relationship Id="rId85" Type="http://schemas.openxmlformats.org/officeDocument/2006/relationships/image" Target="media/image65.png"/><Relationship Id="rId86" Type="http://schemas.openxmlformats.org/officeDocument/2006/relationships/image" Target="media/image66.jpg"/><Relationship Id="rId87" Type="http://schemas.openxmlformats.org/officeDocument/2006/relationships/image" Target="media/image67.jpg"/><Relationship Id="rId88" Type="http://schemas.openxmlformats.org/officeDocument/2006/relationships/image" Target="media/image68.png"/><Relationship Id="rId89" Type="http://schemas.openxmlformats.org/officeDocument/2006/relationships/image" Target="media/image69.jpg"/><Relationship Id="rId90" Type="http://schemas.openxmlformats.org/officeDocument/2006/relationships/image" Target="media/image70.png"/><Relationship Id="rId91" Type="http://schemas.openxmlformats.org/officeDocument/2006/relationships/image" Target="media/image71.jpg"/><Relationship Id="rId92" Type="http://schemas.openxmlformats.org/officeDocument/2006/relationships/image" Target="media/image72.jpg"/><Relationship Id="rId93" Type="http://schemas.openxmlformats.org/officeDocument/2006/relationships/image" Target="media/image73.emf"/><Relationship Id="rId94" Type="http://schemas.openxmlformats.org/officeDocument/2006/relationships/oleObject" Target="embeddings/oleObject5.bin"/><Relationship Id="rId95" Type="http://schemas.openxmlformats.org/officeDocument/2006/relationships/image" Target="media/image74.emf"/><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emf"/><Relationship Id="rId100" Type="http://schemas.openxmlformats.org/officeDocument/2006/relationships/oleObject" Target="embeddings/oleObject6.bin"/><Relationship Id="rId101" Type="http://schemas.openxmlformats.org/officeDocument/2006/relationships/image" Target="media/image79.png"/><Relationship Id="rId102" Type="http://schemas.openxmlformats.org/officeDocument/2006/relationships/image" Target="media/image80.emf"/><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emf"/><Relationship Id="rId153" Type="http://schemas.openxmlformats.org/officeDocument/2006/relationships/oleObject" Target="embeddings/oleObject7.bin"/><Relationship Id="rId154" Type="http://schemas.openxmlformats.org/officeDocument/2006/relationships/image" Target="media/image131.png"/><Relationship Id="rId155" Type="http://schemas.openxmlformats.org/officeDocument/2006/relationships/image" Target="media/image132.wmf"/><Relationship Id="rId156" Type="http://schemas.openxmlformats.org/officeDocument/2006/relationships/package" Target="embeddings/oleObject8.docx"/><Relationship Id="rId157" Type="http://schemas.openxmlformats.org/officeDocument/2006/relationships/image" Target="media/image133.wmf"/><Relationship Id="rId158" Type="http://schemas.openxmlformats.org/officeDocument/2006/relationships/package" Target="embeddings/oleObject9.docx"/><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emf"/><Relationship Id="rId186" Type="http://schemas.openxmlformats.org/officeDocument/2006/relationships/image" Target="media/image161.emf"/><Relationship Id="rId187" Type="http://schemas.openxmlformats.org/officeDocument/2006/relationships/image" Target="media/image162.emf"/><Relationship Id="rId188" Type="http://schemas.openxmlformats.org/officeDocument/2006/relationships/image" Target="media/image163.emf"/><Relationship Id="rId189" Type="http://schemas.openxmlformats.org/officeDocument/2006/relationships/image" Target="media/image164.emf"/><Relationship Id="rId190" Type="http://schemas.openxmlformats.org/officeDocument/2006/relationships/oleObject" Target="embeddings/oleObject10.bin"/><Relationship Id="rId191" Type="http://schemas.openxmlformats.org/officeDocument/2006/relationships/image" Target="media/image165.emf"/><Relationship Id="rId192" Type="http://schemas.openxmlformats.org/officeDocument/2006/relationships/image" Target="media/image166.png"/><Relationship Id="rId193" Type="http://schemas.openxmlformats.org/officeDocument/2006/relationships/image" Target="media/image167.emf"/><Relationship Id="rId194" Type="http://schemas.openxmlformats.org/officeDocument/2006/relationships/image" Target="media/image168.png"/><Relationship Id="rId195" Type="http://schemas.openxmlformats.org/officeDocument/2006/relationships/image" Target="media/image169.wmf"/><Relationship Id="rId196" Type="http://schemas.openxmlformats.org/officeDocument/2006/relationships/image" Target="media/image170.png"/><Relationship Id="rId197" Type="http://schemas.openxmlformats.org/officeDocument/2006/relationships/package" Target="embeddings/oleObject11.xml"/><Relationship Id="rId198" Type="http://schemas.openxmlformats.org/officeDocument/2006/relationships/image" Target="media/image171.png"/><Relationship Id="rId199" Type="http://schemas.openxmlformats.org/officeDocument/2006/relationships/package" Target="embeddings/oleObject12.xml"/><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wmf"/><Relationship Id="rId207" Type="http://schemas.openxmlformats.org/officeDocument/2006/relationships/oleObject" Target="embeddings/oleObject13.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embeddings/oleObject11.xml><
</file>

<file path=word/embeddings/oleObject12.xml><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吴学</dc:creator>
  <cp:lastModifiedBy>赵彦利</cp:lastModifiedBy>
  <cp:revision>4</cp:revision>
  <dcterms:created xsi:type="dcterms:W3CDTF">2023-06-16T07:18:00Z</dcterms:created>
  <dcterms:modified xsi:type="dcterms:W3CDTF">2026-06-23T09:28:29Z</dcterms:modified>
</cp:coreProperties>
</file>