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南京体育学院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校史馆、近代体育陈列馆展陈服务项目</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w:t>
      </w:r>
      <w:r>
        <w:rPr>
          <w:rFonts w:hint="eastAsia"/>
          <w:b/>
          <w:bCs/>
          <w:color w:val="000000" w:themeColor="text1"/>
          <w:sz w:val="36"/>
          <w:szCs w:val="36"/>
          <w:highlight w:val="none"/>
          <w:lang w:val="en-US" w:eastAsia="zh-CN"/>
          <w14:textFill>
            <w14:solidFill>
              <w14:schemeClr w14:val="tx1"/>
            </w14:solidFill>
          </w14:textFill>
        </w:rPr>
        <w:t xml:space="preserve">项目类别：服务类</w:t>
      </w:r>
      <w:r>
        <w:rPr>
          <w:rFonts w:hint="eastAsia"/>
          <w:b/>
          <w:bCs/>
          <w:color w:val="000000" w:themeColor="text1"/>
          <w:sz w:val="36"/>
          <w:szCs w:val="36"/>
          <w:highlight w:val="none"/>
          <w:lang w:eastAsia="zh-CN"/>
          <w14:textFill>
            <w14:solidFill>
              <w14:schemeClr w14:val="tx1"/>
            </w14:solidFill>
          </w14:textFill>
        </w:rPr>
        <w:t xml:space="preserve">）</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JSZC-320000-SNZX-G2026-0103</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南京体育学院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七</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南京体育学院校史馆、近代体育陈列馆展陈服务项目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JSZC-320000-SNZX-G2026-0103</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265</w:t>
      </w:r>
      <w:r>
        <w:rPr>
          <w:rFonts w:hint="eastAsia"/>
          <w:color w:val="000000" w:themeColor="text1"/>
          <w:highlight w:val="none"/>
          <w:lang w:eastAsia="zh-CN"/>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最高限价：26</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其中，基础装饰部分最高限价为“81.438477万元”，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包含</w:t>
      </w:r>
      <w:r>
        <w:rPr>
          <w:rFonts w:hint="eastAsia" w:ascii="宋体" w:hAnsi="宋体" w:eastAsia="宋体" w:cs="Times New Roman"/>
          <w:color w:val="000000" w:themeColor="text1"/>
          <w:highlight w:val="none"/>
          <w:lang w:val="en-US" w:eastAsia="zh-CN"/>
          <w14:textFill>
            <w14:solidFill>
              <w14:schemeClr w14:val="tx1"/>
            </w14:solidFill>
          </w14:textFill>
        </w:rPr>
        <w:t xml:space="preserve">装饰装修</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展陈布展（含展台、展柜、艺术场景等定制制作与安装）；电气系统安装；空调系统末端改造配合；安防监控系统安装；多媒体硬件设备采购、定制与安装及基础布线。</w:t>
      </w:r>
      <w:r>
        <w:rPr>
          <w:rFonts w:hint="eastAsia"/>
          <w:color w:val="000000" w:themeColor="text1"/>
          <w:highlight w:val="none"/>
          <w:lang w:val="en-US" w:eastAsia="zh-CN"/>
          <w14:textFill>
            <w14:solidFill>
              <w14:schemeClr w14:val="tx1"/>
            </w14:solidFill>
          </w14:textFill>
        </w:rPr>
        <w:t xml:space="preserve">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专门面向中小微型企业采购。残疾人福利性单位、监狱和戒毒企业（简称监狱企业）视同小型、微型企业。（投标人按要求填写并提供《中小企业声明函》或《残疾人福利性单位声明函》，或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1）本项目包含的基础装饰部分，投标人须采用以下两种方式中的任意一种方式承接：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①投标人自行承接的须具有</w:t>
      </w:r>
      <w:r>
        <w:rPr>
          <w:rFonts w:hint="eastAsia" w:ascii="宋体" w:hAnsi="宋体"/>
          <w:color w:val="000000" w:themeColor="text1"/>
          <w:sz w:val="24"/>
          <w:highlight w:val="none"/>
          <w14:textFill>
            <w14:solidFill>
              <w14:schemeClr w14:val="tx1"/>
            </w14:solidFill>
          </w14:textFill>
        </w:rPr>
        <w:t xml:space="preserve">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w:t>
      </w:r>
      <w:r>
        <w:rPr>
          <w:rFonts w:hint="eastAsia" w:ascii="宋体" w:hAnsi="宋体"/>
          <w:b/>
          <w:bCs/>
          <w:color w:val="000000" w:themeColor="text1"/>
          <w:sz w:val="24"/>
          <w:highlight w:val="none"/>
          <w14:textFill>
            <w14:solidFill>
              <w14:schemeClr w14:val="tx1"/>
            </w14:solidFill>
          </w14:textFill>
        </w:rPr>
        <w:t xml:space="preserve">（须提供有效的证书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w:t>
      </w:r>
      <w:r>
        <w:rPr>
          <w:rFonts w:hint="eastAsia" w:ascii="宋体" w:hAnsi="宋体"/>
          <w:color w:val="000000" w:themeColor="text1"/>
          <w:sz w:val="24"/>
          <w:highlight w:val="none"/>
          <w14:textFill>
            <w14:solidFill>
              <w14:schemeClr w14:val="tx1"/>
            </w14:solidFill>
          </w14:textFill>
        </w:rPr>
        <w:t xml:space="preserve">投标人将</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color w:val="000000" w:themeColor="text1"/>
          <w:sz w:val="24"/>
          <w:highlight w:val="none"/>
          <w14:textFill>
            <w14:solidFill>
              <w14:schemeClr w14:val="tx1"/>
            </w14:solidFill>
          </w14:textFill>
        </w:rPr>
        <w:t xml:space="preserve">部分以分包形式交由具有有效的建筑装饰装修工程专业承包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的单位实施，明确分包部分的金额占比，分包单位不得再次转包、分包承接的部分，且分包部分的质量、安全等责任由投标人承担，投标人须在合同签订前将其与分包单位签订的分包协议交由采购人备案存档。</w:t>
      </w:r>
      <w:r>
        <w:rPr>
          <w:rFonts w:hint="eastAsia" w:ascii="宋体" w:hAnsi="宋体"/>
          <w:b/>
          <w:bCs/>
          <w:color w:val="000000" w:themeColor="text1"/>
          <w:sz w:val="24"/>
          <w:highlight w:val="none"/>
          <w14:textFill>
            <w14:solidFill>
              <w14:schemeClr w14:val="tx1"/>
            </w14:solidFill>
          </w14:textFill>
        </w:rPr>
        <w:t xml:space="preserve">（须按照招标文件中投标文件格式及附件</w:t>
      </w:r>
      <w:r>
        <w:rPr>
          <w:rFonts w:hint="eastAsia" w:ascii="宋体" w:hAnsi="宋体"/>
          <w:b/>
          <w:bCs/>
          <w:color w:val="000000" w:themeColor="text1"/>
          <w:sz w:val="24"/>
          <w:highlight w:val="none"/>
          <w:lang w:val="en-US" w:eastAsia="zh-CN"/>
          <w14:textFill>
            <w14:solidFill>
              <w14:schemeClr w14:val="tx1"/>
            </w14:solidFill>
          </w14:textFill>
        </w:rPr>
        <w:t xml:space="preserve">的</w:t>
      </w:r>
      <w:r>
        <w:rPr>
          <w:rFonts w:hint="eastAsia" w:ascii="宋体" w:hAnsi="宋体"/>
          <w:b/>
          <w:bCs/>
          <w:color w:val="000000" w:themeColor="text1"/>
          <w:sz w:val="24"/>
          <w:highlight w:val="none"/>
          <w14:textFill>
            <w14:solidFill>
              <w14:schemeClr w14:val="tx1"/>
            </w14:solidFill>
          </w14:textFill>
        </w:rPr>
        <w:t xml:space="preserve">《拟分包项目情况表、承诺书及证明材料格式、分包意向协议书格式》进行填写，内容须完整有效，并提供拟分包单位的证书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（2）基础装饰部分的项目经理具有注册建造师证建筑工程二级（含）以上并且具有有效的安全生产考核合格证书（B类证）（提供有效的证书扫描件加盖公章）</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租赁和商务服务</w:t>
      </w:r>
      <w:r>
        <w:rPr>
          <w:rFonts w:hint="eastAsia"/>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接受投标人对于本项目涉及的基础装饰部分进行</w:t>
      </w:r>
      <w:r>
        <w:rPr>
          <w:rFonts w:hint="eastAsia"/>
          <w:color w:val="000000" w:themeColor="text1"/>
          <w:highlight w:val="none"/>
          <w14:textFill>
            <w14:solidFill>
              <w14:schemeClr w14:val="tx1"/>
            </w14:solidFill>
          </w14:textFill>
        </w:rPr>
        <w:t xml:space="preserve">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1.自行踏勘</w:t>
      </w: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val="en-US" w:eastAsia="zh-CN"/>
          <w14:textFill>
            <w14:solidFill>
              <w14:schemeClr w14:val="tx1"/>
            </w14:solidFill>
          </w14:textFill>
        </w:rPr>
        <w:t xml:space="preserve">2026年7月28日起至2026年7月29日，每天上午9:00-11:00，下午14:00-16:00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张老师、支老师</w:t>
      </w: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val="en-US" w:eastAsia="zh-CN"/>
          <w14:textFill>
            <w14:solidFill>
              <w14:schemeClr w14:val="tx1"/>
            </w14:solidFill>
          </w14:textFill>
        </w:rPr>
        <w:t xml:space="preserve">025-84755027、025-84755812</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地点：南京市玄武区灵谷寺路8号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联系方式：刘老师025-84755266</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rPr>
          <w:rFonts w:hint="eastAsia"/>
          <w:color w:val="000000" w:themeColor="text1"/>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val="en-US" w:eastAsia="zh-CN"/>
          <w14:textFill>
            <w14:solidFill>
              <w14:schemeClr w14:val="tx1"/>
            </w14:solidFill>
          </w14:textFill>
        </w:rPr>
        <w:t xml:space="preserve">服务</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8.联合体及分包：本项目不接受联合体投标，不接受转包</w:t>
      </w:r>
      <w:r>
        <w:rPr>
          <w:rFonts w:hint="eastAsia"/>
          <w:b/>
          <w:bCs/>
          <w:color w:val="000000" w:themeColor="text1"/>
          <w:highlight w:val="none"/>
          <w:lang w:eastAsia="zh-CN"/>
          <w14:textFill>
            <w14:solidFill>
              <w14:schemeClr w14:val="tx1"/>
            </w14:solidFill>
          </w14:textFill>
        </w:rPr>
        <w:t xml:space="preserve">，接受投标人对于本项目涉及的基础装饰部分进行</w:t>
      </w:r>
      <w:r>
        <w:rPr>
          <w:rFonts w:hint="eastAsia"/>
          <w:b/>
          <w:bCs/>
          <w:color w:val="000000" w:themeColor="text1"/>
          <w:highlight w:val="none"/>
          <w14:textFill>
            <w14:solidFill>
              <w14:schemeClr w14:val="tx1"/>
            </w14:solidFill>
          </w14:textFill>
        </w:rPr>
        <w:t xml:space="preserve">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的40%</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及投标人或分支机构为其缴纳的社保证明（有授权委托的），或法定代表人身份证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）改变招标文件提供的</w:t>
      </w:r>
      <w:r>
        <w:rPr>
          <w:rFonts w:hint="eastAsia"/>
          <w:color w:val="000000" w:themeColor="text1"/>
          <w:highlight w:val="none"/>
          <w:lang w:eastAsia="zh-CN"/>
          <w14:textFill>
            <w14:solidFill>
              <w14:schemeClr w14:val="tx1"/>
            </w14:solidFill>
          </w14:textFill>
        </w:rPr>
        <w:t xml:space="preserve">“基础装饰”</w:t>
      </w:r>
      <w:r>
        <w:rPr>
          <w:rFonts w:hint="eastAsia"/>
          <w:color w:val="000000" w:themeColor="text1"/>
          <w:highlight w:val="none"/>
          <w:lang w:val="en-US" w:eastAsia="zh-CN"/>
          <w14:textFill>
            <w14:solidFill>
              <w14:schemeClr w14:val="tx1"/>
            </w14:solidFill>
          </w14:textFill>
        </w:rPr>
        <w:t xml:space="preserve">部分</w:t>
      </w:r>
      <w:r>
        <w:rPr>
          <w:rFonts w:hint="eastAsia"/>
          <w:color w:val="000000" w:themeColor="text1"/>
          <w:highlight w:val="none"/>
          <w14:textFill>
            <w14:solidFill>
              <w14:schemeClr w14:val="tx1"/>
            </w14:solidFill>
          </w14:textFill>
        </w:rPr>
        <w:t xml:space="preserve">工程量清单中的项目编码、项目名称、项目特征、计量单位、工程量的；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）改变招标文件规定的暂估价、暂列金额及甲供材料价格的；（若有）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）改变招标文件明确列出的</w:t>
      </w:r>
      <w:r>
        <w:rPr>
          <w:rFonts w:hint="eastAsia"/>
          <w:color w:val="000000" w:themeColor="text1"/>
          <w:highlight w:val="none"/>
          <w:lang w:val="en-US" w:eastAsia="zh-CN"/>
          <w14:textFill>
            <w14:solidFill>
              <w14:schemeClr w14:val="tx1"/>
            </w14:solidFill>
          </w14:textFill>
        </w:rPr>
        <w:t xml:space="preserve">增值税费率</w:t>
      </w:r>
      <w:r>
        <w:rPr>
          <w:rFonts w:hint="eastAsia"/>
          <w:color w:val="000000" w:themeColor="text1"/>
          <w:highlight w:val="none"/>
          <w14:textFill>
            <w14:solidFill>
              <w14:schemeClr w14:val="tx1"/>
            </w14:solidFill>
          </w14:textFill>
        </w:rPr>
        <w:t xml:space="preserve">或计算基础的；（若有）</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文件报价清单中“</w:t>
      </w:r>
      <w:r>
        <w:rPr>
          <w:rFonts w:hint="eastAsia"/>
          <w:color w:val="000000" w:themeColor="text1"/>
          <w:highlight w:val="none"/>
          <w:lang w:val="en-US" w:eastAsia="zh-CN"/>
          <w14:textFill>
            <w14:solidFill>
              <w14:schemeClr w14:val="tx1"/>
            </w14:solidFill>
          </w14:textFill>
        </w:rPr>
        <w:t xml:space="preserve">基础装修</w:t>
      </w:r>
      <w:r>
        <w:rPr>
          <w:rFonts w:hint="eastAsia"/>
          <w:color w:val="000000" w:themeColor="text1"/>
          <w:highlight w:val="none"/>
          <w:lang w:eastAsia="zh-CN"/>
          <w14:textFill>
            <w14:solidFill>
              <w14:schemeClr w14:val="tx1"/>
            </w14:solidFill>
          </w14:textFill>
        </w:rPr>
        <w:t xml:space="preserve">”的安全生产措施报价的取费费率低于3.8%；“安装工程”的安全生产措施报价的取费费率低于</w:t>
      </w:r>
      <w:r>
        <w:rPr>
          <w:rFonts w:hint="eastAsia"/>
          <w:color w:val="000000" w:themeColor="text1"/>
          <w:highlight w:val="none"/>
          <w:lang w:val="en-US" w:eastAsia="zh-CN"/>
          <w14:textFill>
            <w14:solidFill>
              <w14:schemeClr w14:val="tx1"/>
            </w14:solidFill>
          </w14:textFill>
        </w:rPr>
        <w:t xml:space="preserve">2.9</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22.2.2.9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26.5项目中标结果发布后，中标人应向采购人提供与响应文件“基础装饰”部分报价一致的软件版初始报价，及excel版本初始报价（含分部分项工程项目清单综合单价分析表）。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88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92"/>
        <w:gridCol w:w="6585"/>
        <w:gridCol w:w="739"/>
      </w:tblGrid>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64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因素</w:t>
            </w:r>
            <w:r/>
          </w:p>
        </w:tc>
        <w:tc>
          <w:tcPr>
            <w:tcW w:w="354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评分明细</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分值</w:t>
            </w:r>
            <w:r/>
          </w:p>
        </w:tc>
      </w:tr>
      <w:tr>
        <w:trPr>
          <w:jc w:val="center"/>
          <w:trHeight w:val="9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价格</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20。（小数点后保留两位）</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响应情况</w:t>
            </w:r>
            <w:r>
              <w:rPr>
                <w:rFonts w:hint="eastAsia" w:ascii="宋体" w:hAnsi="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（28分）</w:t>
            </w:r>
            <w:r/>
          </w:p>
        </w:tc>
        <w:tc>
          <w:tcPr>
            <w:tcBorders>
              <w:bottom w:val="single" w:color="auto" w:sz="4" w:space="0"/>
            </w:tcBorders>
            <w:tcW w:w="354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根据采购文件“第四章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采购需求中二</w:t>
            </w:r>
            <w:r>
              <w:rPr>
                <w:rFonts w:hint="eastAsia" w:ascii="宋体" w:hAnsi="宋体" w:cs="宋体"/>
                <w:b/>
                <w:bCs/>
                <w:color w:val="000000" w:themeColor="text1"/>
                <w:sz w:val="24"/>
                <w:szCs w:val="24"/>
                <w:highlight w:val="none"/>
                <w14:textFill>
                  <w14:solidFill>
                    <w14:schemeClr w14:val="tx1"/>
                  </w14:solidFill>
                </w14:textFill>
              </w:rPr>
              <w:t xml:space="preserve">、技术要求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和序号五多媒体软件</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的要求对投标人技术要求满足程度</w:t>
            </w:r>
            <w:r>
              <w:rPr>
                <w:rFonts w:hint="eastAsia" w:ascii="宋体" w:hAnsi="宋体" w:cs="宋体"/>
                <w:color w:val="000000" w:themeColor="text1"/>
                <w:sz w:val="24"/>
                <w:szCs w:val="24"/>
                <w:highlight w:val="none"/>
                <w14:textFill>
                  <w14:solidFill>
                    <w14:schemeClr w14:val="tx1"/>
                  </w14:solidFill>
                </w14:textFill>
              </w:rPr>
              <w:t xml:space="preserve">进行评审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”的内容为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实质性要求</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负偏离视为无效投标。</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完全满足的得0.5分，最多得10分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序号五多媒体软件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完全满足的得1分，最多得18分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本项最多得28分。</w:t>
            </w:r>
            <w:r/>
          </w:p>
          <w:p>
            <w:pPr>
              <w:ind w:firstLine="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缺项、漏项视为负偏离。</w:t>
            </w:r>
            <w:r/>
          </w:p>
          <w:p>
            <w:pPr>
              <w:ind w:firstLine="0"/>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投标人须在</w:t>
            </w:r>
            <w:r>
              <w:rPr>
                <w:rFonts w:hint="eastAsia" w:ascii="宋体" w:hAnsi="宋体" w:cs="宋体"/>
                <w:color w:val="000000" w:themeColor="text1"/>
                <w:sz w:val="24"/>
                <w:szCs w:val="24"/>
                <w:highlight w:val="none"/>
                <w14:textFill>
                  <w14:solidFill>
                    <w14:schemeClr w14:val="tx1"/>
                  </w14:solidFill>
                </w14:textFill>
              </w:rPr>
              <w:t xml:space="preserve">《技术条款偏离表》逐条应答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要求，不能实现的需特别注明负偏离，提供虚假证明或虚假响应指标参数要求的，将按政府采购法的相关规定进行处理。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企业业绩（9分）</w:t>
            </w:r>
            <w:r/>
          </w:p>
        </w:tc>
        <w:tc>
          <w:tcPr>
            <w:tcBorders>
              <w:bottom w:val="single" w:color="auto" w:sz="4" w:space="0"/>
            </w:tcBorders>
            <w:tcW w:w="3547"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自2023年1月1日以来（以验收时间为准）具有展厅、展馆或布展类项目业绩，每提供1份有效业绩材料得3分，最多得9分。（提供合同及验收证明文件扫描件加盖公章，证明材料中须能体现合同签订时间、合同标的物、签章页、验收时间等关键内容，否则不得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jc w:val="center"/>
          <w:trHeight w:val="6834"/>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技术方案（10分）</w:t>
            </w:r>
            <w:r/>
          </w:p>
        </w:tc>
        <w:tc>
          <w:tcPr>
            <w:tcW w:w="3547"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4.1浮雕手绘深化方案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根据供应商提供的序厅浮雕手绘稿方案（包括设计理念、手绘稿、设计说明等）进行综合评审，重点考察主题立意、主体元素选择、浮雕构图与造型能力、手绘艺术表现力及设计说明的完整性与逻辑性。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方案应包含至少1张</w:t>
            </w:r>
            <w:r>
              <w:rPr>
                <w:rFonts w:hint="eastAsia" w:ascii="宋体" w:hAnsi="宋体" w:cs="宋体"/>
                <w:color w:val="000000" w:themeColor="text1"/>
                <w:sz w:val="24"/>
                <w:szCs w:val="24"/>
                <w:highlight w:val="none"/>
                <w14:textFill>
                  <w14:solidFill>
                    <w14:schemeClr w14:val="tx1"/>
                  </w14:solidFill>
                </w14:textFill>
              </w:rPr>
              <w:t xml:space="preserve">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，完整呈现双侧对称浮雕墙的艺术效果，浮雕内容包含两个主题层次，即</w:t>
            </w:r>
            <w:r>
              <w:rPr>
                <w:rFonts w:hint="eastAsia" w:ascii="宋体" w:hAnsi="宋体" w:cs="宋体"/>
                <w:color w:val="000000" w:themeColor="text1"/>
                <w:sz w:val="24"/>
                <w:szCs w:val="24"/>
                <w:highlight w:val="none"/>
                <w:lang w:val="en-US" w:eastAsia="zh-CN"/>
                <w14:textFill>
                  <w14:solidFill>
                    <w14:schemeClr w14:val="tx1"/>
                  </w14:solidFill>
                </w14:textFill>
              </w:rPr>
              <w:t xml:space="preserve">民国</w:t>
            </w:r>
            <w:r>
              <w:rPr>
                <w:rFonts w:hint="eastAsia" w:ascii="宋体" w:hAnsi="宋体" w:cs="宋体"/>
                <w:color w:val="000000" w:themeColor="text1"/>
                <w:sz w:val="24"/>
                <w:szCs w:val="24"/>
                <w:highlight w:val="none"/>
                <w14:textFill>
                  <w14:solidFill>
                    <w14:schemeClr w14:val="tx1"/>
                  </w14:solidFill>
                </w14:textFill>
              </w:rPr>
              <w:t xml:space="preserve">第五届全运会于中央体育场举办的历史竞技场景，以及自南京体育学院发展出的代表性运动项目群像。</w:t>
            </w:r>
            <w:r>
              <w:rPr>
                <w:rFonts w:hint="eastAsia" w:ascii="宋体" w:hAnsi="宋体" w:cs="宋体"/>
                <w:color w:val="000000" w:themeColor="text1"/>
                <w:sz w:val="24"/>
                <w:szCs w:val="24"/>
                <w:highlight w:val="none"/>
                <w:lang w:val="en-US" w:eastAsia="zh-CN"/>
                <w14:textFill>
                  <w14:solidFill>
                    <w14:schemeClr w14:val="tx1"/>
                  </w14:solidFill>
                </w14:textFill>
              </w:rPr>
              <w:t xml:space="preserve">点位及尺寸详见图纸图号EL-01立面图。</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主题立意深刻，主体元素选择精准恰当，浮雕构图完整、造型能力强、手绘艺术表现力突出，时空对话关系明确，历史纵深感与体育精神传承表达充分，设计说明详尽合理的，得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主题立意较为明确，主体元素选择较为恰当，浮雕构图较为完整、造型能力较好、手绘艺术表现力较好，时空关系与纵深感表达较为充分的，得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恰当，浮雕构图基本完整、造型能力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、手绘艺术表现力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，时空关系与纵深感表达</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模糊</w:t>
            </w:r>
            <w:r>
              <w:rPr>
                <w:rFonts w:hint="eastAsia" w:ascii="宋体" w:hAnsi="宋体" w:cs="宋体"/>
                <w:color w:val="000000" w:themeColor="text1"/>
                <w:sz w:val="24"/>
                <w:szCs w:val="24"/>
                <w:highlight w:val="none"/>
                <w14:textFill>
                  <w14:solidFill>
                    <w14:schemeClr w14:val="tx1"/>
                  </w14:solidFill>
                </w14:textFill>
              </w:rPr>
              <w:t xml:space="preserve">，主体元素选择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有偏差</w:t>
            </w:r>
            <w:r>
              <w:rPr>
                <w:rFonts w:hint="eastAsia" w:ascii="宋体" w:hAnsi="宋体" w:cs="宋体"/>
                <w:color w:val="000000" w:themeColor="text1"/>
                <w:sz w:val="24"/>
                <w:szCs w:val="24"/>
                <w:highlight w:val="none"/>
                <w14:textFill>
                  <w14:solidFill>
                    <w14:schemeClr w14:val="tx1"/>
                  </w14:solidFill>
                </w14:textFill>
              </w:rPr>
              <w:t xml:space="preserve">，浮雕构图或造型能力有所欠缺，手绘艺术表现力不足，纵深感与传承体现不突出的，得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不符合要求或未提供手绘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根据供应商提供的项目实施方案（包括但不限于总体部署方案、进度计划、质量与安全文明保障措施、资源投入计划等）进行综合评审。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（1）总体部署方案完善，进度计划合理可行，质量与安全文明保障措施切实有效，资源投入计划配置合理的，得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（2）总体部署方案较完善，进度计划较合理可行，质量与安全文明保障措施较切实有效，资源投入计划配置较合理的，得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基本完善</w:t>
            </w:r>
            <w:r>
              <w:rPr>
                <w:rFonts w:hint="eastAsia" w:ascii="宋体" w:hAnsi="宋体" w:cs="宋体"/>
                <w:color w:val="000000" w:themeColor="text1"/>
                <w:sz w:val="24"/>
                <w:szCs w:val="24"/>
                <w:highlight w:val="none"/>
                <w14:textFill>
                  <w14:solidFill>
                    <w14:schemeClr w14:val="tx1"/>
                  </w14:solidFill>
                </w14:textFill>
              </w:rPr>
              <w:t xml:space="preserve">，进度计划可行性一般，质量与安全文明保障措施基本有效，资源投入计划配置合理性一般的，得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，进度计划与实际</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偏差，质量与安全文明保障措施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优化后可行</w:t>
            </w:r>
            <w:r>
              <w:rPr>
                <w:rFonts w:hint="eastAsia" w:ascii="宋体" w:hAnsi="宋体" w:cs="宋体"/>
                <w:color w:val="000000" w:themeColor="text1"/>
                <w:sz w:val="24"/>
                <w:szCs w:val="24"/>
                <w:highlight w:val="none"/>
                <w14:textFill>
                  <w14:solidFill>
                    <w14:schemeClr w14:val="tx1"/>
                  </w14:solidFill>
                </w14:textFill>
              </w:rPr>
              <w:t xml:space="preserve">，资源投入计划配置合理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性待优化</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default" w:ascii="宋体" w:hAnsi="宋体" w:cs="宋体"/>
                <w:color w:val="000000" w:themeColor="text1"/>
                <w:sz w:val="24"/>
                <w:szCs w:val="24"/>
                <w:highlight w:val="none"/>
                <w:lang w:val="en-US"/>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注：项目实施方案总篇幅不超过100页，每超过1页扣0.01分，扣完该项得分为止。</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2562"/>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根据供应商提供的人员配备方案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包括但不限于管理人员组织架构、人员资历、人员协调组织措施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管理人员组织架构完善，人员资历丰富，人员协调组织措施可行</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（2）管理人员组织架构较完善，人员资历较丰富，人员协调组织措施较可行的，得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（3）管理人员组织架构</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完善，人员资历</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丰富，人员协调组织措施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管理人员组织架构一般，人员资历一般，人员协调组织措施可行性一般的，得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培训方案（8分）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根据供应商提供的培训方案进行综合评审。培训计划应清晰完整，内容需全面覆盖讲解服务与设备运维等关键岗位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培训目标明确，实施安排具备实际操作价值，确保受训人员能精准掌握展厅系统操作与日常维护要求。</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（1）培训计划清晰完整，目标明确，内容覆盖全面，实施安排具备实际操作价值，受训人员能精准掌握要求的，得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（2）培训计划较清晰完整，目标较明确，内容覆盖较全面，实施安排较</w:t>
            </w: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cs="宋体"/>
                <w:color w:val="000000" w:themeColor="text1"/>
                <w:sz w:val="24"/>
                <w:szCs w:val="24"/>
                <w:highlight w:val="none"/>
                <w14:textFill>
                  <w14:solidFill>
                    <w14:schemeClr w14:val="tx1"/>
                  </w14:solidFill>
                </w14:textFill>
              </w:rPr>
              <w:t xml:space="preserve">实际操作价值，受训人员能较好掌握要求的，得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（3）培训计划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清晰完整，目标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明确，内容覆盖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全面，实施安排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基本可</w:t>
            </w:r>
            <w:r>
              <w:rPr>
                <w:rFonts w:hint="eastAsia"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培训计划一般，目标一般，内容覆盖有所欠缺，实施安排实际操作价值一般的，得2分；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w:t>
            </w:r>
            <w:r/>
          </w:p>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根据供应商提供的售后服务方案进行综合评审。售后服务方案应明确质保期内的维护范围与权责，巡检计划需</w:t>
            </w:r>
            <w:r>
              <w:rPr>
                <w:rFonts w:hint="eastAsia" w:ascii="宋体" w:hAnsi="宋体" w:cs="宋体"/>
                <w:color w:val="000000" w:themeColor="text1"/>
                <w:sz w:val="24"/>
                <w:szCs w:val="24"/>
                <w:highlight w:val="none"/>
                <w:lang w:eastAsia="zh-CN"/>
                <w14:textFill>
                  <w14:solidFill>
                    <w14:schemeClr w14:val="tx1"/>
                  </w14:solidFill>
                </w14:textFill>
              </w:rPr>
              <w:t xml:space="preserve">翔实</w:t>
            </w:r>
            <w:r>
              <w:rPr>
                <w:rFonts w:hint="eastAsia" w:ascii="宋体" w:hAnsi="宋体" w:cs="宋体"/>
                <w:color w:val="000000" w:themeColor="text1"/>
                <w:sz w:val="24"/>
                <w:szCs w:val="24"/>
                <w:highlight w:val="none"/>
                <w14:textFill>
                  <w14:solidFill>
                    <w14:schemeClr w14:val="tx1"/>
                  </w14:solidFill>
                </w14:textFill>
              </w:rPr>
              <w:t xml:space="preserve">可行，保障设施设备常态化运行，故障响应与应急处理机制应高效便捷，明确具体的响应时限与处理流程，整体方案应具备实操性，确保展厅长期稳定运行。</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（1）方案内容完整，维护权责明确，巡检计划可行，响应机制高效、时限清晰，实操性强，得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（2）方案内容较完整，维护权责较明确，巡检计划较可行，响应机制较高效、时限较清晰，实操性较强，得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（3）方案内容一般，维护权责或巡检计划有所欠缺，响应机制一般、时限不够清晰，实操性一般，得2分；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项目质保（3分）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在满足招标文件要求的质保期基础上，投标人承诺延长质保期的：总体延长6个月的，加</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分；总体延长12个月的，加3分。本项最高得3分。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须在投标文件中提供书面质保期承诺函并加盖公章，须明确写明具体延长的月数（如"总体延长12个月"），不得使用"超过""不少于""不低于"等不确定性描述。未提供书面承诺或承诺内容不明确的，本项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r>
      <w:tr>
        <w:trPr>
          <w:jc w:val="center"/>
          <w:trHeight w:val="0"/>
        </w:trPr>
        <w:tc>
          <w:tcPr>
            <w:gridSpan w:val="3"/>
            <w:tcW w:w="4601"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合计</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r>
    </w:tbl>
    <w:p>
      <w:pPr>
        <w:ind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jc w:val="center"/>
        <w:rPr>
          <w:rFonts w:hint="eastAsia"/>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供应商应在《技术条款偏离表》或《商务条款偏离表》中针对本章内容进行响应说明，本章中标注“</w:t>
      </w:r>
      <w:r>
        <w:rPr>
          <w:rFonts w:hint="eastAsia" w:ascii="宋体" w:hAnsi="宋体" w:eastAsia="宋体" w:cs="宋体"/>
          <w:b/>
          <w:bCs/>
          <w:i/>
          <w:iCs/>
          <w:color w:val="000000" w:themeColor="text1"/>
          <w:highlight w:val="none"/>
          <w:lang w:val="en-US" w:eastAsia="zh-CN"/>
          <w14:textFill>
            <w14:solidFill>
              <w14:schemeClr w14:val="tx1"/>
            </w14:solidFill>
          </w14:textFill>
        </w:rPr>
        <w:t xml:space="preserve">★</w:t>
      </w:r>
      <w:r>
        <w:rPr>
          <w:rFonts w:hint="eastAsia"/>
          <w:b/>
          <w:bCs/>
          <w:i/>
          <w:iCs/>
          <w:color w:val="000000" w:themeColor="text1"/>
          <w:highlight w:val="none"/>
          <w:lang w:val="en-US" w:eastAsia="zh-CN"/>
          <w14:textFill>
            <w14:solidFill>
              <w14:schemeClr w14:val="tx1"/>
            </w14:solidFill>
          </w14:textFill>
        </w:rPr>
        <w:t xml:space="preserve">”的为实质性要求，不接受负偏离，如有负偏离视为无效投标。要求提供证明材料的还须按要求附相应材料佐证，否则视为负偏离。缺项、漏项均视为负偏离。</w:t>
      </w:r>
      <w:r/>
    </w:p>
    <w:p>
      <w:pPr>
        <w:ind w:left="0" w:firstLine="0"/>
        <w:jc w:val="both"/>
        <w:rPr>
          <w:rFonts w:hint="default"/>
          <w:b/>
          <w:bCs/>
          <w:i w:val="0"/>
          <w:iCs w:val="0"/>
          <w:color w:val="000000" w:themeColor="text1"/>
          <w:highlight w:val="none"/>
          <w:lang w:val="en-US" w:eastAsia="zh-CN"/>
          <w14:textFill>
            <w14:solidFill>
              <w14:schemeClr w14:val="tx1"/>
            </w14:solidFill>
          </w14:textFill>
        </w:rPr>
      </w:pPr>
      <w:r>
        <w:rPr>
          <w:rFonts w:hint="eastAsia"/>
          <w:b/>
          <w:bCs/>
          <w:i w:val="0"/>
          <w:iCs w:val="0"/>
          <w:color w:val="000000" w:themeColor="text1"/>
          <w:highlight w:val="none"/>
          <w:lang w:val="en-US" w:eastAsia="zh-CN"/>
          <w14:textFill>
            <w14:solidFill>
              <w14:schemeClr w14:val="tx1"/>
            </w14:solidFill>
          </w14:textFill>
        </w:rPr>
        <w:t xml:space="preserve">一、采购清单</w:t>
      </w:r>
      <w:r/>
    </w:p>
    <w:tbl>
      <w:tblPr>
        <w:tblStyle w:val="8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08"/>
        <w:gridCol w:w="1144"/>
        <w:gridCol w:w="1344"/>
        <w:gridCol w:w="2292"/>
      </w:tblGrid>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备注</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63"/>
        </w:trPr>
        <w:tc>
          <w:tcPr>
            <w:gridSpan w:val="5"/>
            <w:tcW w:w="5000"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详见招标文件附件工程量清单、图纸，并根据附件编制“</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”部分的报价清单</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233"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6.97</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26.208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11.76</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画面</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149.35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2049"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0"/>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此项多媒体设备内容均属于服务项目中涉及的货物，实施本国产品标准及相关政策。</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多媒体弱电布线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608</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四</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多媒体设备（框采）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12.2</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此处内容由采购利旧，由中标人负责对接，完成安装、调试，此项费用请投标人综合考虑在投标报价中，无须在报价表中单列。</w:t>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分钟</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年</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此处内容利旧，由中标人负责配合完成安装、调试、摆放、布置，此项费用请投标人综合考虑在投标报价中，无须在报价表中单列。</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tbl>
      <w:tblPr>
        <w:tblStyle w:val="8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871"/>
        <w:gridCol w:w="5864"/>
      </w:tblGrid>
      <w:tr>
        <w:trPr>
          <w:trHeight w:val="624"/>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技术要求</w:t>
            </w:r>
            <w:r/>
          </w:p>
        </w:tc>
      </w:tr>
      <w:tr>
        <w:trPr>
          <w:trHeight w:val="4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3156"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详见附件工程量清单及图纸</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（展陈布展</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9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1、艺术创作浮雕定制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2、高密度造油泥雕刻艺术母模，精细硅胶开模，玻璃钢整体翻制；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3、表面经打磨、修补、去噪，采用抗裂底漆及多层专用特效艺术漆喷涂，做仿砂岩/仿石材哑光仿真效果（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中标后</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具体纹理色彩按设计及小样确认为准）；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4、浮雕背面预埋防锈镀锌角钢/扁铁骨架，与主体装饰钢骨架基层可靠焊接或螺栓固定；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5、工作内容：包含艺术图纸深化设计、泥塑小样雕刻及确认、模具制作、玻璃钢翻制、表面艺术仿石着色、成品保护、成品运输及现场安装成品等。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6、详见参考效果图</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1、大厅顶部发光LOGO定制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2、排版、雕刻、字饰制作，20mm厚亚克力板精密数控雕刻一体成型，内置高亮LED光源，正面发光，发光柔和均匀、无暗区，背面微型底板雕刻密封；高空安装。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3、详见参考效果图，直径尺寸大约1200mm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1、艺术铜牌馆名定制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实心铝板CNC精雕一体成型，厚度≥1.2公分，精雕出凸起文字，底面作高密度艺术剁斧纹或碎石纹理，表面经多层化学作旧、擦色及防氧化封闭漆处理，呈现古铜色/仿古哑光金属质感，文字正面及边框高位拉丝抛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3、详见参考效果图，直径尺寸大约400*800mm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1、定制专业展示通柜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2、镀锌方管骨架，冷钢板材质；方管骨架紧固件；顶内藏灯箱泛光灯具及前置射灯；5+5mm超白夹胶玻璃；背板及底座木工板表面扪亚麻布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规格尺寸约为：深度750mm，高度3000mm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1、序言板定制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2、艺术排版及画面深化，钢结构基础造型定制，木纹烤漆艺术外框，中心画面UV画布裱贴装。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规格尺寸约为：宽度2400mm，高度4100mm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1、校歌板定制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2、艺术排版及画面深化，钢结构基础造型定制，金属烤漆艺术外框，UV立体打印校歌。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1、校训板定制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2、艺术排版及画面深化，钢结构基础造型定制，金属烤漆凹凸造型，uvD打印LOGO及文字，金属立体字，立体展板制作。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1、实木画框装裱照片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2、照片排版、色彩校正及高精度相纸输出，外框定制实木艺术画框，正面高透亚克力，内设卡纸衬边，后背防潮背板密封装裱。</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规格尺寸约为：宽度1200mm，高度800mm</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1.主题内容创作、故事版策划、整体构图空间深化设计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2.背板背景艺术油画或全手工彩绘定制，前景定制高仿真微缩建筑、景观、体育场馆设施及地形地貌，工艺美术师手工雕刻上色，定制微缩人物模型（含特殊造型定制），前景现场拼装、定景。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1、定制悬挑展柜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钢结构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2、建筑立面矢量图形的绘制，18厚亚克力雕刻工艺制作，底部定制金属烤漆底座嵌入发光灯条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3、详见参考效果图，尺寸大约为1200*1500mm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1、定制落地展柜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3、详见参考效果图，尺寸约为：深度400mm、高度750mm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1、综合造型定制（包括钢结构基础、金属烤漆叠级面层及边框、画面、金属字等）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2、详见参考效果图，尺寸约为：宽度1000mm、高度220mm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1、木制烤漆、定制</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1、单体小灯箱叠级成墙，定制、尺寸按照墙面总长*宽计算</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1、专业定制（复杂异形）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2、金属烤漆结构及面板、超白钢化玻璃，底座木工板表面扪亚麻布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3、详见参考效果图，尺寸约为高750、长3600mm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画面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1、基层处理（补钉眼、贴绷带、三遍腻子打磨、刷基膜）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2、无缝墙布UV打印、裱贴</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1、亚克力雕刻烤漆字，厚度5-18mm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2、大小、厚度、颜色根据最终内容深化后的版式需求，价格统一打包价</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1、立体UV展板，成品铝合金烤漆包边，正面视图为2mm左右极窄边，画面为PVC基层裱布面精喷UV画面，侧面整体厚度20mm左右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2、不足一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平方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米的，尺寸按照宽或高的最大尺寸计量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1、含展品测量及深化设计，全馆柜内展托定制。具体依据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展品需求选择木质积木几何式展示台或亚克力展托：木质积木展示台根据展品尺寸定制且表面包覆优质亚麻布；亚克力展托采用厚度不小于5mm的板材经U型热弯工艺一体成型。含现场展品陈列摆放。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排版及丝网版制作，单色丝网印刷工艺，专用油墨刮印</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按图案最高与最宽处计算矩形面积，单处不足1㎡按1㎡计量，超出部分按实际面积计量</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1、定制奥运奖牌高仿真复刻，金属一体压铸，表面抛光处理，还原原作金属原色、图案及立体浮雕细节。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1、定制高透明度加厚亚克力专用艺术展框，实现展品立体悬挂悬浮陈列。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1、档案原件高精度扫描，图样色彩校正，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艺术纸高精度输出，表面手工做旧工艺处理，还原历史单张单面纸质档案的质感、色泽与微疵等细节。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1、异形阶梯式造型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2、钢骨架加工、焊接、防锈防腐处理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施工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图纸，面积按顶部投影面积计算</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1、金属烤漆定制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参考效果</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1、采用高精度铝合金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轨道</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长度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2、搭载2台高精度伺服电机与闭环控制系统，实现精准、定位和平稳移动，扭拧度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0.1mm；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3、红外或激光感应模块，实时监测屏幕位置。</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4、支持匀速、变速等多种运动模式，速度可调，定位精度≤±0.5mm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5、支持通过滑轨数据软件将位置数据实时传送电脑，便于二度开发。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6、缓停缓启动系统：设备启动和停止均有缓冲程序，保证设备运行平稳，噪音小。同时减少设备的晃动。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7、开放二的用户接口协议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数据通信协议UDP</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中控协议：UDP</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themeColor="text1"/>
                <w:highlight w:val="none"/>
                <w:u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1、中央处理器: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1T固态 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 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工作站图形显卡显存≥</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16</w:t>
            </w:r>
            <w:r>
              <w:rPr>
                <w:rFonts w:hint="eastAsia" w:ascii="宋体" w:hAnsi="宋体" w:eastAsia="宋体" w:cs="宋体"/>
                <w:i w:val="0"/>
                <w:iCs w:val="0"/>
                <w:caps w:val="0"/>
                <w:color w:val="000000" w:themeColor="text1"/>
                <w:spacing w:val="0"/>
                <w:sz w:val="24"/>
                <w:szCs w:val="24"/>
                <w:highlight w:val="none"/>
                <w:u w:val="none"/>
                <w:shd w:val="clear" w:color="auto"/>
                <w:lang w:val="en-US" w:eastAsia="zh-CN" w:bidi="ar"/>
                <w14:textFill>
                  <w14:solidFill>
                    <w14:schemeClr w14:val="tx1"/>
                  </w14:solidFill>
                </w14:textFill>
              </w:rPr>
              <w:t xml:space="preserve">G 显示接口mini</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DP 1.4</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24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20Hz-20kHz，+0/-1dB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总谐波失真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（THD）&lt;0.5%，20Hz-20kHz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互调失真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4、转化率</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≤10V/us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电压增益</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阻尼因数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 （8Ω</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10Hz - 400Hz）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输入的灵敏度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0.775V或1.4V</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输入阻抗</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≤20kΩ平衡，≤10kΩ非平衡</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扬声器单元</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≥3英寸全频单元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95Hz-16KHz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灵敏度：≤84dB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额定覆盖角度：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130°锥形覆盖</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额定阻抗：≥8Ω</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1、金属液压支架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2、承载重量 15kg-150kg</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1、感光元件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摄像头像素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3480×2160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最大帧频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接口类型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USB3.0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系统支持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WINDOWS XP/7/10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ANDROID</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LINUX.</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macOS</w:t>
            </w:r>
            <w:r/>
          </w:p>
        </w:tc>
      </w:tr>
      <w:tr>
        <w:trPr>
          <w:trHeight w:val="21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3156" w:type="pct"/>
            <w:vAlign w:val="center"/>
            <w:textDirection w:val="lrTb"/>
            <w:noWrap w:val="false"/>
          </w:tcPr>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1、系统内存：≥12GB</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2、存储容量：≥256GB</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3、屏幕尺寸：≥12英寸</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4、屏幕类型：OLED</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5、屏幕分辨率：≥2600*1440</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suppressLineNumbers w:val="0"/>
            </w:pPr>
            <w:r>
              <w:rPr>
                <w:color w:val="000000" w:themeColor="text1"/>
                <w:highlight w:val="none"/>
                <w14:textFill>
                  <w14:solidFill>
                    <w14:schemeClr w14:val="tx1"/>
                  </w14:solidFill>
                </w14:textFill>
              </w:rPr>
              <w:t xml:space="preserve">6、屏幕像素密度：≥250ppi</w:t>
            </w:r>
            <w:r>
              <w:rPr>
                <w:color w:val="000000" w:themeColor="text1"/>
                <w:highlight w:val="none"/>
                <w14:textFill>
                  <w14:solidFill>
                    <w14:schemeClr w14:val="tx1"/>
                  </w14:solidFill>
                </w14:textFill>
              </w:rPr>
            </w:r>
          </w:p>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7、WiFi功能：双频（2.4GHz+5GHz）</w:t>
            </w: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支持2路带供电T-NET总线信号管理，支持1路Ethernet接口，支持1路红外仿真输出接口，支持1路红外学习接口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支持8路可自定义的IO输入输出及红外输出，支持红外调制信号发送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设备需具备8路触点，每路触点安装的继电器规格为支持30V/1A DC，125V/0.5A AC负载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设备需具备端口复用功能，支持8路可自定义协议的串口，可配置RS-232、RS-485、DMX512协议</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3156" w:type="pct"/>
            <w:vAlign w:val="center"/>
            <w:textDirection w:val="lrTb"/>
            <w:noWrap w:val="false"/>
          </w:tcPr>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 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2T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显存≥</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4G 电源：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300W</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提供有效的CCC认证证书。</w:t>
            </w:r>
            <w:r>
              <w:rPr>
                <w:rFonts w:hint="eastAsia"/>
                <w:b/>
                <w:bCs/>
                <w:color w:val="000000" w:themeColor="text1"/>
                <w:highlight w:val="none"/>
                <w14:textFill>
                  <w14:solidFill>
                    <w14:schemeClr w14:val="tx1"/>
                  </w14:solidFill>
                </w14:textFill>
              </w:rPr>
              <w:t xml:space="preserve">（提供有效的证书扫描件，否则视为无效投标）</w:t>
            </w:r>
            <w:r/>
          </w:p>
        </w:tc>
      </w:tr>
      <w:tr>
        <w:trPr>
          <w:trHeight w:val="19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配备8路220V/13A受控接口电源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2路220V/16A辅助电源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250V/30A进口电源滤波器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紧急触发接口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副机级联接口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智能控制及定时编程模块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支持手动控制</w:t>
            </w:r>
            <w:r/>
          </w:p>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支持RS232控制</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16路电脑主机控制器，开关机控制接口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支持TCP/IP控制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支持状态反馈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电源要求 DC24V</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千兆WAN口≥2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千兆LAN口≥2，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支持LAN/WAN切换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带机量：250-350</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内置天线双频四流，接入速率≥1267Mbps，千兆电口≥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，发射功率（最大）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23dBm（合路功率）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10/100/1000BASE-T电口≥24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1/10G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支持AC/DC </w:t>
            </w:r>
            <w:r/>
          </w:p>
        </w:tc>
      </w:tr>
      <w:tr>
        <w:trPr>
          <w:trHeight w:val="12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≥24个</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1000Base-X SFP端口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，支持POE+，POE输出功率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370W，</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交换容量：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52Gbps，包转发：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38.7Mpps，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一键模式切换，支持“监控模式、标准交换、汇聚上联、端口隔离” 四种工作模式</w:t>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材质：SPCC加厚冷轧钢材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宽度：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深度：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立柱厚度：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钢板厚度：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立柱间距：</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485mm（19英寸标准）</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红外灯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产品外形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一体机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成像色彩</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彩色</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成像器件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1/3英寸Progressive Scan 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有效像素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镜头参数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水平视场角：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78.8°</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垂直视场角：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对角视场角：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93.9°</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最低照度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0.005Lux@（F1.0，AGC ON），0 Lux with Light</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电子快门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1-3/10000秒</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动态侦测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2560×1440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压缩格式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1个RJ45 10M/100M 自适应以太网口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防护等级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IP66</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6T监控专用硬盘，</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界面SATA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6Gb/s</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缓存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128MB，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平均无故障时间</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000hr</w:t>
            </w:r>
            <w:r/>
          </w:p>
        </w:tc>
      </w:tr>
      <w:tr>
        <w:trPr>
          <w:trHeight w:val="13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H.265压缩</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3840*2160/30Hz，2560*1440/60Hz，1920*1080/60Hz，1600*1200/60Hz，1280*1024/60Hz，1280*720/60Hz，1204*768/60Hz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视频制式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视频解码格式：H.265，Smart265，H.264，Smart264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图像质量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预览分屏：1/4/6/8/9/16画面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手动录像，定时录像，时间录像，移动侦测录像，报警录像，动测或报警录像，动测且报警录像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8MP/7MP/6MP/5MP/4MP/3MP/1080p/UXGA/720p/VGA/4CIF/DCIF/2CIF/CIF/QCIF</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即时回放，常规回放，时间回放，标签回放，智能回访，外部文件回访，日志回访</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备份方式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常规备份，时间备份，录像剪辑备份</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视频输入</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1个HDMI接口，1个VGA接口</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1路，RCA接口（线性电平，阻抗：1KΩ）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其它接口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4个SATA接口，2个RJ45接口，1个RS-485接口，1个RS-232接口，2个USB2.0，1个USB3.0，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16个报警输入，4个报警输出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抓图功能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语音对讲</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1个RCA接口（电平：2.0Vp-p，阻抗：1kΩ）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IPv6，UPnP（即插即用），NTP（网络校时），SADP（设备网络搜索），PPPoE（拨号上网），DHCP（自动获取IP地址）</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本地存储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8TB</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网络输入带宽：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网络输出带宽：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视频解码能力：</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8*1080P</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视频同步回放：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音频解码格式：G.711ulaw，G.711alaw，G.7222，G.726，AAC</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POE标准：IEEE 802.af/at</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POE输出功率：≤200W </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应用层级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二层</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存储-转发</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包转发率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26.784Mpps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MAC地址表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8K</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端口数量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端口描述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千兆PoE电口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，千兆光口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，MDI/MDI-X自适应</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传输模式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全双工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IEEE 802.3，IEEE 802.3u，IEEE 802.3x</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电源电压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AC 100-240V，50/60Hz，最大4A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端口最大供电：30W，整机最大供电：225W</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多媒体弱电布线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1、桥架、KBG线管、金属软管、线盒、六类网线、音响线、光纤、数据线等</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配合</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采购的设备厂家安装调试设备，全馆综合调试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四</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多媒体设备（框采）</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（多媒体设备（框采）</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甲供（利旧，乙方负责设备安装、调试）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1.动态数字画面定制：基于项目主视觉，定制开发大屏迎宾主题动态数字画面（如“七十周年校庆”或“中央体育场”等创意主题，具体以采购人深化要求为准）；采用 After Effects 及主流特效软件进行 2D 特效包装（含粒子特效、光影动效等），全面提升视觉冲击力；高清影片格式输出，共计交付2条独立主题的动态影片，单条预计30秒。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2.大屏开合联动机制动画：针对大屏幕机械开合过程制作开合过场动效或动画，确保动效在跨屏联动时的适配展示，预计5秒。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Style w:val="908"/>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宣传片包装：针对原宣传片分辨率的进行等比例适配大屏；对大屏上下两侧空出区域进行定制化视觉底衬设计，结合展陈主题加入静态或基础动态的包装元素，消除黑边；整体渲染，输出满足大屏分辨率的成品。</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1.同步运动控制：对开轨迹规划、软启动/软停止、原点回归、左右限位保护、急停制动及故障自诊断，实时采集并反馈两轴位置、速度等运行参数，确保双侧同步误差可控；</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2.通信接口程序：开放标准化协议接口（Modbus TCP/RTU、TCP/IP），实现与中控系统的双向通信，支持指令下发、状态实时上报及故障码解析；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3.联动同步程序：建立机械动作与显示内容的同步机制，确保物理动作与媒体时序严格对齐；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4.对开编组与限位保护程序：支持左右单控、联动对开及半速调试模式；</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5.调控与应急控制：提供手动单步调试、断电手动解锁、应急归位及远程复位功能，并包含现场联调、时序精调与多轮压力测试优化。</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1.静态展示照片及文字版式设计，预计15张；</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单控程序：支持JPG/JPEG/PNG等图片格式及MP4/MPG/WMV/MKV/FLV等视频格式的素材导入与自动转码适配；完成展示素材的输出分辨率优化、裁切预处理及显示参数匹配；支持通过APP进行图片与视频的远程轮播策略设置、播放顺序编排、分组循环及定时切换管理，实现开机后自动按预设序列稳定播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3156" w:type="pct"/>
            <w:vAlign w:val="center"/>
            <w:textDirection w:val="lrTb"/>
            <w:noWrap w:val="false"/>
          </w:tcPr>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针对“中央体育场建筑群”互动展项进行数字内容深化与视觉制作。</w:t>
            </w:r>
            <w:r/>
          </w:p>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Style w:val="91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本项所有内容由中标单位负责查阅历史档案进行深化</w:t>
            </w: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，最终交由采购人审核，</w:t>
            </w:r>
            <w:r>
              <w:rPr>
                <w:rStyle w:val="91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部分缺失素材需进行现场采集照片</w:t>
            </w: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体以采购人深化要求为准。内容要求：针对“中央体育场建筑群”互动展项进行数字内容深化，整体分为三大核心板块。第一板块为基本情况介绍，梳理筹建背景、建造历程及奠基仪式，并结合历史总平面图，深度解析天然地势的空间布局逻辑；第二板块为各场馆详情介绍，重点涵盖并突出：田径场（远东首屈一指、依山而建）、国术场（暗合八卦的八角形设计）、篮球场（盆形长八角结构）、游泳池（宫殿式、首个50米标准池），以及棒球场（折扇形平面）、跑马场</w:t>
            </w:r>
            <w:r>
              <w:rPr>
                <w:rStyle w:val="909"/>
                <w:rFonts w:hint="eastAsia" w:ascii="宋体" w:hAnsi="宋体" w:cs="宋体"/>
                <w:color w:val="000000" w:themeColor="text1"/>
                <w:sz w:val="24"/>
                <w:szCs w:val="24"/>
                <w:highlight w:val="none"/>
                <w:lang w:val="en-US" w:eastAsia="zh-CN" w:bidi="ar"/>
                <w14:textFill>
                  <w14:solidFill>
                    <w14:schemeClr w14:val="tx1"/>
                  </w14:solidFill>
                </w14:textFill>
              </w:rPr>
              <w:t xml:space="preserve">及</w:t>
            </w: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足球场等各具功能与历史特色的建筑详情；第三板块为建筑装饰特色，深度剖析在西方现代混凝土结构下，对冲天式牌楼、装饰性雀替、简化五脊六兽的庑殿顶、圆拱门窗、带卷草纹抱鼓石的仿清式栏杆、檐部旋子彩画以及转角半浮雕螭首等“中国固有式”美学构件的重构与融合。</w:t>
            </w:r>
            <w:r/>
          </w:p>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Style w:val="90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6、预计12-18张页面</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项服务针对展厅中心折面异形LED大屏进行“南体之路——南京体育学院发展历程”主题多媒体数字内容与特效影片的定制开发。需采用“历史时间轴线+核心里程碑事件”结构演绎南京体育学院从创立、发展、变革到辉煌的完整历史脉络，重点呈现各时期的关键年份、重大事件标题、历史事件及深远意义描述。具体技术与制作要求如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1.设计排版为全线校史长图，定义整体美术风格与色彩，经由采购人审阅后，方可进入下一阶段的动态制作。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据过审的长图进行素材剪辑合成，针对折面异形LED大屏的物理结构进行定制化二维动效包装、特效字幕设计等，并对老照片等历史影像进行画质增强与风格化调色；国语一级男声配音、版权背景音乐选配、音效铺陈及多轨混音制作；输出符合异形屏点对点解码要求的展厅播出版等多格式成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3、影片时长预计5分钟</w:t>
            </w:r>
            <w:r/>
          </w:p>
        </w:tc>
      </w:tr>
      <w:tr>
        <w:trPr>
          <w:trHeight w:val="4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“南体之路”触控系统（下屏操作端）联动UI设计，需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完成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信息映射、低保真原型及高保真视觉设计，实现下屏“模式选择、播放、暂停、回退”等指令的精准触控与热区规范（具体UI模块定制内容以采购人深化要求为准）。</w:t>
            </w:r>
            <w:r/>
          </w:p>
        </w:tc>
      </w:tr>
      <w:tr>
        <w:trPr>
          <w:trHeight w:val="16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1.程序基于Unity引擎</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，TCP/UDP 网络通信协议。下屏作为主控端，捕捉触控行为（如点击、滑动、菜单选择），并将其转化为标准的控制信令，通过局域网秒级（延迟≤16ms）同步发送给上屏播控端；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2.下屏程序负责管理整套展项的运行</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状态</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。根据观众的操作，向顶屏精准下发“模式切换、播控”等指令，确保上下两端画面的内容映射完全同步。</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3.下屏人机交互系统（UI控制层）： 负责下屏自身的高清界面渲染与页面层级管理。支持流畅导航跳转与资源异步加载，内置防误触机制，确保长周期、高频次运行下的系统稳定性。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4.系统支持离线局域网环境独立部署。程序预留标准的网络与串口硬件通信接口，集成一键启动、开机自动运行及后台守护进程功能。</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r>
      <w:tr>
        <w:trPr>
          <w:trHeight w:val="1747"/>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1.画面内容要求：</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1.1投影多媒体主页面：展示数字展厅投影开篇主视觉，包含展陈主题字样、核心Slogan、各大板块进入入口及全局导航元素。</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竞技先锋内容详情页：展示学校在竞技体育领域的建制规模与夺金实力。包含：5个竞技体育学院、2个“国字号”体育学院、11支省优秀运动队、江苏省少年业余体校（后备人才基地），以及功勋教练员与核心夺金人才简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立德树人内容详情页：展示全链条文化教育体系。包含：6个高等教育学院、全国首个“中国足球裁判学院”、一流本科专业建设点、硕博学位点、国家级/省级教学成果奖，以及由国家级领军人才与“国务院特殊津贴”人才组成的师资力量。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科技兴体内容详情页：展示学校在体育科技攻关及成果转化方面的突破。包含：国家级科普基地、体育类高端智库、重点实验室、特色研究机构、国家级/省部级科研项目与专利，以及《体育学研究》杂志和科技服务案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2.视觉效果：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2.1主页面动态效果：主页面设计基础的背景动效与板块切换转场动效，保障画面进入与切换时的流畅过渡。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2.2内容详情页排版风格：三大核心内容详情页采用清晰、规范的数字化排版。对密集文字进行信息层级梳理，将核心数据、结构体系进行图表化或板块化拆解展示，确保文字信息的易读性。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2.3结合现场投影环境，合理设定界面色彩对比度、字体大小与字距，规范功能区块布局，确保大屏幕投影下的视觉清晰度与识别度。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2.4严格按照工程投影机的实际融合分辨率输出 1:1 高保真静态界面资源、全套界面切图及 UI 组件库，配合前端开发实现画面精准还原。</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3.预计20-30张页面</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内容触摸屏下屏操作端桌面的联动UI整体信息层级梳理及导航系统设计。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2.完成控制界面的高保真视觉设计，明确功能区块布局、定制化图标与色彩应用，规范触控热区尺寸。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3.完成页面转场、层级切换、导航等关键交互状态的动效设计。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4.输出可供前端直接集成的动态视觉资源（如序列帧或视频组件），保障交互反馈的即时性（低延迟）与动画流畅度。</w:t>
            </w:r>
            <w:r/>
          </w:p>
        </w:tc>
      </w:tr>
      <w:tr>
        <w:trPr>
          <w:trHeight w:val="26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10.采用主从架构，实现触控主控屏与显示端屏幕的数据毫秒级同步与动态交互；内置多路通讯协议解析模块，支持跨屏指令的精准转换与智能切换。</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1.基于采购人提供的原始照片，进行高精度的人物抠图、面部修饰处理，进行光影重塑、色彩与姿态调整，确保人物形象与现场互动自然融合。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2.界面美术风格需与体育/奥运主题匹配，定制高清氛围UI与动态背景。规划清晰的“开始合影”或“模式”主导向按钮；支持观众在屏端快速筛选不同的“奥运冠军角色”（预计提供8-10人）。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规范人脸/人形实时捕获的画面框构，内置清晰的倒计时动画、拍照姿态AR虚线框引导及最佳站位提示，提供拍照成功、重拍或切换角色的即时交互反馈。拍照完成后自动生成高清合影预览界面，规范画面裁切比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4.统一页面跳转与按钮触控的动效状态机设计，保障交互路径短捷、无卡顿；按硬件终端物理分辨率输出高保真静态资源、界面切图及规范化的UI组件库，确保开发精准还原。</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毕业照检索控制与图片合成程序。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冠军名字”两个数据作为索引，实现冠军照片的瞬时匹配与资源异步零卡顿加载；将选取的冠军照片与自己实时拍摄的照片进行软件合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1.界面美术风格须契合校史与母校情怀，确保画面布局美观、重点突出。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2.界面包含如常驻醒目的“点击开始查询”或“寻找你的毕业照”主触控按键，规范点击动效反馈，清晰引导观众进入核心交互流程。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3.检索区须定制“年级/年份”“班级”滚动选择UI组件，确保观众通过上下滑动即可快速定位数据，并规范确认检索的按键触控热区。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4.定制毕业照片全屏预览界面，界面显著位置常驻“返回”等回退按键窗。</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2.建立高效的本地双键值配置表驱动架构（JSON/XML），支持观众通过输入如“毕业年份+班级”两个数据作为索引，实现海量预置毕业照资产的瞬时匹配与资源异步零卡顿加载；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1.服务器类型：云服务器 ECS（通用型）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 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4.系统盘：高效云盘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5.带宽：固定公网带宽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5Mbp</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6.公网 IP：分配固定公网 IP</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1.系统以奥运冠军名录作为全局索引入口，观众在触摸屏上点击指定冠军姓名，即可直接进入并全屏播放该冠军的口述历史档案视频。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6.预计页面10-20张。</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7.视频资产异步加载与动态内存优化，目标帧率 60FPS，视频切换无缝、无卡顿；</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1.定制手持操作端互动多媒体智能控制系统、UI界面，分别开发管理员全馆集控端与讲解员分区播控端，支持双系统独立登录、功能隔离及一键界面切换。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2.支持对全馆显示终端、投影及互动装置进行电源总控、信号启停与单点独立控制，反馈各展项运行状态。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3.支持展区照明分区分组控制、亮度调节及多场景预设，实现灯光与多媒体展项的联动触发。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4.支持一键开馆/闭馆场景序列调用，可预设定时任务自动执行设备开关，降低人工操作强度。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5.支持手持终端与中控系统双向实时通讯，实现单控管理和综合管理。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6.实时监测各子系统运行状态，支持复位及故障日志记录，保障系统安全运行。</w:t>
            </w:r>
            <w:r/>
          </w:p>
        </w:tc>
      </w:tr>
      <w:tr>
        <w:trPr>
          <w:trHeight w:val="120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1.中央控制主机中央控制软件。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2.接收操作终端发出的各项指令。</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3.发送命令至各展项设备及电箱，支持远程启停各展项工作站或计算机主机，支持批量开关、延时顺序保护及通电状态反馈（不含中控主机自身电源管理）。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4.支持手持终端与中控系统双向实时通讯，实现单控管理和综合管理。</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1.完成各展项程序在LED大屏、拼接屏、工程投影机、智显屏及定制装置等终端上的标准化安装、运行环境配置及初始化启动，确保各终端独立加载正常。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2.对各展项开展交互功能验证、硬件接口联调、显示效果校准及响应性能测试，确保人机交互精准、远端控制可靠、显示输出一致。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3.开展中控系统与各展项的点对点调试、多系统并发压力测试及连续运行稳定性测试，确保各展项系统运行稳定。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4.完成灯光、音频、多媒体播控及各展项互动装置与中央控制平台的协议对接、指令映射及状态回传调试，确保单系统响应准确、反馈完整。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5.按预设开闭馆及讲解场景脚本配合进行多系统时序编排、协同联动验证、并发压力测试及异常中断回退测试，形成联调测试报告与问题闭环清单，配合完成开馆各项环节流程预设。</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w:t>
            </w:r>
            <w:r>
              <w:rPr>
                <w:rFonts w:hint="default"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负责</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安装、调试）</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1、全馆完工后整体保洁</w:t>
            </w:r>
            <w:r/>
          </w:p>
        </w:tc>
      </w:tr>
    </w:tbl>
    <w:p>
      <w:pPr>
        <w:ind w:left="0" w:firstLine="0"/>
        <w:keepLines w:val="0"/>
        <w:keepNext w:val="0"/>
        <w:pageBreakBefore w:val="0"/>
        <w:widowControl w:val="off"/>
        <w:rPr>
          <w:rFonts w:hint="default"/>
          <w:b w:val="0"/>
          <w:bCs w:val="0"/>
          <w:color w:val="000000" w:themeColor="text1"/>
          <w:highlight w:val="none"/>
          <w:lang w:val="en-US" w:eastAsia="zh-CN"/>
          <w14:textFill>
            <w14:solidFill>
              <w14:schemeClr w14:val="tx1"/>
            </w14:solidFill>
          </w14:textFill>
        </w:rPr>
      </w:pPr>
      <w:r>
        <w:rPr>
          <w:rFonts w:hint="default"/>
          <w:b w:val="0"/>
          <w:bCs w:val="0"/>
          <w:color w:val="000000" w:themeColor="text1"/>
          <w:highlight w:val="none"/>
          <w:lang w:val="en-US" w:eastAsia="zh-CN"/>
          <w14:textFill>
            <w14:solidFill>
              <w14:schemeClr w14:val="tx1"/>
            </w14:solidFill>
          </w14:textFill>
        </w:rPr>
      </w:r>
      <w:r/>
    </w:p>
    <w:p>
      <w:pPr>
        <w:ind w:left="0" w:firstLine="0"/>
        <w:rPr>
          <w:rFonts w:hint="default"/>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三、服务要求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（一）展陈深化设计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1.总体要求</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中标人须在初步方案的基础上，根据采购人的要求和实际情况在初步设计方案基础上开展展陈深化设计，核心任务是对已有设计意图进行可实施性转化与局部调整与优化。深化设计成果须达到布展</w:t>
      </w:r>
      <w:r>
        <w:rPr>
          <w:rFonts w:hint="default"/>
          <w:color w:val="000000" w:themeColor="text1"/>
          <w:highlight w:val="none"/>
          <w:lang w:val="en-US" w:eastAsia="zh-CN"/>
          <w14:textFill>
            <w14:solidFill>
              <w14:schemeClr w14:val="tx1"/>
            </w14:solidFill>
          </w14:textFill>
        </w:rPr>
        <w:t xml:space="preserve">深度</w:t>
      </w:r>
      <w:r>
        <w:rPr>
          <w:rFonts w:hint="eastAsia"/>
          <w:color w:val="000000" w:themeColor="text1"/>
          <w:highlight w:val="none"/>
          <w:lang w:val="en-US" w:eastAsia="zh-CN"/>
          <w14:textFill>
            <w14:solidFill>
              <w14:schemeClr w14:val="tx1"/>
            </w14:solidFill>
          </w14:textFill>
        </w:rPr>
        <w:t xml:space="preserve">，能够直接指导材料下单、设备安装及现场布展，同时确保与原初步设计在风格基调、空间格局、参观流线及重大节点上保持一致。所有优化深化内容须遵循“细化补充、不得改变原设计意图或结构/安全内容”的原则，并符合国家现行设计文件编制深度规定。</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2.展陈大纲的深化与优化</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中标人须以采购人提供的初步设计阶段展陈大纲为基础，开展面向展陈落地的内容深化与优化工作，形成可直接指导空间布展、图文制作及多媒体开发的内容执行依据。</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深化工作须在不改变原展览主题、展区划分及核心内容框架的前提下进行，具体包括：</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（1）各展区、单元、组团的层级标题进行优化，确保标题表述准确、层级清晰、风格一致，并与空间版面系统形成对应关系。对同一层级标题的字数、句式、用词进行优化处理。</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配合采购人对现有图文资料、展品档案、历史文献进行系统梳理、分类编目及可用性评估，建立用于布展实施内容素材库，协助采购人完成信息核实与补充收集，确保各项展出内容与展品来源可追溯、数据准确、版权清晰。</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对各展区内容层级进行梳理细化，明确信息重点、展品组合关系及对应展示方式；对图文版面文字、展柜说明牌、展项介绍牌等相关文字进行编写、校对、精练与规范化处理，确保表述准确、数据权威；对多媒体展项的内容脚本、信息架构、互动逻辑及界面文案进行细化，形成可用于数字内容制作的文本方案；对展品清单进行复核，明确重点展品与一般展品的陈列优先级、配套图文及多媒体对应关系。</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（4）将展陈大纲中的全部内容要素转化为空间落位成果，标注各展区、各展墙的图文版面位置、展品点位、多媒体设备点位及对应的内容编号；标注图文版面的分幅逻辑、文字块、图片位置、展品位置。</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（5）深化后的展陈大纲须经采购人书面确认后，方可作为后续空间深化、图文版面、艺术场景及展品陈列设计的前置依据。</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3.展陈空间深化设计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经采购人确认的深化后展陈大纲及内容落位成果，对展陈空间进行二次展墙系统深化与局部空间优化，统筹全馆空间视觉效果。深化成果须达到可直接指导展墙下单制作、图文版面排版及展品安装的深度。</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图文版面尺寸、展品规格及多媒体设备尺寸，对全馆展墙进行系统规划与分段设计，合理控制展墙模数，减少非标裁切与材料浪费，同时保证版面排版的完整性与美观度。深化展墙与原有墙面、天花、地面、柱子的交接方式，明确缝隙处理、收边条或过渡面的具体做法，确保完成面整洁顺直。</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从观众参观体验角度，对空间开合与节奏进行细化，对重点展区与核心展项的周边空间进行优化设计，通过展墙围合、局部放大或材质变化等方式强化停留感。确保展墙深化不侵占参观通道、不压缩疏散通道净宽、不阻挡消火栓及防火卷帘。</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根据内容主次与空间节奏，对展墙造型形态进行深化设计，确保信息有效呈现、展墙美观得体。为嵌入式展品、多媒体屏幕、互动设备预留壁龛或凹槽，明确开口尺寸、深度及与周边版面的衔接关系。展墙构造须明确龙骨体系、基层板材及完成面材料的规格、厚度与防火等级。</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（4）确定全馆主色调、辅助色、点缀色，提供标准色值（色卡编号）供采购人比选确认；明确展墙、地面、天花、展柜等主要界面的材质种类与肌理方向，提供材料样板。对重点区域，进行材质组合专项深化。</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展墙深化须与内容大纲、图文版面、展品清单精确对位，避免施工后出现版面与预留位不符、展品无法就位等问题。明确版面与墙面的安装关系，预留电源、网线等隐蔽接口位置；依据展品尺寸与观看方式，预留展品承托、悬挂或嵌入的构造条件；对嵌入式屏幕等设备，在展墙上预留设备凹槽、散热孔、音响透声孔及传感器安装位置，协调与周边版面、展品的视觉层次，避免互相干扰。</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（6）展陈空间深化设计不涉及对建筑主体结构的拆改、开洞、加固或荷载重新计算，不得改变原建筑防火分区及疏散路径。</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4.图纸深化与调整</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按图施工，如因空间效果深化需调整施工详图，中标人必须将深化需求及技术条件书面提交采购人审核，不得擅自变更，否则由中标人承担相关责任和费用。该深化调整仅限对原设计的细化补充，不得改变原设计意图，不得涉及结构、消防、安防等安全内容的调整。</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5.图文版面系统深化设计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完成全馆图文版面的深化设计与制作落地，建立统一的图文视觉规范，确保版面系统与展陈空间风格协调一致，并达到直接出图的生产制造标准。（1）依据经确认的展陈大纲，对展板、说明牌等进行版面编排，确立视觉焦点与辅助元素的均衡关系，图文并置时保持比重协调；对重点版面应进行专项深化。</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（2）通过字号、字重、色彩对比区分主次；结合展厅实际层高与空间条件，以观众视平线为基准，将核心标题与主体图文布置于合理科学的视域范围，各级字号须结合常规观看距离进行校验。</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（3）深化全馆字体层级与字号规范，明确标题、正文、图注的字重、行距；所有字体须具备商业授权。建立图文版面的主色、辅助色、点缀色体系。</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图像处理：所有位图文件有效分辨率应适配大幅面输出；须完成高精度校色、瑕疵修复及风格统一处理。</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（4）明确版面基材（如UV墙纸、烤漆板、亚克力、金属饰面板等）及工艺做法（丝网印刷、UV喷绘、烤漆、雕刻等）。</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（5）所有图文版面设计文件须达到制作直接出图标准，分辨率不低于300dpi，提供CMYK及RGB双模式文件，并附分层可编辑源文件（AI/PSD）及带尺寸标注、材质标注、定位说明的安装示意图。</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6.艺术场景、艺术品及道具深化设计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中标人须对艺术创作层面的内容进行可实施性深化，确保艺术效果与施工工艺、现场条件相匹配。</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艺术场景深化：中标人须依据采购人深化要求及初步设计方案的艺术意向，对相应艺术场景进行艺术创作深化。尊重史实与展览主题，完成场景构图、人物动态、空间透视、光影氛围的艺术再创作；提供场景小稿、泥稿或数字三维预演供采购人审核；对场景中的材质肌理、色彩基调、做旧程度进行艺术定稿，确保与全馆视觉系统协调统一；艺术效果须通过采购人确认后方可进入大样制作。</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艺术品深化：中标人须将艺术品的创作方案从概念意向转化为可落地的深化成果，明确如雕塑、绘画、浮雕、定制化的艺术装置等的题材内容、艺术风格、表现手法及与展览主题的契合度。提交创作草图、小稿或效果图供采购人审定，明确艺术品的尺度比例、材质规格、色彩方案及表面处理工艺；艺术品的原创性、版权归属及复制权限须在深化阶段以书面形式确认。</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道具深化：中标人须对定制化的艺术道具进行深化。明确道具的风格定位、线条比例、色彩做旧及与展览年代特征的吻合度；明确分件逻辑、连接方式、表面处理及耐久性要求，确保道具既满足艺术观感，又便于运输、现场组装及长期维护。</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7.展品陈列方案深化设计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中标人须依据采购人提供的展品清单，完成展柜内部的展品陈列方案深化设计，重点解决展品与展托、展柜空间的适配关系。</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展品类型、尺寸及保护需求，确定展品在展柜内的支撑方式（如平铺、斜面、悬挂、承插、包裹等）；深化展托、展台、衬板、固定件的设计，明确材质、尺度、色彩及与展柜内装的无损连接方式；对重点展品进行视线高度、观赏角度、保护距离的专项设计；对展柜内辅助展品的布置位置进行优化。</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（2）展柜本身的结构参数、密封等级、安全锁具、照明接口等技术要求以施工图及采购清单为准，中标人须严格按图施工，不得擅自变更。</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8.灯光及视觉环境设计深化</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中标人围绕展陈空间深化设计方案进行灯光策略及视觉环境定位，完成可指导施工与调试的深化设计。</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（1）对基础照明、重点照明、氛围照明的点位进行精确定位；深化照明控制方案及与中控系统的联动逻辑；深化视觉环境设计，包括材质反光率控制、暗环境空间的亮度对比度优化及防眩光措施。</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（2）灯具的具体型号、功率等技术参数以工程量清单及采购人确认的品牌选型为准。</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9.设计配合</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中标人须作为展陈专项的协调方，与建筑、结构、机电、消防、大楼智能化等专业开展配合工作，确保展陈深化与原建筑系统的无缝衔接。</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复核原建筑竣工图与现场实际条件的偏差，对影响展陈实施的柱网、管井、消火栓、防火卷帘、排烟口等提出遮蔽或优化建议，并征得采购人书面同意；配合机电专业完成空调送回风口、消防喷淋与天花造型的避让。</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10.设计成果交付</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中标人须提交深化设计成果：提交展陈大纲深化文本、空间深化平面图、重点空间立面、图文版面深化方案、艺术场景深化方案、灯光控制方案、主要材料样板。采购人有权组织专家进行审查。</w:t>
      </w:r>
      <w:r/>
    </w:p>
    <w:p>
      <w:pPr>
        <w:pStyle w:val="89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采购人对深化设计成果享有审查权与否决权。中标人须根据审查意见在5个工作日内完成修改并重新报审，直至通过为止。深化设计成果通过审查后，作为竣工验收的依据。</w:t>
      </w:r>
      <w:r/>
    </w:p>
    <w:p>
      <w:pPr>
        <w:pStyle w:val="89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（二）展陈布展与安装工程要求</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中标人须承担展厅范围内全部施工、安装、布展及系统集成工作，实行“交钥匙”工程模式。中标人须对</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全过程的质量、安全、进度、成品保护及现场文明施工负全部责任，确保</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一次验收合格。</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范围包括但不限于：原有设施拆除及清运（如有）；展厅基础装饰装修工程；公共区域装饰；展陈布展（含展台、展柜、艺术场景等定制制作与安装）；电气系统安装；空调系统末端改造配合；安防监控系统安装；多媒体硬件设备采购、定制与安装及基础布线。中标人须严格按照经采购人书面确认的深化设计成果、施工图纸及国家现行规范组织施工，不得擅自降低技术标准或替换关键材料。</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2.拆除及清运</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对展厅范围内必要部分进行保护性拆除。拆除完成后须将场地清理至整洁状态，经采购人验收合格后方可进入下一道工序。</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3.展厅基础装饰装修</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中标人须完成展厅范围内基础装饰装修施工，作为展陈布展的承载基层。</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（1）地面工程：按设计完成基层处理、找平及饰面铺设。对多媒体设备基础、展柜基座、场景地台等部位进行局部加固或架空处理；完成面须平整牢固，平整度偏差不大于2mm/2m，并与公共区域地面平顺衔接。</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（2）墙面工程：完成原有墙面基层修补、防潮处理及饰面施工。中标人须依据经确认的空间深化图纸，完成全馆二次展</w:t>
      </w:r>
      <w:r>
        <w:rPr>
          <w:rFonts w:hint="eastAsia" w:ascii="宋体" w:hAnsi="宋体" w:eastAsia="宋体" w:cs="Times New Roman"/>
          <w:color w:val="000000" w:themeColor="text1"/>
          <w:highlight w:val="none"/>
          <w:lang w:val="en-US" w:eastAsia="zh-CN"/>
          <w14:textFill>
            <w14:solidFill>
              <w14:schemeClr w14:val="tx1"/>
            </w14:solidFill>
          </w14:textFill>
        </w:rPr>
        <w:t xml:space="preserve">墙系统的搭建。展墙龙骨体系须根据荷载及跨度选用轻钢龙骨或定制钢架（镀锌方管/角钢），龙骨间距、壁厚及连接方式须符合深化设计节点要求。基层板材须满足防火等级要求，封板前须完成内部填充（岩棉等）及机电管线预埋。所有展墙须预留电源、网线、传感器线等隐蔽接口，接口位置须与内容落位图精确对应。对悬挂较重展品、大型画框、嵌入式屏幕的区域，须进行局部加固并明确荷载传递路径，严禁将荷载直接作用于建筑主体结构以外的脆弱界面。展墙完成面的垂直度偏差每米不大于2mm，整墙垂直偏差不大于5mm；表面平整度2m靠尺检测不大于3mm。</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天花工程：完成天花基层及饰面安装。对需悬挂灯具、投影机、音响、屏幕的区域预设承重吊点或加固龙骨，承重能力须满足设备荷载。涉及造型天花、软膜发光顶、穿孔吸音顶等特殊构造，须严格按图纸及技术要求施工，确保完成面平整、拼缝严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（4）门窗及收口：完成门套、窗套、暗门、检修口等定制安装，材质工艺与周边饰面协调。所有阴阳角、材料交接处须精细化收口，确保美观牢固无锐角。</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（5）成品饰面板安装：中标人须完成展厅内各类成品饰面板的安装施工，包括但不限于金属饰面板、碳晶板、木饰面、玻璃及镜面板等。安装前需对基层进行找平、</w:t>
      </w:r>
      <w:r>
        <w:rPr>
          <w:rFonts w:hint="eastAsia" w:ascii="宋体" w:hAnsi="宋体" w:eastAsia="宋体" w:cs="Times New Roman"/>
          <w:color w:val="000000" w:themeColor="text1"/>
          <w:highlight w:val="none"/>
          <w:lang w:val="en-US" w:eastAsia="zh-CN"/>
          <w14:textFill>
            <w14:solidFill>
              <w14:schemeClr w14:val="tx1"/>
            </w14:solidFill>
          </w14:textFill>
        </w:rPr>
        <w:t xml:space="preserve">防潮及防火处理，确保基层平整度、垂直度及黏结强度符合板材安装要求。板材须按深化图纸进行精确放线、排版及工厂加工，现场仅做局部裁切与收口处理；安装方式须根据板材特性及设计意图采用干挂、卡扣、结构胶粘贴或复合固定等方式，确保牢固可靠。金属饰面板折边、拼接、焊接及打磨须精细处理，表面原子灰腻子找平后喷涂金属漆，漆膜均匀、无色差；木饰面及碳晶板须控制纹理方向与拼缝位置，接缝严密、收边顺直；玻璃及镜面板须采用无影胶或专用挂件固定，边缘做安全倒角。饰面板完成面的平整度、垂直度及接缝高低差须符合国家现行施工质量验收规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（6）油漆与涂饰工程：中标人须完成展厅内所有需涂饰部位的基层处理及面层施工，包括但不限于腻子批刮、乳胶漆/无机涂料涂饰、金属漆喷涂、艺术涂料及质感涂料施工等。涂饰工程须在基层验</w:t>
      </w:r>
      <w:r>
        <w:rPr>
          <w:rFonts w:hint="eastAsia" w:ascii="宋体" w:hAnsi="宋体" w:eastAsia="宋体" w:cs="Times New Roman"/>
          <w:color w:val="000000" w:themeColor="text1"/>
          <w:highlight w:val="none"/>
          <w:lang w:val="en-US" w:eastAsia="zh-CN"/>
          <w14:textFill>
            <w14:solidFill>
              <w14:schemeClr w14:val="tx1"/>
            </w14:solidFill>
          </w14:textFill>
        </w:rPr>
        <w:t xml:space="preserve">收合格后进行：腻子须分层批刮，每层厚度控制在合理范围，干燥后打磨至表面平整、无明显砂眼及划痕；涂料施工须按设计要求的遍数、工艺（喷涂、辊涂或刷涂）及色彩执行，确保色泽均匀、无流坠、无刷痕、无泛碱返色。金属漆及烤漆施工须在经过防锈处理的金属基层或原子灰找平层上进行，底漆、中涂、面漆分层施工，每道漆膜干燥后方可进行下一道，最终表面应达到平整光滑、光泽均匀、无针孔及橘皮现象。艺术涂料及特殊质感涂层须由具备相应经验的施工人员按厂家工艺要求操作，确保肌理效果与样板一致。所有涂饰工程完工后须做好成品保护，避免交叉污染。</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展柜基础与展台骨架：中标人须完成所有独立展柜、展台、地台的基础骨架制作。承重骨架优先采用镀锌方管焊接或螺栓连接，焊缝须做防锈处理；木质骨架须做防火、防潮、防虫处理。骨架安装后须校准水平度，确保展柜就位后不出现倾斜或晃动。涉及发光地台、玻璃地台的，须按深化设计完成骨架层、灯光层、散热层及面层的分层施工，确保结构稳定、灯光均匀、检修便捷。展台完成面高度、深度须与深化设计一致，正视面投影尺寸偏差不大于5mm。</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场景复原与大型装置基础：对艺术场景、半景画、大型装置、悬挂式艺术品等，中标人须提前完成地面预埋件、墙面锚固件或天花吊点的施工。预埋件须采用化学锚栓或膨胀螺栓与建筑结构可靠连接，承载力须经计算复核并留有余量。场景基础造型须按艺术深化方案精确放样，确保艺术场景层次关系与透视关系准确，为后续艺术创作提供坚实且精确的基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（9）界面收口与特殊构造：不同材质交接处须预留工艺缝或采用专用收口条，避免硬接直拼。对需要频繁检修的机电末端，须设计隐蔽且便于操作的开启方式，并在饰面完成后做相应标识。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4.公共区域装饰</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与展厅相连的公共区域（如门厅、走廊等）装饰施工，确保展厅与公共区域视觉连贯、品质一致。施工内容主要包括地面铺装、墙面饰面、天花吊顶、踢脚线、照明灯具及开关插座安装。公共区域风格、色调、材质须与展厅整体工程面协调，不得出现明显界面割裂。施工过程中需对既有公共设施采取保护措施，避免污染或损坏。</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5.展陈布展工程</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展陈布展是本项目核心实施内容，中标人须完成从工厂深化、定制生产到现场安装的全流程实施。</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（1）展台、展柜定制与安装：中标人</w:t>
      </w:r>
      <w:r>
        <w:rPr>
          <w:rFonts w:hint="eastAsia" w:ascii="宋体" w:hAnsi="宋体" w:eastAsia="宋体" w:cs="Times New Roman"/>
          <w:color w:val="000000" w:themeColor="text1"/>
          <w:highlight w:val="none"/>
          <w:lang w:val="en-US" w:eastAsia="zh-CN"/>
          <w14:textFill>
            <w14:solidFill>
              <w14:schemeClr w14:val="tx1"/>
            </w14:solidFill>
          </w14:textFill>
        </w:rPr>
        <w:t xml:space="preserve">须依据深化图纸及展品清单，完成所有展台、展柜、装置、承托件的工厂定制。生产前须向采购人提交材料样板、色板及小比例模型（或效果图确认文件），经采购人书面签认后方可生产。金属展柜主框架壁厚满足招标工程量清单及招标文件要求，表面经原子灰腻子找平、打磨后喷涂金属漆，漆膜均匀、无流坠。展柜玻璃须采用超白夹胶玻璃，可视面无明显色差、气泡及划痕；开启方式须兼顾安全性与便利性，配备符合防盗要求的锁具。展柜内部须按深化设计展柜照明灯具。现场安装时须校准水平、垂直及缝隙，同一阵列展柜的顶面、立面须保持在同一平面，接缝均匀顺直。</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艺术场景与艺术品安装：中标人须完成项目内的艺术场景、雕塑、浮雕、半景画、微缩模型等艺术化场景的现场组装、定位与固定。艺术品安装前需核对深化设计的空间尺度、透视关系及色彩基调，确保与周边环境协调。大型悬挂艺术品须通过独立吊杆或加固龙骨与建筑结构可靠连接，连接节点须经结构安全复核；落地式大型雕塑须设置配重基础或预埋锚栓，防止倾覆。场景复原须严格按艺术深化方案实施；自然材料须经过杀虫、灭菌、阻燃处理；做旧、上色须由工艺美术师现场把控，确保艺术效果与历史真实感统一。</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（3）图文版面制作与安装：中标人须完成所有图文版面的工厂制作及现场安装，版面类型包括但不限于UV墙纸、立体展板、画框展板及丝网印刷版面。各类版面须严格按深化设计确认的基材、工艺及尺寸执行：</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UV墙纸须采用展厅级无缝墙布或专用宣绒布，专业UV机输出，裱贴时须对花拼缝，确保大面积连续画面无错位、无起皱。</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立体展板（画框展板）采用成品铝合金烤漆包边或极窄金属边框，正面视口为≤5mm左右极窄边；画面以PVC基层或高密度板材裱贴艺术纸，经精喷UV或微喷输出画框展板采用定制成品画框，内衬中性卡纸或高密度背板，画面采用无酸喷绘，如需覆面，须采用低反射亚克力，画框背面须设置稳固悬挂节点，确保挂装后水平且贴合墙面。</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丝网印刷：针对金属、玻璃、亚克力、板材等基材，采用单色或多色丝网印刷工艺；须控制网目数与油墨厚度，确保图文边缘锐利、色层均匀、附着牢固；单处不足1㎡的按1㎡计量，超出1㎡的按实际面积计量。</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巨幅版面须提前进行分幅逻辑深化，明确裁切线、对位标记及现场拼缝处理工艺，确保安装后图文连贯、拼缝隐匿。版面与展墙的安装节点须牢固可靠，平贴、内嵌、悬浮、磁吸等安装方式须与基层预留条件精确匹配，收口严密、无翘边。</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（4）展品陈列与辅助展具：中标人须配合采购人完成各类展品的就位、摆放、固定。展品陈列须依据经确认的展品落位图执行。辅助展具须按深化设计定制，进行艺术处理，确保风格统一、耐久可用。</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6.电气系统安装</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中标人须完成展厅范围内从配电箱出线端至末端用电设备的所有电气线路敷设、设备安装及系统调试。</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供配电系统：按设计完成配电箱（柜）安装、电缆电线敷设、桥架线槽安装、开关插座及接线盒安装。展厅用电须按展陈照明、多媒体设备、空调、插座等功能分设配电回路；配电箱内须设置漏电保护、过载保护及消防联动切断装置。所有线缆须采用阻燃型，桥架及线槽须可靠接地。</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展陈照明系统：完成轨道射灯、嵌入式筒灯、洗墙灯、灯带、软膜灯箱光源等所有展陈灯具的安装、接线及调试。灯具安装位置、角度、色温、显色指数须符合深化设计要求；调光系统须接入中控，实现日常、清洁、夜间、应急等多场景模式切换。照明线路须独立控制，便于后期运维。</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（3）多媒体设备配电：为LED大屏、投影机、触摸屏、拼接屏、服务器、功放、中控设备等提供专用配电回路，预留足够容量及备用回路。多媒体配电须考虑谐波抑制、稳压及滤波措施，确保设备运行稳定。</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（4）接地与安全：所有电气设备金属外壳、桥架、线槽须可靠接地，接地电阻不大于4Ω。施工完成后须进行绝缘电阻测试、接地电阻测试、通电试运行及漏电保护测试，形成书面测试记录。</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7.安防监控系统安装</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安防监控系统的管线敷设、设备安装及调试。主要包括监控摄像机的安装（含支架、电源、网线）、视频传输线路敷设、硬盘录像机安装调试。摄像机须覆盖展厅主要通道、出入口、重点展项及贵重展品区域，确保无监控死角。管线敷设须隐蔽整齐，电源与信号线路分开布设。系统调试须实现图像清晰、存储正常、远程访问流畅，并与采购人现有安防管理平台实现对接（如需）。</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8.多媒体硬件设备采购、定制与安装</w:t>
      </w:r>
      <w:r/>
    </w:p>
    <w:p>
      <w:pPr>
        <w:pStyle w:val="89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多媒体硬件设备是展陈体验的核心载体，本项目中的设备，涉及集中采购目录的部分，将通过框架协议采购，其余设备由中标人负责采购，中标人后续要做好所有设备基础钢结构定制、安装、对接、接线及系统联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（1）设备采购：对招标文件中已列出技术参数，中标人须严格按参数采购，未经采购人书面同意，中标人不得擅自降低技术参数。</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设备基础与钢结构定制：LED大屏、液晶拼接屏、投影机吊架、音响支架、服务器机柜等设备须配置专用基础钢结构。钢结构须由中标人根据设备荷载、安装位置及建筑条件进行专项深化设计。钢结构材质须采用热镀锌钢材，焊接节点须做防锈处理；安装后须确保水平度、垂直度及平整度满足设备厂家要求，并为后期维护预留足够操作空间。大型屏幕钢结构需考虑散热、防尘及前维护通道。</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基础布线：中标人须完成所有多媒体设备所需的电源线、网线、光纤、HDMI/DP视频线、音频线、控制线（RS232/RS485/DMX）等线缆的敷设、端接及标识。强电与弱电须分开布设，间距符合规范；线缆在桥架、线管或天花内须整齐排列，两端做好永久性标签。在展墙、展台、地台、天花等位置须按深化设计预留标准接口（电源插座、网络端口、音视频端口），并用与饰面协调的面板或防尘盖封闭。</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设备安装与调试：中标人须完成所有多媒体硬件设备的就位、固定、接线及通电测试。安装完成后须进行单机功能测试、信号连通测试、系统联调测试，确保显示设备亮度色彩一致、触控设备响应灵敏、音响系统声场均匀、中控系统联动可靠。调试阶段需完成软硬件对接，确保影片、交互程序、中控指令与硬件设备无缝匹配。</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9.项目协调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建立与采购人高效协调机制，指派能代表其当场作出决定的项目高级管理人员参加采购人组织的进度例会及必要的专项协调会，及时汇报施工进展、计划偏差、交叉配合及待协调事项。会议应形成书面纪要，明确各方责任、整改要求及完成时限，经采购人确认后作为合同履行的有效依据。</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10.材料设备样品与进场检验</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本工程使用的全部主要材料、装饰面材、展陈构件、多媒体设备及关键辅材实行样品先行制度，在批量采购及进场前向采购人报送实物样品并附产品说明书、合格证明、性能检测报告及供货信息，经采购人书面确认后方可订货加工。</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若施工过程中因规范调整、停产或市场原因需替换材料设备，中标人应提前不少于14天提交书面申请，详细说明替代品的规格、性能、品牌、价格差异及对工程质量与效果的影响，经采购人批准后方可实施，由此引起的费用增减按合同约定处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（3）中标人应按国家现行标准及合同约定对进场材料、设备、构配件及隐蔽工程进行自检并承担费用。</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（4）涉及结构安全或使用功能的重要材料、关键设备，采购人有权要求中标人送交具有相应资质的第三方检测机构复检，合格后方可进场使用；采购人亦可随时进行现场抽检，不合格产品一律退场。</w:t>
      </w:r>
      <w:r/>
    </w:p>
    <w:p>
      <w:pPr>
        <w:pStyle w:val="89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（三）数字内容制作、软件开发与系统集成要求</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本项目涵盖展项所需的全部数字内容深化设计、交互软件开发、智能化控制系统开发、硬件播控集成及全链路联调服务等。中标人须完成从数字内容创作、交互程序开发到系统集成部署的完整交付，确保各展项长期、稳定运行。</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1.多媒体数字内容交互界面设计与动效开发</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（1）完成各展项数字内容的交互界面（UI）高保真深化设计、交互动效设计及整体美术风格设计。</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（2）信息架构应层级清晰、结构扁平，核心导航深度不宜超过三级；合理运用拓展交互、选项式导航、展开面板、轮播滑动等组件优化信息密度。</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（3）所有界面须针对展厅实际显示终端进行适配分辨率设计。</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（3）触控界面设计须符合人机工程学要求，合理设计可交互控件热区，响应延迟低，提供即时操作反馈。</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（4）动效设计须以功能性为前提，用于解释界面层级、引导视觉焦点、反馈状态切换。所有动效应遵循统一的时序与节奏规范。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（5）交付物包括但不限于：分层可编辑的设计稿源文件、UI资源包、动效与音效资源包、交互原型及设计规范文档。</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2.人机交互系统开发</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进行所有交互程序开发，支持展厅长时间、高频次运行环境下的稳定性与可靠性。系统须完成展项多媒体框架搭建、页面层级规划、非线性导航与面包屑回退机制、页面栈管理，实现图文、音视频及三维内容的模块化编排与播控集成。</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支持全类型多点触控手势（包括但不限于单点、滑动、拖拽、缩放、长按等），具备多点并发处理与防误触，确保多人同时操作或复杂交互场景下的响应。所有UI界面的转场过渡、视觉动效及微交互反馈须平滑自然。</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（3）支持本地数据绑定、配置表驱动、本地数据持久化及内容动态配置接口，便于后续内容更新与维护。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（4）系统须预留标准化通信接口（串口、TCP、HTTP等），便于与中控系统、联动系统及第三方设备进行指令对接与数据交换。</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（5）输出独立可执行程序包，支持离线部署、一键启动与开机自启。</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3.智能控制系统开发</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（1）中标人须基于播控架构开发中控平台级智能控制系统，支持对展项的远程点对点控制，通过多通道通信协议实现多路片源与数字内容的智能调度、实时切换与帧级同步输出，确保各终端显示一致。</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（2）系统须预置多工作模式场景模块，并预留标准化协议接口供未来功能扩展。支持通过控制端实现场景模式的一键调用、启停管理及状态回执。</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（3）预留标准化通信协议接口（如TCP/IP、UDP、Modbus、RS-232/RS-485等），支持全馆中控主机接入并触发场景切换、模式调用及状态监测。</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（4）部分展项需配套开发内容管理外配功能，支持采购人通过授权管理终端对系统内数字媒体资源进行远程替换、更新，无需重装程序即实现内容的便捷维护。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4.播控系统</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（1）中标人须在展项现场部署工业级播放节点，内置高性能解码引擎，支持主流音视频格式（如H.264/H.265/MP4/MOV等）稳定输出。</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（2）播放节点须具备RS-232串口与TCP/IP网络控制能力，可实现本地手动、远程自动及中控联动控制；支持标准指令集，包括但不限于播放、暂停、停止、音量线性调节、模式切换、定时播放、循环播放等。</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（3）支持接入中央智能控制链，接收并执行中控系统下发的统一调度指令，实现与全馆播控网络的协同联动。</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5.联动控制系统</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对于联动控制终端，采用主从架构设计，实现触控主控屏与显示端屏幕的动态交互同步控制，支持跨屏指令的精准转换、智能切换，确保主从屏联动时视觉统一、操作一致。</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6.外接系统集成</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支持第三方内/外网Web页面、数据平台或业务系统的安全嵌入，协助完成跨网域网络策略配置，保障本地环境下的长效稳定访问。</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7.主题影片定制</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根据采购人和项目需求完成主题影片的全流程制作，包括但不限于创意脚本策划、分镜设计、美术设定、三维建模与动画（如有）、实拍（如有）、特效包装、后期剪辑、调色、配音配乐、字幕制作及影片级输出。</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8.素材拍摄与数字化处理服务</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中标人须完成展厅档案类文件的高精度数字化扫描、精修处理；完成所有原始图片类素材的精修处理。部分素材采取素材拍摄采集等，输出适配展墙展面、展板或交互程序调用的影像资源。</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9.定制化多媒体装置交互开发</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针对特定展项的定制化多媒体装置，中标人须完成交互逻辑设计、传感信号采集与处理、机电控制程序开发、数字内容联动及整机集成调试。如涉及体感类交互，应实现物理动作与数字内容的低延迟、高精度联动；涉及运动控制的，须支持位置/速度精确控制。机械动作与屏幕动效应建立确定的触发与回执机制，确保交互体验的流畅性与安全性。</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10.中央控制系统</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（1）中标人须开发全馆级中央控制系统，实现对全馆各展区所有多媒体展项终端进行集中控制与点对点管理。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支持手持移动终端（如PAD）智能管理界面定制（含管理员界面与讲解员界面），实现与移动终端的实时闭环通讯。具备灯光独立分区控制、计算机及显示终端远程开关机管理、一键开/闭馆等场景化联动功能。</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（3）各分系统（灯光、控制开关、语音、单项互动、播控等）须全部接入中央控制系统，实现统一调度与协同运行。</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11.程序安装部署、逐项调试与全馆系统联调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完成全馆程序文件的标准化分发、安装部署、运行环境配置、依赖库检查及启动验证；开展交互界面功能验证、硬件接口联调、响应性能测试及显示效果一致性校准，确保人机交互精准、画面同步、系统稳定。</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实施全馆系统联合调试，对灯光、控制开关、语音、单项互动、播控、中控等各分系统进行全面的功能性、稳定性与协同性调试，确保在中央控制平台指令下各系统能够按预设场景实现精准、可靠、联动的运行效果。</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（3）配合采购人完成试运营阶段的技术保障，确保开馆前各系统达到设计功能与性能交付标准。</w:t>
      </w:r>
      <w:r/>
    </w:p>
    <w:p>
      <w:pPr>
        <w:pStyle w:val="896"/>
        <w:ind w:left="0" w:firstLine="482"/>
        <w:keepLines w:val="0"/>
        <w:keepNext w:val="0"/>
        <w:pageBreakBefore w:val="0"/>
        <w:widowControl w:val="off"/>
        <w:rPr>
          <w:rFonts w:hint="default"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（四）安全文明施工</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中标人须严格遵守国家、地方及行业有关安全生产、文明施工、环境保护的法律法规、规范及标准，坚持“安全第一、预防为主、综合治理”的方针，建立健全安全生产责任体系、教育培训制度及安全检查制度。</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2.人员管理与现场防护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（1）中标人应对进场全部施工人员进行实名制管理，完成三级安全教育、技术交底及考核后方可上岗；特种作业人员须持有效证件上岗。</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（2）为作业人员配备符合国家标准的安全帽、安全带、绝缘防护用品等劳动保护装备，并为其购买工伤保险及必要的商业保险。</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现场须设置明显的安全警示标识、消防疏散指示及急救联络方式，对临边、洞口、高处作业等危险部位采取可靠的安全防护设施；脚手架、操作平台、临时支撑及吊装设备须经验收合格后方可投入使用，并定期巡查维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3.临时用电与消防安全</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临时用电须编制专项方案并严格执行，采用三相五线制、三级配电、两级漏电保护，配电箱、开关箱及漏电保护器须经检验合格，电缆须规范敷设并做好绝缘防护，严禁私拉乱接；潮湿及受限空间照明电压不得高于36V。</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（2）建立消防安全责任制度，配备足够数量且状态良好的消防器材，设置畅通的消防通道；现场动用明火须办理动火许可证，易燃易爆及危险化学品须单独存放、专人管理，并制定相应的防火防爆措施。</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4.文明施工与环境保护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（1）实行标准化现场管理，保持施工区域整洁有序，材料、机具按指定位置分类堆放，做到工完料尽场地清。</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（2）施工过程中应采取覆盖、洒水、封闭等措施有效控制扬尘、噪声和光污染，合理安排施工时间以减少对办公及公共环境的影响。</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（3）施工废水须经沉淀处理达标后排放，固体废弃物分类收集、日产日清并运至指定消纳场所，运输过程中采取防遗洒措施，严禁污染公共道路及周边环境。</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5.成品保护</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中标人须制定并落实成品保护、半成品保护措施，对已完工的装饰装修、安装工程、设备设施及现场毗邻财产采取有效覆盖、隔离和防护，防止交叉施工造成损坏。</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6.应急管理</w:t>
      </w:r>
      <w:r/>
    </w:p>
    <w:p>
      <w:pPr>
        <w:pStyle w:val="89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编制施工安全应急预案及现场处置方案，成立应急救援小组，配备必要的应急救援器材，定期组织演练；发生安全事故或突发事件时，应立即启动应急响应，保护现场、抢救伤员，并在规定时间内向采购人及有关部门报告，配合后续调查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★四、商务要求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（一）服务期限</w:t>
      </w:r>
      <w:r/>
    </w:p>
    <w:p>
      <w:pPr>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（二）履约保证金和基础装饰部分质量保证金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1）履约保证金金额：</w:t>
      </w:r>
      <w:r>
        <w:rPr>
          <w:rFonts w:hint="eastAsia" w:ascii="宋体" w:hAnsi="宋体" w:eastAsia="宋体" w:cs="宋体"/>
          <w:color w:val="000000" w:themeColor="text1"/>
          <w:highlight w:val="none"/>
          <w14:textFill>
            <w14:solidFill>
              <w14:schemeClr w14:val="tx1"/>
            </w14:solidFill>
          </w14:textFill>
        </w:rPr>
        <w:t xml:space="preserve">供应商应在签订合同前，交纳项目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履约保证金在合同履行完毕，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w:t>
      </w:r>
      <w:r>
        <w:rPr>
          <w:rFonts w:hint="eastAsia" w:ascii="宋体" w:hAnsi="宋体" w:eastAsia="宋体" w:cs="宋体"/>
          <w:color w:val="000000" w:themeColor="text1"/>
          <w:sz w:val="24"/>
          <w:szCs w:val="24"/>
          <w:highlight w:val="none"/>
          <w14:textFill>
            <w14:solidFill>
              <w14:schemeClr w14:val="tx1"/>
            </w14:solidFill>
          </w14:textFill>
        </w:rPr>
        <w:t xml:space="preserve">验收合格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无遗留问题后，在供应商提交书面申请后，退还剩余的履约保证金。履约保证金不计利息。</w:t>
      </w:r>
      <w:r/>
    </w:p>
    <w:p>
      <w:pPr>
        <w:pStyle w:val="9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2.基础装饰部分质量保证金</w:t>
      </w:r>
      <w:r/>
    </w:p>
    <w:p>
      <w:pPr>
        <w:pStyle w:val="9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（1）质量保证金金额：</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，交纳</w:t>
      </w:r>
      <w:r>
        <w:rPr>
          <w:rFonts w:hint="eastAsia"/>
          <w:color w:val="000000" w:themeColor="text1"/>
          <w:sz w:val="24"/>
          <w:szCs w:val="24"/>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%的质量保证金给采购人或者汇入采购人账户。</w:t>
      </w:r>
      <w:r/>
    </w:p>
    <w:p>
      <w:pPr>
        <w:pStyle w:val="9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供应商应当在</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向采购人足额提交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，否则采购人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不予支付剩余结算价款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3）质量保证金</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退还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sz w:val="24"/>
          <w:szCs w:val="24"/>
          <w:highlight w:val="none"/>
          <w14:textFill>
            <w14:solidFill>
              <w14:schemeClr w14:val="tx1"/>
            </w14:solidFill>
          </w14:textFill>
        </w:rPr>
        <w:t xml:space="preserve">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不计利息。</w:t>
      </w:r>
      <w:r/>
    </w:p>
    <w:p>
      <w:pPr>
        <w:ind w:left="0" w:firstLine="482"/>
        <w:keepLines w:val="0"/>
        <w:keepNext w:val="0"/>
        <w:pageBreakBefore w:val="0"/>
        <w:widowControl w:val="off"/>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（三）付款方式</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1.签订合同后15个工作日内，预付合同总价的40%，如金额超过80万元，按80万元支付预付款；</w:t>
      </w:r>
      <w:r/>
    </w:p>
    <w:p>
      <w:pPr>
        <w:ind w:left="0"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项目总体完工，试运行60个工作日后组织项目验收会，验收合格后进入正式运行阶段，正常运行2个月视为最终验收合格，其中，基础装饰部分在最终验收合格且结算审核完成，并收到供应商提交的结算价3%的质量保证金后15个工作日内支付至基础装饰部分结算价的100%；除基础装饰部分外其余部分在最终验收合格后15个工作日内支付至除基础装饰部分外其余部分合同价的100%。</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1.基础装饰部分报价要求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基础装饰部分采用固定单价形式，投标报价应是招标文件所确定的采购范围内的全部工作内容的价格体现。其应包括但不限于施工机械、劳务、材料、设备、随设备提供的备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2.除基础装饰部分外其余部分报价要求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供应商需综合考虑可能发生的采购需求量的调整和变动风险，合理报价，不得以任何理由调整合同总价。</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供应商的任何错漏、优惠、竞争性报价不得作为减轻责任、减少服务、增加收费、降低服务质量的理由。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供应商报价除包含招标文件中列明的项目外，还应包括保障产品正常使用应当具有的物资和服务，对产品正常使用应当具有的物资和服务理解不一致的以采购单位理解为准。</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（五）基础装饰部分结算方式</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限合同价内按实结算方式；最终结算价款以实际完成且经结算审核确认的合格工程量计算，基础装饰部分的结算总价最高不超过基础装饰部分的中标金额；若据实核算价款高于基础装饰部分的中标金额，按基础装饰部分的中标金额执行；据实核算价款低于基础装饰部分的中标金额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①新增的工程量清单项目的项目特征与采购清单中项目类似的，结算综合单价按类似项目中标金额计算，作为结算综合单价。其相应综合单价由中标人提出，报由采购人确定。</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②采购清单中没有类似的新增项目，新增项目综合单价按照《2024年</w:t>
      </w:r>
      <w:r>
        <w:rPr>
          <w:rFonts w:hint="eastAsia"/>
          <w:color w:val="000000" w:themeColor="text1"/>
          <w:highlight w:val="none"/>
          <w:lang w:val="en-US" w:eastAsia="zh-CN"/>
          <w14:textFill>
            <w14:solidFill>
              <w14:schemeClr w14:val="tx1"/>
            </w14:solidFill>
          </w14:textFill>
        </w:rPr>
        <w:t xml:space="preserve">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中标人提出，报由采购人确定。</w:t>
      </w:r>
      <w:r/>
    </w:p>
    <w:p>
      <w:pPr>
        <w:pStyle w:val="90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③如出现上述条款规定的增项情况，仍按“（五）基础装饰部分结算方式”序号1规定的限合同价内按实结算方式进行结算。</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（六）培训要求</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中标人应为本项目提供系统化的技术培训服务，确保采购人操作人员能够独立、安全、规范地完成展厅全部设备的日常操作、基础维护及常见故障处置，并具备应急情况下的初步响应与上报能力。培训所需全部费用应包含在投标报价中，采购人不再另行支付。</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（1）编制培训实施方案，明确培训目标、内容框架、师资安排及总体计划，经采购人确认后执行。</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2）培训内容应覆盖展厅多媒体显示、交互触控、智能控制、扩声、中央控制等各系统的基本工作原理、标准操作流程、预防性维护规范、常见故障诊断方法及应急处置预案，并根据岗位职责区分操作人员与管理人员两个层级实施针对性教学。</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（3）培训应以展厅现场为主要场所，采用理论讲解、现场演示、情景模拟与实操演练相结合的方式，强调在真实环境中完成技能培训，理论教学与实操演练应合理配比，确保培训实效。</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（4）中标人应派出具有丰富展厅项目实施与运维经验的技术人员担任讲师，具备相应的专业资质与良好的教学表达能力，能够熟练完成设备操作演示、故障模拟及技术答疑。</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培训应配套完整的教材体系，包括但不限于操作手册、维护指南、故障排查手册、系统架构说明及应急处置流程等，形式兼顾纸质与电子版本，内容应经采购人审核确认，并可根据后续设备升级、系统迭代或重大故障案例及时修订更新。</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（6）培训结束后，中标人应组织理论与实操考核，检验学员对培训内容的掌握程度，对未达标人员应安排补充培训直至具备独立上岗能力。</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（7）采购人有权对培训效果进行评估，并在质保期内要求中标人针对实际运行中的薄弱环节开展专项复训或技术辅导。</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（8）质保期内，中标人应提供持续的技术支持与咨询服务，及时响应采购人日常运维中的技术疑问。</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（七）售后服务要求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中标人须对本项目提供不少于贰年的整体质保服务</w:t>
      </w:r>
      <w:r>
        <w:rPr>
          <w:rFonts w:hint="eastAsia"/>
          <w:color w:val="000000" w:themeColor="text1"/>
          <w:highlight w:val="none"/>
          <w:lang w:val="en-US" w:eastAsia="zh-CN"/>
          <w14:textFill>
            <w14:solidFill>
              <w14:schemeClr w14:val="tx1"/>
            </w14:solidFill>
          </w14:textFill>
        </w:rPr>
        <w:t xml:space="preserve">（其中，基础装饰的质保期限不得低于</w:t>
      </w:r>
      <w:r>
        <w:rPr>
          <w:rFonts w:hint="eastAsia" w:ascii="宋体" w:hAnsi="宋体" w:cs="宋体"/>
          <w:color w:val="000000" w:themeColor="text1"/>
          <w:szCs w:val="21"/>
          <w:highlight w:val="none"/>
          <w14:textFill>
            <w14:solidFill>
              <w14:schemeClr w14:val="tx1"/>
            </w14:solidFill>
          </w14:textFill>
        </w:rPr>
        <w:t xml:space="preserve">《建设工程质量管理条例》</w:t>
      </w:r>
      <w:r>
        <w:rPr>
          <w:rFonts w:hint="eastAsia" w:ascii="宋体" w:hAnsi="宋体" w:cs="宋体"/>
          <w:color w:val="000000" w:themeColor="text1"/>
          <w:szCs w:val="21"/>
          <w:highlight w:val="none"/>
          <w:lang w:val="en-US" w:eastAsia="zh-CN"/>
          <w14:textFill>
            <w14:solidFill>
              <w14:schemeClr w14:val="tx1"/>
            </w14:solidFill>
          </w14:textFill>
        </w:rPr>
        <w:t xml:space="preserve">规定</w:t>
      </w:r>
      <w:r>
        <w:rPr>
          <w:rFonts w:hint="eastAsia"/>
          <w:color w:val="000000" w:themeColor="text1"/>
          <w:highlight w:val="none"/>
          <w:lang w:val="en-US" w:eastAsia="zh-CN"/>
          <w14:textFill>
            <w14:solidFill>
              <w14:schemeClr w14:val="tx1"/>
            </w14:solidFill>
          </w14:textFill>
        </w:rPr>
        <w:t xml:space="preserve">）</w:t>
      </w:r>
      <w:r>
        <w:rPr>
          <w:rFonts w:hint="default"/>
          <w:color w:val="000000" w:themeColor="text1"/>
          <w:highlight w:val="none"/>
          <w:lang w:val="en-US" w:eastAsia="zh-CN"/>
          <w14:textFill>
            <w14:solidFill>
              <w14:schemeClr w14:val="tx1"/>
            </w14:solidFill>
          </w14:textFill>
        </w:rPr>
        <w:t xml:space="preserve">，自</w:t>
      </w:r>
      <w:r>
        <w:rPr>
          <w:rFonts w:hint="eastAsia"/>
          <w:color w:val="000000" w:themeColor="text1"/>
          <w:highlight w:val="none"/>
          <w:lang w:val="en-US" w:eastAsia="zh-CN"/>
          <w14:textFill>
            <w14:solidFill>
              <w14:schemeClr w14:val="tx1"/>
            </w14:solidFill>
          </w14:textFill>
        </w:rPr>
        <w:t xml:space="preserve">项目最终</w:t>
      </w:r>
      <w:r>
        <w:rPr>
          <w:rFonts w:hint="default"/>
          <w:color w:val="000000" w:themeColor="text1"/>
          <w:highlight w:val="none"/>
          <w:lang w:val="en-US" w:eastAsia="zh-CN"/>
          <w14:textFill>
            <w14:solidFill>
              <w14:schemeClr w14:val="tx1"/>
            </w14:solidFill>
          </w14:textFill>
        </w:rPr>
        <w:t xml:space="preserve">验收合格之日起计算。质保范围涵盖全部展陈工程、装饰装修、多媒体软硬件、智能控制系统及配套设备。质保期内，因中标人施工或产品质量缺陷引起的故障、损坏，中标人须无偿修复或更换，并承担由此造成的</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直接损失。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中标人须建立售后服务响应机制。接到</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报修通知后，应在2小时内响应，一般故障8小时内维修人员到达现场，重大故障4小时内到达现场。一般故障应在24小时内修复；因备件原因无法在72小时内修复的，中标人须提供不低于故障设备规格档次的备用设备供</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临时使用，直至故障彻底排除。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质保期内，中标人应每季度至少开展一次上门巡检，对展厅设备、系统、装饰面等进行检测、清洁、校准与预防性维护，并形成书面巡检报告提交</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。巡检应优先安排在闭馆或低峰时段进行。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遇法定节假日、重大接待或特殊任务，</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提前不少于3个工作日通知中标人的，中标人应提前完成相关展项的全面排查与预防性维护，并在活动当日指派至少1名技术人员现场驻场保障，确保系统稳定运行。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default"/>
          <w:color w:val="000000" w:themeColor="text1"/>
          <w:highlight w:val="none"/>
          <w:lang w:val="en-US" w:eastAsia="zh-CN"/>
          <w14:textFill>
            <w14:solidFill>
              <w14:schemeClr w14:val="tx1"/>
            </w14:solidFill>
          </w14:textFill>
        </w:rPr>
        <w:t xml:space="preserve">中标人应建立备件库，储备关键设备、易损件及应急耗材，确保常用备件能在24小时内调配到位。制定应急预案，成立应急小组，在发生系统宕机、设备严重故障等突发事件时，按预案启动临时替代、降级运行或紧急抢修，最大限度减少停机时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质保期满后，中标人应继续提供终身技术支持与咨询服务，以不高于同期市场优惠价格向</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提供设备维护、系统升级及零配件更换服务，确保</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长期运维需求得到满足。</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（八）验收标准：</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验收条件：</w:t>
      </w:r>
      <w:r>
        <w:rPr>
          <w:rFonts w:hint="eastAsia"/>
          <w:color w:val="000000" w:themeColor="text1"/>
          <w:highlight w:val="none"/>
          <w14:textFill>
            <w14:solidFill>
              <w14:schemeClr w14:val="tx1"/>
            </w14:solidFill>
          </w14:textFill>
        </w:rPr>
        <w:t xml:space="preserve">合同内所有工</w:t>
      </w:r>
      <w:r>
        <w:rPr>
          <w:rFonts w:hint="eastAsia"/>
          <w:color w:val="000000" w:themeColor="text1"/>
          <w:highlight w:val="none"/>
          <w:lang w:val="en-US" w:eastAsia="zh-CN"/>
          <w14:textFill>
            <w14:solidFill>
              <w14:schemeClr w14:val="tx1"/>
            </w14:solidFill>
          </w14:textFill>
        </w:rPr>
        <w:t xml:space="preserve">作</w:t>
      </w:r>
      <w:r>
        <w:rPr>
          <w:rFonts w:hint="eastAsia"/>
          <w:color w:val="000000" w:themeColor="text1"/>
          <w:highlight w:val="none"/>
          <w14:textFill>
            <w14:solidFill>
              <w14:schemeClr w14:val="tx1"/>
            </w14:solidFill>
          </w14:textFill>
        </w:rPr>
        <w:t xml:space="preserve">量已按设计完成，设备单机及联合调试合格，竣工资料整理完毕，施工单位已组织预验收并完成整改。</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如因货物验收不合格，或因货物问题影响本项目总体进度和质量的，采购人将保留对供应商的索赔权利。本项目所涉的设计、布展、装修等服务事项，投标人必须满足采购人所有项目建设要求，有义务保证项目最终的完整性和功能性。</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投标人须保证所提供硬件产品包括相关附件为相应硬件厂家原装正品，软件产品为相关厂家正版软件，符合国家有关规定。</w:t>
      </w:r>
      <w:r/>
    </w:p>
    <w:p>
      <w:pPr>
        <w:ind w:left="0" w:firstLine="48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严格按照投标文件与</w:t>
      </w:r>
      <w:r>
        <w:rPr>
          <w:rFonts w:hint="eastAsia"/>
          <w:color w:val="000000" w:themeColor="text1"/>
          <w:highlight w:val="none"/>
          <w:lang w:val="en-US" w:eastAsia="zh-CN"/>
          <w14:textFill>
            <w14:solidFill>
              <w14:schemeClr w14:val="tx1"/>
            </w14:solidFill>
          </w14:textFill>
        </w:rPr>
        <w:t xml:space="preserve">招标</w:t>
      </w:r>
      <w:r>
        <w:rPr>
          <w:rFonts w:hint="default"/>
          <w:color w:val="000000" w:themeColor="text1"/>
          <w:highlight w:val="none"/>
          <w:lang w:val="en-US" w:eastAsia="zh-CN"/>
          <w14:textFill>
            <w14:solidFill>
              <w14:schemeClr w14:val="tx1"/>
            </w14:solidFill>
          </w14:textFill>
        </w:rPr>
        <w:t xml:space="preserve">文件对比验收，采购人保留邀请第三方质检部门验收的权利。</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4.基础装修与环境</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观感效果：空间造型、色彩、材质纹理需与效果图和确认的材料样板一致，接缝严密，收口精致。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防火等级：墙面、地面、隔断等材料的燃烧性能等级须达B1级及以上。</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质量验收标准满足</w:t>
      </w:r>
      <w:r>
        <w:rPr>
          <w:rFonts w:hint="eastAsia"/>
          <w:color w:val="000000" w:themeColor="text1"/>
          <w:highlight w:val="none"/>
          <w:lang w:val="en-US" w:eastAsia="zh-CN"/>
          <w14:textFill>
            <w14:solidFill>
              <w14:schemeClr w14:val="tx1"/>
            </w14:solidFill>
          </w14:textFill>
        </w:rPr>
        <w:t xml:space="preserve">设计及国家强制性规定的最新</w:t>
      </w:r>
      <w:r>
        <w:rPr>
          <w:rFonts w:hint="default" w:eastAsia="宋体"/>
          <w:color w:val="000000" w:themeColor="text1"/>
          <w:highlight w:val="none"/>
          <w:lang w:val="en-US" w:eastAsia="zh-CN"/>
          <w14:textFill>
            <w14:solidFill>
              <w14:schemeClr w14:val="tx1"/>
            </w14:solidFill>
          </w14:textFill>
        </w:rPr>
        <w:t xml:space="preserve">标准要求</w:t>
      </w:r>
      <w:r>
        <w:rPr>
          <w:rFonts w:hint="eastAsia"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5.陈列布展与美工</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展板图文：内容经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终审校对，无错字、语病及史实政治性错误。丝印等工艺需色彩准确、边缘清晰、无气泡脱胶。安装水平垂直，拼缝隐蔽。</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场景复原：需严格对照设计图及模型，雕塑、道具等比例准确，艺术效果须经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现场确认。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展托展具：独立展柜的密封性、承重及开启便利性；通柜结构的稳固性，开启方式是否顺滑省力，锁具安全可靠。</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照明系统</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安全保护：灯具不得产生高温聚焦。</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效果匹配：光束角、投射方向需精准塑造展品形态。色温需统一，显色指数(Ra)一般不应低于90（对色彩还原要求高的不低于95）。</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控制逻辑：需实现场景模式一键切换，调光平滑无频闪。</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7.多媒体及互动展项</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·硬件设备：投影机、LED屏的感应器触发灵敏，有效范围与设计一致。</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·软件及内容：影片、动画、互动程序需无Bug，情节与UI符合设计脚本。音效与画面同步。</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·中控系统：实现一站式开关机，平板控制端界面友好，延时＜0.5秒。</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8.展品</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·项目含展品搬运、布展，确保无磕碰、无新增损伤。上墙的展品固定必须做防震防脱落处理。</w:t>
      </w:r>
      <w:r/>
    </w:p>
    <w:p>
      <w:pPr>
        <w:ind w:left="0" w:firstLine="482"/>
        <w:keepLines w:val="0"/>
        <w:keepNext w:val="0"/>
        <w:pageBreakBefore w:val="0"/>
        <w:widowControl w:val="off"/>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w:t>
      </w:r>
      <w:r>
        <w:rPr>
          <w:rFonts w:hint="eastAsia" w:cs="Times New Roman"/>
          <w:b/>
          <w:bCs/>
          <w:color w:val="000000" w:themeColor="text1"/>
          <w:highlight w:val="none"/>
          <w:lang w:val="en-US" w:eastAsia="zh-CN"/>
          <w14:textFill>
            <w14:solidFill>
              <w14:schemeClr w14:val="tx1"/>
            </w14:solidFill>
          </w14:textFill>
        </w:rPr>
        <w:t xml:space="preserve">九</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）知识产权规范要求</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中标供应商应保证涉及到的知识产权是合法取得，并享有完整的知识产权，不会因为采购人的使用而被责令停止使用、追偿或要求赔偿损失，如出现此情况，一切经济和法律责任均由中标供应商承担，与采购人不涉，如由此给采购人造成损失的，中标供应商应承担赔偿责任。</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2.中标供应商依据本招标文件向采购人交付的服务和成果的全部知识产权属于采购人，中标供应商对采购人提供的业务资料、技术资料等应严格保密，不得扩散。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before="120" w:after="120"/>
        <w:rPr>
          <w:rFonts w:ascii="宋体" w:hAnsi="宋体"/>
          <w:b/>
          <w:bCs/>
          <w:color w:val="000000" w:themeColor="text1"/>
          <w:sz w:val="30"/>
          <w:szCs w:val="20"/>
          <w:highlight w:val="none"/>
          <w14:textFill>
            <w14:solidFill>
              <w14:schemeClr w14:val="tx1"/>
            </w14:solidFill>
          </w14:textFill>
        </w:rPr>
        <w:outlineLvl w:val="0"/>
      </w:pPr>
      <w:r/>
      <w:bookmarkStart w:id="0" w:name="_Toc176967533"/>
      <w:r>
        <w:rPr>
          <w:rFonts w:hint="eastAsia" w:ascii="宋体" w:hAnsi="宋体"/>
          <w:b/>
          <w:color w:val="000000" w:themeColor="text1"/>
          <w:sz w:val="30"/>
          <w:highlight w:val="none"/>
          <w14:textFill>
            <w14:solidFill>
              <w14:schemeClr w14:val="tx1"/>
            </w14:solidFill>
          </w14:textFill>
        </w:rPr>
        <w:t xml:space="preserve">江苏省政府采购合同（服务）（合同编号）</w:t>
      </w:r>
      <w:bookmarkEnd w:id="0"/>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项目编号：</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采购包号：</w:t>
      </w:r>
      <w:r/>
    </w:p>
    <w:p>
      <w:pPr>
        <w:pStyle w:val="89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14:textFill>
            <w14:solidFill>
              <w14:schemeClr w14:val="tx1"/>
            </w14:solidFill>
          </w14:textFill>
        </w:rPr>
        <w:t xml:space="preserve">/采购人</w:t>
      </w:r>
      <w:r>
        <w:rPr>
          <w:rFonts w:hAnsi="宋体"/>
          <w:color w:val="000000" w:themeColor="text1"/>
          <w:sz w:val="24"/>
          <w:szCs w:val="24"/>
          <w:highlight w:val="none"/>
          <w14:textFill>
            <w14:solidFill>
              <w14:schemeClr w14:val="tx1"/>
            </w14:solidFill>
          </w14:textFill>
        </w:rPr>
        <w:t xml:space="preserve">）_________</w:t>
      </w:r>
      <w:r/>
    </w:p>
    <w:p>
      <w:pPr>
        <w:pStyle w:val="89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14:textFill>
            <w14:solidFill>
              <w14:schemeClr w14:val="tx1"/>
            </w14:solidFill>
          </w14:textFill>
        </w:rPr>
        <w:t xml:space="preserve">/中标</w:t>
      </w:r>
      <w:r>
        <w:rPr>
          <w:rFonts w:hAnsi="宋体"/>
          <w:color w:val="000000" w:themeColor="text1"/>
          <w:sz w:val="24"/>
          <w:szCs w:val="24"/>
          <w:highlight w:val="none"/>
          <w14:textFill>
            <w14:solidFill>
              <w14:schemeClr w14:val="tx1"/>
            </w14:solidFill>
          </w14:textFill>
        </w:rPr>
        <w:t xml:space="preserve">供应商）_________</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甲、乙双方根据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项目公开招标的结果，签署本合同。</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1.2标的质量：</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标的数量（规模）：</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履行时间（期限）：</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履行地点：</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履行方式：</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其中</w:t>
      </w:r>
      <w:r>
        <w:rPr>
          <w:rFonts w:hint="eastAsia"/>
          <w:color w:val="000000" w:themeColor="text1"/>
          <w:highlight w:val="none"/>
          <w:lang w:val="en-US" w:eastAsia="zh-CN"/>
          <w14:textFill>
            <w14:solidFill>
              <w14:schemeClr w14:val="tx1"/>
            </w14:solidFill>
          </w14:textFill>
        </w:rPr>
        <w:t xml:space="preserve">基础装饰部分暂定合同总价为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除基础装饰部分外其余部分合同总价为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p>
    <w:p>
      <w:pPr>
        <w:rPr>
          <w:rFonts w:hint="default"/>
          <w:color w:val="000000" w:themeColor="text1"/>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2.2</w:t>
      </w:r>
      <w:r>
        <w:rPr>
          <w:rFonts w:hint="eastAsia"/>
          <w:color w:val="000000" w:themeColor="text1"/>
          <w:highlight w:val="none"/>
          <w:lang w:val="en-US" w:eastAsia="zh-CN"/>
          <w14:textFill>
            <w14:solidFill>
              <w14:schemeClr w14:val="tx1"/>
            </w14:solidFill>
          </w14:textFill>
        </w:rPr>
        <w:t xml:space="preserve">基础装饰部分合同金额及结算要求如下：</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（1）基础装饰部分采用固定单价形式，合同金额应是招标文件所确定的采购范围内的全部工作内容的价格体现。其应包括但不限于施工机械、劳务、材料、设备、随设备提供的备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采用限合同价内按实结算方式；最终结算价款以实际完成且经审核确认的合格工程量计算，基础装饰部分的结算总价最高不超过基础装饰部分的暂定合同总价；若据实核算价款高于基础装饰部分的暂定合同总价，按基础装饰部分的暂定合同总价执行；据实核算价款低于基础装饰部分的暂定合同总价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①新增的工程量清单项目的项目特征与采购清单中项目类似的，结算综合单价按类似项目中标金额计算，作为结算综合单价。其相应综合单价由乙方提出，报由甲方确定。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w:t>
      </w:r>
      <w:r>
        <w:rPr>
          <w:rFonts w:hint="eastAsia"/>
          <w:color w:val="000000" w:themeColor="text1"/>
          <w:highlight w:val="none"/>
          <w:lang w:val="en-US" w:eastAsia="zh-CN"/>
          <w14:textFill>
            <w14:solidFill>
              <w14:schemeClr w14:val="tx1"/>
            </w14:solidFill>
          </w14:textFill>
        </w:rPr>
        <w:t xml:space="preserve">4年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乙方提出，报由甲方确定。</w:t>
      </w:r>
      <w:r/>
    </w:p>
    <w:p>
      <w:pPr>
        <w:pStyle w:val="90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③如出现上述条款规定的增项情况，仍按本合同2.2条款序号（2）规定的限合同价内按实结算方式进行结算。</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（4）基础装饰部分</w:t>
      </w:r>
      <w:r>
        <w:rPr>
          <w:rFonts w:hint="eastAsia" w:ascii="宋体" w:hAnsi="宋体" w:eastAsia="宋体" w:cs="宋体"/>
          <w:color w:val="000000" w:themeColor="text1"/>
          <w:szCs w:val="21"/>
          <w:highlight w:val="none"/>
          <w14:textFill>
            <w14:solidFill>
              <w14:schemeClr w14:val="tx1"/>
            </w14:solidFill>
          </w14:textFill>
        </w:rPr>
        <w:t xml:space="preserve">合同价款中包括的风险范围：</w:t>
      </w:r>
      <w:r/>
    </w:p>
    <w:p>
      <w:pPr>
        <w:pStyle w:val="9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施工期间的政策性（包括但不限于安全、文明施工、质量、环保、市容、城管等管理政策）调整、市场价格风险及采购文件（含答疑）、工程量清单（含编制说明）、合同文件等明示或暗示的风险、各供应商的自身能力。乙方的投标报价是结合乙方的施工组织设计，根据乙方的自身实力和管理水平进行投标报价的。同时，乙方的投标报价中，已将施工期间各类建材的市场价格风险、人工工资、机械费用、政策性调整的风险考虑到报价内。上述风险费用今后均不做调整。</w:t>
      </w:r>
      <w:r/>
    </w:p>
    <w:p>
      <w:pPr>
        <w:pStyle w:val="9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乙方已充分考虑此项风险。</w:t>
      </w:r>
      <w:r/>
    </w:p>
    <w:p>
      <w:pPr>
        <w:pStyle w:val="9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A.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pStyle w:val="9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B.总承包服务费及施工配合费。乙方投标报价中应包含与本工程业主另行发包的其他项目的施工单位应收的总承包服务费及施工配合费。乙方无论是否在投标报价中单独列支，甲方均认为此项费用包含在投标报价中，结算时将不会因配合范围的变化而增加任何费用。乙方已将上述所有费用计入“其他项目清单”报价的总承包服务费中，无论乙方是否在合同价中单独列支，发包人均认为此项费用已包含在合同价中，结算时不再调整。</w:t>
      </w:r>
      <w:r/>
    </w:p>
    <w:p>
      <w:pPr>
        <w:pStyle w:val="9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C.除上述措施项目费和总承包服务费以外，合同价中还包括采购文件、工程量清单和合同条款中包括的其他所有费用等及响应单位考虑全面施工本项目时应增加的潜在其它措施费及风险费用等。</w:t>
      </w:r>
      <w:r/>
    </w:p>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乙方认为需要的其他费用等。乙方已综合考虑可能发生的采购需求量的调整和变动风险，合理报价，不得以任何理由调整合同总价。</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3.1乙方应按招标文件规定的时间向甲方提供服务（包含与服务相关的货物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）的有关技术资料。</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0" w:hanging="41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pStyle w:val="89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pStyle w:val="89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890"/>
        <w:ind w:left="0" w:hanging="410"/>
        <w:keepLines w:val="0"/>
        <w:keepNext w:val="0"/>
        <w:pageBreakBefore w:val="0"/>
        <w:spacing w:line="360"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rPr>
          <w:rFonts w:hint="eastAsia" w:cs="宋体"/>
          <w:b/>
          <w:color w:val="000000" w:themeColor="text1"/>
          <w:sz w:val="24"/>
          <w:szCs w:val="24"/>
          <w:highlight w:val="none"/>
          <w:lang w:val="en-US" w:eastAsia="zh-CN"/>
          <w14:textFill>
            <w14:solidFill>
              <w14:schemeClr w14:val="tx1"/>
            </w14:solidFill>
          </w14:textFill>
        </w:rPr>
        <w:t xml:space="preserve">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（1）乙方</w:t>
      </w:r>
      <w:r>
        <w:rPr>
          <w:rFonts w:hint="eastAsia" w:ascii="宋体" w:hAnsi="宋体" w:eastAsia="宋体" w:cs="宋体"/>
          <w:color w:val="000000" w:themeColor="text1"/>
          <w:highlight w:val="none"/>
          <w14:textFill>
            <w14:solidFill>
              <w14:schemeClr w14:val="tx1"/>
            </w14:solidFill>
          </w14:textFill>
        </w:rPr>
        <w:t xml:space="preserve">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应当在合同签订前向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足额提交履约保证金，否则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可以取消其中标资格。</w:t>
      </w:r>
      <w:r/>
    </w:p>
    <w:p>
      <w:pPr>
        <w:pStyle w:val="890"/>
        <w:ind w:left="0" w:hanging="408"/>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提交书面申请后，退还剩余的履约保证金。履约保证金不计利息。</w:t>
      </w:r>
      <w:r/>
    </w:p>
    <w:p>
      <w:pPr>
        <w:pStyle w:val="900"/>
        <w:rPr>
          <w:rFonts w:hint="eastAsia" w:ascii="宋体" w:hAnsi="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6.2</w:t>
      </w:r>
      <w:r>
        <w:rPr>
          <w:rFonts w:hint="eastAsia" w:ascii="宋体" w:hAnsi="宋体" w:cs="宋体"/>
          <w:color w:val="000000" w:themeColor="text1"/>
          <w:highlight w:val="none"/>
          <w:lang w:val="en-US" w:eastAsia="zh-CN"/>
          <w14:textFill>
            <w14:solidFill>
              <w14:schemeClr w14:val="tx1"/>
            </w14:solidFill>
          </w14:textFill>
        </w:rPr>
        <w:t xml:space="preserve">基础装饰部分质量保证金</w:t>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（1）质量保证金金额：</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，交纳</w:t>
      </w:r>
      <w:r>
        <w:rPr>
          <w:rFonts w:hint="eastAsia"/>
          <w:color w:val="000000" w:themeColor="text1"/>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%的质量保证金给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2）乙方</w:t>
      </w:r>
      <w:r>
        <w:rPr>
          <w:rFonts w:hint="eastAsia" w:ascii="宋体" w:hAnsi="宋体" w:eastAsia="宋体" w:cs="宋体"/>
          <w:color w:val="000000" w:themeColor="text1"/>
          <w:highlight w:val="none"/>
          <w14:textFill>
            <w14:solidFill>
              <w14:schemeClr w14:val="tx1"/>
            </w14:solidFill>
          </w14:textFill>
        </w:rPr>
        <w:t xml:space="preserve">应当在</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，否则</w:t>
      </w:r>
      <w:r>
        <w:rPr>
          <w:rFonts w:hint="eastAsia" w:ascii="宋体" w:hAnsi="宋体" w:cs="宋体"/>
          <w:color w:val="000000" w:themeColor="text1"/>
          <w:highlight w:val="none"/>
          <w:lang w:val="en-US" w:eastAsia="zh-CN"/>
          <w14:textFill>
            <w14:solidFill>
              <w14:schemeClr w14:val="tx1"/>
            </w14:solidFill>
          </w14:textFill>
        </w:rPr>
        <w:t xml:space="preserve">甲方不予支付剩余结算价款</w:t>
      </w:r>
      <w:r>
        <w:rPr>
          <w:rFonts w:hint="eastAsia" w:ascii="宋体" w:hAnsi="宋体" w:eastAsia="宋体" w:cs="宋体"/>
          <w:color w:val="000000" w:themeColor="text1"/>
          <w:highlight w:val="none"/>
          <w14:textFill>
            <w14:solidFill>
              <w14:schemeClr w14:val="tx1"/>
            </w14:solidFill>
          </w14:textFill>
        </w:rPr>
        <w:t xml:space="preserve">。</w:t>
      </w:r>
      <w:r/>
    </w:p>
    <w:p>
      <w:pPr>
        <w:pStyle w:val="890"/>
        <w:ind w:left="0" w:hanging="408"/>
        <w:keepLines w:val="0"/>
        <w:keepNext w:val="0"/>
        <w:pageBreakBefore w:val="0"/>
        <w:spacing w:line="360" w:lineRule="auto"/>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lang w:val="en-US" w:eastAsia="zh-CN"/>
          <w14:textFill>
            <w14:solidFill>
              <w14:schemeClr w14:val="tx1"/>
            </w14:solidFill>
          </w14:textFill>
        </w:rPr>
        <w:t xml:space="preserve">退还</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在</w:t>
      </w:r>
      <w:r>
        <w:rPr>
          <w:rFonts w:hint="eastAsia" w:ascii="宋体" w:hAnsi="宋体" w:cs="宋体"/>
          <w:color w:val="000000" w:themeColor="text1"/>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highlight w:val="none"/>
          <w14:textFill>
            <w14:solidFill>
              <w14:schemeClr w14:val="tx1"/>
            </w14:solidFill>
          </w14:textFill>
        </w:rPr>
        <w:t xml:space="preserve">完毕，</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不计利息。</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7.2乙方如有转包或未经甲方同意的分包行为，甲方有权解除合同。</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八、合同款项支付</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8.1签订合同后15个工作日内，预付合同总价的40%，如金额超过80万元，按80万元支付预付款；</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8.2项目总体完工，试运行60个工作日后组织项目验收会，验收合格后进入正式运行阶段，正常运行2个月视为最终验收合格，其中，基础装饰部分在最终验收合格且结算审核完成，并收到乙方提交的结算价3%的质量保证金后15个工作日内支付至基础装饰部分结算价的100%；除基础装饰部分外其余部分在最终验收合格后15个工作日内支付至除基础装饰部分外其余部分合同价的100%。</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九、税费</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9.1本合同执行中相关的一切税费均由乙方负担。</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十、项目验收</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甲方依法组织履约验收工作。</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每日向乙方支付违约金。</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乙方逾期提供服务的，乙方应按逾期提供服务合同总额每日</w:t>
      </w:r>
      <w:r>
        <w:rPr>
          <w:rFonts w:hint="eastAsia"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w:t>
      </w:r>
      <w:r/>
    </w:p>
    <w:p>
      <w:pPr>
        <w:pStyle w:val="89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89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11.5乙方派驻的</w:t>
      </w:r>
      <w:r>
        <w:rPr>
          <w:rFonts w:hint="eastAsia"/>
          <w:color w:val="000000" w:themeColor="text1"/>
          <w:highlight w:val="none"/>
          <w:lang w:val="en-US" w:eastAsia="zh-CN"/>
          <w14:textFill>
            <w14:solidFill>
              <w14:schemeClr w14:val="tx1"/>
            </w14:solidFill>
          </w14:textFill>
        </w:rPr>
        <w:t xml:space="preserve">基础装饰部分的</w:t>
      </w:r>
      <w:r>
        <w:rPr>
          <w:rFonts w:hint="eastAsia" w:cs="宋体"/>
          <w:color w:val="000000" w:themeColor="text1"/>
          <w:sz w:val="24"/>
          <w:szCs w:val="24"/>
          <w:highlight w:val="none"/>
          <w:lang w:val="en-US" w:eastAsia="zh-CN"/>
          <w14:textFill>
            <w14:solidFill>
              <w14:schemeClr w14:val="tx1"/>
            </w14:solidFill>
          </w14:textFill>
        </w:rPr>
        <w:t xml:space="preserve">项目经理须与投标文件承诺一致：未经甲方书面同意擅自更换关键人员的，甲方有权按每人次扣除合同总价款</w:t>
      </w:r>
      <w:r>
        <w:rPr>
          <w:rFonts w:hint="eastAsia" w:cs="宋体"/>
          <w:color w:val="000000" w:themeColor="text1"/>
          <w:sz w:val="24"/>
          <w:szCs w:val="24"/>
          <w:highlight w:val="none"/>
          <w:u w:val="single"/>
          <w:lang w:val="en-US" w:eastAsia="zh-CN"/>
          <w14:textFill>
            <w14:solidFill>
              <w14:schemeClr w14:val="tx1"/>
            </w14:solidFill>
          </w14:textFill>
        </w:rPr>
        <w:t xml:space="preserve"> 2% </w:t>
      </w:r>
      <w:r>
        <w:rPr>
          <w:rFonts w:hint="eastAsia" w:cs="宋体"/>
          <w:color w:val="000000" w:themeColor="text1"/>
          <w:sz w:val="24"/>
          <w:szCs w:val="24"/>
          <w:highlight w:val="none"/>
          <w:lang w:val="en-US" w:eastAsia="zh-CN"/>
          <w14:textFill>
            <w14:solidFill>
              <w14:schemeClr w14:val="tx1"/>
            </w14:solidFill>
          </w14:textFill>
        </w:rPr>
        <w:t xml:space="preserve">的违约金；项目经理每周到岗天数不足5天的，甲方有权按每人每日1000元的标准扣除违约金；上述扣款直接从履约保证金中扣除，累计扣减不超过合同总价款的</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89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11.6乙方施工过程中违反安全生产、文明施工规范，发生安全生产责任事故，或未按规定落实扬尘治理、噪声管控、场地保洁等要求的：一般违规情节，甲方有权视情节每次扣除5000元-20000元违约金；发生一般及以上安全事故、或被行政主管部门行政处罚的，甲方有权扣除合同总价款3%-5%的违约金，且乙方须承担全部处罚金额与第三方赔偿责任。</w:t>
      </w:r>
      <w:r/>
    </w:p>
    <w:p>
      <w:pPr>
        <w:pStyle w:val="89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11.7隐蔽工程覆盖前，乙方未提前24小时通知甲方及相关单位验收，擅自覆盖隐蔽部位的，甲方有权要求乙方开孔揭开检查：无论检查结果是否合格，开孔、检查、恢复的全部费用由乙方承担，对应工期不予顺延；同时甲方有权扣除该分项工程价款5%的违约金；检查结果不合格的，乙方须无条件返工直至合格，并承担由此造成的全部损失。</w:t>
      </w:r>
      <w:r/>
    </w:p>
    <w:p>
      <w:pPr>
        <w:pStyle w:val="890"/>
        <w:ind w:left="0" w:hanging="410"/>
        <w:keepLines w:val="0"/>
        <w:keepNext w:val="0"/>
        <w:pageBreakBefore w:val="0"/>
        <w:spacing w:line="360" w:lineRule="auto"/>
        <w:widowControl w:val="off"/>
        <w:rPr>
          <w:rFonts w:hint="default"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11.8本合同质保期内，乙方须根据招标文件要求及投标文件响应内容提供售后服务，乙方未按甲方要求提供售后服务的，甲方有权另找第三方单位提供服务，费用由乙方承担，且甲方保留向乙方追究相关责任和损失的权力。</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十二、不可抗力事件处理</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十三、解决争议的方法</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89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十四、合同生效及其它</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合同经双方法定代表人或授权委托代表人签字并加盖单位公章</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后生效。</w:t>
      </w:r>
      <w:r/>
    </w:p>
    <w:p>
      <w:pPr>
        <w:pStyle w:val="890"/>
        <w:ind w:left="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本合同未尽事宜，遵照中华人民共和国现行法律法规有关条文执行。</w:t>
      </w:r>
      <w:r>
        <w:rPr>
          <w:rFonts w:hint="eastAsia" w:cs="宋体"/>
          <w:color w:val="000000" w:themeColor="text1"/>
          <w:sz w:val="24"/>
          <w:szCs w:val="24"/>
          <w:highlight w:val="none"/>
          <w:lang w:val="en-US" w:eastAsia="zh-CN"/>
          <w14:textFill>
            <w14:solidFill>
              <w14:schemeClr w14:val="tx1"/>
            </w14:solidFill>
          </w14:textFill>
        </w:rPr>
        <w:t xml:space="preserve">本合同中所述“</w:t>
      </w:r>
      <w:r>
        <w:rPr>
          <w:rFonts w:hint="eastAsia" w:ascii="宋体" w:hAnsi="宋体" w:eastAsia="宋体" w:cs="宋体"/>
          <w:color w:val="000000" w:themeColor="text1"/>
          <w:sz w:val="24"/>
          <w:szCs w:val="24"/>
          <w:highlight w:val="none"/>
          <w14:textFill>
            <w14:solidFill>
              <w14:schemeClr w14:val="tx1"/>
            </w14:solidFill>
          </w14:textFill>
        </w:rPr>
        <w:t xml:space="preserve">基础装饰</w:t>
      </w:r>
      <w:r>
        <w:rPr>
          <w:rFonts w:hint="eastAsia" w:cs="宋体"/>
          <w:color w:val="000000" w:themeColor="text1"/>
          <w:sz w:val="24"/>
          <w:szCs w:val="24"/>
          <w:highlight w:val="none"/>
          <w:lang w:val="en-US" w:eastAsia="zh-CN"/>
          <w14:textFill>
            <w14:solidFill>
              <w14:schemeClr w14:val="tx1"/>
            </w14:solidFill>
          </w14:textFill>
        </w:rPr>
        <w:t xml:space="preserve">”部分的未尽事宜，参照《建设工程施工合同》范本（GF-2017-0201）中通用条款的规定执行。</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本合同正本一式</w:t>
      </w:r>
      <w:r>
        <w:rPr>
          <w:rFonts w:hint="eastAsia" w:cs="宋体"/>
          <w:color w:val="000000" w:themeColor="text1"/>
          <w:sz w:val="24"/>
          <w:szCs w:val="24"/>
          <w:highlight w:val="none"/>
          <w:lang w:val="en-US" w:eastAsia="zh-CN"/>
          <w14:textFill>
            <w14:solidFill>
              <w14:schemeClr w14:val="tx1"/>
            </w14:solidFill>
          </w14:textFill>
        </w:rPr>
        <w:t xml:space="preserve">捌</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份，具有同等法律效力，甲方、乙方各执</w:t>
      </w:r>
      <w:r>
        <w:rPr>
          <w:rFonts w:hint="eastAsia"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pStyle w:val="89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p>
    <w:p>
      <w:pPr>
        <w:pStyle w:val="89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left="0" w:firstLine="24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工程质量保修书</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甲方（全称）：</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乙方（全称）：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为保证甲方在合理使用期限内正常使用，甲方与乙方经协商一致，共同签订工程质量保修书。乙方在质量保修期内按照有关管理规定及双方约定承担工程质量保修责任。</w:t>
      </w:r>
      <w:r/>
    </w:p>
    <w:p>
      <w:pPr>
        <w:pStyle w:val="890"/>
        <w:ind w:firstLine="482"/>
        <w:spacing w:line="360" w:lineRule="auto"/>
        <w:rPr>
          <w:rFonts w:hAnsi="宋体"/>
          <w:b/>
          <w:bCs/>
          <w:color w:val="000000" w:themeColor="text1"/>
          <w:sz w:val="24"/>
          <w:szCs w:val="24"/>
          <w:highlight w:val="none"/>
          <w14:textFill>
            <w14:solidFill>
              <w14:schemeClr w14:val="tx1"/>
            </w14:solidFill>
          </w14:textFill>
        </w:rPr>
      </w:pPr>
      <w:r/>
      <w:bookmarkStart w:id="1" w:name="_Toc6695_WPSOffice_Level2"/>
      <w:r>
        <w:rPr>
          <w:rFonts w:hint="eastAsia" w:hAnsi="宋体"/>
          <w:b/>
          <w:bCs/>
          <w:color w:val="000000" w:themeColor="text1"/>
          <w:sz w:val="24"/>
          <w:szCs w:val="24"/>
          <w:highlight w:val="none"/>
          <w14:textFill>
            <w14:solidFill>
              <w14:schemeClr w14:val="tx1"/>
            </w14:solidFill>
          </w14:textFill>
        </w:rPr>
        <w:t xml:space="preserve">一、工程质量保修范围和内容</w:t>
      </w:r>
      <w:bookmarkEnd w:id="1"/>
      <w:r/>
      <w:r/>
    </w:p>
    <w:p>
      <w:pPr>
        <w:ind w:firstLine="480"/>
        <w:spacing w:line="360" w:lineRule="auto"/>
        <w:rPr>
          <w:rFonts w:ascii="宋体" w:hAnsi="宋体" w:eastAsia="黑体" w:cs="仿宋"/>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质量保修范围包括：</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基础装饰部分</w:t>
      </w:r>
      <w:r>
        <w:rPr>
          <w:rFonts w:hint="eastAsia" w:ascii="宋体" w:hAnsi="宋体"/>
          <w:bCs/>
          <w:color w:val="000000" w:themeColor="text1"/>
          <w:sz w:val="24"/>
          <w:szCs w:val="24"/>
          <w:highlight w:val="none"/>
          <w14:textFill>
            <w14:solidFill>
              <w14:schemeClr w14:val="tx1"/>
            </w14:solidFill>
          </w14:textFill>
        </w:rPr>
        <w:t xml:space="preserve">（具体详见工程量清单）</w:t>
      </w:r>
      <w:r/>
    </w:p>
    <w:p>
      <w:pPr>
        <w:pStyle w:val="890"/>
        <w:numPr>
          <w:ilvl w:val="0"/>
          <w:numId w:val="2"/>
        </w:numPr>
        <w:ind w:firstLine="482"/>
        <w:spacing w:line="360" w:lineRule="auto"/>
        <w:rPr>
          <w:rFonts w:hAnsi="宋体"/>
          <w:b/>
          <w:bCs/>
          <w:color w:val="000000" w:themeColor="text1"/>
          <w:sz w:val="24"/>
          <w:szCs w:val="24"/>
          <w:highlight w:val="none"/>
          <w14:textFill>
            <w14:solidFill>
              <w14:schemeClr w14:val="tx1"/>
            </w14:solidFill>
          </w14:textFill>
        </w:rPr>
      </w:pPr>
      <w:r/>
      <w:bookmarkStart w:id="2" w:name="_Toc26174_WPSOffice_Level2"/>
      <w:r>
        <w:rPr>
          <w:rFonts w:hint="eastAsia" w:hAnsi="宋体"/>
          <w:b/>
          <w:bCs/>
          <w:color w:val="000000" w:themeColor="text1"/>
          <w:sz w:val="24"/>
          <w:szCs w:val="24"/>
          <w:highlight w:val="none"/>
          <w14:textFill>
            <w14:solidFill>
              <w14:schemeClr w14:val="tx1"/>
            </w14:solidFill>
          </w14:textFill>
        </w:rPr>
        <w:t xml:space="preserve">质量保修期</w:t>
      </w:r>
      <w:bookmarkEnd w:id="2"/>
      <w:r/>
      <w:r/>
    </w:p>
    <w:p>
      <w:pPr>
        <w:pStyle w:val="914"/>
        <w:ind w:left="0" w:firstLine="480"/>
        <w:spacing w:line="360" w:lineRule="auto"/>
        <w:rPr>
          <w:rFonts w:ascii="宋体" w:hAnsi="宋体" w:eastAsia="宋体"/>
          <w:color w:val="000000" w:themeColor="text1"/>
          <w:highlight w:val="none"/>
          <w:u w:val="single"/>
          <w:lang w:eastAsia="zh-CN"/>
          <w14:textFill>
            <w14:solidFill>
              <w14:schemeClr w14:val="tx1"/>
            </w14:solidFill>
          </w14:textFill>
        </w:rPr>
      </w:pPr>
      <w:r>
        <w:rPr>
          <w:rFonts w:hint="eastAsia" w:ascii="宋体" w:hAnsi="宋体" w:eastAsia="宋体"/>
          <w:color w:val="000000" w:themeColor="text1"/>
          <w:highlight w:val="none"/>
          <w:u w:val="single"/>
          <w:lang w:eastAsia="zh-CN"/>
          <w14:textFill>
            <w14:solidFill>
              <w14:schemeClr w14:val="tx1"/>
            </w14:solidFill>
          </w14:textFill>
        </w:rPr>
        <w:t xml:space="preserve">根据《建设工程质量管理条例》及有关规定，工程的质量保修期如下：</w:t>
      </w:r>
      <w:r/>
    </w:p>
    <w:p>
      <w:pPr>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质量保修期从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1．地基基础工程和主体结构工程为设计文件规定的工程合理使用年限；</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3．装修工程为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4．电气管线、给排水管道、设备安装工程为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5．供热与供冷系统为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个采暖期、供冷期；</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6．住宅小区内的给排水设施、道路等配套工程为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7．其他项目保修期限约定如下：按国家现行规定。</w:t>
      </w:r>
      <w:r/>
    </w:p>
    <w:p>
      <w:pPr>
        <w:pStyle w:val="890"/>
        <w:ind w:firstLine="482"/>
        <w:spacing w:line="360" w:lineRule="auto"/>
        <w:rPr>
          <w:rFonts w:hAnsi="宋体"/>
          <w:b/>
          <w:bCs/>
          <w:color w:val="000000" w:themeColor="text1"/>
          <w:sz w:val="24"/>
          <w:szCs w:val="24"/>
          <w:highlight w:val="none"/>
          <w14:textFill>
            <w14:solidFill>
              <w14:schemeClr w14:val="tx1"/>
            </w14:solidFill>
          </w14:textFill>
        </w:rPr>
      </w:pPr>
      <w:r/>
      <w:bookmarkStart w:id="3" w:name="_Toc4921_WPSOffice_Level2"/>
      <w:r>
        <w:rPr>
          <w:rFonts w:hint="eastAsia" w:hAnsi="宋体"/>
          <w:b/>
          <w:bCs/>
          <w:color w:val="000000" w:themeColor="text1"/>
          <w:sz w:val="24"/>
          <w:szCs w:val="24"/>
          <w:highlight w:val="none"/>
          <w14:textFill>
            <w14:solidFill>
              <w14:schemeClr w14:val="tx1"/>
            </w14:solidFill>
          </w14:textFill>
        </w:rPr>
        <w:t xml:space="preserve">三、质量保修责任</w:t>
      </w:r>
      <w:bookmarkEnd w:id="3"/>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（一）属于保修范围和保修内容的项目发生时，乙方应</w:t>
      </w:r>
      <w:r>
        <w:rPr>
          <w:rFonts w:hint="eastAsia" w:hAnsi="宋体"/>
          <w:bCs/>
          <w:color w:val="000000" w:themeColor="text1"/>
          <w:sz w:val="24"/>
          <w:szCs w:val="24"/>
          <w:highlight w:val="none"/>
          <w:lang w:val="en-US" w:eastAsia="zh-CN"/>
          <w14:textFill>
            <w14:solidFill>
              <w14:schemeClr w14:val="tx1"/>
            </w14:solidFill>
          </w14:textFill>
        </w:rPr>
        <w:t xml:space="preserve">按投标文件承诺的内容</w:t>
      </w:r>
      <w:r>
        <w:rPr>
          <w:rFonts w:hAnsi="宋体"/>
          <w:bCs/>
          <w:color w:val="000000" w:themeColor="text1"/>
          <w:sz w:val="24"/>
          <w:szCs w:val="24"/>
          <w:highlight w:val="none"/>
          <w14:textFill>
            <w14:solidFill>
              <w14:schemeClr w14:val="tx1"/>
            </w14:solidFill>
          </w14:textFill>
        </w:rPr>
        <w:t xml:space="preserve">派专业人员到达项目现场进行保修。</w:t>
      </w:r>
      <w:r>
        <w:rPr>
          <w:rFonts w:hint="eastAsia" w:hAnsi="宋体"/>
          <w:bCs/>
          <w:color w:val="000000" w:themeColor="text1"/>
          <w:sz w:val="24"/>
          <w:szCs w:val="24"/>
          <w:highlight w:val="none"/>
          <w14:textFill>
            <w14:solidFill>
              <w14:schemeClr w14:val="tx1"/>
            </w14:solidFill>
          </w14:textFill>
        </w:rPr>
        <w:t xml:space="preserve">乙方未能在约定期限内履行保修义务的，乙方可委托他人进行保修，因此而产生的相关费用，甲方可从质量保修金内扣除；不足部分，甲方有权向乙方另行追偿。</w:t>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（二）发生紧急事故时，乙方应于接到事故通知后立即</w:t>
      </w:r>
      <w:r>
        <w:rPr>
          <w:rFonts w:hAnsi="宋体"/>
          <w:bCs/>
          <w:color w:val="000000" w:themeColor="text1"/>
          <w:sz w:val="24"/>
          <w:szCs w:val="24"/>
          <w:highlight w:val="none"/>
          <w14:textFill>
            <w14:solidFill>
              <w14:schemeClr w14:val="tx1"/>
            </w14:solidFill>
          </w14:textFill>
        </w:rPr>
        <w:t xml:space="preserve">到达事故现场进行抢修。非施工质量引起的事故，抢修费用由</w:t>
      </w:r>
      <w:r>
        <w:rPr>
          <w:rFonts w:hint="eastAsia" w:hAnsi="宋体"/>
          <w:bCs/>
          <w:color w:val="000000" w:themeColor="text1"/>
          <w:sz w:val="24"/>
          <w:szCs w:val="24"/>
          <w:highlight w:val="none"/>
          <w14:textFill>
            <w14:solidFill>
              <w14:schemeClr w14:val="tx1"/>
            </w14:solidFill>
          </w14:textFill>
        </w:rPr>
        <w:t xml:space="preserve">甲方承担。</w:t>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（三）在国家规定的工程合理使用期限内，乙方确保主体结构工程施工质量。因乙方原因致使工程在合理使用期限内造成任何人身或财产损害的，乙方应承担损害赔偿责任。</w:t>
      </w:r>
      <w:r/>
    </w:p>
    <w:p>
      <w:pPr>
        <w:pStyle w:val="890"/>
        <w:ind w:firstLine="482"/>
        <w:spacing w:line="360" w:lineRule="auto"/>
        <w:rPr>
          <w:rFonts w:hAnsi="宋体"/>
          <w:b/>
          <w:bCs/>
          <w:color w:val="000000" w:themeColor="text1"/>
          <w:sz w:val="24"/>
          <w:szCs w:val="24"/>
          <w:highlight w:val="none"/>
          <w14:textFill>
            <w14:solidFill>
              <w14:schemeClr w14:val="tx1"/>
            </w14:solidFill>
          </w14:textFill>
        </w:rPr>
      </w:pPr>
      <w:r/>
      <w:bookmarkStart w:id="4" w:name="_Toc11960_WPSOffice_Level2"/>
      <w:r>
        <w:rPr>
          <w:rFonts w:hint="eastAsia" w:hAnsi="宋体"/>
          <w:b/>
          <w:bCs/>
          <w:color w:val="000000" w:themeColor="text1"/>
          <w:sz w:val="24"/>
          <w:szCs w:val="24"/>
          <w:highlight w:val="none"/>
          <w14:textFill>
            <w14:solidFill>
              <w14:schemeClr w14:val="tx1"/>
            </w14:solidFill>
          </w14:textFill>
        </w:rPr>
        <w:t xml:space="preserve">四、质量保修金的支付</w:t>
      </w:r>
      <w:bookmarkEnd w:id="4"/>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本工程约定的工程质量保修金为</w:t>
      </w:r>
      <w:r>
        <w:rPr>
          <w:rFonts w:hint="eastAsia"/>
          <w:color w:val="000000" w:themeColor="text1"/>
          <w:highlight w:val="none"/>
          <w:lang w:val="en-US" w:eastAsia="zh-CN"/>
          <w14:textFill>
            <w14:solidFill>
              <w14:schemeClr w14:val="tx1"/>
            </w14:solidFill>
          </w14:textFill>
        </w:rPr>
        <w:t xml:space="preserve">基础装饰部分</w:t>
      </w:r>
      <w:r>
        <w:rPr>
          <w:rFonts w:hint="eastAsia" w:hAnsi="宋体"/>
          <w:bCs/>
          <w:color w:val="000000" w:themeColor="text1"/>
          <w:sz w:val="24"/>
          <w:szCs w:val="24"/>
          <w:highlight w:val="none"/>
          <w:lang w:val="zh-CN"/>
          <w14:textFill>
            <w14:solidFill>
              <w14:schemeClr w14:val="tx1"/>
            </w14:solidFill>
          </w14:textFill>
        </w:rPr>
        <w:t xml:space="preserve">结算价的</w:t>
      </w:r>
      <w:r>
        <w:rPr>
          <w:rFonts w:hAnsi="宋体"/>
          <w:bCs/>
          <w:color w:val="000000" w:themeColor="text1"/>
          <w:sz w:val="24"/>
          <w:szCs w:val="24"/>
          <w:highlight w:val="none"/>
          <w:lang w:val="zh-CN"/>
          <w14:textFill>
            <w14:solidFill>
              <w14:schemeClr w14:val="tx1"/>
            </w14:solidFill>
          </w14:textFill>
        </w:rPr>
        <w:t xml:space="preserve">3%作为质量保证金</w:t>
      </w:r>
      <w:r>
        <w:rPr>
          <w:rFonts w:hint="eastAsia" w:hAnsi="宋体"/>
          <w:bCs/>
          <w:color w:val="000000" w:themeColor="text1"/>
          <w:sz w:val="24"/>
          <w:szCs w:val="24"/>
          <w:highlight w:val="none"/>
          <w14:textFill>
            <w14:solidFill>
              <w14:schemeClr w14:val="tx1"/>
            </w14:solidFill>
          </w14:textFill>
        </w:rPr>
        <w:t xml:space="preserve">。</w:t>
      </w:r>
      <w:r/>
    </w:p>
    <w:p>
      <w:pPr>
        <w:pStyle w:val="890"/>
        <w:ind w:firstLine="482"/>
        <w:spacing w:line="360" w:lineRule="auto"/>
        <w:rPr>
          <w:rFonts w:hAnsi="宋体"/>
          <w:b/>
          <w:bCs/>
          <w:color w:val="000000" w:themeColor="text1"/>
          <w:sz w:val="24"/>
          <w:szCs w:val="24"/>
          <w:highlight w:val="none"/>
          <w14:textFill>
            <w14:solidFill>
              <w14:schemeClr w14:val="tx1"/>
            </w14:solidFill>
          </w14:textFill>
        </w:rPr>
      </w:pPr>
      <w:r/>
      <w:bookmarkStart w:id="5" w:name="_Toc12890_WPSOffice_Level2"/>
      <w:r>
        <w:rPr>
          <w:rFonts w:hint="eastAsia" w:hAnsi="宋体"/>
          <w:b/>
          <w:bCs/>
          <w:color w:val="000000" w:themeColor="text1"/>
          <w:sz w:val="24"/>
          <w:szCs w:val="24"/>
          <w:highlight w:val="none"/>
          <w14:textFill>
            <w14:solidFill>
              <w14:schemeClr w14:val="tx1"/>
            </w14:solidFill>
          </w14:textFill>
        </w:rPr>
        <w:t xml:space="preserve">五、质量保修金的返还</w:t>
      </w:r>
      <w:bookmarkEnd w:id="5"/>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缺陷责任期：24个月。缺陷责任期</w:t>
      </w:r>
      <w:r>
        <w:rPr>
          <w:rFonts w:hint="eastAsia" w:ascii="宋体" w:hAnsi="宋体"/>
          <w:color w:val="000000" w:themeColor="text1"/>
          <w:sz w:val="24"/>
          <w:szCs w:val="24"/>
          <w:highlight w:val="none"/>
          <w:u w:val="single"/>
          <w14:textFill>
            <w14:solidFill>
              <w14:schemeClr w14:val="tx1"/>
            </w14:solidFill>
          </w14:textFill>
        </w:rPr>
        <w:t xml:space="preserve">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pStyle w:val="89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工程质保金在缺陷责任期满后由</w:t>
      </w:r>
      <w:r>
        <w:rPr>
          <w:rFonts w:hint="eastAsia" w:hAnsi="宋体"/>
          <w:bCs/>
          <w:color w:val="000000" w:themeColor="text1"/>
          <w:sz w:val="24"/>
          <w:szCs w:val="24"/>
          <w:highlight w:val="none"/>
          <w:lang w:val="en-US" w:eastAsia="zh-CN"/>
          <w14:textFill>
            <w14:solidFill>
              <w14:schemeClr w14:val="tx1"/>
            </w14:solidFill>
          </w14:textFill>
        </w:rPr>
        <w:t xml:space="preserve">乙方</w:t>
      </w:r>
      <w:r>
        <w:rPr>
          <w:rFonts w:hint="eastAsia" w:hAnsi="宋体"/>
          <w:bCs/>
          <w:color w:val="000000" w:themeColor="text1"/>
          <w:sz w:val="24"/>
          <w:szCs w:val="24"/>
          <w:highlight w:val="none"/>
          <w14:textFill>
            <w14:solidFill>
              <w14:schemeClr w14:val="tx1"/>
            </w14:solidFill>
          </w14:textFill>
        </w:rPr>
        <w:t xml:space="preserve">向</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申请，经</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确认后无息退回。</w:t>
      </w:r>
      <w:r/>
    </w:p>
    <w:p>
      <w:pPr>
        <w:pStyle w:val="890"/>
        <w:ind w:firstLine="482"/>
        <w:spacing w:line="360" w:lineRule="auto"/>
        <w:rPr>
          <w:rFonts w:hAnsi="宋体"/>
          <w:b/>
          <w:bCs/>
          <w:color w:val="000000" w:themeColor="text1"/>
          <w:sz w:val="24"/>
          <w:szCs w:val="24"/>
          <w:highlight w:val="none"/>
          <w14:textFill>
            <w14:solidFill>
              <w14:schemeClr w14:val="tx1"/>
            </w14:solidFill>
          </w14:textFill>
        </w:rPr>
      </w:pPr>
      <w:r/>
      <w:bookmarkStart w:id="6" w:name="_Toc11465_WPSOffice_Level2"/>
      <w:r>
        <w:rPr>
          <w:rFonts w:hint="eastAsia" w:hAnsi="宋体"/>
          <w:b/>
          <w:bCs/>
          <w:color w:val="000000" w:themeColor="text1"/>
          <w:sz w:val="24"/>
          <w:szCs w:val="24"/>
          <w:highlight w:val="none"/>
          <w14:textFill>
            <w14:solidFill>
              <w14:schemeClr w14:val="tx1"/>
            </w14:solidFill>
          </w14:textFill>
        </w:rPr>
        <w:t xml:space="preserve">六、其他</w:t>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本工程质量保修书作为施工合同附件，由施工合同甲方与乙方双方共同签署。</w:t>
      </w:r>
      <w:r/>
    </w:p>
    <w:p>
      <w:pPr>
        <w:pStyle w:val="890"/>
        <w:ind w:firstLine="43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r>
      <w:r/>
    </w:p>
    <w:p>
      <w:pPr>
        <w:pStyle w:val="89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甲方：（盖章）</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乙方：（盖章）</w:t>
      </w:r>
      <w:r/>
    </w:p>
    <w:p>
      <w:pPr>
        <w:pStyle w:val="89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法定代表人（或授权委托人）：</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法定代表人（或授权委托人）：</w:t>
      </w:r>
      <w:r/>
    </w:p>
    <w:p>
      <w:pPr>
        <w:pStyle w:val="89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地址：</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地址：</w:t>
      </w:r>
      <w:r/>
    </w:p>
    <w:p>
      <w:pPr>
        <w:pStyle w:val="89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电话：</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电话：</w:t>
      </w:r>
      <w:r/>
    </w:p>
    <w:p>
      <w:pPr>
        <w:ind w:firstLine="48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日期：</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日期：</w:t>
      </w:r>
      <w:r/>
    </w:p>
    <w:p>
      <w:pPr>
        <w:rPr>
          <w:rFonts w:hint="eastAsia" w:ascii="宋体" w:hAnsi="宋体" w:cs="宋体"/>
          <w:color w:val="000000" w:themeColor="text1"/>
          <w:sz w:val="24"/>
          <w:szCs w:val="22"/>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br w:type="page" w:clear="all"/>
      </w:r>
      <w:r>
        <w:rPr>
          <w:rFonts w:hint="eastAsia" w:ascii="宋体" w:hAnsi="宋体" w:cs="宋体"/>
          <w:color w:val="000000" w:themeColor="text1"/>
          <w:sz w:val="24"/>
          <w:szCs w:val="22"/>
          <w:highlight w:val="none"/>
          <w14:textFill>
            <w14:solidFill>
              <w14:schemeClr w14:val="tx1"/>
            </w14:solidFill>
          </w14:textFill>
        </w:rPr>
        <w:t xml:space="preserve">附件2</w:t>
      </w:r>
      <w:r/>
    </w:p>
    <w:p>
      <w:pPr>
        <w:jc w:val="center"/>
        <w:rPr>
          <w:rFonts w:hint="eastAsia" w:ascii="宋体" w:hAnsi="宋体" w:cs="宋体"/>
          <w:color w:val="000000" w:themeColor="text1"/>
          <w:sz w:val="24"/>
          <w:szCs w:val="24"/>
          <w:highlight w:val="none"/>
          <w14:textFill>
            <w14:solidFill>
              <w14:schemeClr w14:val="tx1"/>
            </w14:solidFill>
          </w14:textFill>
        </w:rPr>
      </w:pPr>
      <w:r/>
      <w:bookmarkStart w:id="7" w:name="_Toc22122_WPSOffice_Level2"/>
      <w:r>
        <w:rPr>
          <w:rFonts w:hint="eastAsia" w:ascii="宋体" w:hAnsi="宋体" w:cs="宋体"/>
          <w:color w:val="000000" w:themeColor="text1"/>
          <w:sz w:val="24"/>
          <w:szCs w:val="24"/>
          <w:highlight w:val="none"/>
          <w14:textFill>
            <w14:solidFill>
              <w14:schemeClr w14:val="tx1"/>
            </w14:solidFill>
          </w14:textFill>
        </w:rPr>
        <w:t xml:space="preserve">廉政共建协议书</w:t>
      </w:r>
      <w:bookmarkEnd w:id="7"/>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了贯彻落实党中央、国务院《关于实行党风廉政建设责任制的规定》和有关工程建设、廉政建设的法律法规，加强工程建设中的党风廉政建设，保持廉洁自律的工作作风，防止各种不正当行为的发生，保证工程建设优质高效、健康有序地进行，</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（以下简称甲方），就项目与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（以下简称乙方）订立如下协议：</w:t>
      </w:r>
      <w:r/>
    </w:p>
    <w:p>
      <w:pPr>
        <w:rPr>
          <w:rFonts w:hint="eastAsia" w:ascii="宋体" w:hAnsi="宋体" w:cs="宋体"/>
          <w:color w:val="000000" w:themeColor="text1"/>
          <w:sz w:val="24"/>
          <w:szCs w:val="22"/>
          <w:highlight w:val="none"/>
          <w14:textFill>
            <w14:solidFill>
              <w14:schemeClr w14:val="tx1"/>
            </w14:solidFill>
          </w14:textFill>
        </w:rPr>
      </w:pPr>
      <w:r/>
      <w:bookmarkStart w:id="8" w:name="_Toc21480_WPSOffice_Level2"/>
      <w:r>
        <w:rPr>
          <w:rFonts w:hint="eastAsia" w:ascii="宋体" w:hAnsi="宋体" w:cs="宋体"/>
          <w:color w:val="000000" w:themeColor="text1"/>
          <w:sz w:val="24"/>
          <w:szCs w:val="22"/>
          <w:highlight w:val="none"/>
          <w14:textFill>
            <w14:solidFill>
              <w14:schemeClr w14:val="tx1"/>
            </w14:solidFill>
          </w14:textFill>
        </w:rPr>
        <w:t xml:space="preserve">一、甲乙双方约定</w:t>
      </w:r>
      <w:bookmarkEnd w:id="8"/>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1、甲乙双方应共同遵守国家和省、市以及发包人关于加强基础设施建设管理以及党风廉政建设的各项规定。</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2、甲乙双方应认真执行约定的合同文件，自觉按合同办事。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3、除非法律认定的商业秘密和合同文件另有规定之外，甲乙双方的业务活动应坚持公开、公正、透明的原则，严禁搞损害国家和集体利益、违反工程建设管理规章制度的不正当交易。</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4、甲乙双方应加强对本方人员的廉政监督，建立和健全廉政制度，认真查处本方的违法违纪行为。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5、甲乙双方有对本方人员开展廉政告知、廉政教育和职业道德教育的义务。</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6、甲乙双方如发现对方在业务活动中有不廉洁行为，有及时提醒对方并督促其纠正的权利和义务。</w:t>
      </w:r>
      <w:r/>
    </w:p>
    <w:p>
      <w:pPr>
        <w:rPr>
          <w:rFonts w:hint="eastAsia" w:ascii="宋体" w:hAnsi="宋体" w:cs="宋体"/>
          <w:color w:val="000000" w:themeColor="text1"/>
          <w:sz w:val="24"/>
          <w:szCs w:val="22"/>
          <w:highlight w:val="none"/>
          <w14:textFill>
            <w14:solidFill>
              <w14:schemeClr w14:val="tx1"/>
            </w14:solidFill>
          </w14:textFill>
        </w:rPr>
      </w:pPr>
      <w:r/>
      <w:bookmarkStart w:id="9" w:name="_Toc23738_WPSOffice_Level2"/>
      <w:r>
        <w:rPr>
          <w:rFonts w:hint="eastAsia" w:ascii="宋体" w:hAnsi="宋体" w:cs="宋体"/>
          <w:color w:val="000000" w:themeColor="text1"/>
          <w:sz w:val="24"/>
          <w:szCs w:val="22"/>
          <w:highlight w:val="none"/>
          <w14:textFill>
            <w14:solidFill>
              <w14:schemeClr w14:val="tx1"/>
            </w14:solidFill>
          </w14:textFill>
        </w:rPr>
        <w:t xml:space="preserve">二、甲方在廉政建设方面的责任</w:t>
      </w:r>
      <w:bookmarkEnd w:id="9"/>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1、在实施职务行为时，必须认真学习并遵守国家的法律、法规及相关的规章制度，依法按章规范行事，时刻保持头脑清醒。</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2、自觉遵守工作纪律、办事流程，严格按章办事。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3、与合作方正常业务交往中，不得索要和接受任何单位礼品、礼金、有价证券或回扣等钱物。</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4、不得向合作方报销任何应由个人支付的费用。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5、不得参加可能有碍公正执行公务的宴请和娱乐活动。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6、办公制度公开化、办事程序透明化，自觉接受公众监督。</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7、对执行工程建设廉政规定的情况，进行阶段性的检查。</w:t>
      </w:r>
      <w:r/>
    </w:p>
    <w:p>
      <w:pPr>
        <w:rPr>
          <w:rFonts w:hint="eastAsia" w:ascii="宋体" w:hAnsi="宋体" w:cs="宋体"/>
          <w:color w:val="000000" w:themeColor="text1"/>
          <w:sz w:val="24"/>
          <w:szCs w:val="22"/>
          <w:highlight w:val="none"/>
          <w14:textFill>
            <w14:solidFill>
              <w14:schemeClr w14:val="tx1"/>
            </w14:solidFill>
          </w14:textFill>
        </w:rPr>
      </w:pPr>
      <w:r/>
      <w:bookmarkStart w:id="10" w:name="_Toc11538_WPSOffice_Level2"/>
      <w:r>
        <w:rPr>
          <w:rFonts w:hint="eastAsia" w:ascii="宋体" w:hAnsi="宋体" w:cs="宋体"/>
          <w:color w:val="000000" w:themeColor="text1"/>
          <w:sz w:val="24"/>
          <w:szCs w:val="22"/>
          <w:highlight w:val="none"/>
          <w14:textFill>
            <w14:solidFill>
              <w14:schemeClr w14:val="tx1"/>
            </w14:solidFill>
          </w14:textFill>
        </w:rPr>
        <w:t xml:space="preserve">三、乙方在廉政建设方面的责任</w:t>
      </w:r>
      <w:bookmarkEnd w:id="10"/>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1、乙方不得以任何理由向甲方工作人员行贿或馈赠礼品。</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2、乙方不得以任何名义为甲方及其工作人员报支需由其个人支付的任何费用。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3、乙方不得以任何理由邀请甲方工作人员参加由其支付的娱乐性活动。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4、乙方不得为甲方个人购置或提供通讯工具、交通工具、家电和高档办公用品。</w:t>
      </w:r>
      <w:r/>
    </w:p>
    <w:p>
      <w:pPr>
        <w:rPr>
          <w:rFonts w:hint="eastAsia" w:ascii="宋体" w:hAnsi="宋体" w:cs="宋体"/>
          <w:color w:val="000000" w:themeColor="text1"/>
          <w:sz w:val="24"/>
          <w:szCs w:val="22"/>
          <w:highlight w:val="none"/>
          <w14:textFill>
            <w14:solidFill>
              <w14:schemeClr w14:val="tx1"/>
            </w14:solidFill>
          </w14:textFill>
        </w:rPr>
      </w:pPr>
      <w:r/>
      <w:bookmarkStart w:id="11" w:name="_Toc28565_WPSOffice_Level2"/>
      <w:r>
        <w:rPr>
          <w:rFonts w:hint="eastAsia" w:ascii="宋体" w:hAnsi="宋体" w:cs="宋体"/>
          <w:color w:val="000000" w:themeColor="text1"/>
          <w:sz w:val="24"/>
          <w:szCs w:val="22"/>
          <w:highlight w:val="none"/>
          <w14:textFill>
            <w14:solidFill>
              <w14:schemeClr w14:val="tx1"/>
            </w14:solidFill>
          </w14:textFill>
        </w:rPr>
        <w:t xml:space="preserve">四、违约责任</w:t>
      </w:r>
      <w:bookmarkEnd w:id="11"/>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1、甲方有违反本协议事项的，按甲方单位的廉政建设规定和有关行业规定处罚。</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2、乙方有违反本协议事项的，除按乙方单位的廉政建设规定和基础设施建设有关行业规定处罚外，视情节轻重和造成损失大小分别给予合同价款1%至5%（最高不超过合同价款的5%）的违约违约金。</w:t>
      </w:r>
      <w:r/>
    </w:p>
    <w:p>
      <w:pPr>
        <w:rPr>
          <w:rFonts w:hint="eastAsia" w:ascii="宋体" w:hAnsi="宋体" w:cs="宋体"/>
          <w:color w:val="000000" w:themeColor="text1"/>
          <w:sz w:val="24"/>
          <w:szCs w:val="22"/>
          <w:highlight w:val="none"/>
          <w14:textFill>
            <w14:solidFill>
              <w14:schemeClr w14:val="tx1"/>
            </w14:solidFill>
          </w14:textFill>
        </w:rPr>
      </w:pPr>
      <w:r/>
      <w:bookmarkStart w:id="12" w:name="_Toc29081_WPSOffice_Level2"/>
      <w:r>
        <w:rPr>
          <w:rFonts w:hint="eastAsia" w:ascii="宋体" w:hAnsi="宋体" w:cs="宋体"/>
          <w:color w:val="000000" w:themeColor="text1"/>
          <w:sz w:val="24"/>
          <w:szCs w:val="22"/>
          <w:highlight w:val="none"/>
          <w14:textFill>
            <w14:solidFill>
              <w14:schemeClr w14:val="tx1"/>
            </w14:solidFill>
          </w14:textFill>
        </w:rPr>
        <w:t xml:space="preserve">五、其他</w:t>
      </w:r>
      <w:bookmarkEnd w:id="12"/>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本协议有效期为其甲乙双方签署之日起至项目竣工验收后止。</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本协议作为工程合同的附件，与工程合同具有同等的法律效力，经协议双方签字并盖章立即生效。</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甲方单位：                           乙方单位：        </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甲方法定代表人或委托代表人：         乙方法定代表人：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88"/>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p>
      <w:pPr>
        <w:pStyle w:val="915"/>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建设工程承发包安全管理协议</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发包方（全称）：</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w:t>
      </w:r>
      <w:r/>
    </w:p>
    <w:p>
      <w:pPr>
        <w:pStyle w:val="915"/>
        <w:ind w:firstLine="480"/>
        <w:jc w:val="left"/>
        <w:keepLines w:val="0"/>
        <w:keepNext w:val="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承包方（全称）：      （以下简称乙方）</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发包方将本项目发包给承包方施工，为贯彻“安全第一、预防为主”的方针，根据《江苏省工程安全管理暂行规定》和国家有关法规，明确双方的安全生产责任，确保施工安全，双方在签订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合同的同时，签订本协议。</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一、承包施工项目</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工程名称： </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工程地址：         </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承包方式：包工包料</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工程内容：             </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工程项目施工期限</w:t>
      </w:r>
      <w:r/>
    </w:p>
    <w:p>
      <w:pPr>
        <w:pStyle w:val="91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以实际开竣工报告为准。</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三、协议内容</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1、乙方必须认真贯彻国家、江苏省和上级劳动保护、安全生产主管部门颁发的有关安全生产、消防工作的方针、政策、严格执行有关劳动保护法规、条例、规定。</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3、乙方在施工前要认真勘察现场，进场后首先必须做好施工现场围护，防止闲杂人员进入施工现场，发生安全事故。</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7、根据工程项目内容、特点，甲乙双方应做好安全技术交底，并有交底的书面材料，</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8、交底材料一式三份，由甲乙双方和监理各执一份。</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11、在生产操作过程中的个人防护用品，由各方自理，甲乙双方都应督促施工现场人员自觉穿戴好防护用品。</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现场如发现安全隐患，未及时整改，对责任方处以每次200-2000元罚款；如发生安全事故，</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按主合同11.6条规定执行</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21．本协议经双方签字并盖章有效。</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22．本协议同工程合同正本同日生效，甲、乙双方必须严格执行，由于违反本协议而造成伤亡事故，由违约方承担一切责任。</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 (盖章)：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承包人（盖章）：</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法人或授权代理人：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法人或授权代理人：</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住所：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住所：</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邮编：</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电话：</w:t>
      </w:r>
      <w:r/>
    </w:p>
    <w:p>
      <w:pPr>
        <w:pStyle w:val="91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传真：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传真：</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pStyle w:val="890"/>
        <w:ind w:left="0" w:firstLine="48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0"/>
        <w:ind w:left="0" w:firstLine="24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1"/>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13"/>
        <w:gridCol w:w="1226"/>
        <w:gridCol w:w="2"/>
        <w:gridCol w:w="1231"/>
        <w:gridCol w:w="2"/>
        <w:gridCol w:w="1231"/>
        <w:gridCol w:w="2"/>
        <w:gridCol w:w="1231"/>
        <w:gridCol w:w="2"/>
        <w:gridCol w:w="1231"/>
        <w:gridCol w:w="2"/>
        <w:gridCol w:w="1283"/>
      </w:tblGrid>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服务内容</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服务期限</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w:t>
            </w:r>
            <w:r/>
          </w:p>
        </w:tc>
      </w:tr>
      <w:tr>
        <w:trPr>
          <w:cantSplit/>
          <w:trHeight w:val="701"/>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14:textFill>
                  <w14:solidFill>
                    <w14:schemeClr w14:val="tx1"/>
                  </w14:solidFill>
                </w14:textFill>
              </w:rPr>
              <w:t xml:space="preserve">文件提供的附件清单，执行</w:t>
            </w:r>
            <w:r>
              <w:rPr>
                <w:rFonts w:hint="eastAsia" w:ascii="宋体" w:hAnsi="宋体" w:cs="宋体"/>
                <w:color w:val="000000" w:themeColor="text1"/>
                <w:szCs w:val="21"/>
                <w:highlight w:val="none"/>
                <w:lang w:eastAsia="zh-CN"/>
                <w14:textFill>
                  <w14:solidFill>
                    <w14:schemeClr w14:val="tx1"/>
                  </w14:solidFill>
                </w14:textFill>
              </w:rPr>
              <w:t xml:space="preserve">建设工程工程量清单计价标准（GB_T50500-2024）</w:t>
            </w:r>
            <w:r>
              <w:rPr>
                <w:rFonts w:hint="eastAsia" w:ascii="宋体" w:hAnsi="宋体" w:cs="宋体"/>
                <w:color w:val="000000" w:themeColor="text1"/>
                <w:szCs w:val="21"/>
                <w:highlight w:val="none"/>
                <w14:textFill>
                  <w14:solidFill>
                    <w14:schemeClr w14:val="tx1"/>
                  </w14:solidFill>
                </w14:textFill>
              </w:rPr>
              <w:t xml:space="preserve">，编制报价表</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并作为本分项报价表的附件。</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gridSpan w:val="2"/>
            <w:tcW w:w="6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68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品牌、型号、产地</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是否为本国产品</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.投标人需认真填写本报价表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除采购清单中明确无须单列的内容，其余内容均须根据采购清单内容逐项填列报价</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.项目经办人可以根据项目实际需要对表格结构进行调整。</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4.本项目中含有多种产品，供应商未填写本项目中提供的符合本国产品标准的产品成本之和占该采购包提供的全部产品成本之和的比例数值的，或比例数值未达到80%的，将不享受本国产品价格评审优惠。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附件：已标价工程量</w:t>
      </w:r>
      <w:r>
        <w:rPr>
          <w:rFonts w:hint="eastAsia"/>
          <w:color w:val="000000" w:themeColor="text1"/>
          <w:highlight w:val="none"/>
          <w:lang w:val="en-US" w:eastAsia="zh-CN"/>
          <w14:textFill>
            <w14:solidFill>
              <w14:schemeClr w14:val="tx1"/>
            </w14:solidFill>
          </w14:textFill>
        </w:rPr>
        <w:t xml:space="preserve">报价</w:t>
      </w:r>
      <w:r>
        <w:rPr>
          <w:rFonts w:hint="eastAsia" w:eastAsia="宋体"/>
          <w:color w:val="000000" w:themeColor="text1"/>
          <w:highlight w:val="none"/>
          <w:lang w:val="en-US" w:eastAsia="zh-CN"/>
          <w14:textFill>
            <w14:solidFill>
              <w14:schemeClr w14:val="tx1"/>
            </w14:solidFill>
          </w14:textFill>
        </w:rPr>
        <w:t xml:space="preserve">清单</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★按</w:t>
      </w:r>
      <w:r>
        <w:rPr>
          <w:rFonts w:hint="eastAsia"/>
          <w:color w:val="000000" w:themeColor="text1"/>
          <w:highlight w:val="none"/>
          <w:lang w:val="en-US" w:eastAsia="zh-CN"/>
          <w14:textFill>
            <w14:solidFill>
              <w14:schemeClr w14:val="tx1"/>
            </w14:solidFill>
          </w14:textFill>
        </w:rPr>
        <w:t xml:space="preserve">招标</w:t>
      </w:r>
      <w:r>
        <w:rPr>
          <w:rFonts w:hint="eastAsia" w:eastAsia="宋体"/>
          <w:color w:val="000000" w:themeColor="text1"/>
          <w:highlight w:val="none"/>
          <w:lang w:val="en-US" w:eastAsia="zh-CN"/>
          <w14:textFill>
            <w14:solidFill>
              <w14:schemeClr w14:val="tx1"/>
            </w14:solidFill>
          </w14:textFill>
        </w:rPr>
        <w:t xml:space="preserve">文件提供的附件清单，执行建设工程工程量清单计价标准（GB</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T50500-2024），编制报价表，否则按无效投标处理。</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★根据苏建价〔2026〕76号文发布的《江苏省建设工程费用参考》中的约定，本项目涉及的安全生产措施费的费率下限值按下表执行，供应商可根据项目实际确定费率，但不得低于表中数值，否则</w:t>
      </w:r>
      <w:r>
        <w:rPr>
          <w:rFonts w:hint="eastAsia"/>
          <w:color w:val="000000" w:themeColor="text1"/>
          <w:highlight w:val="none"/>
          <w:lang w:val="en-US" w:eastAsia="zh-CN"/>
          <w14:textFill>
            <w14:solidFill>
              <w14:schemeClr w14:val="tx1"/>
            </w14:solidFill>
          </w14:textFill>
        </w:rPr>
        <w:t xml:space="preserve">投标</w:t>
      </w:r>
      <w:r>
        <w:rPr>
          <w:rFonts w:hint="eastAsia" w:eastAsia="宋体"/>
          <w:color w:val="000000" w:themeColor="text1"/>
          <w:highlight w:val="none"/>
          <w:lang w:val="en-US" w:eastAsia="zh-CN"/>
          <w14:textFill>
            <w14:solidFill>
              <w14:schemeClr w14:val="tx1"/>
            </w14:solidFill>
          </w14:textFill>
        </w:rPr>
        <w:t xml:space="preserve">无效。</w:t>
      </w:r>
      <w:r/>
    </w:p>
    <w:tbl>
      <w:tblPr>
        <w:tblStyle w:val="89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641"/>
        <w:gridCol w:w="4614"/>
      </w:tblGrid>
      <w:tr>
        <w:trPr>
          <w:jc w:val="center"/>
          <w:trHeight w:val="510"/>
        </w:trPr>
        <w:tc>
          <w:tcPr>
            <w:tcW w:w="555" w:type="pct"/>
            <w:vAlign w:val="center"/>
            <w:vMerge w:val="restart"/>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960" w:type="pct"/>
            <w:vAlign w:val="center"/>
            <w:vMerge w:val="restart"/>
            <w:textDirection w:val="lrTb"/>
            <w:noWrap w:val="false"/>
          </w:tcPr>
          <w:p>
            <w:pPr>
              <w:pStyle w:val="91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工程名称</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费率（下限值）（%）</w:t>
            </w:r>
            <w:r/>
          </w:p>
        </w:tc>
      </w:tr>
      <w:tr>
        <w:trPr>
          <w:jc w:val="center"/>
          <w:trHeight w:val="510"/>
        </w:trPr>
        <w:tc>
          <w:tcPr>
            <w:tcW w:w="555" w:type="pct"/>
            <w:vAlign w:val="center"/>
            <w:vMerge w:val="continue"/>
            <w:textDirection w:val="lrTb"/>
            <w:noWrap w:val="false"/>
          </w:tcPr>
          <w:p>
            <w:pPr>
              <w:pStyle w:val="913"/>
              <w:ind w:firstLine="0"/>
              <w:jc w:val="center"/>
              <w:keepLines w:val="0"/>
              <w:keepNext w:val="0"/>
              <w:pageBreakBefore w:val="0"/>
              <w:spacing w:after="0"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960" w:type="pct"/>
            <w:vAlign w:val="center"/>
            <w:vMerge w:val="continue"/>
            <w:textDirection w:val="lrTb"/>
            <w:noWrap w:val="false"/>
          </w:tcPr>
          <w:p>
            <w:pPr>
              <w:pStyle w:val="913"/>
              <w:ind w:firstLine="0"/>
              <w:jc w:val="center"/>
              <w:keepLines w:val="0"/>
              <w:keepNext w:val="0"/>
              <w:pageBreakBefore w:val="0"/>
              <w:spacing w:after="0" w:line="24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般计税</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房屋建筑与装饰工程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通用安装工程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市政工程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仿古建筑工程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园林绿化工程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0.9</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房屋修缮工程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1960"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城市轨道交通工程</w:t>
            </w:r>
            <w:r/>
          </w:p>
        </w:tc>
        <w:tc>
          <w:tcPr>
            <w:tcW w:w="2484" w:type="pct"/>
            <w:vAlign w:val="center"/>
            <w:textDirection w:val="lrTb"/>
            <w:noWrap w:val="false"/>
          </w:tcPr>
          <w:p>
            <w:pPr>
              <w:pStyle w:val="91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bl>
    <w:p>
      <w:pPr>
        <w:pStyle w:val="913"/>
        <w:ind w:firstLine="373"/>
        <w:jc w:val="both"/>
        <w:spacing w:line="36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w:t>
      </w:r>
      <w:r>
        <w:rPr>
          <w:rFonts w:hint="eastAsia"/>
          <w:color w:val="000000" w:themeColor="text1"/>
          <w:highlight w:val="none"/>
          <w:lang w:eastAsia="zh-CN"/>
          <w14:textFill>
            <w14:solidFill>
              <w14:schemeClr w14:val="tx1"/>
            </w14:solidFill>
          </w14:textFill>
        </w:rPr>
        <w:t xml:space="preserve">扫描件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1"/>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lang w:val="en-US" w:eastAsia="zh-CN"/>
          <w14:textFill>
            <w14:solidFill>
              <w14:schemeClr w14:val="tx1"/>
            </w14:solidFill>
          </w14:textFill>
        </w:rPr>
        <w:t xml:space="preserve">扫描件</w:t>
      </w:r>
      <w:r>
        <w:rPr>
          <w:rFonts w:hint="default"/>
          <w:color w:val="000000" w:themeColor="text1"/>
          <w:highlight w:val="none"/>
          <w:lang w:val="en-US" w:eastAsia="zh-CN"/>
          <w14:textFill>
            <w14:solidFill>
              <w14:schemeClr w14:val="tx1"/>
            </w14:solidFill>
          </w14:textFill>
        </w:rPr>
        <w:t xml:space="preserve">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w:t>
      </w:r>
      <w:r>
        <w:rPr>
          <w:rFonts w:hint="eastAsia"/>
          <w:color w:val="000000" w:themeColor="text1"/>
          <w:highlight w:val="none"/>
          <w:lang w:val="en-US" w:eastAsia="zh-CN"/>
          <w14:textFill>
            <w14:solidFill>
              <w14:schemeClr w14:val="tx1"/>
            </w14:solidFill>
          </w14:textFill>
        </w:rPr>
        <w:t xml:space="preserve">扫描件（包括报告及报表等内容，并由注册会计师签名、盖章以及会计师事务所盖章）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南京体育学院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或分包给大型企业的</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pStyle w:val="90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注4：投标人选用分包形式的，由分包单位承接的部分，须填写分包单位的信息，否则视为无效。</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pStyle w:val="896"/>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4"/>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1"/>
        <w:ind w:left="0" w:firstLine="0"/>
        <w:rPr>
          <w:rFonts w:hint="eastAsia" w:eastAsia="宋体"/>
          <w:color w:val="000000" w:themeColor="text1"/>
          <w:highlight w:val="none"/>
          <w:lang w:val="en-US"/>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目录八</w:t>
      </w:r>
      <w:r>
        <w:rPr>
          <w:rFonts w:hint="eastAsia" w:eastAsia="宋体"/>
          <w:color w:val="000000" w:themeColor="text1"/>
          <w:highlight w:val="none"/>
          <w:lang w:val="zh-CN"/>
          <w14:textFill>
            <w14:solidFill>
              <w14:schemeClr w14:val="tx1"/>
            </w14:solidFill>
          </w14:textFill>
        </w:rPr>
        <w:t xml:space="preserve">、</w:t>
      </w:r>
      <w:r>
        <w:rPr>
          <w:rFonts w:hint="eastAsia" w:eastAsia="宋体"/>
          <w:color w:val="000000" w:themeColor="text1"/>
          <w:highlight w:val="none"/>
          <w:lang w:val="en-US"/>
          <w14:textFill>
            <w14:solidFill>
              <w14:schemeClr w14:val="tx1"/>
            </w14:solidFill>
          </w14:textFill>
        </w:rPr>
        <w:t xml:space="preserve">拟分包项目情况表、承诺书及证明材料格式、分包意向协议书格式（不进行分包的供应商无须提供本项内容）</w:t>
      </w:r>
      <w:r/>
    </w:p>
    <w:p>
      <w:pPr>
        <w:ind w:firstLine="0"/>
        <w:jc w:val="center"/>
        <w:keepLines w:val="0"/>
        <w:keepNext w:val="0"/>
        <w:pageBreakBefore w:val="0"/>
        <w:widowControl w:val="off"/>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t xml:space="preserve">拟分包项目情况表</w:t>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2304"/>
        <w:gridCol w:w="2342"/>
        <w:gridCol w:w="2339"/>
      </w:tblGrid>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分包意向供应商名称</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地址</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营业执照号码</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资质等级</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拟分包的项目</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主要内容</w:t>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金额（元）</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金额占比（%）</w:t>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ind w:firstLine="0"/>
        <w:jc w:val="center"/>
        <w:keepLines w:val="0"/>
        <w:keepNext w:val="0"/>
        <w:pageBreakBefore w:val="0"/>
        <w:widowControl w:val="off"/>
        <w:rPr>
          <w:rFonts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分包情况承诺书</w:t>
      </w:r>
      <w:r/>
    </w:p>
    <w:p>
      <w:pPr>
        <w:ind w:firstLine="48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南京体育学院</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我单位</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32"/>
          <w:highlight w:val="none"/>
          <w14:textFill>
            <w14:solidFill>
              <w14:schemeClr w14:val="tx1"/>
            </w14:solidFill>
          </w14:textFill>
        </w:rPr>
        <w:t xml:space="preserve">名称）郑重承诺：</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所提供的《拟分包项目情况表》真实、有效，分包单位不得再次转包、分包承接的部分，且分包部分的质量、安全等责任由我单位承担，我单位须在合同签订前将我单位与分包单位签订的分包协议交由采购人备案存档。</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本公司（单位）对上述声明内容的真实性负责。如有虚假，愿承担相应法律责任。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投标人：（公章）</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日期：年月日</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附分包意向供应商有效的建筑装饰装修工程专业承包二级（或）以上资质及安全生产许可证</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分包意向协议书格式</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立约方：</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自愿达成分包意向，参加南京体育学院校史馆、近代体育陈列馆展陈服务项目，项目编号：</w:t>
      </w:r>
      <w:r>
        <w:rPr>
          <w:rFonts w:hint="eastAsia"/>
          <w:color w:val="000000" w:themeColor="text1"/>
          <w:highlight w:val="none"/>
          <w:lang w:eastAsia="zh-CN"/>
          <w14:textFill>
            <w14:solidFill>
              <w14:schemeClr w14:val="tx1"/>
            </w14:solidFill>
          </w14:textFill>
        </w:rPr>
        <w:t xml:space="preserve">JSZC-320000-SNZX-G2026-0103</w:t>
      </w:r>
      <w:r>
        <w:rPr>
          <w:rFonts w:hint="eastAsia" w:ascii="宋体" w:hAnsi="宋体" w:cs="宋体"/>
          <w:color w:val="000000" w:themeColor="text1"/>
          <w:sz w:val="24"/>
          <w:szCs w:val="32"/>
          <w:highlight w:val="none"/>
          <w14:textFill>
            <w14:solidFill>
              <w14:schemeClr w14:val="tx1"/>
            </w14:solidFill>
          </w14:textFill>
        </w:rPr>
        <w:t xml:space="preserve">的投标活动。经双方充分协商一致，就项目的投标和合同实施阶段的有关事务协商一致订立意向如下：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一、分包意向各方关系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为投标方，</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以投标供应商的身份参加本项目的投标。若中标，</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与采购人签订采购合同。承接分包意向的供应商与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签订分包合同。</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就采购项目和分包项目向采购人负责，分包供应商就分包项目承担责任。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二、有关事项约定如下：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1.如中标，分包供应商与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签订合同书，并就中标项目分包部分向采购人负有连带的和各自的法律责任；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企业（企业规模：大型企业、中型企业、小型企业、微型企业），将承担</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的全部工作内容，合同份额</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元，合同份额所占合同总金额的</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三、接受分包合同的中小企业与分包企业之间不存在直接控股、管理关系的情形</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四、如中标，分包意向供应商不得以任何理由提出终止本意向协议。</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五、本意向书自签署之日起生效，有效期内有效，如获得中标资格，有效期延续至合同履行完毕之日。</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tbl>
      <w:tblPr>
        <w:tblStyle w:val="89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（投标人名称）（盖章）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（分包意向供应商名称）（盖章）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r>
    </w:tbl>
    <w:p>
      <w:pPr>
        <w:ind w:firstLine="480"/>
        <w:spacing w:line="46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目录九、政策功能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ind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7.仅需对本项目采购清单表注明实施本国产品标准及相关政策的产品进行声明。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1"/>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目录十、</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0"/>
    <w:uiPriority w:val="9"/>
    <w:rPr>
      <w:rFonts w:ascii="Arial" w:hAnsi="Arial" w:eastAsia="Arial" w:cs="Arial"/>
      <w:sz w:val="40"/>
      <w:szCs w:val="40"/>
    </w:rPr>
  </w:style>
  <w:style w:type="character" w:styleId="710">
    <w:name w:val="Heading 2 Char"/>
    <w:basedOn w:val="883"/>
    <w:link w:val="881"/>
    <w:uiPriority w:val="9"/>
    <w:rPr>
      <w:rFonts w:ascii="Arial" w:hAnsi="Arial" w:eastAsia="Arial" w:cs="Arial"/>
      <w:sz w:val="34"/>
    </w:rPr>
  </w:style>
  <w:style w:type="paragraph" w:styleId="711">
    <w:name w:val="Heading 3"/>
    <w:basedOn w:val="879"/>
    <w:next w:val="879"/>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3"/>
    <w:link w:val="711"/>
    <w:uiPriority w:val="9"/>
    <w:rPr>
      <w:rFonts w:ascii="Arial" w:hAnsi="Arial" w:eastAsia="Arial" w:cs="Arial"/>
      <w:sz w:val="30"/>
      <w:szCs w:val="30"/>
    </w:rPr>
  </w:style>
  <w:style w:type="character" w:styleId="713">
    <w:name w:val="Heading 4 Char"/>
    <w:basedOn w:val="883"/>
    <w:link w:val="88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3"/>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3"/>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3"/>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3"/>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3"/>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3"/>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3"/>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3"/>
    <w:link w:val="893"/>
    <w:uiPriority w:val="99"/>
  </w:style>
  <w:style w:type="character" w:styleId="734">
    <w:name w:val="Footer Char"/>
    <w:basedOn w:val="883"/>
    <w:link w:val="891"/>
    <w:uiPriority w:val="99"/>
  </w:style>
  <w:style w:type="paragraph" w:styleId="735">
    <w:name w:val="Caption"/>
    <w:basedOn w:val="879"/>
    <w:next w:val="879"/>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79"/>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79"/>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79"/>
    <w:next w:val="879"/>
    <w:uiPriority w:val="39"/>
    <w:unhideWhenUsed/>
    <w:pPr>
      <w:ind w:left="0"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880">
    <w:name w:val="Heading 1"/>
    <w:basedOn w:val="879"/>
    <w:next w:val="879"/>
    <w:uiPriority w:val="0"/>
    <w:qFormat/>
    <w:pPr>
      <w:ind w:firstLine="0"/>
      <w:jc w:val="center"/>
      <w:keepLines/>
      <w:keepNext/>
      <w:spacing w:beforeAutospacing="0" w:after="100" w:afterAutospacing="0" w:line="240" w:lineRule="auto"/>
      <w:outlineLvl w:val="0"/>
    </w:pPr>
    <w:rPr>
      <w:b/>
      <w:sz w:val="44"/>
    </w:rPr>
  </w:style>
  <w:style w:type="paragraph" w:styleId="881">
    <w:name w:val="Heading 2"/>
    <w:basedOn w:val="879"/>
    <w:next w:val="879"/>
    <w:uiPriority w:val="0"/>
    <w:unhideWhenUsed/>
    <w:qFormat/>
    <w:pPr>
      <w:keepLines/>
      <w:keepNext/>
      <w:spacing w:beforeAutospacing="0" w:afterAutospacing="0" w:line="360" w:lineRule="auto"/>
      <w:outlineLvl w:val="1"/>
    </w:pPr>
    <w:rPr>
      <w:rFonts w:ascii="Arial" w:hAnsi="Arial" w:eastAsia="宋体"/>
      <w:b/>
      <w:sz w:val="24"/>
    </w:rPr>
  </w:style>
  <w:style w:type="paragraph" w:styleId="882">
    <w:name w:val="Heading 4"/>
    <w:basedOn w:val="879"/>
    <w:next w:val="879"/>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3" w:default="1">
    <w:name w:val="Default Paragraph Font"/>
    <w:uiPriority w:val="0"/>
    <w:semiHidden/>
    <w:qFormat/>
  </w:style>
  <w:style w:type="table" w:styleId="884" w:default="1">
    <w:name w:val="Normal Table"/>
    <w:uiPriority w:val="0"/>
    <w:semiHidden/>
    <w:qFormat/>
    <w:tblPr>
      <w:tblCellMar>
        <w:left w:w="108" w:type="dxa"/>
        <w:top w:w="0" w:type="dxa"/>
        <w:right w:w="108" w:type="dxa"/>
        <w:bottom w:w="0" w:type="dxa"/>
      </w:tblCellMar>
    </w:tblPr>
  </w:style>
  <w:style w:type="paragraph" w:styleId="885">
    <w:name w:val="Normal Indent"/>
    <w:basedOn w:val="879"/>
    <w:uiPriority w:val="99"/>
    <w:qFormat/>
    <w:pPr>
      <w:ind w:firstLine="420"/>
    </w:pPr>
    <w:rPr>
      <w:szCs w:val="20"/>
    </w:rPr>
  </w:style>
  <w:style w:type="paragraph" w:styleId="886">
    <w:name w:val="annotation text"/>
    <w:basedOn w:val="879"/>
    <w:uiPriority w:val="0"/>
    <w:qFormat/>
    <w:pPr>
      <w:jc w:val="left"/>
    </w:pPr>
  </w:style>
  <w:style w:type="paragraph" w:styleId="887">
    <w:name w:val="Body Text 3"/>
    <w:basedOn w:val="879"/>
    <w:uiPriority w:val="99"/>
    <w:qFormat/>
    <w:pPr>
      <w:spacing w:after="120"/>
    </w:pPr>
    <w:rPr>
      <w:sz w:val="16"/>
      <w:szCs w:val="16"/>
    </w:rPr>
  </w:style>
  <w:style w:type="paragraph" w:styleId="888">
    <w:name w:val="Body Text"/>
    <w:basedOn w:val="879"/>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79"/>
    <w:next w:val="879"/>
    <w:uiPriority w:val="99"/>
    <w:qFormat/>
    <w:pPr>
      <w:ind w:left="420"/>
      <w:spacing w:after="120"/>
    </w:pPr>
    <w:rPr>
      <w:rFonts w:ascii="Times New Roman" w:hAnsi="Times New Roman" w:eastAsia="宋体"/>
    </w:rPr>
  </w:style>
  <w:style w:type="paragraph" w:styleId="890">
    <w:name w:val="Plain Text"/>
    <w:basedOn w:val="879"/>
    <w:uiPriority w:val="0"/>
    <w:qFormat/>
    <w:rPr>
      <w:rFonts w:ascii="宋体" w:hAnsi="宋体"/>
      <w:szCs w:val="21"/>
    </w:rPr>
  </w:style>
  <w:style w:type="paragraph" w:styleId="891">
    <w:name w:val="Footer"/>
    <w:basedOn w:val="879"/>
    <w:uiPriority w:val="0"/>
    <w:qFormat/>
    <w:pPr>
      <w:jc w:val="left"/>
      <w:tabs>
        <w:tab w:val="center" w:pos="4153" w:leader="none"/>
        <w:tab w:val="right" w:pos="8306" w:leader="none"/>
      </w:tabs>
    </w:pPr>
    <w:rPr>
      <w:sz w:val="18"/>
    </w:rPr>
  </w:style>
  <w:style w:type="paragraph" w:styleId="892">
    <w:name w:val="envelope return"/>
    <w:basedOn w:val="879"/>
    <w:uiPriority w:val="0"/>
    <w:qFormat/>
    <w:rPr>
      <w:rFonts w:ascii="Arial" w:hAnsi="Arial" w:eastAsia="宋体" w:cs="宋体"/>
    </w:rPr>
  </w:style>
  <w:style w:type="paragraph" w:styleId="893">
    <w:name w:val="Header"/>
    <w:basedOn w:val="8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toc 2"/>
    <w:basedOn w:val="879"/>
    <w:next w:val="879"/>
    <w:uiPriority w:val="39"/>
    <w:qFormat/>
    <w:pPr>
      <w:ind w:left="210"/>
      <w:jc w:val="left"/>
    </w:pPr>
    <w:rPr>
      <w:smallCaps/>
      <w:szCs w:val="24"/>
    </w:rPr>
  </w:style>
  <w:style w:type="paragraph" w:styleId="895">
    <w:name w:val="Normal (Web)"/>
    <w:basedOn w:val="879"/>
    <w:uiPriority w:val="0"/>
    <w:qFormat/>
    <w:pPr>
      <w:ind w:left="0" w:right="0"/>
      <w:jc w:val="left"/>
      <w:spacing w:before="100" w:beforeAutospacing="1" w:after="100" w:afterAutospacing="1"/>
    </w:pPr>
    <w:rPr>
      <w:sz w:val="24"/>
      <w:lang w:val="en-US" w:eastAsia="zh-CN" w:bidi="ar"/>
    </w:rPr>
  </w:style>
  <w:style w:type="paragraph" w:styleId="896">
    <w:name w:val="Body Text First Indent 2"/>
    <w:basedOn w:val="889"/>
    <w:next w:val="894"/>
    <w:uiPriority w:val="0"/>
    <w:qFormat/>
    <w:pPr>
      <w:ind w:left="0" w:firstLine="420"/>
      <w:spacing w:after="0" w:line="360" w:lineRule="auto"/>
    </w:pPr>
    <w:rPr>
      <w:rFonts w:ascii="宋体" w:hAnsi="宋体" w:eastAsia="宋体" w:cs="Times New Roman"/>
      <w:szCs w:val="20"/>
    </w:rPr>
  </w:style>
  <w:style w:type="table" w:styleId="897">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basedOn w:val="883"/>
    <w:uiPriority w:val="0"/>
    <w:qFormat/>
    <w:rPr>
      <w:b/>
    </w:rPr>
  </w:style>
  <w:style w:type="character" w:styleId="899">
    <w:name w:val="Emphasis"/>
    <w:uiPriority w:val="20"/>
    <w:qFormat/>
    <w:rPr>
      <w:b/>
      <w:i/>
      <w:spacing w:val="10"/>
      <w:shd w:val="clear" w:color="auto" w:fill="auto"/>
    </w:rPr>
  </w:style>
  <w:style w:type="paragraph" w:styleId="900" w:customStyle="1">
    <w:name w:val="正文缩进11"/>
    <w:basedOn w:val="879"/>
    <w:uiPriority w:val="99"/>
    <w:qFormat/>
    <w:pPr>
      <w:ind w:firstLine="420"/>
    </w:pPr>
    <w:rPr>
      <w:szCs w:val="20"/>
    </w:rPr>
  </w:style>
  <w:style w:type="table" w:styleId="901" w:customStyle="1">
    <w:name w:val="Table Normal"/>
    <w:uiPriority w:val="0"/>
    <w:unhideWhenUsed/>
    <w:qFormat/>
    <w:tblPr>
      <w:tblCellMar>
        <w:left w:w="0" w:type="dxa"/>
        <w:top w:w="0" w:type="dxa"/>
        <w:right w:w="0" w:type="dxa"/>
        <w:bottom w:w="0" w:type="dxa"/>
      </w:tblCellMar>
    </w:tblPr>
  </w:style>
  <w:style w:type="paragraph" w:styleId="902" w:customStyle="1">
    <w:name w:val="Table Text"/>
    <w:basedOn w:val="879"/>
    <w:uiPriority w:val="0"/>
    <w:semiHidden/>
    <w:qFormat/>
    <w:rPr>
      <w:rFonts w:ascii="宋体" w:hAnsi="宋体" w:eastAsia="宋体" w:cs="宋体"/>
      <w:sz w:val="22"/>
      <w:szCs w:val="22"/>
      <w:lang w:val="en-US" w:eastAsia="en-US" w:bidi="ar-SA"/>
    </w:rPr>
  </w:style>
  <w:style w:type="paragraph" w:styleId="903">
    <w:name w:val="List Paragraph"/>
    <w:basedOn w:val="879"/>
    <w:next w:val="879"/>
    <w:uiPriority w:val="34"/>
    <w:qFormat/>
    <w:pPr>
      <w:ind w:firstLine="420"/>
    </w:pPr>
  </w:style>
  <w:style w:type="paragraph" w:styleId="904" w:customStyle="1">
    <w:name w:val="内嵌文档标题2"/>
    <w:next w:val="879"/>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905" w:customStyle="1">
    <w:name w:val="正文_13"/>
    <w:basedOn w:val="879"/>
    <w:uiPriority w:val="0"/>
    <w:qFormat/>
    <w:rPr>
      <w:szCs w:val="21"/>
    </w:rPr>
  </w:style>
  <w:style w:type="paragraph" w:styleId="906" w:customStyle="1">
    <w:name w:val="内嵌文档标题1"/>
    <w:next w:val="879"/>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07" w:customStyle="1">
    <w:name w:val="文档说明标题"/>
    <w:next w:val="879"/>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character" w:styleId="908" w:customStyle="1">
    <w:name w:val="font131"/>
    <w:basedOn w:val="883"/>
    <w:uiPriority w:val="0"/>
    <w:qFormat/>
    <w:rPr>
      <w:rFonts w:hint="eastAsia" w:ascii="宋体" w:hAnsi="宋体" w:eastAsia="宋体" w:cs="宋体"/>
      <w:color w:val="000000"/>
      <w:sz w:val="20"/>
      <w:szCs w:val="20"/>
      <w:u w:val="none"/>
    </w:rPr>
  </w:style>
  <w:style w:type="character" w:styleId="909" w:customStyle="1">
    <w:name w:val="font111"/>
    <w:basedOn w:val="883"/>
    <w:uiPriority w:val="0"/>
    <w:qFormat/>
    <w:rPr>
      <w:rFonts w:hint="eastAsia" w:ascii="宋体" w:hAnsi="宋体" w:eastAsia="宋体" w:cs="宋体"/>
      <w:color w:val="000000"/>
      <w:sz w:val="20"/>
      <w:szCs w:val="20"/>
      <w:u w:val="none"/>
    </w:rPr>
  </w:style>
  <w:style w:type="character" w:styleId="910" w:customStyle="1">
    <w:name w:val="font91"/>
    <w:basedOn w:val="883"/>
    <w:uiPriority w:val="0"/>
    <w:qFormat/>
    <w:rPr>
      <w:rFonts w:hint="eastAsia" w:ascii="宋体" w:hAnsi="宋体" w:eastAsia="宋体" w:cs="宋体"/>
      <w:b/>
      <w:bCs/>
      <w:color w:val="000000"/>
      <w:sz w:val="20"/>
      <w:szCs w:val="20"/>
      <w:u w:val="none"/>
    </w:rPr>
  </w:style>
  <w:style w:type="paragraph" w:styleId="911" w:customStyle="1">
    <w:name w:val="目录 11"/>
    <w:basedOn w:val="879"/>
    <w:next w:val="87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2" w:customStyle="1">
    <w:name w:val="标题 41"/>
    <w:basedOn w:val="879"/>
    <w:uiPriority w:val="1"/>
    <w:qFormat/>
    <w:pPr>
      <w:ind w:left="618"/>
      <w:jc w:val="left"/>
      <w:outlineLvl w:val="4"/>
    </w:pPr>
    <w:rPr>
      <w:rFonts w:ascii="宋体" w:hAnsi="宋体" w:cs="宋体"/>
      <w:b/>
      <w:bCs/>
      <w:sz w:val="24"/>
      <w:lang w:val="zh-CN" w:bidi="zh-CN"/>
    </w:rPr>
  </w:style>
  <w:style w:type="paragraph" w:styleId="913" w:customStyle="1">
    <w:name w:val="正文文本 21"/>
    <w:basedOn w:val="879"/>
    <w:uiPriority w:val="0"/>
    <w:qFormat/>
    <w:pPr>
      <w:spacing w:after="120" w:line="480" w:lineRule="auto"/>
    </w:pPr>
    <w:rPr>
      <w:rFonts w:ascii="Calibri" w:hAnsi="Calibri"/>
    </w:rPr>
  </w:style>
  <w:style w:type="paragraph" w:styleId="914" w:customStyle="1">
    <w:name w:val="列出段落1"/>
    <w:basedOn w:val="879"/>
    <w:uiPriority w:val="34"/>
    <w:qFormat/>
    <w:pPr>
      <w:contextualSpacing/>
      <w:ind w:left="720"/>
      <w:jc w:val="left"/>
      <w:widowControl/>
    </w:pPr>
    <w:rPr>
      <w:rFonts w:ascii="Arial" w:hAnsi="Arial" w:eastAsia="黑体"/>
      <w:sz w:val="24"/>
      <w:szCs w:val="24"/>
      <w:lang w:eastAsia="en-US"/>
    </w:rPr>
  </w:style>
  <w:style w:type="paragraph" w:styleId="915" w:customStyle="1">
    <w:name w:val="正文3"/>
    <w:uiPriority w:val="0"/>
    <w:qFormat/>
    <w:pPr>
      <w:jc w:val="both"/>
      <w:widowControl w:val="off"/>
    </w:pPr>
    <w:rPr>
      <w:rFonts w:ascii="Times New Roman" w:hAnsi="Times New Roman" w:eastAsia="宋体" w:cs="Times New Roman"/>
      <w:lang w:val="en-US" w:eastAsia="zh-CN" w:bidi="ar-SA"/>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346168-6E65-45F8-8A7F-D112813A95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cp:revision>
  <dcterms:created xsi:type="dcterms:W3CDTF">2025-06-29T07:27:00Z</dcterms:created>
  <dcterms:modified xsi:type="dcterms:W3CDTF">2026-07-29T03:47:25Z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7800ACB399D64EA392F0F0B303BDFE7D_13</vt:lpwstr>
  </property>
  <property fmtid="{D5CDD505-2E9C-101B-9397-08002B2CF9AE}" pid="4" name="KSOTemplateDocerSaveRecord">
    <vt:lpwstr>eyJoZGlkIjoiZGI4OGE1MzAzZDVmOTFjNmE2ZjdjMjE4MWFmMWJkZTAiLCJ1c2VySWQiOiIxMTc5MTU0ODc0In0=</vt:lpwstr>
  </property>
</Properties>
</file>