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9"/>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b/>
          <w:color w:val="000000"/>
          <w:sz w:val="24"/>
          <w:szCs w:val="24"/>
          <w:highlight w:val="none"/>
        </w:rPr>
        <w:t xml:space="preserve">编号：</w:t>
      </w:r>
      <w:r>
        <w:rPr>
          <w:rFonts w:hint="eastAsia" w:ascii="宋体" w:hAnsi="宋体" w:eastAsia="宋体" w:cs="宋体"/>
          <w:b/>
          <w:color w:val="000000"/>
          <w:sz w:val="24"/>
          <w:szCs w:val="24"/>
          <w:highlight w:val="none"/>
          <w:lang w:val="en-US" w:eastAsia="zh-CN"/>
        </w:rPr>
        <w:t xml:space="preserve">JSZC-320506-DLHX-C2026-0007</w:t>
      </w:r>
      <w:r>
        <w:rPr>
          <w:rFonts w:hint="eastAsia" w:ascii="宋体" w:hAnsi="宋体" w:eastAsia="宋体" w:cs="宋体"/>
          <w:b/>
          <w:color w:val="000000"/>
          <w:sz w:val="24"/>
          <w:szCs w:val="24"/>
          <w:highlight w:val="none"/>
        </w:rPr>
        <w:t xml:space="preserve">号</w:t>
      </w:r>
      <w:r>
        <w:rPr>
          <w:rFonts w:hint="eastAsia" w:ascii="宋体" w:hAnsi="宋体" w:eastAsia="宋体" w:cs="宋体"/>
          <w:b/>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苏州市政府采购竞争性磋商文件</w:t>
      </w:r>
      <w:r>
        <w:rPr>
          <w:rFonts w:hint="eastAsia" w:ascii="宋体" w:hAnsi="宋体" w:eastAsia="宋体" w:cs="宋体"/>
          <w:b/>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w:t>
      </w:r>
      <w:r>
        <w:rPr>
          <w:rFonts w:hint="eastAsia" w:ascii="宋体" w:hAnsi="宋体" w:eastAsia="宋体" w:cs="宋体"/>
          <w:b/>
          <w:bCs/>
          <w:color w:val="000000"/>
          <w:sz w:val="24"/>
          <w:szCs w:val="24"/>
          <w:highlight w:val="none"/>
        </w:rPr>
      </w:r>
      <w:r/>
    </w:p>
    <w:p>
      <w:pPr>
        <w:pStyle w:val="63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商</w:t>
      </w:r>
      <w:r>
        <w:rPr>
          <w:rFonts w:hint="eastAsia" w:ascii="宋体" w:hAnsi="宋体" w:eastAsia="宋体" w:cs="宋体"/>
          <w:b/>
          <w:bCs/>
          <w:color w:val="000000"/>
          <w:sz w:val="24"/>
          <w:szCs w:val="24"/>
          <w:highlight w:val="none"/>
        </w:rPr>
      </w:r>
      <w:r/>
    </w:p>
    <w:p>
      <w:pPr>
        <w:pStyle w:val="63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文</w:t>
      </w:r>
      <w:r>
        <w:rPr>
          <w:rFonts w:hint="eastAsia" w:ascii="宋体" w:hAnsi="宋体" w:eastAsia="宋体" w:cs="宋体"/>
          <w:b/>
          <w:bCs/>
          <w:color w:val="000000"/>
          <w:sz w:val="24"/>
          <w:szCs w:val="24"/>
          <w:highlight w:val="none"/>
        </w:rPr>
      </w:r>
      <w:r/>
    </w:p>
    <w:p>
      <w:pPr>
        <w:pStyle w:val="63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件</w:t>
      </w:r>
      <w:r>
        <w:rPr>
          <w:rFonts w:hint="eastAsia" w:ascii="宋体" w:hAnsi="宋体" w:eastAsia="宋体" w:cs="宋体"/>
          <w:b/>
          <w:bCs/>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采购单位：</w:t>
      </w:r>
      <w:r>
        <w:rPr>
          <w:rFonts w:hint="eastAsia" w:ascii="宋体" w:hAnsi="宋体" w:eastAsia="宋体" w:cs="宋体"/>
          <w:b/>
          <w:color w:val="000000"/>
          <w:sz w:val="24"/>
          <w:szCs w:val="24"/>
          <w:highlight w:val="none"/>
          <w:lang w:eastAsia="zh-CN"/>
        </w:rPr>
        <w:t xml:space="preserve">苏州市吴中区甪直镇人民政府</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63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采购内容：</w:t>
      </w:r>
      <w:r>
        <w:rPr>
          <w:rFonts w:hint="eastAsia" w:ascii="宋体" w:hAnsi="宋体" w:eastAsia="宋体" w:cs="宋体"/>
          <w:b/>
          <w:color w:val="000000"/>
          <w:sz w:val="24"/>
          <w:szCs w:val="24"/>
          <w:highlight w:val="none"/>
          <w:lang w:eastAsia="zh-CN"/>
        </w:rPr>
        <w:t xml:space="preserve">2026年度全镇监控安防设备维护保养服务</w:t>
      </w:r>
      <w:r>
        <w:rPr>
          <w:rFonts w:hint="eastAsia" w:ascii="宋体" w:hAnsi="宋体" w:eastAsia="宋体" w:cs="宋体"/>
          <w:b/>
          <w:color w:val="000000"/>
          <w:sz w:val="24"/>
          <w:szCs w:val="24"/>
          <w:highlight w:val="none"/>
        </w:rPr>
      </w:r>
      <w:r/>
    </w:p>
    <w:p>
      <w:pPr>
        <w:pStyle w:val="63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采购类别：</w:t>
      </w:r>
      <w:r>
        <w:rPr>
          <w:rFonts w:hint="eastAsia" w:ascii="宋体" w:hAnsi="宋体" w:eastAsia="宋体" w:cs="宋体"/>
          <w:b/>
          <w:color w:val="000000"/>
          <w:sz w:val="24"/>
          <w:szCs w:val="24"/>
          <w:highlight w:val="none"/>
          <w:lang w:val="en-US" w:eastAsia="zh-CN"/>
        </w:rPr>
        <w:t xml:space="preserve">服务</w:t>
      </w:r>
      <w:r>
        <w:rPr>
          <w:rFonts w:hint="eastAsia" w:ascii="宋体" w:hAnsi="宋体" w:eastAsia="宋体" w:cs="宋体"/>
          <w:b/>
          <w:color w:val="000000"/>
          <w:sz w:val="24"/>
          <w:szCs w:val="24"/>
          <w:highlight w:val="none"/>
        </w:rPr>
        <w:t xml:space="preserve">类</w:t>
      </w: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苏州华厦招投标代理有限公司</w:t>
      </w:r>
      <w:r>
        <w:rPr>
          <w:rFonts w:hint="eastAsia" w:ascii="宋体" w:hAnsi="宋体" w:eastAsia="宋体" w:cs="宋体"/>
          <w:b/>
          <w:color w:val="000000"/>
          <w:sz w:val="24"/>
          <w:szCs w:val="24"/>
          <w:highlight w:val="none"/>
        </w:rPr>
      </w:r>
      <w:r/>
    </w:p>
    <w:p>
      <w:pPr>
        <w:pStyle w:val="63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val="en-US" w:eastAsia="zh-CN"/>
        </w:rPr>
        <w:t xml:space="preserve">〇</w:t>
      </w: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rPr>
      </w:r>
      <w:r/>
    </w:p>
    <w:p>
      <w:pPr>
        <w:pStyle w:val="63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目  录</w:t>
      </w:r>
      <w:r>
        <w:rPr>
          <w:rFonts w:hint="eastAsia" w:ascii="宋体" w:hAnsi="宋体" w:eastAsia="宋体" w:cs="宋体"/>
          <w:b/>
          <w:bCs/>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numPr>
          <w:ilvl w:val="0"/>
          <w:numId w:val="2"/>
        </w:numPr>
        <w:ind w:left="0" w:firstLine="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竞争性磋商邀请函</w:t>
      </w:r>
      <w:r>
        <w:rPr>
          <w:rFonts w:hint="eastAsia" w:ascii="宋体" w:hAnsi="宋体" w:eastAsia="宋体" w:cs="宋体"/>
          <w:color w:val="000000"/>
          <w:sz w:val="24"/>
          <w:szCs w:val="24"/>
          <w:highlight w:val="none"/>
        </w:rPr>
      </w:r>
      <w:r/>
    </w:p>
    <w:p>
      <w:pPr>
        <w:pStyle w:val="639"/>
        <w:numPr>
          <w:ilvl w:val="0"/>
          <w:numId w:val="2"/>
        </w:numPr>
        <w:ind w:left="0" w:firstLine="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竞争性磋商文件</w:t>
      </w:r>
      <w:r>
        <w:rPr>
          <w:rFonts w:hint="eastAsia" w:ascii="宋体" w:hAnsi="宋体" w:eastAsia="宋体" w:cs="宋体"/>
          <w:color w:val="000000"/>
          <w:sz w:val="24"/>
          <w:szCs w:val="24"/>
          <w:highlight w:val="none"/>
        </w:rPr>
      </w:r>
      <w:r/>
    </w:p>
    <w:p>
      <w:pPr>
        <w:pStyle w:val="639"/>
        <w:numPr>
          <w:ilvl w:val="0"/>
          <w:numId w:val="2"/>
        </w:numPr>
        <w:ind w:left="0" w:firstLine="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合同主要条款</w:t>
      </w:r>
      <w:r>
        <w:rPr>
          <w:rFonts w:hint="eastAsia" w:ascii="宋体" w:hAnsi="宋体" w:eastAsia="宋体" w:cs="宋体"/>
          <w:color w:val="000000"/>
          <w:sz w:val="24"/>
          <w:szCs w:val="24"/>
          <w:highlight w:val="none"/>
        </w:rPr>
      </w:r>
      <w:r/>
    </w:p>
    <w:p>
      <w:pPr>
        <w:pStyle w:val="639"/>
        <w:numPr>
          <w:ilvl w:val="0"/>
          <w:numId w:val="2"/>
        </w:numPr>
        <w:ind w:left="0" w:firstLine="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竞争性磋商程序及磋商小组成员组成</w:t>
      </w:r>
      <w:r>
        <w:rPr>
          <w:rFonts w:hint="eastAsia" w:ascii="宋体" w:hAnsi="宋体" w:eastAsia="宋体" w:cs="宋体"/>
          <w:color w:val="000000"/>
          <w:sz w:val="24"/>
          <w:szCs w:val="24"/>
          <w:highlight w:val="none"/>
        </w:rPr>
      </w:r>
      <w:r/>
    </w:p>
    <w:p>
      <w:pPr>
        <w:pStyle w:val="639"/>
        <w:numPr>
          <w:ilvl w:val="0"/>
          <w:numId w:val="2"/>
        </w:numPr>
        <w:ind w:left="0" w:firstLine="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评分标准</w:t>
      </w:r>
      <w:r>
        <w:rPr>
          <w:rFonts w:hint="eastAsia" w:ascii="宋体" w:hAnsi="宋体" w:eastAsia="宋体" w:cs="宋体"/>
          <w:color w:val="000000"/>
          <w:sz w:val="24"/>
          <w:szCs w:val="24"/>
          <w:highlight w:val="none"/>
        </w:rPr>
      </w:r>
      <w:r/>
    </w:p>
    <w:p>
      <w:pPr>
        <w:pStyle w:val="639"/>
        <w:numPr>
          <w:ilvl w:val="0"/>
          <w:numId w:val="2"/>
        </w:numPr>
        <w:ind w:left="0" w:firstLine="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jc w:val="center"/>
        <w:spacing w:line="360" w:lineRule="auto"/>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一、竞争性磋商邀请函</w:t>
      </w:r>
      <w:r>
        <w:rPr>
          <w:rFonts w:hint="eastAsia" w:ascii="宋体" w:hAnsi="宋体" w:eastAsia="宋体" w:cs="宋体"/>
          <w:b/>
          <w:bCs/>
          <w:color w:val="000000"/>
          <w:sz w:val="24"/>
          <w:szCs w:val="24"/>
          <w:highlight w:val="none"/>
        </w:rPr>
      </w:r>
      <w:r/>
    </w:p>
    <w:tbl>
      <w:tblPr>
        <w:tblW w:w="922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226"/>
      </w:tblGrid>
      <w:tr>
        <w:trPr>
          <w:trHeight w:val="90"/>
        </w:trPr>
        <w:tc>
          <w:tcPr>
            <w:shd w:val="clear" w:color="auto" w:fill="ffffff"/>
            <w:tcW w:w="9226" w:type="dxa"/>
            <w:vAlign w:val="center"/>
            <w:textDirection w:val="lrTb"/>
            <w:noWrap w:val="false"/>
          </w:tcPr>
          <w:p>
            <w:pPr>
              <w:pStyle w:val="67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rPr>
              <w:t xml:space="preserve">项目概况</w:t>
            </w:r>
            <w:r>
              <w:rPr>
                <w:rFonts w:hint="eastAsia" w:ascii="宋体" w:hAnsi="宋体" w:eastAsia="宋体" w:cs="宋体"/>
                <w:color w:val="000000"/>
                <w:sz w:val="24"/>
                <w:szCs w:val="24"/>
                <w:highlight w:val="none"/>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2026年度全镇监控安防设备维护保养服务JSZC-320506-DLHX-C2026-0007</w:t>
            </w:r>
            <w:r>
              <w:rPr>
                <w:rFonts w:hint="eastAsia" w:ascii="宋体" w:hAnsi="宋体" w:eastAsia="宋体" w:cs="宋体"/>
                <w:i w:val="0"/>
                <w:iCs w:val="0"/>
                <w:caps w:val="0"/>
                <w:color w:val="000000"/>
                <w:spacing w:val="0"/>
                <w:sz w:val="24"/>
                <w:szCs w:val="24"/>
                <w:highlight w:val="none"/>
              </w:rPr>
              <w:t xml:space="preserve">采购项目的潜在供应商应在登录“苏采云”系统自行下载 获取采购文件，并于</w:t>
            </w:r>
            <w:r>
              <w:rPr>
                <w:rFonts w:hint="eastAsia" w:ascii="宋体" w:hAnsi="宋体" w:eastAsia="宋体" w:cs="宋体"/>
                <w:i w:val="0"/>
                <w:iCs w:val="0"/>
                <w:caps w:val="0"/>
                <w:color w:val="ff0000"/>
                <w:spacing w:val="0"/>
                <w:sz w:val="24"/>
                <w:szCs w:val="24"/>
                <w:highlight w:val="none"/>
                <w:lang w:eastAsia="zh-CN"/>
              </w:rPr>
              <w:t xml:space="preserve">2026</w:t>
            </w:r>
            <w:r>
              <w:rPr>
                <w:rFonts w:hint="eastAsia" w:ascii="宋体" w:hAnsi="宋体" w:eastAsia="宋体" w:cs="宋体"/>
                <w:i w:val="0"/>
                <w:iCs w:val="0"/>
                <w:caps w:val="0"/>
                <w:color w:val="ff0000"/>
                <w:spacing w:val="0"/>
                <w:sz w:val="24"/>
                <w:szCs w:val="24"/>
                <w:highlight w:val="none"/>
              </w:rPr>
              <w:t xml:space="preserve">-</w:t>
            </w:r>
            <w:r>
              <w:rPr>
                <w:rFonts w:hint="eastAsia" w:ascii="宋体" w:hAnsi="宋体" w:eastAsia="宋体" w:cs="宋体"/>
                <w:i w:val="0"/>
                <w:iCs w:val="0"/>
                <w:caps w:val="0"/>
                <w:color w:val="ff0000"/>
                <w:spacing w:val="0"/>
                <w:sz w:val="24"/>
                <w:szCs w:val="24"/>
                <w:highlight w:val="none"/>
                <w:lang w:val="en-US" w:eastAsia="zh-CN"/>
              </w:rPr>
              <w:t xml:space="preserve">7</w:t>
            </w:r>
            <w:r>
              <w:rPr>
                <w:rFonts w:hint="eastAsia" w:ascii="宋体" w:hAnsi="宋体" w:eastAsia="宋体" w:cs="宋体"/>
                <w:i w:val="0"/>
                <w:iCs w:val="0"/>
                <w:caps w:val="0"/>
                <w:color w:val="ff0000"/>
                <w:spacing w:val="0"/>
                <w:sz w:val="24"/>
                <w:szCs w:val="24"/>
                <w:highlight w:val="none"/>
                <w:lang w:eastAsia="zh-CN"/>
              </w:rPr>
              <w:t xml:space="preserve">-</w:t>
            </w:r>
            <w:r>
              <w:rPr>
                <w:rFonts w:hint="eastAsia" w:ascii="宋体" w:hAnsi="宋体" w:eastAsia="宋体" w:cs="宋体"/>
                <w:i w:val="0"/>
                <w:iCs w:val="0"/>
                <w:caps w:val="0"/>
                <w:color w:val="ff0000"/>
                <w:spacing w:val="0"/>
                <w:sz w:val="24"/>
                <w:szCs w:val="24"/>
                <w:highlight w:val="none"/>
                <w:lang w:val="en-US" w:eastAsia="zh-CN"/>
              </w:rPr>
              <w:t xml:space="preserve">28</w:t>
            </w:r>
            <w:r>
              <w:rPr>
                <w:rFonts w:hint="eastAsia" w:ascii="宋体" w:hAnsi="宋体" w:eastAsia="宋体" w:cs="宋体"/>
                <w:i w:val="0"/>
                <w:iCs w:val="0"/>
                <w:caps w:val="0"/>
                <w:color w:val="ff0000"/>
                <w:spacing w:val="0"/>
                <w:sz w:val="24"/>
                <w:szCs w:val="24"/>
                <w:highlight w:val="none"/>
              </w:rPr>
              <w:t xml:space="preserve"> </w:t>
            </w:r>
            <w:r>
              <w:rPr>
                <w:rFonts w:hint="eastAsia" w:ascii="宋体" w:hAnsi="宋体" w:eastAsia="宋体" w:cs="宋体"/>
                <w:i w:val="0"/>
                <w:iCs w:val="0"/>
                <w:caps w:val="0"/>
                <w:color w:val="ff0000"/>
                <w:spacing w:val="0"/>
                <w:sz w:val="24"/>
                <w:szCs w:val="24"/>
                <w:highlight w:val="none"/>
                <w:lang w:val="en-US" w:eastAsia="zh-CN"/>
              </w:rPr>
              <w:t xml:space="preserve">9</w:t>
            </w:r>
            <w:r>
              <w:rPr>
                <w:rFonts w:hint="eastAsia" w:ascii="宋体" w:hAnsi="宋体" w:eastAsia="宋体" w:cs="宋体"/>
                <w:i w:val="0"/>
                <w:iCs w:val="0"/>
                <w:caps w:val="0"/>
                <w:color w:val="ff0000"/>
                <w:spacing w:val="0"/>
                <w:sz w:val="24"/>
                <w:szCs w:val="24"/>
                <w:highlight w:val="none"/>
                <w:lang w:eastAsia="zh-CN"/>
              </w:rPr>
              <w:t xml:space="preserve">：</w:t>
            </w:r>
            <w:r>
              <w:rPr>
                <w:rFonts w:hint="eastAsia" w:ascii="宋体" w:hAnsi="宋体" w:eastAsia="宋体" w:cs="宋体"/>
                <w:i w:val="0"/>
                <w:iCs w:val="0"/>
                <w:caps w:val="0"/>
                <w:color w:val="ff0000"/>
                <w:spacing w:val="0"/>
                <w:sz w:val="24"/>
                <w:szCs w:val="24"/>
                <w:highlight w:val="none"/>
              </w:rPr>
              <w:t xml:space="preserve">30</w:t>
            </w:r>
            <w:r>
              <w:rPr>
                <w:rFonts w:hint="eastAsia" w:ascii="宋体" w:hAnsi="宋体" w:eastAsia="宋体" w:cs="宋体"/>
                <w:i w:val="0"/>
                <w:iCs w:val="0"/>
                <w:caps w:val="0"/>
                <w:color w:val="000000"/>
                <w:spacing w:val="0"/>
                <w:sz w:val="24"/>
                <w:szCs w:val="24"/>
                <w:highlight w:val="none"/>
              </w:rPr>
              <w:t xml:space="preserve">（北京时间）前提交响应文件。</w:t>
            </w:r>
            <w:r>
              <w:rPr>
                <w:rFonts w:hint="eastAsia" w:ascii="宋体" w:hAnsi="宋体" w:eastAsia="宋体" w:cs="宋体"/>
                <w:color w:val="000000"/>
                <w:sz w:val="24"/>
                <w:szCs w:val="24"/>
                <w:highlight w:val="none"/>
              </w:rPr>
            </w:r>
            <w:r/>
          </w:p>
        </w:tc>
      </w:tr>
    </w:tbl>
    <w:p>
      <w:pPr>
        <w:pStyle w:val="641"/>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677"/>
          <w:rFonts w:hint="eastAsia" w:ascii="宋体" w:hAnsi="宋体" w:eastAsia="宋体" w:cs="宋体"/>
          <w:b/>
          <w:bCs/>
          <w:i w:val="0"/>
          <w:iCs w:val="0"/>
          <w:caps w:val="0"/>
          <w:color w:val="000000"/>
          <w:spacing w:val="0"/>
          <w:sz w:val="24"/>
          <w:szCs w:val="24"/>
          <w:highlight w:val="none"/>
          <w:shd w:val="clear" w:color="auto" w:fill="ffffff"/>
        </w:rPr>
        <w:t xml:space="preserve">一、项目基本情况</w:t>
      </w:r>
      <w:r>
        <w:rPr>
          <w:rFonts w:hint="eastAsia" w:ascii="宋体" w:hAnsi="宋体" w:eastAsia="宋体" w:cs="宋体"/>
          <w:i w:val="0"/>
          <w:iCs w:val="0"/>
          <w:caps w:val="0"/>
          <w:color w:val="000000"/>
          <w:spacing w:val="0"/>
          <w:sz w:val="24"/>
          <w:szCs w:val="24"/>
          <w:highlight w:val="none"/>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项目编号：</w:t>
      </w:r>
      <w:r>
        <w:rPr>
          <w:rFonts w:hint="eastAsia" w:ascii="宋体" w:hAnsi="宋体" w:eastAsia="宋体" w:cs="宋体"/>
          <w:i w:val="0"/>
          <w:iCs w:val="0"/>
          <w:caps w:val="0"/>
          <w:color w:val="000000"/>
          <w:spacing w:val="0"/>
          <w:sz w:val="24"/>
          <w:szCs w:val="24"/>
          <w:highlight w:val="none"/>
          <w:shd w:val="clear" w:color="auto" w:fill="ffffff"/>
          <w:lang w:eastAsia="zh-CN"/>
        </w:rPr>
        <w:t xml:space="preserve">JSZC-320506-DLHX-C2026-0007</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项目名称：</w:t>
      </w:r>
      <w:r>
        <w:rPr>
          <w:rFonts w:hint="eastAsia" w:ascii="宋体" w:hAnsi="宋体" w:eastAsia="宋体" w:cs="宋体"/>
          <w:i w:val="0"/>
          <w:iCs w:val="0"/>
          <w:caps w:val="0"/>
          <w:color w:val="000000"/>
          <w:spacing w:val="0"/>
          <w:sz w:val="24"/>
          <w:szCs w:val="24"/>
          <w:highlight w:val="none"/>
          <w:shd w:val="clear" w:color="auto" w:fill="ffffff"/>
          <w:lang w:eastAsia="zh-CN"/>
        </w:rPr>
        <w:t xml:space="preserve">2026年度全镇监控安防设备维护保养服务</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采购方式：竞争性磋商 </w:t>
      </w:r>
      <w:r>
        <w:rPr>
          <w:rFonts w:hint="eastAsia" w:ascii="宋体" w:hAnsi="宋体" w:eastAsia="宋体" w:cs="宋体"/>
          <w:i w:val="0"/>
          <w:iCs w:val="0"/>
          <w:caps w:val="0"/>
          <w:color w:val="000000"/>
          <w:spacing w:val="0"/>
          <w:sz w:val="24"/>
          <w:szCs w:val="24"/>
          <w:highlight w:val="none"/>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预算金额：300.6364万元 </w:t>
      </w:r>
      <w:r>
        <w:rPr>
          <w:rFonts w:hint="eastAsia" w:ascii="宋体" w:hAnsi="宋体" w:eastAsia="宋体" w:cs="宋体"/>
          <w:i w:val="0"/>
          <w:iCs w:val="0"/>
          <w:caps w:val="0"/>
          <w:color w:val="000000"/>
          <w:spacing w:val="0"/>
          <w:sz w:val="24"/>
          <w:szCs w:val="24"/>
          <w:highlight w:val="none"/>
          <w:shd w:val="clear" w:color="auto" w:fill="ffffff"/>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最高限价（如有）：</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270.57276</w:t>
      </w:r>
      <w:r>
        <w:rPr>
          <w:rFonts w:hint="eastAsia" w:ascii="宋体" w:hAnsi="宋体" w:eastAsia="宋体" w:cs="宋体"/>
          <w:i w:val="0"/>
          <w:iCs w:val="0"/>
          <w:caps w:val="0"/>
          <w:color w:val="000000"/>
          <w:spacing w:val="0"/>
          <w:sz w:val="24"/>
          <w:szCs w:val="24"/>
          <w:highlight w:val="none"/>
          <w:shd w:val="clear" w:color="auto" w:fill="ffffff"/>
        </w:rPr>
        <w:t xml:space="preserve">万元</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采购需求：</w:t>
      </w:r>
      <w:r>
        <w:rPr>
          <w:rFonts w:hint="eastAsia" w:ascii="宋体" w:hAnsi="宋体" w:eastAsia="宋体" w:cs="宋体"/>
          <w:i w:val="0"/>
          <w:iCs w:val="0"/>
          <w:caps w:val="0"/>
          <w:color w:val="000000"/>
          <w:spacing w:val="0"/>
          <w:sz w:val="24"/>
          <w:szCs w:val="24"/>
          <w:highlight w:val="none"/>
          <w:shd w:val="clear" w:color="auto" w:fill="ffffff"/>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甪直镇于2015年至2023年间陆续建设的安防类项目，分布在甪直镇区含车坊的主干道路、景区、农村主干道、安置小区出入口、小区单元门口、内部路面、电瓶车库、地下室等位置；全镇医院、学校、商业中心、菜场、全镇娱乐场所，重点园区；</w:t>
      </w:r>
      <w:r>
        <w:rPr>
          <w:rFonts w:hint="eastAsia" w:ascii="宋体" w:hAnsi="宋体" w:eastAsia="宋体" w:cs="宋体"/>
          <w:i w:val="0"/>
          <w:iCs w:val="0"/>
          <w:caps w:val="0"/>
          <w:color w:val="000000"/>
          <w:spacing w:val="0"/>
          <w:sz w:val="24"/>
          <w:szCs w:val="24"/>
          <w:highlight w:val="none"/>
          <w:shd w:val="clear" w:color="auto" w:fill="ffffff"/>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综合安防作为城市的重要管理手段之一；对甪直镇的社会治理、治安防控、案件侦破、维稳保障起到不可估量的作用。为维持设备正常运行，需聘请第三方专业机构对综合安防类设备进行维修保养，发挥其最大的管理效果。</w:t>
      </w:r>
      <w:r>
        <w:rPr>
          <w:rFonts w:hint="eastAsia" w:ascii="宋体" w:hAnsi="宋体" w:eastAsia="宋体" w:cs="宋体"/>
          <w:i w:val="0"/>
          <w:iCs w:val="0"/>
          <w:caps w:val="0"/>
          <w:color w:val="000000"/>
          <w:spacing w:val="0"/>
          <w:sz w:val="24"/>
          <w:szCs w:val="24"/>
          <w:highlight w:val="none"/>
          <w:shd w:val="clear" w:color="auto" w:fill="ffffff"/>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合同履行期限：</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一年</w:t>
      </w:r>
      <w:r>
        <w:rPr>
          <w:rFonts w:hint="eastAsia" w:ascii="宋体" w:hAnsi="宋体" w:eastAsia="宋体" w:cs="宋体"/>
          <w:i w:val="0"/>
          <w:iCs w:val="0"/>
          <w:caps w:val="0"/>
          <w:color w:val="000000"/>
          <w:spacing w:val="0"/>
          <w:sz w:val="24"/>
          <w:szCs w:val="24"/>
          <w:highlight w:val="none"/>
          <w:shd w:val="clear" w:color="auto" w:fill="ffffff"/>
          <w:lang w:eastAsia="zh-CN"/>
        </w:rPr>
        <w:t xml:space="preserve">（具体起始时间甲方书面通知为准）</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是否允许</w:t>
      </w:r>
      <w:r>
        <w:rPr>
          <w:rFonts w:hint="eastAsia" w:ascii="宋体" w:hAnsi="宋体" w:eastAsia="宋体" w:cs="宋体"/>
          <w:i w:val="0"/>
          <w:iCs w:val="0"/>
          <w:caps w:val="0"/>
          <w:color w:val="000000"/>
          <w:spacing w:val="0"/>
          <w:sz w:val="24"/>
          <w:szCs w:val="24"/>
          <w:highlight w:val="none"/>
          <w:shd w:val="clear" w:color="auto" w:fill="ffffff"/>
        </w:rPr>
        <w:t xml:space="preserve">联合体及转包、分包：</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否</w:t>
      </w:r>
      <w:r>
        <w:rPr>
          <w:rFonts w:hint="eastAsia" w:ascii="宋体" w:hAnsi="宋体" w:eastAsia="宋体" w:cs="宋体"/>
          <w:i w:val="0"/>
          <w:iCs w:val="0"/>
          <w:caps w:val="0"/>
          <w:color w:val="000000"/>
          <w:spacing w:val="0"/>
          <w:sz w:val="24"/>
          <w:szCs w:val="24"/>
          <w:highlight w:val="none"/>
          <w:shd w:val="clear" w:color="auto" w:fill="ffffff"/>
        </w:rPr>
      </w:r>
      <w:r/>
    </w:p>
    <w:p>
      <w:pPr>
        <w:pStyle w:val="641"/>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677"/>
          <w:rFonts w:hint="eastAsia" w:ascii="宋体" w:hAnsi="宋体" w:eastAsia="宋体" w:cs="宋体"/>
          <w:b/>
          <w:bCs/>
          <w:i w:val="0"/>
          <w:iCs w:val="0"/>
          <w:caps w:val="0"/>
          <w:color w:val="000000"/>
          <w:spacing w:val="0"/>
          <w:sz w:val="24"/>
          <w:szCs w:val="24"/>
          <w:highlight w:val="none"/>
          <w:shd w:val="clear" w:color="auto" w:fill="ffffff"/>
        </w:rPr>
        <w:t xml:space="preserve">二、申请人的资格要求：</w:t>
      </w:r>
      <w:r>
        <w:rPr>
          <w:rFonts w:hint="eastAsia" w:ascii="宋体" w:hAnsi="宋体" w:eastAsia="宋体" w:cs="宋体"/>
          <w:i w:val="0"/>
          <w:iCs w:val="0"/>
          <w:caps w:val="0"/>
          <w:color w:val="000000"/>
          <w:spacing w:val="0"/>
          <w:sz w:val="24"/>
          <w:szCs w:val="24"/>
          <w:highlight w:val="none"/>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（一）满足《中华人民共和国政府采购法》第二十二条规定：</w:t>
      </w:r>
      <w:r>
        <w:rPr>
          <w:rFonts w:hint="eastAsia" w:ascii="宋体" w:hAnsi="宋体" w:eastAsia="宋体" w:cs="宋体"/>
          <w:i w:val="0"/>
          <w:iCs w:val="0"/>
          <w:caps w:val="0"/>
          <w:color w:val="000000"/>
          <w:spacing w:val="0"/>
          <w:sz w:val="24"/>
          <w:szCs w:val="24"/>
          <w:highlight w:val="none"/>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1.具有独立承担民事责任的能力； </w:t>
      </w:r>
      <w:r>
        <w:rPr>
          <w:rFonts w:hint="eastAsia" w:ascii="宋体" w:hAnsi="宋体" w:eastAsia="宋体" w:cs="宋体"/>
          <w:i w:val="0"/>
          <w:iCs w:val="0"/>
          <w:caps w:val="0"/>
          <w:color w:val="000000"/>
          <w:spacing w:val="0"/>
          <w:sz w:val="24"/>
          <w:szCs w:val="24"/>
          <w:highlight w:val="none"/>
          <w:shd w:val="clear" w:color="auto" w:fill="ffffff"/>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2.良好的商业信誉和健全的财务会计制度；</w:t>
      </w:r>
      <w:r>
        <w:rPr>
          <w:rFonts w:hint="eastAsia" w:ascii="宋体" w:hAnsi="宋体" w:eastAsia="宋体" w:cs="宋体"/>
          <w:i w:val="0"/>
          <w:iCs w:val="0"/>
          <w:caps w:val="0"/>
          <w:color w:val="000000"/>
          <w:spacing w:val="0"/>
          <w:sz w:val="24"/>
          <w:szCs w:val="24"/>
          <w:highlight w:val="none"/>
          <w:shd w:val="clear" w:color="auto" w:fill="ffffff"/>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3.具有履行合同所必须的设备和专业技术能力； </w:t>
      </w:r>
      <w:r>
        <w:rPr>
          <w:rFonts w:hint="eastAsia" w:ascii="宋体" w:hAnsi="宋体" w:eastAsia="宋体" w:cs="宋体"/>
          <w:i w:val="0"/>
          <w:iCs w:val="0"/>
          <w:caps w:val="0"/>
          <w:color w:val="000000"/>
          <w:spacing w:val="0"/>
          <w:sz w:val="24"/>
          <w:szCs w:val="24"/>
          <w:highlight w:val="none"/>
          <w:shd w:val="clear" w:color="auto" w:fill="ffffff"/>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4.有依法缴纳税收和社会保障资金的良好记录； </w:t>
      </w:r>
      <w:r>
        <w:rPr>
          <w:rFonts w:hint="eastAsia" w:ascii="宋体" w:hAnsi="宋体" w:eastAsia="宋体" w:cs="宋体"/>
          <w:i w:val="0"/>
          <w:iCs w:val="0"/>
          <w:caps w:val="0"/>
          <w:color w:val="000000"/>
          <w:spacing w:val="0"/>
          <w:sz w:val="24"/>
          <w:szCs w:val="24"/>
          <w:highlight w:val="none"/>
          <w:shd w:val="clear" w:color="auto" w:fill="ffffff"/>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5.参加政府采购活动前三年内，在经营活动中没有重大违法记录； </w:t>
      </w:r>
      <w:r>
        <w:rPr>
          <w:rFonts w:hint="eastAsia" w:ascii="宋体" w:hAnsi="宋体" w:eastAsia="宋体" w:cs="宋体"/>
          <w:i w:val="0"/>
          <w:iCs w:val="0"/>
          <w:caps w:val="0"/>
          <w:color w:val="000000"/>
          <w:spacing w:val="0"/>
          <w:sz w:val="24"/>
          <w:szCs w:val="24"/>
          <w:highlight w:val="none"/>
          <w:shd w:val="clear" w:color="auto" w:fill="ffffff"/>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6.法律、行政法规规定的其他条件；</w:t>
      </w:r>
      <w:r>
        <w:rPr>
          <w:rFonts w:hint="eastAsia" w:ascii="宋体" w:hAnsi="宋体" w:eastAsia="宋体" w:cs="宋体"/>
          <w:color w:val="000000"/>
          <w:sz w:val="24"/>
          <w:szCs w:val="24"/>
          <w:highlight w:val="none"/>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（二）落实政府采购政策需满足的资格要求：</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000000"/>
          <w:spacing w:val="0"/>
          <w:sz w:val="24"/>
          <w:szCs w:val="24"/>
          <w:highlight w:val="none"/>
          <w:lang w:val="en-US" w:eastAsia="zh-CN"/>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（三）本项目的特定资格要求：</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000000"/>
          <w:spacing w:val="0"/>
          <w:sz w:val="24"/>
          <w:szCs w:val="24"/>
          <w:highlight w:val="none"/>
          <w:lang w:val="en-US" w:eastAsia="zh-CN"/>
        </w:rPr>
      </w:r>
      <w:r/>
    </w:p>
    <w:p>
      <w:pPr>
        <w:pStyle w:val="641"/>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677"/>
          <w:rFonts w:hint="eastAsia" w:ascii="宋体" w:hAnsi="宋体" w:eastAsia="宋体" w:cs="宋体"/>
          <w:b/>
          <w:bCs/>
          <w:i w:val="0"/>
          <w:iCs w:val="0"/>
          <w:caps w:val="0"/>
          <w:color w:val="000000"/>
          <w:spacing w:val="0"/>
          <w:sz w:val="24"/>
          <w:szCs w:val="24"/>
          <w:highlight w:val="none"/>
          <w:shd w:val="clear" w:color="auto" w:fill="ffffff"/>
        </w:rPr>
        <w:t xml:space="preserve">三、获取采购文件</w:t>
      </w:r>
      <w:r>
        <w:rPr>
          <w:rFonts w:hint="eastAsia" w:ascii="宋体" w:hAnsi="宋体" w:eastAsia="宋体" w:cs="宋体"/>
          <w:i w:val="0"/>
          <w:iCs w:val="0"/>
          <w:caps w:val="0"/>
          <w:color w:val="000000"/>
          <w:spacing w:val="0"/>
          <w:sz w:val="24"/>
          <w:szCs w:val="24"/>
          <w:highlight w:val="none"/>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时间：自磋商文件公告发布之日起5个工作日</w:t>
      </w:r>
      <w:r>
        <w:rPr>
          <w:rFonts w:hint="eastAsia" w:ascii="宋体" w:hAnsi="宋体" w:eastAsia="宋体" w:cs="宋体"/>
          <w:color w:val="000000"/>
          <w:sz w:val="24"/>
          <w:szCs w:val="24"/>
          <w:highlight w:val="none"/>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地点：登录“苏采云”系统自行下载 </w:t>
      </w:r>
      <w:r>
        <w:rPr>
          <w:rFonts w:hint="eastAsia" w:ascii="宋体" w:hAnsi="宋体" w:eastAsia="宋体" w:cs="宋体"/>
          <w:i w:val="0"/>
          <w:iCs w:val="0"/>
          <w:caps w:val="0"/>
          <w:color w:val="000000"/>
          <w:spacing w:val="0"/>
          <w:sz w:val="24"/>
          <w:szCs w:val="24"/>
          <w:highlight w:val="none"/>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方式：登录“苏采云”系统自行下载 </w:t>
      </w:r>
      <w:r>
        <w:rPr>
          <w:rFonts w:hint="eastAsia" w:ascii="宋体" w:hAnsi="宋体" w:eastAsia="宋体" w:cs="宋体"/>
          <w:i w:val="0"/>
          <w:iCs w:val="0"/>
          <w:caps w:val="0"/>
          <w:color w:val="000000"/>
          <w:spacing w:val="0"/>
          <w:sz w:val="24"/>
          <w:szCs w:val="24"/>
          <w:highlight w:val="none"/>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售价：0.00元 </w:t>
      </w:r>
      <w:r>
        <w:rPr>
          <w:rFonts w:hint="eastAsia" w:ascii="宋体" w:hAnsi="宋体" w:eastAsia="宋体" w:cs="宋体"/>
          <w:i w:val="0"/>
          <w:iCs w:val="0"/>
          <w:caps w:val="0"/>
          <w:color w:val="000000"/>
          <w:spacing w:val="0"/>
          <w:sz w:val="24"/>
          <w:szCs w:val="24"/>
          <w:highlight w:val="none"/>
        </w:rPr>
      </w:r>
      <w:r/>
    </w:p>
    <w:p>
      <w:pPr>
        <w:pStyle w:val="641"/>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677"/>
          <w:rFonts w:hint="eastAsia" w:ascii="宋体" w:hAnsi="宋体" w:eastAsia="宋体" w:cs="宋体"/>
          <w:b/>
          <w:bCs/>
          <w:i w:val="0"/>
          <w:iCs w:val="0"/>
          <w:caps w:val="0"/>
          <w:color w:val="000000"/>
          <w:spacing w:val="0"/>
          <w:sz w:val="24"/>
          <w:szCs w:val="24"/>
          <w:highlight w:val="none"/>
          <w:shd w:val="clear" w:color="auto" w:fill="ffffff"/>
        </w:rPr>
        <w:t xml:space="preserve">四、响应文件提交</w:t>
      </w:r>
      <w:r>
        <w:rPr>
          <w:rFonts w:hint="eastAsia" w:ascii="宋体" w:hAnsi="宋体" w:eastAsia="宋体" w:cs="宋体"/>
          <w:i w:val="0"/>
          <w:iCs w:val="0"/>
          <w:caps w:val="0"/>
          <w:color w:val="000000"/>
          <w:spacing w:val="0"/>
          <w:sz w:val="24"/>
          <w:szCs w:val="24"/>
          <w:highlight w:val="none"/>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ff0000"/>
          <w:spacing w:val="0"/>
          <w:sz w:val="24"/>
          <w:szCs w:val="24"/>
          <w:highlight w:val="none"/>
        </w:rPr>
        <w:pBdr>
          <w:left w:val="none" w:color="000000" w:sz="0" w:space="0"/>
        </w:pBdr>
        <w:suppressLineNumbers w:val="0"/>
      </w:pPr>
      <w:r>
        <w:rPr>
          <w:rFonts w:hint="eastAsia" w:ascii="宋体" w:hAnsi="宋体" w:eastAsia="宋体" w:cs="宋体"/>
          <w:i w:val="0"/>
          <w:iCs w:val="0"/>
          <w:caps w:val="0"/>
          <w:color w:val="ff0000"/>
          <w:spacing w:val="0"/>
          <w:sz w:val="24"/>
          <w:szCs w:val="24"/>
          <w:highlight w:val="none"/>
          <w:shd w:val="clear" w:color="auto" w:fill="ffffff"/>
        </w:rPr>
        <w:t xml:space="preserve">截止时间：</w:t>
      </w:r>
      <w:r>
        <w:rPr>
          <w:rFonts w:hint="eastAsia" w:ascii="宋体" w:hAnsi="宋体" w:eastAsia="宋体" w:cs="宋体"/>
          <w:i w:val="0"/>
          <w:iCs w:val="0"/>
          <w:caps w:val="0"/>
          <w:color w:val="ff0000"/>
          <w:spacing w:val="0"/>
          <w:sz w:val="24"/>
          <w:szCs w:val="24"/>
          <w:highlight w:val="none"/>
          <w:shd w:val="clear" w:color="auto" w:fill="ffffff"/>
          <w:lang w:eastAsia="zh-CN"/>
        </w:rPr>
        <w:t xml:space="preserve">2026</w:t>
      </w:r>
      <w:r>
        <w:rPr>
          <w:rFonts w:hint="eastAsia" w:ascii="宋体" w:hAnsi="宋体" w:eastAsia="宋体" w:cs="宋体"/>
          <w:i w:val="0"/>
          <w:iCs w:val="0"/>
          <w:caps w:val="0"/>
          <w:color w:val="ff0000"/>
          <w:spacing w:val="0"/>
          <w:sz w:val="24"/>
          <w:szCs w:val="24"/>
          <w:highlight w:val="none"/>
          <w:shd w:val="clear" w:color="auto" w:fill="ffffff"/>
        </w:rPr>
        <w:t xml:space="preserve">-</w:t>
      </w:r>
      <w:r>
        <w:rPr>
          <w:rFonts w:hint="eastAsia" w:ascii="宋体" w:hAnsi="宋体" w:eastAsia="宋体" w:cs="宋体"/>
          <w:i w:val="0"/>
          <w:iCs w:val="0"/>
          <w:caps w:val="0"/>
          <w:color w:val="ff0000"/>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ff0000"/>
          <w:spacing w:val="0"/>
          <w:sz w:val="24"/>
          <w:szCs w:val="24"/>
          <w:highlight w:val="none"/>
          <w:shd w:val="clear" w:color="auto" w:fill="ffffff"/>
        </w:rPr>
        <w:t xml:space="preserve">-</w:t>
      </w:r>
      <w:r>
        <w:rPr>
          <w:rFonts w:hint="eastAsia" w:ascii="宋体" w:hAnsi="宋体" w:eastAsia="宋体" w:cs="宋体"/>
          <w:i w:val="0"/>
          <w:iCs w:val="0"/>
          <w:caps w:val="0"/>
          <w:color w:val="ff0000"/>
          <w:spacing w:val="0"/>
          <w:sz w:val="24"/>
          <w:szCs w:val="24"/>
          <w:highlight w:val="none"/>
          <w:shd w:val="clear" w:color="auto" w:fill="ffffff"/>
          <w:lang w:val="en-US" w:eastAsia="zh-CN"/>
        </w:rPr>
        <w:t xml:space="preserve">28</w:t>
      </w:r>
      <w:r>
        <w:rPr>
          <w:rFonts w:hint="eastAsia" w:ascii="宋体" w:hAnsi="宋体" w:eastAsia="宋体" w:cs="宋体"/>
          <w:i w:val="0"/>
          <w:iCs w:val="0"/>
          <w:caps w:val="0"/>
          <w:color w:val="ff0000"/>
          <w:spacing w:val="0"/>
          <w:sz w:val="24"/>
          <w:szCs w:val="24"/>
          <w:highlight w:val="none"/>
          <w:shd w:val="clear" w:color="auto" w:fill="ffffff"/>
        </w:rPr>
        <w:t xml:space="preserve"> </w:t>
      </w:r>
      <w:r>
        <w:rPr>
          <w:rFonts w:hint="eastAsia" w:ascii="宋体" w:hAnsi="宋体" w:eastAsia="宋体" w:cs="宋体"/>
          <w:i w:val="0"/>
          <w:iCs w:val="0"/>
          <w:caps w:val="0"/>
          <w:color w:val="ff0000"/>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ff0000"/>
          <w:spacing w:val="0"/>
          <w:sz w:val="24"/>
          <w:szCs w:val="24"/>
          <w:highlight w:val="none"/>
          <w:shd w:val="clear" w:color="auto" w:fill="ffffff"/>
          <w:lang w:eastAsia="zh-CN"/>
        </w:rPr>
        <w:t xml:space="preserve">：</w:t>
      </w:r>
      <w:r>
        <w:rPr>
          <w:rFonts w:hint="eastAsia" w:ascii="宋体" w:hAnsi="宋体" w:eastAsia="宋体" w:cs="宋体"/>
          <w:i w:val="0"/>
          <w:iCs w:val="0"/>
          <w:caps w:val="0"/>
          <w:color w:val="ff0000"/>
          <w:spacing w:val="0"/>
          <w:sz w:val="24"/>
          <w:szCs w:val="24"/>
          <w:highlight w:val="none"/>
          <w:shd w:val="clear" w:color="auto" w:fill="ffffff"/>
        </w:rPr>
        <w:t xml:space="preserve">30（北京时间）</w:t>
      </w:r>
      <w:r>
        <w:rPr>
          <w:rFonts w:hint="eastAsia" w:ascii="宋体" w:hAnsi="宋体" w:eastAsia="宋体" w:cs="宋体"/>
          <w:i w:val="0"/>
          <w:iCs w:val="0"/>
          <w:caps w:val="0"/>
          <w:color w:val="ff0000"/>
          <w:spacing w:val="0"/>
          <w:sz w:val="24"/>
          <w:szCs w:val="24"/>
          <w:highlight w:val="none"/>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地点：登录“苏采云”系统自行上传 </w:t>
      </w:r>
      <w:r>
        <w:rPr>
          <w:rFonts w:hint="eastAsia" w:ascii="宋体" w:hAnsi="宋体" w:eastAsia="宋体" w:cs="宋体"/>
          <w:i w:val="0"/>
          <w:iCs w:val="0"/>
          <w:caps w:val="0"/>
          <w:color w:val="000000"/>
          <w:spacing w:val="0"/>
          <w:sz w:val="24"/>
          <w:szCs w:val="24"/>
          <w:highlight w:val="none"/>
        </w:rPr>
      </w:r>
      <w:r/>
    </w:p>
    <w:p>
      <w:pPr>
        <w:pStyle w:val="641"/>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677"/>
          <w:rFonts w:hint="eastAsia" w:ascii="宋体" w:hAnsi="宋体" w:eastAsia="宋体" w:cs="宋体"/>
          <w:b/>
          <w:bCs/>
          <w:i w:val="0"/>
          <w:iCs w:val="0"/>
          <w:caps w:val="0"/>
          <w:color w:val="000000"/>
          <w:spacing w:val="0"/>
          <w:sz w:val="24"/>
          <w:szCs w:val="24"/>
          <w:highlight w:val="none"/>
          <w:shd w:val="clear" w:color="auto" w:fill="ffffff"/>
        </w:rPr>
        <w:t xml:space="preserve">五、开启</w:t>
      </w:r>
      <w:r>
        <w:rPr>
          <w:rFonts w:hint="eastAsia" w:ascii="宋体" w:hAnsi="宋体" w:eastAsia="宋体" w:cs="宋体"/>
          <w:i w:val="0"/>
          <w:iCs w:val="0"/>
          <w:caps w:val="0"/>
          <w:color w:val="000000"/>
          <w:spacing w:val="0"/>
          <w:sz w:val="24"/>
          <w:szCs w:val="24"/>
          <w:highlight w:val="none"/>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ff0000"/>
          <w:spacing w:val="0"/>
          <w:sz w:val="24"/>
          <w:szCs w:val="24"/>
          <w:highlight w:val="none"/>
        </w:rPr>
        <w:pBdr>
          <w:left w:val="none" w:color="000000" w:sz="0" w:space="0"/>
        </w:pBdr>
        <w:suppressLineNumbers w:val="0"/>
      </w:pPr>
      <w:r>
        <w:rPr>
          <w:rFonts w:hint="eastAsia" w:ascii="宋体" w:hAnsi="宋体" w:eastAsia="宋体" w:cs="宋体"/>
          <w:i w:val="0"/>
          <w:iCs w:val="0"/>
          <w:caps w:val="0"/>
          <w:color w:val="ff0000"/>
          <w:spacing w:val="0"/>
          <w:sz w:val="24"/>
          <w:szCs w:val="24"/>
          <w:highlight w:val="none"/>
          <w:shd w:val="clear" w:color="auto" w:fill="ffffff"/>
        </w:rPr>
        <w:t xml:space="preserve">时间：</w:t>
      </w:r>
      <w:r>
        <w:rPr>
          <w:rFonts w:hint="eastAsia" w:ascii="宋体" w:hAnsi="宋体" w:eastAsia="宋体" w:cs="宋体"/>
          <w:i w:val="0"/>
          <w:iCs w:val="0"/>
          <w:caps w:val="0"/>
          <w:color w:val="ff0000"/>
          <w:spacing w:val="0"/>
          <w:sz w:val="24"/>
          <w:szCs w:val="24"/>
          <w:highlight w:val="none"/>
          <w:shd w:val="clear" w:color="auto" w:fill="ffffff"/>
          <w:lang w:eastAsia="zh-CN"/>
        </w:rPr>
        <w:t xml:space="preserve">2026</w:t>
      </w:r>
      <w:r>
        <w:rPr>
          <w:rFonts w:hint="eastAsia" w:ascii="宋体" w:hAnsi="宋体" w:eastAsia="宋体" w:cs="宋体"/>
          <w:i w:val="0"/>
          <w:iCs w:val="0"/>
          <w:caps w:val="0"/>
          <w:color w:val="ff0000"/>
          <w:spacing w:val="0"/>
          <w:sz w:val="24"/>
          <w:szCs w:val="24"/>
          <w:highlight w:val="none"/>
          <w:shd w:val="clear" w:color="auto" w:fill="ffffff"/>
        </w:rPr>
        <w:t xml:space="preserve">-</w:t>
      </w:r>
      <w:r>
        <w:rPr>
          <w:rFonts w:hint="eastAsia" w:ascii="宋体" w:hAnsi="宋体" w:eastAsia="宋体" w:cs="宋体"/>
          <w:i w:val="0"/>
          <w:iCs w:val="0"/>
          <w:caps w:val="0"/>
          <w:color w:val="ff0000"/>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ff0000"/>
          <w:spacing w:val="0"/>
          <w:sz w:val="24"/>
          <w:szCs w:val="24"/>
          <w:highlight w:val="none"/>
          <w:shd w:val="clear" w:color="auto" w:fill="ffffff"/>
        </w:rPr>
        <w:t xml:space="preserve">-</w:t>
      </w:r>
      <w:r>
        <w:rPr>
          <w:rFonts w:hint="eastAsia" w:ascii="宋体" w:hAnsi="宋体" w:eastAsia="宋体" w:cs="宋体"/>
          <w:i w:val="0"/>
          <w:iCs w:val="0"/>
          <w:caps w:val="0"/>
          <w:color w:val="ff0000"/>
          <w:spacing w:val="0"/>
          <w:sz w:val="24"/>
          <w:szCs w:val="24"/>
          <w:highlight w:val="none"/>
          <w:shd w:val="clear" w:color="auto" w:fill="ffffff"/>
          <w:lang w:val="en-US" w:eastAsia="zh-CN"/>
        </w:rPr>
        <w:t xml:space="preserve">28</w:t>
      </w:r>
      <w:r>
        <w:rPr>
          <w:rFonts w:hint="eastAsia" w:ascii="宋体" w:hAnsi="宋体" w:eastAsia="宋体" w:cs="宋体"/>
          <w:i w:val="0"/>
          <w:iCs w:val="0"/>
          <w:caps w:val="0"/>
          <w:color w:val="ff0000"/>
          <w:spacing w:val="0"/>
          <w:sz w:val="24"/>
          <w:szCs w:val="24"/>
          <w:highlight w:val="none"/>
          <w:shd w:val="clear" w:color="auto" w:fill="ffffff"/>
        </w:rPr>
        <w:t xml:space="preserve"> </w:t>
      </w:r>
      <w:r>
        <w:rPr>
          <w:rFonts w:hint="eastAsia" w:ascii="宋体" w:hAnsi="宋体" w:eastAsia="宋体" w:cs="宋体"/>
          <w:i w:val="0"/>
          <w:iCs w:val="0"/>
          <w:caps w:val="0"/>
          <w:color w:val="ff0000"/>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ff0000"/>
          <w:spacing w:val="0"/>
          <w:sz w:val="24"/>
          <w:szCs w:val="24"/>
          <w:highlight w:val="none"/>
          <w:shd w:val="clear" w:color="auto" w:fill="ffffff"/>
          <w:lang w:eastAsia="zh-CN"/>
        </w:rPr>
        <w:t xml:space="preserve">：</w:t>
      </w:r>
      <w:r>
        <w:rPr>
          <w:rFonts w:hint="eastAsia" w:ascii="宋体" w:hAnsi="宋体" w:eastAsia="宋体" w:cs="宋体"/>
          <w:i w:val="0"/>
          <w:iCs w:val="0"/>
          <w:caps w:val="0"/>
          <w:color w:val="ff0000"/>
          <w:spacing w:val="0"/>
          <w:sz w:val="24"/>
          <w:szCs w:val="24"/>
          <w:highlight w:val="none"/>
          <w:shd w:val="clear" w:color="auto" w:fill="ffffff"/>
        </w:rPr>
        <w:t xml:space="preserve">30（北京时间）</w:t>
      </w:r>
      <w:r>
        <w:rPr>
          <w:rFonts w:hint="eastAsia" w:ascii="宋体" w:hAnsi="宋体" w:eastAsia="宋体" w:cs="宋体"/>
          <w:i w:val="0"/>
          <w:iCs w:val="0"/>
          <w:caps w:val="0"/>
          <w:color w:val="ff0000"/>
          <w:spacing w:val="0"/>
          <w:sz w:val="24"/>
          <w:szCs w:val="24"/>
          <w:highlight w:val="none"/>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地点：登录“苏采云”系统不见面开标  </w:t>
      </w:r>
      <w:r>
        <w:rPr>
          <w:rFonts w:hint="eastAsia" w:ascii="宋体" w:hAnsi="宋体" w:eastAsia="宋体" w:cs="宋体"/>
          <w:i w:val="0"/>
          <w:iCs w:val="0"/>
          <w:caps w:val="0"/>
          <w:color w:val="000000"/>
          <w:spacing w:val="0"/>
          <w:sz w:val="24"/>
          <w:szCs w:val="24"/>
          <w:highlight w:val="none"/>
        </w:rPr>
      </w:r>
      <w:r/>
    </w:p>
    <w:p>
      <w:pPr>
        <w:pStyle w:val="641"/>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677"/>
          <w:rFonts w:hint="eastAsia" w:ascii="宋体" w:hAnsi="宋体" w:eastAsia="宋体" w:cs="宋体"/>
          <w:b/>
          <w:bCs/>
          <w:i w:val="0"/>
          <w:iCs w:val="0"/>
          <w:caps w:val="0"/>
          <w:color w:val="000000"/>
          <w:spacing w:val="0"/>
          <w:sz w:val="24"/>
          <w:szCs w:val="24"/>
          <w:highlight w:val="none"/>
          <w:shd w:val="clear" w:color="auto" w:fill="ffffff"/>
        </w:rPr>
        <w:t xml:space="preserve">六、公告期限</w:t>
      </w:r>
      <w:r>
        <w:rPr>
          <w:rFonts w:hint="eastAsia" w:ascii="宋体" w:hAnsi="宋体" w:eastAsia="宋体" w:cs="宋体"/>
          <w:i w:val="0"/>
          <w:iCs w:val="0"/>
          <w:caps w:val="0"/>
          <w:color w:val="000000"/>
          <w:spacing w:val="0"/>
          <w:sz w:val="24"/>
          <w:szCs w:val="24"/>
          <w:highlight w:val="none"/>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自本公告发布之日起3个工作日。</w:t>
      </w:r>
      <w:r>
        <w:rPr>
          <w:rFonts w:hint="eastAsia" w:ascii="宋体" w:hAnsi="宋体" w:eastAsia="宋体" w:cs="宋体"/>
          <w:i w:val="0"/>
          <w:iCs w:val="0"/>
          <w:caps w:val="0"/>
          <w:color w:val="000000"/>
          <w:spacing w:val="0"/>
          <w:sz w:val="24"/>
          <w:szCs w:val="24"/>
          <w:highlight w:val="none"/>
        </w:rPr>
      </w:r>
      <w:r/>
    </w:p>
    <w:p>
      <w:pPr>
        <w:pStyle w:val="641"/>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677"/>
          <w:rFonts w:hint="eastAsia" w:ascii="宋体" w:hAnsi="宋体" w:eastAsia="宋体" w:cs="宋体"/>
          <w:b/>
          <w:bCs/>
          <w:i w:val="0"/>
          <w:iCs w:val="0"/>
          <w:caps w:val="0"/>
          <w:color w:val="000000"/>
          <w:spacing w:val="0"/>
          <w:sz w:val="24"/>
          <w:szCs w:val="24"/>
          <w:highlight w:val="none"/>
          <w:shd w:val="clear" w:color="auto" w:fill="ffffff"/>
        </w:rPr>
        <w:t xml:space="preserve">七、其他补充事宜</w:t>
      </w:r>
      <w:r>
        <w:rPr>
          <w:rFonts w:hint="eastAsia" w:ascii="宋体" w:hAnsi="宋体" w:eastAsia="宋体" w:cs="宋体"/>
          <w:i w:val="0"/>
          <w:iCs w:val="0"/>
          <w:caps w:val="0"/>
          <w:color w:val="000000"/>
          <w:spacing w:val="0"/>
          <w:sz w:val="24"/>
          <w:szCs w:val="24"/>
          <w:highlight w:val="none"/>
        </w:rPr>
      </w:r>
      <w:r/>
    </w:p>
    <w:p>
      <w:pPr>
        <w:pStyle w:val="639"/>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1.CA相关说明：</w:t>
      </w:r>
      <w:r>
        <w:rPr>
          <w:rFonts w:hint="eastAsia" w:ascii="宋体" w:hAnsi="宋体" w:eastAsia="宋体" w:cs="宋体"/>
          <w:bCs/>
          <w:color w:val="000000"/>
          <w:sz w:val="24"/>
          <w:szCs w:val="24"/>
        </w:rPr>
      </w:r>
      <w:r/>
    </w:p>
    <w:p>
      <w:pPr>
        <w:pStyle w:val="639"/>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（1）CA证书办理</w:t>
      </w:r>
      <w:r>
        <w:rPr>
          <w:rFonts w:hint="eastAsia" w:ascii="宋体" w:hAnsi="宋体" w:eastAsia="宋体" w:cs="宋体"/>
          <w:bCs/>
          <w:color w:val="000000"/>
          <w:sz w:val="24"/>
          <w:szCs w:val="24"/>
        </w:rPr>
      </w:r>
      <w:r/>
    </w:p>
    <w:p>
      <w:pPr>
        <w:pStyle w:val="639"/>
        <w:ind w:left="0" w:right="0" w:firstLine="420"/>
        <w:pageBreakBefore w:val="0"/>
        <w:spacing w:beforeAutospacing="0" w:afterAutospacing="0"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i w:val="0"/>
          <w:iCs w:val="0"/>
          <w:caps w:val="0"/>
          <w:color w:val="000000"/>
          <w:spacing w:val="0"/>
          <w:sz w:val="24"/>
          <w:szCs w:val="24"/>
          <w:highlight w:val="none"/>
          <w:shd w:val="clear" w:color="auto" w:fill="ffffff"/>
          <w:lang w:val="en-US"/>
        </w:rPr>
        <w:t xml:space="preserve">苏州现场办理地址：苏州高新区邓尉路105号狮山科技馆1楼服务大厅</w:t>
      </w: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bCs/>
          <w:i w:val="0"/>
          <w:iCs w:val="0"/>
          <w:caps w:val="0"/>
          <w:color w:val="000000"/>
          <w:spacing w:val="0"/>
          <w:sz w:val="24"/>
          <w:szCs w:val="24"/>
          <w:highlight w:val="none"/>
          <w:shd w:val="clear" w:color="auto" w:fill="ffffff"/>
          <w:lang w:val="en-US"/>
        </w:rPr>
        <w:t xml:space="preserve">咨询电话：0512-65737699</w:t>
      </w: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Cs/>
          <w:color w:val="000000"/>
          <w:sz w:val="24"/>
          <w:szCs w:val="24"/>
          <w:lang w:eastAsia="zh-CN"/>
        </w:rPr>
      </w:r>
      <w:r/>
    </w:p>
    <w:p>
      <w:pPr>
        <w:pStyle w:val="639"/>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（2）参与采购活动</w:t>
      </w:r>
      <w:r>
        <w:rPr>
          <w:rFonts w:hint="eastAsia" w:ascii="宋体" w:hAnsi="宋体" w:eastAsia="宋体" w:cs="宋体"/>
          <w:bCs/>
          <w:color w:val="000000"/>
          <w:sz w:val="24"/>
          <w:szCs w:val="24"/>
        </w:rPr>
      </w:r>
      <w:r/>
    </w:p>
    <w:p>
      <w:pPr>
        <w:pStyle w:val="639"/>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lang w:val="en-US" w:eastAsia="zh-CN"/>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w:t>
      </w:r>
      <w:r>
        <w:rPr>
          <w:rFonts w:hint="eastAsia" w:ascii="宋体" w:hAnsi="宋体" w:eastAsia="宋体" w:cs="宋体"/>
          <w:b w:val="0"/>
          <w:bCs/>
          <w:color w:val="ff0000"/>
          <w:sz w:val="24"/>
          <w:szCs w:val="24"/>
          <w:lang w:val="en-US" w:eastAsia="zh-CN"/>
        </w:rPr>
        <w:t xml:space="preserve">，</w:t>
      </w:r>
      <w:r>
        <w:rPr>
          <w:rFonts w:hint="eastAsia" w:ascii="宋体" w:hAnsi="宋体" w:eastAsia="宋体" w:cs="宋体"/>
          <w:b w:val="0"/>
          <w:bCs/>
          <w:i w:val="0"/>
          <w:iCs w:val="0"/>
          <w:caps w:val="0"/>
          <w:color w:val="ff0000"/>
          <w:spacing w:val="0"/>
          <w:sz w:val="24"/>
          <w:szCs w:val="24"/>
          <w:shd w:val="clear" w:color="auto" w:fill="ffffff"/>
          <w:lang w:val="en-US" w:eastAsia="zh-CN" w:bidi="ar"/>
        </w:rPr>
        <w:t xml:space="preserve">本项目要求供应商在法定质疑期内一次性提出针对同一采购程序环节的质疑，</w:t>
      </w:r>
      <w:r>
        <w:rPr>
          <w:rFonts w:hint="eastAsia" w:ascii="宋体" w:hAnsi="宋体" w:eastAsia="宋体" w:cs="宋体"/>
          <w:bCs/>
          <w:color w:val="000000"/>
          <w:sz w:val="24"/>
          <w:szCs w:val="24"/>
          <w:lang w:val="en-US" w:eastAsia="zh-CN"/>
        </w:rPr>
        <w:t xml:space="preserve">但因供应商资格条件或获取招标文件时间设定不符合有关法律法规规定等原因使供应商权益受损的除外。</w:t>
      </w:r>
      <w:r>
        <w:rPr>
          <w:rFonts w:hint="eastAsia" w:ascii="宋体" w:hAnsi="宋体" w:eastAsia="宋体" w:cs="宋体"/>
          <w:bCs/>
          <w:color w:val="000000"/>
          <w:sz w:val="24"/>
          <w:szCs w:val="24"/>
        </w:rPr>
      </w:r>
      <w:r/>
    </w:p>
    <w:p>
      <w:pPr>
        <w:pStyle w:val="639"/>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（3）电子投标准备</w:t>
      </w:r>
      <w:r>
        <w:rPr>
          <w:rFonts w:hint="eastAsia" w:ascii="宋体" w:hAnsi="宋体" w:eastAsia="宋体" w:cs="宋体"/>
          <w:bCs/>
          <w:color w:val="000000"/>
          <w:sz w:val="24"/>
          <w:szCs w:val="24"/>
        </w:rPr>
      </w:r>
      <w:r/>
    </w:p>
    <w:p>
      <w:pPr>
        <w:pStyle w:val="639"/>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bCs/>
          <w:color w:val="000000"/>
          <w:sz w:val="24"/>
          <w:szCs w:val="24"/>
        </w:rPr>
      </w:r>
      <w:r/>
    </w:p>
    <w:p>
      <w:pPr>
        <w:pStyle w:val="639"/>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https://czju.suzhou.gov.cn/zfcg/html/content/20231220161910031.shtml）。</w:t>
      </w:r>
      <w:r>
        <w:rPr>
          <w:rFonts w:hint="eastAsia" w:ascii="宋体" w:hAnsi="宋体" w:eastAsia="宋体" w:cs="宋体"/>
          <w:bCs/>
          <w:color w:val="000000"/>
          <w:sz w:val="24"/>
          <w:szCs w:val="24"/>
        </w:rPr>
      </w:r>
      <w:r/>
    </w:p>
    <w:p>
      <w:pPr>
        <w:pStyle w:val="639"/>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在系统操作过程中如有疑问，请按以下方式联系：</w:t>
      </w:r>
      <w:r>
        <w:rPr>
          <w:rFonts w:hint="eastAsia" w:ascii="宋体" w:hAnsi="宋体" w:eastAsia="宋体" w:cs="宋体"/>
          <w:bCs/>
          <w:color w:val="000000"/>
          <w:sz w:val="24"/>
          <w:szCs w:val="24"/>
        </w:rPr>
      </w:r>
      <w:r/>
    </w:p>
    <w:p>
      <w:pPr>
        <w:pStyle w:val="67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注册咨询：13914088964；</w:t>
      </w:r>
      <w:r>
        <w:rPr>
          <w:rFonts w:hint="eastAsia" w:ascii="宋体" w:hAnsi="宋体" w:eastAsia="宋体" w:cs="宋体"/>
          <w:color w:val="000000"/>
          <w:sz w:val="24"/>
          <w:szCs w:val="24"/>
          <w:highlight w:val="none"/>
          <w:lang w:val="en-US" w:eastAsia="zh-CN" w:bidi="ar-SA"/>
        </w:rPr>
      </w:r>
      <w:r/>
    </w:p>
    <w:p>
      <w:pPr>
        <w:pStyle w:val="67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CA技术咨询电话：400-608-6099；</w:t>
      </w:r>
      <w:r>
        <w:rPr>
          <w:rFonts w:hint="eastAsia" w:ascii="宋体" w:hAnsi="宋体" w:eastAsia="宋体" w:cs="宋体"/>
          <w:color w:val="000000"/>
          <w:sz w:val="24"/>
          <w:szCs w:val="24"/>
          <w:highlight w:val="none"/>
          <w:lang w:val="en-US" w:eastAsia="zh-CN" w:bidi="ar-SA"/>
        </w:rPr>
      </w:r>
      <w:r/>
    </w:p>
    <w:p>
      <w:pPr>
        <w:pStyle w:val="67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签章使用问题：025-83633811、025-83633812、15380932027、15371015030；</w:t>
      </w:r>
      <w:r>
        <w:rPr>
          <w:rFonts w:hint="eastAsia" w:ascii="宋体" w:hAnsi="宋体" w:eastAsia="宋体" w:cs="宋体"/>
          <w:color w:val="000000"/>
          <w:sz w:val="24"/>
          <w:szCs w:val="24"/>
          <w:highlight w:val="none"/>
          <w:lang w:val="en-US" w:eastAsia="zh-CN" w:bidi="ar-SA"/>
        </w:rPr>
      </w:r>
      <w:r/>
    </w:p>
    <w:p>
      <w:pPr>
        <w:pStyle w:val="67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系统使用指导与咨询：联系电话：13914088964；智能客服：登录苏采云系统后，联系系统右下方智能客服图标进行咨询。</w:t>
      </w:r>
      <w:r>
        <w:rPr>
          <w:rFonts w:hint="eastAsia" w:ascii="宋体" w:hAnsi="宋体" w:eastAsia="宋体" w:cs="宋体"/>
          <w:color w:val="000000"/>
          <w:sz w:val="24"/>
          <w:szCs w:val="24"/>
          <w:highlight w:val="none"/>
          <w:lang w:val="en-US" w:eastAsia="zh-CN" w:bidi="ar-SA"/>
        </w:rPr>
      </w:r>
      <w:r/>
    </w:p>
    <w:p>
      <w:pPr>
        <w:pStyle w:val="639"/>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bCs/>
          <w:color w:val="000000"/>
          <w:sz w:val="24"/>
          <w:szCs w:val="24"/>
        </w:rPr>
      </w:r>
      <w:r/>
    </w:p>
    <w:p>
      <w:pPr>
        <w:pStyle w:val="639"/>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bCs/>
          <w:color w:val="000000"/>
          <w:sz w:val="24"/>
          <w:szCs w:val="24"/>
        </w:rPr>
      </w:r>
      <w:r/>
    </w:p>
    <w:p>
      <w:pPr>
        <w:pStyle w:val="639"/>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4.请供应商确保电脑、系统及其他设备（视频输入输出设备等）无误，且开标直至项目结束始终保持系统在线状态。</w:t>
      </w:r>
      <w:r>
        <w:rPr>
          <w:rFonts w:hint="eastAsia" w:ascii="宋体" w:hAnsi="宋体" w:eastAsia="宋体" w:cs="宋体"/>
          <w:bCs/>
          <w:color w:val="000000"/>
          <w:sz w:val="24"/>
          <w:szCs w:val="24"/>
        </w:rPr>
      </w:r>
      <w:r/>
    </w:p>
    <w:p>
      <w:pPr>
        <w:pStyle w:val="641"/>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677"/>
          <w:rFonts w:hint="eastAsia" w:ascii="宋体" w:hAnsi="宋体" w:eastAsia="宋体" w:cs="宋体"/>
          <w:b/>
          <w:bCs/>
          <w:i w:val="0"/>
          <w:iCs w:val="0"/>
          <w:caps w:val="0"/>
          <w:color w:val="000000"/>
          <w:spacing w:val="0"/>
          <w:sz w:val="24"/>
          <w:szCs w:val="24"/>
          <w:highlight w:val="none"/>
          <w:shd w:val="clear" w:color="auto" w:fill="ffffff"/>
        </w:rPr>
        <w:t xml:space="preserve">八、凡对本次采购提出询问，请按以下方式联系。</w:t>
      </w:r>
      <w:r>
        <w:rPr>
          <w:rFonts w:hint="eastAsia" w:ascii="宋体" w:hAnsi="宋体" w:eastAsia="宋体" w:cs="宋体"/>
          <w:i w:val="0"/>
          <w:iCs w:val="0"/>
          <w:caps w:val="0"/>
          <w:color w:val="000000"/>
          <w:spacing w:val="0"/>
          <w:sz w:val="24"/>
          <w:szCs w:val="24"/>
          <w:highlight w:val="none"/>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1.采购人信息</w:t>
      </w:r>
      <w:r>
        <w:rPr>
          <w:rFonts w:hint="eastAsia" w:ascii="宋体" w:hAnsi="宋体" w:eastAsia="宋体" w:cs="宋体"/>
          <w:i w:val="0"/>
          <w:iCs w:val="0"/>
          <w:caps w:val="0"/>
          <w:color w:val="000000"/>
          <w:spacing w:val="0"/>
          <w:sz w:val="24"/>
          <w:szCs w:val="24"/>
          <w:highlight w:val="none"/>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lang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单</w:t>
      </w:r>
      <w:r>
        <w:rPr>
          <w:rFonts w:hint="eastAsia" w:ascii="宋体" w:hAnsi="宋体" w:eastAsia="宋体" w:cs="宋体"/>
          <w:i w:val="0"/>
          <w:iCs w:val="0"/>
          <w:caps w:val="0"/>
          <w:color w:val="000000"/>
          <w:spacing w:val="0"/>
          <w:sz w:val="24"/>
          <w:szCs w:val="24"/>
          <w:highlight w:val="none"/>
          <w:shd w:val="clear" w:color="auto" w:fill="ffffff"/>
          <w:lang w:eastAsia="zh-CN"/>
        </w:rPr>
        <w:t xml:space="preserve">位名称：苏州市吴中区甪直镇人民政府</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lang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lang w:eastAsia="zh-CN"/>
        </w:rPr>
        <w:t xml:space="preserve">地址：苏州市吴中区甪直镇鸣市路21号 </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639"/>
        <w:ind w:firstLine="42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联系人：</w:t>
      </w:r>
      <w:r>
        <w:rPr>
          <w:rFonts w:hint="eastAsia" w:ascii="宋体" w:hAnsi="宋体" w:cs="宋体"/>
          <w:color w:val="000000"/>
          <w:sz w:val="24"/>
          <w:szCs w:val="24"/>
          <w:highlight w:val="none"/>
          <w:lang w:val="en-US" w:eastAsia="zh-CN"/>
        </w:rPr>
        <w:t xml:space="preserve">褚伟杰</w:t>
      </w:r>
      <w:r>
        <w:rPr>
          <w:rFonts w:ascii="宋体" w:hAnsi="宋体" w:eastAsia="宋体" w:cs="宋体"/>
          <w:color w:val="000000"/>
          <w:sz w:val="24"/>
          <w:szCs w:val="24"/>
          <w:highlight w:val="none"/>
          <w:lang w:val="en-US" w:eastAsia="zh-CN"/>
        </w:rPr>
      </w:r>
      <w:r/>
    </w:p>
    <w:p>
      <w:pPr>
        <w:pStyle w:val="639"/>
        <w:ind w:firstLine="42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电话：</w:t>
      </w:r>
      <w:r>
        <w:rPr>
          <w:rFonts w:hint="eastAsia" w:ascii="宋体" w:hAnsi="宋体" w:cs="宋体"/>
          <w:color w:val="000000"/>
          <w:sz w:val="24"/>
          <w:szCs w:val="24"/>
          <w:highlight w:val="none"/>
          <w:lang w:val="en-US" w:eastAsia="zh-CN"/>
        </w:rPr>
        <w:t xml:space="preserve">65049010</w:t>
      </w:r>
      <w:r>
        <w:rPr>
          <w:rFonts w:ascii="宋体" w:hAnsi="宋体" w:eastAsia="宋体" w:cs="宋体"/>
          <w:color w:val="000000"/>
          <w:sz w:val="24"/>
          <w:szCs w:val="24"/>
          <w:highlight w:val="none"/>
          <w:lang w:val="en-US" w:eastAsia="zh-CN"/>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2.采购代理机构信息（如有）</w:t>
      </w:r>
      <w:r>
        <w:rPr>
          <w:rFonts w:hint="eastAsia" w:ascii="宋体" w:hAnsi="宋体" w:eastAsia="宋体" w:cs="宋体"/>
          <w:i w:val="0"/>
          <w:iCs w:val="0"/>
          <w:caps w:val="0"/>
          <w:color w:val="000000"/>
          <w:spacing w:val="0"/>
          <w:sz w:val="24"/>
          <w:szCs w:val="24"/>
          <w:highlight w:val="none"/>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单位名称：苏州华厦招投标代理有限公司</w:t>
      </w:r>
      <w:r>
        <w:rPr>
          <w:rFonts w:hint="eastAsia" w:ascii="宋体" w:hAnsi="宋体" w:eastAsia="宋体" w:cs="宋体"/>
          <w:color w:val="000000"/>
          <w:sz w:val="24"/>
          <w:szCs w:val="24"/>
          <w:highlight w:val="none"/>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单位地址：江苏省苏州市高新区锦峰路198号纽威大厦8楼801室</w:t>
      </w:r>
      <w:r>
        <w:rPr>
          <w:rFonts w:hint="eastAsia" w:ascii="宋体" w:hAnsi="宋体" w:eastAsia="宋体" w:cs="宋体"/>
          <w:color w:val="000000"/>
          <w:sz w:val="24"/>
          <w:szCs w:val="24"/>
          <w:highlight w:val="none"/>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联系人：于文婷</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/周磊</w:t>
      </w:r>
      <w:r>
        <w:rPr>
          <w:rFonts w:hint="eastAsia" w:ascii="宋体" w:hAnsi="宋体" w:eastAsia="宋体" w:cs="宋体"/>
          <w:color w:val="000000"/>
          <w:sz w:val="24"/>
          <w:szCs w:val="24"/>
          <w:highlight w:val="none"/>
          <w:lang w:val="en-US" w:eastAsia="zh-CN"/>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联系电话：</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15262515871/18351083660</w:t>
      </w:r>
      <w:r>
        <w:rPr>
          <w:rFonts w:hint="eastAsia" w:ascii="宋体" w:hAnsi="宋体" w:eastAsia="宋体" w:cs="宋体"/>
          <w:color w:val="000000"/>
          <w:sz w:val="24"/>
          <w:szCs w:val="24"/>
          <w:highlight w:val="none"/>
          <w:lang w:val="en-US" w:eastAsia="zh-CN"/>
        </w:rPr>
      </w:r>
      <w:r/>
    </w:p>
    <w:p>
      <w:pPr>
        <w:pStyle w:val="670"/>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3.项目联系方式</w:t>
      </w:r>
      <w:r>
        <w:rPr>
          <w:rFonts w:hint="eastAsia" w:ascii="宋体" w:hAnsi="宋体" w:eastAsia="宋体" w:cs="宋体"/>
          <w:i w:val="0"/>
          <w:iCs w:val="0"/>
          <w:caps w:val="0"/>
          <w:color w:val="000000"/>
          <w:spacing w:val="0"/>
          <w:sz w:val="24"/>
          <w:szCs w:val="24"/>
          <w:highlight w:val="none"/>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项目联系人：于文婷</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/周磊</w:t>
      </w:r>
      <w:r>
        <w:rPr>
          <w:rFonts w:hint="eastAsia" w:ascii="宋体" w:hAnsi="宋体" w:eastAsia="宋体" w:cs="宋体"/>
          <w:color w:val="000000"/>
          <w:sz w:val="24"/>
          <w:szCs w:val="24"/>
          <w:highlight w:val="none"/>
          <w:lang w:val="en-US" w:eastAsia="zh-CN"/>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联系电话：</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15262515871/18351083660</w:t>
      </w:r>
      <w:r>
        <w:rPr>
          <w:rFonts w:hint="eastAsia" w:ascii="宋体" w:hAnsi="宋体" w:eastAsia="宋体" w:cs="宋体"/>
          <w:color w:val="000000"/>
          <w:sz w:val="24"/>
          <w:szCs w:val="24"/>
          <w:highlight w:val="none"/>
          <w:lang w:val="en-US" w:eastAsia="zh-CN"/>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pStyle w:val="639"/>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rPr>
        <w:t xml:space="preserve">二、苏州市政府采购竞争性磋商文件</w:t>
      </w:r>
      <w:r>
        <w:rPr>
          <w:rFonts w:hint="eastAsia" w:ascii="宋体" w:hAnsi="宋体" w:eastAsia="宋体" w:cs="宋体"/>
          <w:b/>
          <w:bCs/>
          <w:color w:val="000000"/>
          <w:sz w:val="24"/>
          <w:szCs w:val="24"/>
          <w:highlight w:val="none"/>
        </w:rPr>
      </w:r>
      <w:r/>
    </w:p>
    <w:p>
      <w:pPr>
        <w:pStyle w:val="639"/>
        <w:spacing w:line="360" w:lineRule="auto"/>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一、磋商编号：</w:t>
      </w:r>
      <w:r>
        <w:rPr>
          <w:rFonts w:hint="eastAsia" w:ascii="宋体" w:hAnsi="宋体" w:eastAsia="宋体" w:cs="宋体"/>
          <w:b/>
          <w:bCs/>
          <w:color w:val="000000"/>
          <w:sz w:val="24"/>
          <w:szCs w:val="24"/>
          <w:highlight w:val="none"/>
          <w:lang w:val="en-US" w:eastAsia="zh-CN"/>
        </w:rPr>
        <w:t xml:space="preserve">JSZC-320506-DLHX-C2026-0007</w:t>
      </w:r>
      <w:r>
        <w:rPr>
          <w:rFonts w:hint="eastAsia" w:ascii="宋体" w:hAnsi="宋体" w:eastAsia="宋体" w:cs="宋体"/>
          <w:b/>
          <w:bCs/>
          <w:color w:val="000000"/>
          <w:sz w:val="24"/>
          <w:szCs w:val="24"/>
          <w:highlight w:val="none"/>
        </w:rPr>
        <w:t xml:space="preserve">号</w:t>
      </w:r>
      <w:r>
        <w:rPr>
          <w:rFonts w:hint="eastAsia" w:ascii="宋体" w:hAnsi="宋体" w:eastAsia="宋体" w:cs="宋体"/>
          <w:b/>
          <w:bCs/>
          <w:color w:val="000000"/>
          <w:sz w:val="24"/>
          <w:szCs w:val="24"/>
          <w:highlight w:val="none"/>
        </w:rPr>
      </w:r>
      <w:r/>
    </w:p>
    <w:p>
      <w:pPr>
        <w:pStyle w:val="639"/>
        <w:spacing w:line="360" w:lineRule="auto"/>
        <w:tabs>
          <w:tab w:val="left" w:pos="525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二、磋商响应单位资质要求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67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bookmarkStart w:id="0" w:name="_Toc174421905"/>
      <w:r>
        <w:rPr>
          <w:rFonts w:hint="eastAsia" w:ascii="宋体" w:hAnsi="宋体" w:eastAsia="宋体" w:cs="宋体"/>
          <w:i w:val="0"/>
          <w:iCs w:val="0"/>
          <w:caps w:val="0"/>
          <w:color w:val="000000"/>
          <w:spacing w:val="0"/>
          <w:sz w:val="24"/>
          <w:szCs w:val="24"/>
          <w:highlight w:val="none"/>
          <w:shd w:val="clear" w:color="auto" w:fill="ffffff"/>
        </w:rPr>
        <w:t xml:space="preserve">（一）满足《中华人民共和国政府采购法》第二十二条规定：</w:t>
      </w:r>
      <w:r>
        <w:rPr>
          <w:rFonts w:hint="eastAsia" w:ascii="宋体" w:hAnsi="宋体" w:eastAsia="宋体" w:cs="宋体"/>
          <w:i w:val="0"/>
          <w:iCs w:val="0"/>
          <w:caps w:val="0"/>
          <w:color w:val="000000"/>
          <w:spacing w:val="0"/>
          <w:sz w:val="24"/>
          <w:szCs w:val="24"/>
          <w:highlight w:val="none"/>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1.具有独立承担民事责任的能力； </w:t>
      </w:r>
      <w:r>
        <w:rPr>
          <w:rFonts w:hint="eastAsia" w:ascii="宋体" w:hAnsi="宋体" w:eastAsia="宋体" w:cs="宋体"/>
          <w:i w:val="0"/>
          <w:iCs w:val="0"/>
          <w:caps w:val="0"/>
          <w:color w:val="000000"/>
          <w:spacing w:val="0"/>
          <w:sz w:val="24"/>
          <w:szCs w:val="24"/>
          <w:highlight w:val="none"/>
          <w:shd w:val="clear" w:color="auto" w:fill="ffffff"/>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2.良好的商业信誉和健全的财务会计制度； </w:t>
      </w:r>
      <w:r>
        <w:rPr>
          <w:rFonts w:hint="eastAsia" w:ascii="宋体" w:hAnsi="宋体" w:eastAsia="宋体" w:cs="宋体"/>
          <w:i w:val="0"/>
          <w:iCs w:val="0"/>
          <w:caps w:val="0"/>
          <w:color w:val="000000"/>
          <w:spacing w:val="0"/>
          <w:sz w:val="24"/>
          <w:szCs w:val="24"/>
          <w:highlight w:val="none"/>
          <w:shd w:val="clear" w:color="auto" w:fill="ffffff"/>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3.具有履行合同所必须的设备和专业技术能力； </w:t>
      </w:r>
      <w:r>
        <w:rPr>
          <w:rFonts w:hint="eastAsia" w:ascii="宋体" w:hAnsi="宋体" w:eastAsia="宋体" w:cs="宋体"/>
          <w:i w:val="0"/>
          <w:iCs w:val="0"/>
          <w:caps w:val="0"/>
          <w:color w:val="000000"/>
          <w:spacing w:val="0"/>
          <w:sz w:val="24"/>
          <w:szCs w:val="24"/>
          <w:highlight w:val="none"/>
          <w:shd w:val="clear" w:color="auto" w:fill="ffffff"/>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4.有依法缴纳税收和社会保障资金的良好记录； </w:t>
      </w:r>
      <w:r>
        <w:rPr>
          <w:rFonts w:hint="eastAsia" w:ascii="宋体" w:hAnsi="宋体" w:eastAsia="宋体" w:cs="宋体"/>
          <w:i w:val="0"/>
          <w:iCs w:val="0"/>
          <w:caps w:val="0"/>
          <w:color w:val="000000"/>
          <w:spacing w:val="0"/>
          <w:sz w:val="24"/>
          <w:szCs w:val="24"/>
          <w:highlight w:val="none"/>
          <w:shd w:val="clear" w:color="auto" w:fill="ffffff"/>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5.参加政府采购活动前三年内，在经营活动中没有重大违法记录； </w:t>
      </w:r>
      <w:r>
        <w:rPr>
          <w:rFonts w:hint="eastAsia" w:ascii="宋体" w:hAnsi="宋体" w:eastAsia="宋体" w:cs="宋体"/>
          <w:i w:val="0"/>
          <w:iCs w:val="0"/>
          <w:caps w:val="0"/>
          <w:color w:val="000000"/>
          <w:spacing w:val="0"/>
          <w:sz w:val="24"/>
          <w:szCs w:val="24"/>
          <w:highlight w:val="none"/>
          <w:shd w:val="clear" w:color="auto" w:fill="ffffff"/>
        </w:rPr>
      </w:r>
      <w:r/>
    </w:p>
    <w:p>
      <w:pPr>
        <w:pStyle w:val="670"/>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6.法律、行政法规规定的其他条件；</w:t>
      </w:r>
      <w:r>
        <w:rPr>
          <w:rFonts w:hint="eastAsia" w:ascii="宋体" w:hAnsi="宋体" w:eastAsia="宋体" w:cs="宋体"/>
          <w:color w:val="000000"/>
          <w:sz w:val="24"/>
          <w:szCs w:val="24"/>
          <w:highlight w:val="none"/>
        </w:rPr>
      </w:r>
      <w:r/>
    </w:p>
    <w:p>
      <w:pPr>
        <w:pStyle w:val="67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（二）落实政府采购政策需满足的资格要求：</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000000"/>
          <w:spacing w:val="0"/>
          <w:sz w:val="24"/>
          <w:szCs w:val="24"/>
          <w:highlight w:val="none"/>
          <w:lang w:val="en-US" w:eastAsia="zh-CN"/>
        </w:rPr>
      </w:r>
      <w:r/>
    </w:p>
    <w:p>
      <w:pPr>
        <w:pStyle w:val="67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（三）本项目的特定资格要求：</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000000"/>
          <w:spacing w:val="0"/>
          <w:sz w:val="24"/>
          <w:szCs w:val="24"/>
          <w:highlight w:val="none"/>
          <w:lang w:val="en-US" w:eastAsia="zh-CN"/>
        </w:rPr>
      </w:r>
      <w:r/>
    </w:p>
    <w:p>
      <w:pPr>
        <w:pStyle w:val="639"/>
        <w:spacing w:line="360" w:lineRule="auto"/>
        <w:tabs>
          <w:tab w:val="left" w:pos="52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三、项目概述及采购要求：</w:t>
      </w:r>
      <w:r>
        <w:rPr>
          <w:rFonts w:hint="eastAsia" w:ascii="宋体" w:hAnsi="宋体" w:eastAsia="宋体" w:cs="宋体"/>
          <w:b/>
          <w:color w:val="000000"/>
          <w:sz w:val="24"/>
          <w:szCs w:val="24"/>
          <w:highlight w:val="none"/>
        </w:rPr>
      </w:r>
      <w:r/>
    </w:p>
    <w:p>
      <w:pPr>
        <w:pStyle w:val="675"/>
        <w:ind w:left="0"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（一）项目概况：</w:t>
      </w:r>
      <w:r>
        <w:rPr>
          <w:rFonts w:hint="eastAsia" w:ascii="宋体" w:hAnsi="宋体" w:eastAsia="宋体" w:cs="宋体"/>
          <w:b/>
          <w:bCs/>
          <w:color w:val="000000"/>
          <w:sz w:val="24"/>
          <w:szCs w:val="24"/>
        </w:rPr>
      </w:r>
      <w:r/>
    </w:p>
    <w:p>
      <w:pPr>
        <w:pStyle w:val="675"/>
        <w:ind w:left="0" w:firstLine="420"/>
        <w:keepLines w:val="0"/>
        <w:keepNext w:val="0"/>
        <w:pageBreakBefore w:val="0"/>
        <w:spacing w:line="360" w:lineRule="auto"/>
        <w:widowControl w:val="off"/>
        <w:rPr>
          <w:rFonts w:hint="eastAsia" w:ascii="宋体" w:hAnsi="宋体" w:eastAsia="宋体" w:cs="宋体"/>
          <w:color w:val="000000"/>
          <w:sz w:val="24"/>
          <w:szCs w:val="24"/>
        </w:rPr>
      </w:pPr>
      <w:r/>
      <w:bookmarkStart w:id="1" w:name="OLE_LINK7"/>
      <w:r>
        <w:rPr>
          <w:rFonts w:hint="eastAsia" w:ascii="宋体" w:hAnsi="宋体" w:eastAsia="宋体" w:cs="宋体"/>
          <w:color w:val="000000"/>
          <w:sz w:val="24"/>
          <w:szCs w:val="24"/>
        </w:rPr>
        <w:t xml:space="preserve">甪直镇于2015年至2023年间陆续建设的安防类项目，分布在甪直镇区含车坊的主干道路、景区、农村主干道、安置小区出入口、小区单元门口、内部路面、电瓶车库、地下室等位置；全镇医院、学校、商业中心、菜场、全镇娱乐场所，</w:t>
      </w:r>
      <w:bookmarkEnd w:id="1"/>
      <w:r>
        <w:rPr>
          <w:rFonts w:hint="eastAsia" w:ascii="宋体" w:hAnsi="宋体" w:eastAsia="宋体" w:cs="宋体"/>
          <w:color w:val="000000"/>
          <w:sz w:val="24"/>
          <w:szCs w:val="24"/>
        </w:rPr>
        <w:t xml:space="preserve">重点园区；详见服务清单</w:t>
      </w:r>
      <w:r>
        <w:rPr>
          <w:rFonts w:hint="eastAsia" w:ascii="宋体" w:hAnsi="宋体" w:eastAsia="宋体" w:cs="宋体"/>
          <w:color w:val="000000"/>
          <w:sz w:val="24"/>
          <w:szCs w:val="24"/>
        </w:rPr>
      </w:r>
      <w:r/>
    </w:p>
    <w:p>
      <w:pPr>
        <w:pStyle w:val="675"/>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安防作为城市的重要管理手段之一；对甪直镇的社会治理、治安防控、案件侦破、维稳保障起到不可估量的作用。为维持设备正常运行，需聘请第三方专业机构对综合安防类设备进行维修保养，发挥其最大的管理效果。</w:t>
      </w:r>
      <w:r>
        <w:rPr>
          <w:rFonts w:hint="eastAsia" w:ascii="宋体" w:hAnsi="宋体" w:eastAsia="宋体" w:cs="宋体"/>
          <w:color w:val="000000"/>
          <w:sz w:val="24"/>
          <w:szCs w:val="24"/>
        </w:rPr>
      </w:r>
      <w:r/>
    </w:p>
    <w:p>
      <w:pPr>
        <w:pStyle w:val="675"/>
        <w:ind w:left="0"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（二）服务要求：</w:t>
      </w:r>
      <w:r>
        <w:rPr>
          <w:rFonts w:hint="eastAsia" w:ascii="宋体" w:hAnsi="宋体" w:eastAsia="宋体" w:cs="宋体"/>
          <w:b/>
          <w:bCs/>
          <w:color w:val="000000"/>
          <w:sz w:val="24"/>
          <w:szCs w:val="24"/>
        </w:rPr>
      </w:r>
      <w:r/>
    </w:p>
    <w:p>
      <w:pPr>
        <w:pStyle w:val="639"/>
        <w:ind w:left="0" w:firstLine="42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本次服务为全包模式，服务单位需承担维护、维修过程中产生所有的人工费、材料费（包括清单内所有设备材料以及与之运行所相关的一切配套设施）、调试费、包装费、运费、安装费、工具劳保费、通讯费、各种税费等一切费用，服务期限内甲方不再为本项目支出合同之外的任何费用。各响应单位需仔细了解本项目服务要求，自行评估风险。同时满足政策性文件规定及合同包含的所有风险、责任等各项应有费用；以保证甲方各系统的正常使用为准。</w:t>
      </w:r>
      <w:r>
        <w:rPr>
          <w:rFonts w:hint="eastAsia" w:ascii="宋体" w:hAnsi="宋体" w:eastAsia="宋体" w:cs="宋体"/>
          <w:b/>
          <w:bCs/>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次服务内容涉及的网络系统由视频专网、行业专网、业务专网以及配套的网络交换设备、安全设备、软件及数据库服务组成；服务单位需具有网络与通信技术、安全技术、软件与数据库技术相关的人员配备，以保障系统的正常运行。</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次服务内容涉及辖区道路监控系统、全镇安置小区内部监控、各行政村主要道路等重要位置；服务单位需具备必要的系统集成服务能力；所有视频监控设备、AI智能感知设备、抓拍类设备、已和上级公安平台对接、已形成多网综合管理平台、实现了一站式统一管理；服务单位需保障所有点位设备的正常运行、与上级平台的通信保障，平台的正常使用、完善的网络通讯处理能力，及视频传输技术能力。</w:t>
      </w:r>
      <w:r>
        <w:rPr>
          <w:rFonts w:hint="eastAsia" w:ascii="宋体" w:hAnsi="宋体" w:eastAsia="宋体" w:cs="宋体"/>
          <w:color w:val="000000"/>
          <w:sz w:val="24"/>
          <w:szCs w:val="24"/>
        </w:rPr>
      </w:r>
      <w:r/>
    </w:p>
    <w:p>
      <w:pPr>
        <w:pStyle w:val="639"/>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4、指定1人作为本次服务的项目经理，负责跟踪推进项目工作和问题的协调落实；</w:t>
      </w: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需</w:t>
      </w: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具有</w:t>
      </w: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信息系统项目管理，信息安全管理与实施，与本项目</w:t>
      </w: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相关</w:t>
      </w: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智能化维护保养</w:t>
      </w: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工作管理的</w:t>
      </w: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能力或</w:t>
      </w: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经验；指定1人为项目技术负责人，负责项目具体实施技术方面工作，</w:t>
      </w: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需</w:t>
      </w: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具有</w:t>
      </w: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系统运营、运维，信息安全管理与实施，与本项目</w:t>
      </w: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相关</w:t>
      </w: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智能化维护保养</w:t>
      </w: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相关工作的</w:t>
      </w: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管理能力或</w:t>
      </w: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经验；指定1人为项目运维负责人，负责项目具体运维技术方面工作，</w:t>
      </w: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需</w:t>
      </w: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具有</w:t>
      </w: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系统运维，与本项目</w:t>
      </w: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相关</w:t>
      </w: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智能化维护保养</w:t>
      </w: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相关工作</w:t>
      </w: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能力或</w:t>
      </w: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经验；除项目经理、项目技术负责人和项目运维负责人外其他实施团队成员配备不少于4人，需具有</w:t>
      </w: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与本项目</w:t>
      </w: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相关</w:t>
      </w: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智能化维护保养</w:t>
      </w: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相关工作</w:t>
      </w: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能力或经验，</w:t>
      </w: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能够顺利开展维护服务工作。</w:t>
      </w:r>
      <w:r>
        <w:rPr>
          <w:rFonts w:hint="eastAsia" w:ascii="宋体" w:hAnsi="宋体" w:eastAsia="宋体" w:cs="宋体"/>
          <w:b w:val="0"/>
          <w:bCs w:val="0"/>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5、服务响应机制需做到7*24小时响应，普通报障事件2小时赶到现场处置、4小时内处理完毕；特殊原因，无法在规定时间内修复的，需写明原因，由</w:t>
      </w:r>
      <w:r>
        <w:rPr>
          <w:rFonts w:hint="eastAsia" w:ascii="宋体" w:hAnsi="宋体" w:eastAsia="宋体" w:cs="宋体"/>
          <w:color w:val="000000"/>
          <w:sz w:val="24"/>
          <w:szCs w:val="24"/>
        </w:rPr>
        <w:t xml:space="preserve">使用方评估后确定。社会重大公共事件、重要活动中，监控应急保障团队、技术人员、保障设备物资、需提前1小时到场。</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不少于每月一次全量设备检查、测试运行、记录运行工况，具有完善的三方服务框架机制，使用单位、设备厂家、服务单位的闭环处理流程。检查过程中发现存在故障且无法技术修复的设备提前自行更换，涉及存储类产品的需由相关经验人员进行维护，不少于一周一次。</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i w:val="0"/>
          <w:iCs w:val="0"/>
          <w:caps w:val="0"/>
          <w:color w:val="000000"/>
          <w:spacing w:val="0"/>
          <w:sz w:val="24"/>
          <w:szCs w:val="24"/>
          <w:shd w:val="clear" w:color="auto" w:fill="ffffff"/>
          <w:lang w:val="en-US" w:eastAsia="zh-CN" w:bidi="ar"/>
        </w:rPr>
        <w:t xml:space="preserve">设备损坏、无法维修的情况下，服务单位需及时更换原品牌型号设备或不同品牌但不低于原有性能的设备，替换前需甲方确认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8、服务单位需具备完善的安全保密制度，日常的保密培训、涉密后的操作规则与档案管理办法；在签订合同前，中标单位需与甲方签署单位保密协议及服务人员保密协议。</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9、如遇甲方工作需要，在辖区内零星增设点位时，服务单位需配合、协助设备的联网接入工作。</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10、合同签订后支付合同价款的30%</w:t>
      </w:r>
      <w:r>
        <w:rPr>
          <w:rFonts w:hint="eastAsia" w:ascii="宋体" w:hAnsi="宋体" w:eastAsia="宋体" w:cs="宋体"/>
          <w:color w:val="000000"/>
          <w:sz w:val="24"/>
          <w:szCs w:val="24"/>
          <w:lang w:val="en-US" w:eastAsia="zh-CN"/>
        </w:rPr>
        <w:t xml:space="preserve">为预付款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每半年支付一次合同款项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需</w:t>
      </w:r>
      <w:r>
        <w:rPr>
          <w:rFonts w:hint="eastAsia" w:ascii="宋体" w:hAnsi="宋体" w:eastAsia="宋体" w:cs="宋体"/>
          <w:color w:val="000000"/>
          <w:sz w:val="24"/>
          <w:szCs w:val="24"/>
        </w:rPr>
        <w:t xml:space="preserve">根据服务的质量、效率、专业性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定期量化考核</w:t>
      </w:r>
      <w:r>
        <w:rPr>
          <w:rFonts w:hint="eastAsia" w:ascii="宋体" w:hAnsi="宋体" w:eastAsia="宋体" w:cs="宋体"/>
          <w:color w:val="000000"/>
          <w:sz w:val="24"/>
          <w:szCs w:val="24"/>
          <w:lang w:val="en-US" w:eastAsia="zh-CN"/>
        </w:rPr>
        <w:t xml:space="preserve">及监理审核后支付</w:t>
      </w:r>
      <w:r>
        <w:rPr>
          <w:rFonts w:hint="eastAsia" w:ascii="宋体" w:hAnsi="宋体" w:eastAsia="宋体" w:cs="宋体"/>
          <w:color w:val="000000"/>
          <w:sz w:val="24"/>
          <w:szCs w:val="24"/>
        </w:rPr>
        <w:t xml:space="preserve">，绩效考核分与服务费用相关联。</w:t>
      </w:r>
      <w:r>
        <w:rPr>
          <w:rFonts w:hint="eastAsia" w:ascii="宋体" w:hAnsi="宋体" w:eastAsia="宋体" w:cs="宋体"/>
          <w:color w:val="000000"/>
          <w:sz w:val="24"/>
        </w:rPr>
        <w:t xml:space="preserve">在签订合同时，乙方明确表示无需预付款或者主动要求降低预付款比例的，甲方可不适用上述关于预付款的规定。</w:t>
      </w:r>
      <w:r>
        <w:rPr>
          <w:rFonts w:hint="eastAsia" w:ascii="宋体" w:hAnsi="宋体" w:eastAsia="宋体" w:cs="宋体"/>
          <w:color w:val="000000"/>
          <w:sz w:val="24"/>
          <w:szCs w:val="24"/>
        </w:rPr>
      </w:r>
      <w:r/>
    </w:p>
    <w:p>
      <w:pPr>
        <w:pStyle w:val="639"/>
        <w:ind w:left="0" w:right="0" w:firstLine="42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i w:val="0"/>
          <w:iCs w:val="0"/>
          <w:caps w:val="0"/>
          <w:color w:val="ff0000"/>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ff0000"/>
          <w:spacing w:val="0"/>
          <w:sz w:val="24"/>
          <w:szCs w:val="24"/>
          <w:shd w:val="clear" w:color="auto" w:fill="ffffff"/>
          <w:lang w:val="en-US" w:eastAsia="zh-CN" w:bidi="ar"/>
        </w:rPr>
        <w:t xml:space="preserve">（三）服务清单</w:t>
      </w:r>
      <w:r>
        <w:rPr>
          <w:rFonts w:hint="eastAsia" w:ascii="宋体" w:hAnsi="宋体" w:eastAsia="宋体" w:cs="宋体"/>
          <w:b/>
          <w:bCs/>
          <w:i w:val="0"/>
          <w:iCs w:val="0"/>
          <w:caps w:val="0"/>
          <w:color w:val="ff0000"/>
          <w:spacing w:val="0"/>
          <w:sz w:val="24"/>
          <w:szCs w:val="24"/>
          <w:shd w:val="clear" w:color="auto" w:fill="ffffff"/>
          <w:lang w:val="en-US" w:eastAsia="zh-CN" w:bidi="ar"/>
        </w:rPr>
      </w:r>
      <w:r/>
    </w:p>
    <w:p>
      <w:pPr>
        <w:pStyle w:val="639"/>
        <w:ind w:left="0" w:right="0" w:firstLine="42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lang w:val="en-US" w:eastAsia="zh-CN" w:bidi="ar"/>
        </w:rPr>
        <w:t xml:space="preserve">1.2018年投入使用</w:t>
      </w:r>
      <w:r>
        <w:rPr>
          <w:rFonts w:hint="eastAsia" w:ascii="宋体" w:hAnsi="宋体" w:eastAsia="宋体" w:cs="宋体"/>
          <w:b/>
          <w:bCs/>
          <w:i w:val="0"/>
          <w:iCs w:val="0"/>
          <w:caps w:val="0"/>
          <w:color w:val="000000"/>
          <w:spacing w:val="0"/>
          <w:sz w:val="24"/>
          <w:szCs w:val="24"/>
          <w:shd w:val="clear" w:color="auto" w:fill="ffffff"/>
        </w:rPr>
      </w:r>
      <w:r/>
    </w:p>
    <w:tbl>
      <w:tblPr>
        <w:tblW w:w="1054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8"/>
        <w:gridCol w:w="2049"/>
        <w:gridCol w:w="6885"/>
        <w:gridCol w:w="433"/>
        <w:gridCol w:w="484"/>
      </w:tblGrid>
      <w:tr>
        <w:trPr>
          <w:tblHeader/>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序号</w:t>
            </w:r>
            <w:r>
              <w:rPr>
                <w:rFonts w:hint="eastAsia" w:ascii="宋体" w:hAnsi="宋体" w:eastAsia="宋体" w:cs="宋体"/>
                <w:b/>
                <w:bCs/>
                <w:color w:val="ff0000"/>
                <w:sz w:val="24"/>
                <w:szCs w:val="24"/>
              </w:rPr>
            </w:r>
            <w:r/>
          </w:p>
        </w:tc>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维护部位、名称</w:t>
            </w:r>
            <w:r>
              <w:rPr>
                <w:rFonts w:hint="eastAsia" w:ascii="宋体" w:hAnsi="宋体" w:eastAsia="宋体" w:cs="宋体"/>
                <w:b/>
                <w:bCs/>
                <w:color w:val="ff0000"/>
                <w:sz w:val="24"/>
                <w:szCs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品牌规格或维护要求</w:t>
            </w:r>
            <w:r>
              <w:rPr>
                <w:rFonts w:hint="eastAsia" w:ascii="宋体" w:hAnsi="宋体" w:eastAsia="宋体" w:cs="宋体"/>
                <w:b/>
                <w:bCs/>
                <w:color w:val="ff0000"/>
                <w:sz w:val="24"/>
                <w:szCs w:val="24"/>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单位</w:t>
            </w:r>
            <w:r>
              <w:rPr>
                <w:rFonts w:hint="eastAsia" w:ascii="宋体" w:hAnsi="宋体" w:eastAsia="宋体" w:cs="宋体"/>
                <w:b/>
                <w:bCs/>
                <w:color w:val="ff0000"/>
                <w:sz w:val="24"/>
                <w:szCs w:val="24"/>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数量</w:t>
            </w:r>
            <w:r>
              <w:rPr>
                <w:rFonts w:hint="eastAsia" w:ascii="宋体" w:hAnsi="宋体" w:eastAsia="宋体" w:cs="宋体"/>
                <w:b/>
                <w:bCs/>
                <w:color w:val="ff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b/>
                <w:bCs/>
                <w:color w:val="ff0000"/>
                <w:sz w:val="24"/>
                <w:szCs w:val="24"/>
              </w:rPr>
              <w:t xml:space="preserve">一、后端设备</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智慧社区综合安防管控平台系统</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firstLine="0"/>
              <w:keepLines w:val="0"/>
              <w:keepNext w:val="0"/>
              <w:pageBreakBefore w:val="0"/>
              <w:spacing w:line="240" w:lineRule="auto"/>
              <w:widowControl w:val="off"/>
              <w:rPr>
                <w:rFonts w:hint="eastAsia" w:ascii="宋体" w:hAnsi="宋体" w:eastAsia="宋体" w:cs="宋体"/>
                <w:b w:val="0"/>
                <w:bCs w:val="0"/>
                <w:color w:val="ff0000"/>
                <w:sz w:val="24"/>
                <w:szCs w:val="24"/>
                <w:u w:val="none"/>
              </w:rPr>
            </w:pPr>
            <w:r>
              <w:rPr>
                <w:rFonts w:hint="eastAsia" w:ascii="宋体" w:hAnsi="宋体" w:eastAsia="宋体" w:cs="宋体"/>
                <w:b w:val="0"/>
                <w:bCs w:val="0"/>
                <w:color w:val="ff0000"/>
                <w:sz w:val="24"/>
                <w:szCs w:val="24"/>
                <w:u w:val="none"/>
              </w:rPr>
              <w:t xml:space="preserve">海康威视7700</w:t>
            </w:r>
            <w:r>
              <w:rPr>
                <w:rFonts w:hint="eastAsia" w:ascii="宋体" w:hAnsi="宋体" w:eastAsia="宋体" w:cs="宋体"/>
                <w:b w:val="0"/>
                <w:bCs w:val="0"/>
                <w:color w:val="ff0000"/>
                <w:sz w:val="24"/>
                <w:szCs w:val="24"/>
                <w:u w:val="none"/>
              </w:rPr>
            </w:r>
            <w:r/>
          </w:p>
          <w:p>
            <w:pPr>
              <w:pStyle w:val="639"/>
              <w:ind w:left="0" w:firstLine="0"/>
              <w:keepLines w:val="0"/>
              <w:keepNext w:val="0"/>
              <w:pageBreakBefore w:val="0"/>
              <w:spacing w:line="240" w:lineRule="auto"/>
              <w:widowControl w:val="off"/>
              <w:rPr>
                <w:rFonts w:hint="eastAsia" w:ascii="宋体" w:hAnsi="宋体" w:eastAsia="宋体" w:cs="宋体"/>
                <w:b w:val="0"/>
                <w:bCs w:val="0"/>
                <w:color w:val="ff0000"/>
                <w:sz w:val="24"/>
                <w:szCs w:val="24"/>
                <w:u w:val="none"/>
              </w:rPr>
            </w:pPr>
            <w:r>
              <w:rPr>
                <w:rFonts w:hint="eastAsia" w:ascii="宋体" w:hAnsi="宋体" w:eastAsia="宋体" w:cs="宋体"/>
                <w:b w:val="0"/>
                <w:bCs w:val="0"/>
                <w:color w:val="ff0000"/>
                <w:sz w:val="24"/>
                <w:szCs w:val="24"/>
                <w:u w:val="none"/>
              </w:rPr>
              <w:t xml:space="preserve">社区子系统</w:t>
            </w:r>
            <w:r>
              <w:rPr>
                <w:rFonts w:hint="eastAsia" w:ascii="宋体" w:hAnsi="宋体" w:eastAsia="宋体" w:cs="宋体"/>
                <w:b w:val="0"/>
                <w:bCs w:val="0"/>
                <w:color w:val="ff0000"/>
                <w:sz w:val="24"/>
                <w:szCs w:val="24"/>
                <w:u w:val="none"/>
              </w:rPr>
            </w:r>
            <w:r/>
          </w:p>
          <w:p>
            <w:pPr>
              <w:pStyle w:val="639"/>
              <w:ind w:left="0" w:firstLine="0"/>
              <w:keepLines w:val="0"/>
              <w:keepNext w:val="0"/>
              <w:pageBreakBefore w:val="0"/>
              <w:spacing w:line="240" w:lineRule="auto"/>
              <w:widowControl w:val="off"/>
              <w:rPr>
                <w:rFonts w:hint="eastAsia" w:ascii="宋体" w:hAnsi="宋体" w:eastAsia="宋体" w:cs="宋体"/>
                <w:b w:val="0"/>
                <w:bCs w:val="0"/>
                <w:color w:val="ff0000"/>
                <w:sz w:val="24"/>
                <w:szCs w:val="24"/>
                <w:u w:val="none"/>
              </w:rPr>
            </w:pPr>
            <w:r>
              <w:rPr>
                <w:rFonts w:hint="eastAsia" w:ascii="宋体" w:hAnsi="宋体" w:eastAsia="宋体" w:cs="宋体"/>
                <w:b w:val="0"/>
                <w:bCs w:val="0"/>
                <w:color w:val="ff0000"/>
                <w:sz w:val="24"/>
                <w:szCs w:val="24"/>
                <w:u w:val="none"/>
              </w:rPr>
              <w:t xml:space="preserve">社区子系统主要包含了人房管理、出入查询、日志查询、报表管理出入查询，该模块主要是为了让用户能快速的了解到当前的有权限的门禁点下的用户的出入情况以及抓图和录像的情况。可查看人员的详情以及最近的出入记录。</w:t>
            </w:r>
            <w:r>
              <w:rPr>
                <w:rFonts w:hint="eastAsia" w:ascii="宋体" w:hAnsi="宋体" w:eastAsia="宋体" w:cs="宋体"/>
                <w:b w:val="0"/>
                <w:bCs w:val="0"/>
                <w:color w:val="ff0000"/>
                <w:sz w:val="24"/>
                <w:szCs w:val="24"/>
                <w:u w:val="none"/>
              </w:rPr>
            </w:r>
            <w:r/>
          </w:p>
          <w:p>
            <w:pPr>
              <w:pStyle w:val="639"/>
              <w:ind w:left="0" w:firstLine="0"/>
              <w:keepLines w:val="0"/>
              <w:keepNext w:val="0"/>
              <w:pageBreakBefore w:val="0"/>
              <w:spacing w:line="240" w:lineRule="auto"/>
              <w:widowControl w:val="off"/>
              <w:rPr>
                <w:rFonts w:hint="eastAsia" w:ascii="宋体" w:hAnsi="宋体" w:eastAsia="宋体" w:cs="宋体"/>
                <w:b w:val="0"/>
                <w:bCs w:val="0"/>
                <w:color w:val="ff0000"/>
                <w:sz w:val="24"/>
                <w:szCs w:val="24"/>
                <w:u w:val="none"/>
              </w:rPr>
            </w:pPr>
            <w:r>
              <w:rPr>
                <w:rFonts w:hint="eastAsia" w:ascii="宋体" w:hAnsi="宋体" w:eastAsia="宋体" w:cs="宋体"/>
                <w:b w:val="0"/>
                <w:bCs w:val="0"/>
                <w:color w:val="ff0000"/>
                <w:sz w:val="24"/>
                <w:szCs w:val="24"/>
                <w:u w:val="none"/>
              </w:rPr>
              <w:t xml:space="preserve">人员管控模块</w:t>
            </w:r>
            <w:r>
              <w:rPr>
                <w:rFonts w:hint="eastAsia" w:ascii="宋体" w:hAnsi="宋体" w:eastAsia="宋体" w:cs="宋体"/>
                <w:b w:val="0"/>
                <w:bCs w:val="0"/>
                <w:color w:val="ff0000"/>
                <w:sz w:val="24"/>
                <w:szCs w:val="24"/>
                <w:u w:val="none"/>
              </w:rPr>
            </w:r>
            <w:r/>
          </w:p>
          <w:p>
            <w:pPr>
              <w:pStyle w:val="639"/>
              <w:ind w:left="0" w:firstLine="0"/>
              <w:keepLines w:val="0"/>
              <w:keepNext w:val="0"/>
              <w:pageBreakBefore w:val="0"/>
              <w:spacing w:line="240" w:lineRule="auto"/>
              <w:widowControl w:val="off"/>
              <w:rPr>
                <w:rFonts w:hint="eastAsia" w:ascii="宋体" w:hAnsi="宋体" w:eastAsia="宋体" w:cs="宋体"/>
                <w:b w:val="0"/>
                <w:bCs w:val="0"/>
                <w:color w:val="ff0000"/>
                <w:sz w:val="24"/>
                <w:szCs w:val="24"/>
                <w:u w:val="none"/>
              </w:rPr>
            </w:pPr>
            <w:r>
              <w:rPr>
                <w:rFonts w:hint="eastAsia" w:ascii="宋体" w:hAnsi="宋体" w:eastAsia="宋体" w:cs="宋体"/>
                <w:b w:val="0"/>
                <w:bCs w:val="0"/>
                <w:color w:val="ff0000"/>
                <w:sz w:val="24"/>
                <w:szCs w:val="24"/>
                <w:u w:val="none"/>
              </w:rPr>
              <w:t xml:space="preserve">支持社区居住人员录入（增删改查）为了能够快速的添加组织区域、单元楼、出租屋、社区等信息，在组织区域下可以添加人员信息，并可以快速的在添加完房屋后，不断添加租客信息，支持各品牌读卡器的读取身份证的功能，并能够通过系统达到发卡，并实时的下发权限，也支持人证合一设备进行人员身份信息读取，并进行人脸比对、人脸抓拍，同时支持指纹开卡的功能。另外，支持卡的增删改查、管理员的增删改查、组织区域的增删改查、房屋的增删改查，同时也支持人员的移动和组织区域、人员的导出Exce</w:t>
            </w:r>
            <w:r>
              <w:rPr>
                <w:rFonts w:hint="eastAsia" w:ascii="宋体" w:hAnsi="宋体" w:eastAsia="宋体" w:cs="宋体"/>
                <w:b w:val="0"/>
                <w:bCs w:val="0"/>
                <w:color w:val="ff0000"/>
                <w:sz w:val="24"/>
                <w:szCs w:val="24"/>
                <w:u w:val="none"/>
                <w:lang w:val="en-US" w:eastAsia="zh-CN"/>
              </w:rPr>
              <w:t xml:space="preserve">l</w:t>
            </w:r>
            <w:r>
              <w:rPr>
                <w:rFonts w:hint="eastAsia" w:ascii="宋体" w:hAnsi="宋体" w:eastAsia="宋体" w:cs="宋体"/>
                <w:b w:val="0"/>
                <w:bCs w:val="0"/>
                <w:color w:val="ff0000"/>
                <w:sz w:val="24"/>
                <w:szCs w:val="24"/>
                <w:u w:val="none"/>
              </w:rPr>
              <w:t xml:space="preserve">表格。</w:t>
            </w:r>
            <w:r>
              <w:rPr>
                <w:rFonts w:hint="eastAsia" w:ascii="宋体" w:hAnsi="宋体" w:eastAsia="宋体" w:cs="宋体"/>
                <w:b w:val="0"/>
                <w:bCs w:val="0"/>
                <w:color w:val="ff0000"/>
                <w:sz w:val="24"/>
                <w:szCs w:val="24"/>
                <w:u w:val="none"/>
              </w:rPr>
            </w:r>
            <w:r/>
          </w:p>
          <w:p>
            <w:pPr>
              <w:pStyle w:val="639"/>
              <w:ind w:left="0" w:firstLine="0"/>
              <w:keepLines w:val="0"/>
              <w:keepNext w:val="0"/>
              <w:pageBreakBefore w:val="0"/>
              <w:spacing w:line="240" w:lineRule="auto"/>
              <w:widowControl w:val="off"/>
              <w:rPr>
                <w:rFonts w:hint="eastAsia" w:ascii="宋体" w:hAnsi="宋体" w:eastAsia="宋体" w:cs="宋体"/>
                <w:b w:val="0"/>
                <w:bCs w:val="0"/>
                <w:color w:val="ff0000"/>
                <w:sz w:val="24"/>
                <w:szCs w:val="24"/>
                <w:u w:val="none"/>
              </w:rPr>
            </w:pPr>
            <w:r>
              <w:rPr>
                <w:rFonts w:hint="eastAsia" w:ascii="宋体" w:hAnsi="宋体" w:eastAsia="宋体" w:cs="宋体"/>
                <w:b w:val="0"/>
                <w:bCs w:val="0"/>
                <w:color w:val="ff0000"/>
                <w:sz w:val="24"/>
                <w:szCs w:val="24"/>
                <w:u w:val="none"/>
              </w:rPr>
              <w:t xml:space="preserve">人员档案管理</w:t>
            </w:r>
            <w:r>
              <w:rPr>
                <w:rFonts w:hint="eastAsia" w:ascii="宋体" w:hAnsi="宋体" w:eastAsia="宋体" w:cs="宋体"/>
                <w:b w:val="0"/>
                <w:bCs w:val="0"/>
                <w:color w:val="ff0000"/>
                <w:sz w:val="24"/>
                <w:szCs w:val="24"/>
                <w:u w:val="none"/>
              </w:rPr>
            </w:r>
            <w:r/>
          </w:p>
          <w:p>
            <w:pPr>
              <w:pStyle w:val="639"/>
              <w:ind w:left="0" w:firstLine="0"/>
              <w:keepLines w:val="0"/>
              <w:keepNext w:val="0"/>
              <w:pageBreakBefore w:val="0"/>
              <w:spacing w:line="240" w:lineRule="auto"/>
              <w:widowControl w:val="off"/>
              <w:rPr>
                <w:rFonts w:hint="eastAsia" w:ascii="宋体" w:hAnsi="宋体" w:eastAsia="宋体" w:cs="宋体"/>
                <w:b w:val="0"/>
                <w:bCs w:val="0"/>
                <w:color w:val="ff0000"/>
                <w:sz w:val="24"/>
                <w:szCs w:val="24"/>
                <w:u w:val="none"/>
              </w:rPr>
            </w:pPr>
            <w:r>
              <w:rPr>
                <w:rFonts w:hint="eastAsia" w:ascii="宋体" w:hAnsi="宋体" w:eastAsia="宋体" w:cs="宋体"/>
                <w:b w:val="0"/>
                <w:bCs w:val="0"/>
                <w:color w:val="ff0000"/>
                <w:sz w:val="24"/>
                <w:szCs w:val="24"/>
                <w:u w:val="none"/>
              </w:rPr>
              <w:t xml:space="preserve">根据协管员、物管部门的人员信息采集，对辖区内所有人员信息进行汇总，形成人员信息库，人员档案管理支持对人员的基本信息、所拥有的车辆信息、人员门禁出入记录、车辆出入记录、过车记录、人员居住信息等大集成，集中展示。支持按姓名、身份证号码、境内外人员、性别、民族、手机号码等条件进行查询。</w:t>
            </w:r>
            <w:r>
              <w:rPr>
                <w:rFonts w:hint="eastAsia" w:ascii="宋体" w:hAnsi="宋体" w:eastAsia="宋体" w:cs="宋体"/>
                <w:b w:val="0"/>
                <w:bCs w:val="0"/>
                <w:color w:val="ff0000"/>
                <w:sz w:val="24"/>
                <w:szCs w:val="24"/>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套</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应用程序服务器</w:t>
            </w:r>
            <w:r>
              <w:rPr>
                <w:rFonts w:hint="eastAsia" w:ascii="宋体" w:hAnsi="宋体" w:eastAsia="宋体" w:cs="宋体"/>
                <w:color w:val="ff0000"/>
                <w:sz w:val="24"/>
                <w:szCs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戴尔R730</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1、CPU:2颗英特尔至强 E5-2620 v4 2.1GHz,20M 缓存,8.0GT/s QPI,无Turbo,无 HT,6C/12T (85W) ；</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2、内存: 32GB内存，</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3、硬盘：1块512G SSD  2块600G,10K SAS</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4、至少集成双口千兆以太网卡；</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5、3年专业技术支持当日4小时(24*7)服务（人力+配件）</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6、Windows Server 正版云操作系统数据中心版（2016版本，含25个客户端访问许可）</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r>
      <w:tr>
        <w:trPr>
          <w:trHeight w:val="1366"/>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3</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工作站电脑</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戴尔OptiPlex7050</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英特尔Q270芯片组/i7-6700 处理器（四核, 8MB,  3.4GHz, 65W）/ 4GB内存/1T硬盘/宽屏显示器/2GB 独立显卡/集成10/100/1000/网卡/原厂USB光电鼠标、键盘/正版Windows10  简体中文/原厂3年整机第二工作日上门服务（配件+人力)/立式机箱</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机柜</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图腾600*1000*2000</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42U</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机柜标准</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19英寸标准</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材料及工艺</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前门玻璃,后门钣金,材料采用SPCC优质冷轧钢</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规格不小于600</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lang w:val="en-US" w:eastAsia="zh-CN"/>
              </w:rPr>
              <w:t xml:space="preserve">宽</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×1000</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lang w:val="en-US" w:eastAsia="zh-CN"/>
              </w:rPr>
              <w:t xml:space="preserve">深</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×2000</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lang w:val="en-US" w:eastAsia="zh-CN"/>
              </w:rPr>
              <w:t xml:space="preserve">高</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mm</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5</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交换机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锐捷RG-S5750C-28SFP4XS-H</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传输速率≥10/100/1000M</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背板带宽≥598Gbps</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包转发率≥222Mpps</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网络接口：≥24个10/100/1000M自适应电口2个光口</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网络安全性能：支持用户管理和端口绑定，支持WED管理、SSH、(Telnet/Console)</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b/>
                <w:bCs/>
                <w:color w:val="ff0000"/>
                <w:sz w:val="24"/>
                <w:szCs w:val="24"/>
              </w:rPr>
              <w:t xml:space="preserve">二、小区前端设备</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室外枪型摄像机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海康DS-2CD2T46DWDA1-I</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400万1/2.7”CMOS网络摄像机</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最小照度:0.005Lux @(F1.2,AGC ON) ,0 Lux with IR</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镜头:可选, 水平视场角82.5°</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宽动态范围:120dB</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视频压缩标准:H.265/H.264/ MJPEG</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最大图像尺寸:2688 x 1520</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通讯接口:1个RJ45 10M / 100M 自适应以太网口</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工作温度和湿度:-30℃~60℃,湿度小于95%(无凝结)</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电源供应:DC12V±25% </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电源接口类型:Φ5.5mm圆头电源接口</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功耗DC12V: 8W Max</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红外照射距离:最远可达50米</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19</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室外球型摄像机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海康DS-2DE7220MX-A/S1</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200万像素7</w:t>
            </w:r>
            <w:r>
              <w:rPr>
                <w:rFonts w:hint="eastAsia" w:ascii="宋体" w:hAnsi="宋体" w:eastAsia="宋体" w:cs="宋体"/>
                <w:color w:val="ff0000"/>
                <w:sz w:val="24"/>
                <w:szCs w:val="24"/>
                <w:lang w:val="en-US" w:eastAsia="zh-CN"/>
              </w:rPr>
              <w:t xml:space="preserve">英</w:t>
            </w:r>
            <w:r>
              <w:rPr>
                <w:rFonts w:hint="eastAsia" w:ascii="宋体" w:hAnsi="宋体" w:eastAsia="宋体" w:cs="宋体"/>
                <w:color w:val="ff0000"/>
                <w:sz w:val="24"/>
                <w:szCs w:val="24"/>
              </w:rPr>
              <w:t xml:space="preserve">寸网络高清智能球机；1920×1080@30fps</w:t>
            </w:r>
            <w:r>
              <w:rPr>
                <w:rFonts w:hint="eastAsia" w:ascii="宋体" w:hAnsi="宋体" w:eastAsia="宋体" w:cs="宋体"/>
                <w:color w:val="ff0000"/>
                <w:sz w:val="24"/>
                <w:szCs w:val="24"/>
              </w:rPr>
              <w:t xml:space="preserve">；支持1080p@60fps、960p@60fps帧率输出0.005Lux/F1.2(彩色),0.001Lux/F1.2(黑白) ,0 Lux with IR；红外光照射距离最远可达100m；焦距：4.8 - 96 mm, 20倍光学；支持音频、报警；水平键控速度最大160°/s，垂直键控速度最大120°/s，垂直范围-15°~90°；H.265/H.264/MJPEG；最大支持256GB Micro SD卡；AC24V，40W max（其中补光灯15W max）；支持IP66；工作温度：-30℃-65℃。</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3</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出入口人脸抓拍机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海康DS-2CD7627FWD/F-LZS</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200万 1/1.8"人脸筒型网络摄像机；</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最低照度:彩色：0.001Lux,黑白：0.0001Lux ,0 Lux with LED；</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视频压缩标准:H.265/H.264；</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最大图像尺寸:1920×1080；</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区域裁剪:支持裁剪画面传输；</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日夜转换方式:自动切换,定时切换,报警触发切换；</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图片叠加:支持BMP 24位图像叠加,可选择区域；</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感兴趣区域:ROI支持主码流、子码流、第三码流分别设置4个固定区域；</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智能报警:移动侦测,遮挡报警,网线断开,IP地址冲突,存储器满,存储器错,非法访问；</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人脸抓拍:支持对运动人脸进行检测、跟踪、抓拍、评分、筛选，输出最优的人脸抓图；</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抓图分辨率:分辨率：1920x1080/1280x720可选背景大图图片字符叠加功能:支持设备编号、抓拍时间、监测点信息；</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抓拍次数:支持抓拍次数（1-10次）可设人脸曝光支持；</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智能补光:设备内置高效白光阵列灯，可定时开启；</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宽动态:超宽动态范围120dB；</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通讯接口:1 个RJ45 10M / 100M/1000M自适应以太网口；</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防护等级:IP66；</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室内半球摄像机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jc w:val="left"/>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海康DS-2CD2345D-I</w:t>
            </w:r>
            <w:r>
              <w:rPr>
                <w:rFonts w:hint="eastAsia" w:ascii="宋体" w:hAnsi="宋体" w:eastAsia="宋体" w:cs="宋体"/>
                <w:color w:val="ff0000"/>
                <w:sz w:val="24"/>
                <w:szCs w:val="24"/>
              </w:rPr>
            </w:r>
            <w:r/>
          </w:p>
          <w:p>
            <w:pPr>
              <w:pStyle w:val="639"/>
              <w:ind w:left="0"/>
              <w:jc w:val="left"/>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400万1/3”CMOS ICR日夜型半球型网络摄像机；支持H.265及/H.264编码；最小照度：0.07Lux @(F1.2,AGC ON) ,0 Lux with IR；0.19 Lux @(F2.0,AGC ON), 0 Lux with IR；调整角度不小于水平:0°~360°;垂直:0°~ 75°;旋转:0°~360°；宽动态范围：120dB；帧率不小于50Hz: 25fps；工作温度和湿度-30℃~60℃,湿度小于95%(无凝结)；；红外照射距离不小于20米；防护等级不小于IP66</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19</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5</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室内筒型摄像机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海康DS-2CD2T46DWDA1-I</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400万1/2.7”CMOS网络摄像机</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最小照度:0.005Lux @(F1.2,AGC ON) ,0 Lux with IR</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镜头:可选, 水平视场角82.5°</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宽动态范围:120dB</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视频压缩标准:H.265/H.264/ MJPEG</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最大图像尺寸:2688 x 1520</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通讯接口:1个RJ45 10M / 100M 自适应以太网口</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工作温度和湿度:-30℃~60℃,湿度小于95%(无凝结)</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电源供应:DC12V±25% </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电源接口类型:Φ5.5mm圆头电源接口</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功耗DC12V: 8W Max</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红外照射距离:最远可达50米</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19</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6</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室外支架</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海康DS-1269ZJ</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壁装支架/白/铝合金/尺寸不小于85</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安装面宽度</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×115</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安装面高度</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×295</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伸出总长</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mm</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个</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19</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7</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室内支架</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海康DS-1292ZJ</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壁装支架/白/铝合金/尺寸不小于70</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安装面宽度</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×95</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安装面高度</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×180</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伸出总长</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mm</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19</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8</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立杆</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定制3.5米</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3.5米，含基础</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根</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11</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9</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成品手孔井</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定制400mm×400mm×350mm</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400mm(高)×400mm（长）×350mm(宽)</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个</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57</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10</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防雷器</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合鑫雷安、网络二合一</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网络二合一</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个</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20</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11</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设备箱</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定制670mm×400mm×350mm</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≥670mm(高)×400mm（长）×350mm(宽)</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个</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17</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 xml:space="preserve">12</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工业交换机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华为S1700-8G-AC</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传输速率：10/100/1000Mbps</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背板带宽：16Gbps</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包转发率：12Mpps</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标配固定端口参数：8个10/100/1000Base-T以太网端口</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可选端口描述:无</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MAC地址表:8K</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18</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 xml:space="preserve">13</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数字光端机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恒信和安MIB12G-1E-1GA/B-EN</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20KM单模单纤百兆网络光收发器</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对</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17</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 xml:space="preserve">14</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监视器</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三星C32F391FWC</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屏幕类型:LED</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面板类型:VA</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rPr>
              <w:t xml:space="preserve">屏幕尺寸:32</w:t>
            </w:r>
            <w:r>
              <w:rPr>
                <w:rFonts w:hint="eastAsia" w:ascii="宋体" w:hAnsi="宋体" w:eastAsia="宋体" w:cs="宋体"/>
                <w:color w:val="ff0000"/>
                <w:sz w:val="24"/>
                <w:szCs w:val="24"/>
                <w:lang w:val="en-US" w:eastAsia="zh-CN"/>
              </w:rPr>
              <w:t xml:space="preserve">英寸</w:t>
            </w:r>
            <w:r>
              <w:rPr>
                <w:rFonts w:hint="eastAsia" w:ascii="宋体" w:hAnsi="宋体" w:eastAsia="宋体" w:cs="宋体"/>
                <w:color w:val="ff0000"/>
                <w:sz w:val="24"/>
                <w:szCs w:val="24"/>
                <w:lang w:val="en-US" w:eastAsia="zh-CN"/>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英寸分辨率:1920*1080（全高清）</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屏幕比例:16:9</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刷新率:其他</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曲率:1800R</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静态对比度:3000:1</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动态对比度:百万级动态对比度</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接口类型:HDMID-SUB</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附加功能:可壁挂</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 xml:space="preserve">15</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机柜</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图腾600*1000*2000</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42U</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机柜标准 </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19英寸标准</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材料及工艺 </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前门玻璃,后门钣金,材料采用SPCC优质冷轧钢</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规格不小于600</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lang w:val="en-US" w:eastAsia="zh-CN"/>
              </w:rPr>
              <w:t xml:space="preserve">宽</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×1000</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lang w:val="en-US" w:eastAsia="zh-CN"/>
              </w:rPr>
              <w:t xml:space="preserve">深</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×2000</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lang w:val="en-US" w:eastAsia="zh-CN"/>
              </w:rPr>
              <w:t xml:space="preserve">高</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mm</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 xml:space="preserve">16</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千兆交换机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华为S1724G</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24口10/100/1000M自适应电口交换机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 xml:space="preserve">17</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小区服务器</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戴尔R730</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1、CPU:1颗英特尔至强 E5-2620 v4 2.1GHz,20M 缓存,8.0GT/s QPI,无Turbo,无 HT,6C/12T (85W) ；</w:t>
            </w:r>
            <w:r>
              <w:rPr>
                <w:rFonts w:hint="eastAsia" w:ascii="宋体" w:hAnsi="宋体" w:eastAsia="宋体" w:cs="宋体"/>
                <w:color w:val="ff0000"/>
                <w:sz w:val="24"/>
                <w:szCs w:val="24"/>
                <w:lang w:eastAsia="zh-CN"/>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2、内存: 32GB内存，</w:t>
            </w:r>
            <w:r>
              <w:rPr>
                <w:rFonts w:hint="eastAsia" w:ascii="宋体" w:hAnsi="宋体" w:eastAsia="宋体" w:cs="宋体"/>
                <w:color w:val="ff0000"/>
                <w:sz w:val="24"/>
                <w:szCs w:val="24"/>
                <w:lang w:eastAsia="zh-CN"/>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3、硬盘：1块512G SSD  2块600G,10K SAS；</w:t>
            </w:r>
            <w:r>
              <w:rPr>
                <w:rFonts w:hint="eastAsia" w:ascii="宋体" w:hAnsi="宋体" w:eastAsia="宋体" w:cs="宋体"/>
                <w:color w:val="ff0000"/>
                <w:sz w:val="24"/>
                <w:szCs w:val="24"/>
                <w:lang w:eastAsia="zh-CN"/>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4、至少集成双口千兆以太网卡；</w:t>
            </w:r>
            <w:r>
              <w:rPr>
                <w:rFonts w:hint="eastAsia" w:ascii="宋体" w:hAnsi="宋体" w:eastAsia="宋体" w:cs="宋体"/>
                <w:color w:val="ff0000"/>
                <w:sz w:val="24"/>
                <w:szCs w:val="24"/>
                <w:lang w:eastAsia="zh-CN"/>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lang w:eastAsia="zh-CN"/>
              </w:rPr>
              <w:t xml:space="preserve">5、3年专业技术支持当日4小时(24*7)服务（人力+配件）</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 xml:space="preserve">18</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硬盘录像机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海康DS-8632N-I16</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3U标准机架式IP存储，DSP+ARM架构，嵌入式软硬件设计；支持32路高清，320M带宽网络视频接入；支持16个SATA盘位；支持RAID 0、1、5、6、10多种RAID模式及全局热备，多重保护数据安全；支持4K分辨率接入和解码输出；支持H.265、H.264编码前端自适应接入；支持关键视频添加标签和加锁保护、整机热备、断网续传、SMART 2.0等功能；2个千兆以太网口，充分满足网络预览、回放以及备份应用。</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 xml:space="preserve">19</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硬盘</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希捷ST4000VX000-520</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rPr>
              <w:t xml:space="preserve">4T</w:t>
            </w:r>
            <w:r>
              <w:rPr>
                <w:rFonts w:hint="eastAsia" w:ascii="宋体" w:hAnsi="宋体" w:eastAsia="宋体" w:cs="宋体"/>
                <w:color w:val="ff0000"/>
                <w:sz w:val="24"/>
                <w:szCs w:val="24"/>
                <w:lang w:val="en-US"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块</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32</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 xml:space="preserve">20</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理线架</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国标</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机柜标准配套</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条</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6</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 xml:space="preserve">21</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电脑</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戴尔OptiPlex7050</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英特尔Q270芯片组/i7-6700 处理器（四核, 8MB,  3.4GHz, 65W）/ 4GB内存/1T硬盘/宽屏显示器/2GB 独立显卡/集成10/100/1000/网卡/原厂USB光电鼠标、键盘/正版Windows7  简体中文/原厂3年整机第二工作日上门服务（配件+人力)/立式机箱</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b/>
                <w:bCs/>
                <w:color w:val="ff0000"/>
                <w:sz w:val="24"/>
                <w:szCs w:val="24"/>
              </w:rPr>
              <w:t xml:space="preserve">三、小区前端设备</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室外枪型摄像机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海康DS-2CD2T46DWDA1-I</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400万1/2.7”CMOS网络摄像机</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最小照度:0.005Lux @(F1.2,AGC ON) ,0 Lux with IR</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镜头:可选, 水平视场角82.5°</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宽动态范围:120dB</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视频压缩标准:H.265/H.264/ MJPEG</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最大图像尺寸:2688 x 1520</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通讯接口:1个RJ45 10M / 100M 自适应以太网口</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工作温度和湿度:-30℃~60℃,湿度小于95%(无凝结)</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电源供应:DC12V±25% </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电源接口类型:Φ5.5mm圆头电源接口</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功耗DC12V: 8W Max</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红外照射距离:最远可达50米</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31</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室外球型摄像机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海康DS-2DE7220MX-A/S1</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200万像素7</w:t>
            </w:r>
            <w:r>
              <w:rPr>
                <w:rFonts w:hint="eastAsia" w:ascii="宋体" w:hAnsi="宋体" w:eastAsia="宋体" w:cs="宋体"/>
                <w:color w:val="ff0000"/>
                <w:sz w:val="24"/>
                <w:szCs w:val="24"/>
                <w:lang w:val="en-US" w:eastAsia="zh-CN"/>
              </w:rPr>
              <w:t xml:space="preserve">英</w:t>
            </w:r>
            <w:r>
              <w:rPr>
                <w:rFonts w:hint="eastAsia" w:ascii="宋体" w:hAnsi="宋体" w:eastAsia="宋体" w:cs="宋体"/>
                <w:color w:val="ff0000"/>
                <w:sz w:val="24"/>
                <w:szCs w:val="24"/>
              </w:rPr>
              <w:t xml:space="preserve">寸网络高清智能球机；1920×1080@30fps</w:t>
            </w:r>
            <w:r>
              <w:rPr>
                <w:rFonts w:hint="eastAsia" w:ascii="宋体" w:hAnsi="宋体" w:eastAsia="宋体" w:cs="宋体"/>
                <w:color w:val="ff0000"/>
                <w:sz w:val="24"/>
                <w:szCs w:val="24"/>
              </w:rPr>
              <w:t xml:space="preserve">；支持1080p@60fps、960p@60fps帧率输出0.005Lux/F1.2(彩色),0.001Lux/F1.2(黑白) ,0 Lux with IR；红外光照射距离最远可达100m；焦距：4.8 - 96 mm, 20倍光学；支持音频、报警；水平键控速度最大160°/s，垂直键控速度最大120°/s，垂直范围-15°~90°；H.265/H.264/MJPEG；最大支持256GB Micro SD卡；AC24V，40W max（其中补光灯15W max）；支持IP66；工作温度：-30℃-65℃。</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3</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出入口人脸抓拍机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海康DS-2CD7627FWD/F-LZS</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200万 1/1.8"人脸筒型网络摄像机；</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最低照度:彩色：0.001Lux,黑白：0.0001Lux ,0 Lux with LED；</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视频压缩标准:H.265/H.264；</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最大图像尺寸:1920×1080；</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区域裁剪:支持裁剪画面传输；</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日夜转换方式:自动切换,定时切换,报警触发切换；</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图片叠加:支持BMP 24位图像叠加,可选择区域；</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感兴趣区域:ROI支持主码流、子码流、第三码流分别设置4个固定区域；</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智能报警:移动侦测,遮挡报警,网线断开,IP地址冲突,存储器满,存储器错,非法访问；</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人脸抓拍:支持对运动人脸进行检测、跟踪、抓拍、评分、筛选，输出最优的人脸抓图；</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抓图分辨率:分辨率：1920x1080/1280x720可选背景大图图片字符叠加功能:支持设备编号、抓拍时间、监测点信息；</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抓拍次数:支持抓拍次数（1-10次）可设人脸曝光支持；</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智能补光:设备内置高效白光阵列灯，可定时开启；</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宽动态:超宽动态范围120dB；</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通讯接口:1 个RJ45 10M / 100M/1000M自适应以太网口；</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防护等级:IP66；</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室内半球摄像机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海康DS-2CD2345D-I</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400万1/3”CMOS ICR日夜型半球型网络摄像机；支持H.265及/H.264编码；最小照度：0.07Lux @(F1.2,AGC ON) ,0 Lux with IR；0.19 Lux @(F2.0,AGC ON), 0 Lux with IR；调整角度不小于水平:0°~360°;垂直:0°~ 75°;旋转:0°~360°；宽动态范围：120dB；帧率不小于50Hz: 25fps；工作温度和湿度-30℃~60℃,湿度小于95%(无凝结)；；红外照射距离不小于20米；防护等级不小于IP66</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33</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5</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室内筒型摄像机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海康DS-2CD2T46DWDA1-I</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400万1/2.7”CMOS网络摄像机</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最小照度:0.005Lux @(F1.2,AGC ON) ,0 Lux with IR</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镜头:可选, 水平视场角82.5°</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宽动态范围:120dB</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视频压缩标准:H.265/H.264/ MJPEG</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最大图像尺寸:2688 x 1520</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通讯接口:1个RJ45 10M / 100M 自适应以太网口</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工作温度和湿度:-30℃~60℃,湿度小于95%(无凝结)</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电源供应:DC12V±25% </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电源接口类型:Φ5.5mm圆头电源接口</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功耗DC12V: 8W Max</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红外照射距离:最远可达50米</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29</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6</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室外支架</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车安DS-1269ZJ</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壁装支架/白/铝合金/尺寸不小于85</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安装面宽度</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×115</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安装面宽度</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×295</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伸出总长</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mm</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个</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31</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7</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室内支架</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车安DS-1292ZJ</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壁装支架/白/铝合金/尺寸不小于70</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安装面宽度</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×95</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安装面宽度</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×180</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伸出总长</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mm</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29</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8</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立杆</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定制3.5米</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3.5米，含基础</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根</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14</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9</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成品手孔井</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定制400mm×400mm×350mm</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400mm（</w:t>
            </w:r>
            <w:r>
              <w:rPr>
                <w:rFonts w:hint="eastAsia" w:ascii="宋体" w:hAnsi="宋体" w:eastAsia="宋体" w:cs="宋体"/>
                <w:color w:val="ff0000"/>
                <w:sz w:val="24"/>
                <w:szCs w:val="24"/>
                <w:lang w:val="en-US" w:eastAsia="zh-CN"/>
              </w:rPr>
              <w:t xml:space="preserve">高</w:t>
            </w:r>
            <w:r>
              <w:rPr>
                <w:rFonts w:hint="eastAsia" w:ascii="宋体" w:hAnsi="宋体" w:eastAsia="宋体" w:cs="宋体"/>
                <w:color w:val="ff0000"/>
                <w:sz w:val="24"/>
                <w:szCs w:val="24"/>
              </w:rPr>
              <w:t xml:space="preserve">）×400mm（长）×350mm（</w:t>
            </w:r>
            <w:r>
              <w:rPr>
                <w:rFonts w:hint="eastAsia" w:ascii="宋体" w:hAnsi="宋体" w:eastAsia="宋体" w:cs="宋体"/>
                <w:color w:val="ff0000"/>
                <w:sz w:val="24"/>
                <w:szCs w:val="24"/>
                <w:lang w:val="en-US" w:eastAsia="zh-CN"/>
              </w:rPr>
              <w:t xml:space="preserve">宽</w:t>
            </w:r>
            <w:r>
              <w:rPr>
                <w:rFonts w:hint="eastAsia" w:ascii="宋体" w:hAnsi="宋体" w:eastAsia="宋体" w:cs="宋体"/>
                <w:color w:val="ff0000"/>
                <w:sz w:val="24"/>
                <w:szCs w:val="24"/>
              </w:rPr>
              <w:t xml:space="preserve">）</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个</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60</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10</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防雷器</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合鑫雷安网络二合一</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网络二合一</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个</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31</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11</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设备箱</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定制670mm×400mm×350mm</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≥670mm（</w:t>
            </w:r>
            <w:r>
              <w:rPr>
                <w:rFonts w:hint="eastAsia" w:ascii="宋体" w:hAnsi="宋体" w:eastAsia="宋体" w:cs="宋体"/>
                <w:color w:val="ff0000"/>
                <w:sz w:val="24"/>
                <w:szCs w:val="24"/>
                <w:lang w:val="en-US" w:eastAsia="zh-CN"/>
              </w:rPr>
              <w:t xml:space="preserve">高</w:t>
            </w:r>
            <w:r>
              <w:rPr>
                <w:rFonts w:hint="eastAsia" w:ascii="宋体" w:hAnsi="宋体" w:eastAsia="宋体" w:cs="宋体"/>
                <w:color w:val="ff0000"/>
                <w:sz w:val="24"/>
                <w:szCs w:val="24"/>
              </w:rPr>
              <w:t xml:space="preserve">）×400mm（长）×350mm（</w:t>
            </w:r>
            <w:r>
              <w:rPr>
                <w:rFonts w:hint="eastAsia" w:ascii="宋体" w:hAnsi="宋体" w:eastAsia="宋体" w:cs="宋体"/>
                <w:color w:val="ff0000"/>
                <w:sz w:val="24"/>
                <w:szCs w:val="24"/>
                <w:lang w:val="en-US" w:eastAsia="zh-CN"/>
              </w:rPr>
              <w:t xml:space="preserve">宽</w:t>
            </w:r>
            <w:r>
              <w:rPr>
                <w:rFonts w:hint="eastAsia" w:ascii="宋体" w:hAnsi="宋体" w:eastAsia="宋体" w:cs="宋体"/>
                <w:color w:val="ff0000"/>
                <w:sz w:val="24"/>
                <w:szCs w:val="24"/>
              </w:rPr>
              <w:t xml:space="preserve">）</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个</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23</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12</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交换机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华为S1700-8G-AC</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传输速率：10/100/1000Mbps</w:t>
            </w:r>
            <w:r>
              <w:rPr>
                <w:rFonts w:hint="eastAsia" w:ascii="宋体" w:hAnsi="宋体" w:eastAsia="宋体" w:cs="宋体"/>
                <w:color w:val="ff0000"/>
                <w:sz w:val="24"/>
                <w:szCs w:val="24"/>
                <w:lang w:eastAsia="zh-CN"/>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背板带宽：16Gbps</w:t>
            </w:r>
            <w:r>
              <w:rPr>
                <w:rFonts w:hint="eastAsia" w:ascii="宋体" w:hAnsi="宋体" w:eastAsia="宋体" w:cs="宋体"/>
                <w:color w:val="ff0000"/>
                <w:sz w:val="24"/>
                <w:szCs w:val="24"/>
                <w:lang w:eastAsia="zh-CN"/>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包转发率：12Mpps</w:t>
            </w:r>
            <w:r>
              <w:rPr>
                <w:rFonts w:hint="eastAsia" w:ascii="宋体" w:hAnsi="宋体" w:eastAsia="宋体" w:cs="宋体"/>
                <w:color w:val="ff0000"/>
                <w:sz w:val="24"/>
                <w:szCs w:val="24"/>
                <w:lang w:eastAsia="zh-CN"/>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标配固定端口参数：8个10/100/1000Base-T以太网端口</w:t>
            </w:r>
            <w:r>
              <w:rPr>
                <w:rFonts w:hint="eastAsia" w:ascii="宋体" w:hAnsi="宋体" w:eastAsia="宋体" w:cs="宋体"/>
                <w:color w:val="ff0000"/>
                <w:sz w:val="24"/>
                <w:szCs w:val="24"/>
                <w:lang w:eastAsia="zh-CN"/>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可选端口描述:无</w:t>
            </w:r>
            <w:r>
              <w:rPr>
                <w:rFonts w:hint="eastAsia" w:ascii="宋体" w:hAnsi="宋体" w:eastAsia="宋体" w:cs="宋体"/>
                <w:color w:val="ff0000"/>
                <w:sz w:val="24"/>
                <w:szCs w:val="24"/>
                <w:lang w:eastAsia="zh-CN"/>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lang w:eastAsia="zh-CN"/>
              </w:rPr>
              <w:t xml:space="preserve">MAC地址表:8K</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27</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13</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数字光端机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恒信和安MIB12G-1E-1GA/B-EN</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20KM单模单纤百兆网络光收发器</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对</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23</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14</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监视器</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三星C32F391FWC</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屏幕类型: LED</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面板类型: VA</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rPr>
              <w:t xml:space="preserve">屏幕尺寸: 32</w:t>
            </w:r>
            <w:r>
              <w:rPr>
                <w:rFonts w:hint="eastAsia" w:ascii="宋体" w:hAnsi="宋体" w:eastAsia="宋体" w:cs="宋体"/>
                <w:color w:val="ff0000"/>
                <w:sz w:val="24"/>
                <w:szCs w:val="24"/>
                <w:lang w:val="en-US" w:eastAsia="zh-CN"/>
              </w:rPr>
              <w:t xml:space="preserve">英寸</w:t>
            </w:r>
            <w:r>
              <w:rPr>
                <w:rFonts w:hint="eastAsia" w:ascii="宋体" w:hAnsi="宋体" w:eastAsia="宋体" w:cs="宋体"/>
                <w:color w:val="ff0000"/>
                <w:sz w:val="24"/>
                <w:szCs w:val="24"/>
                <w:lang w:val="en-US" w:eastAsia="zh-CN"/>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英寸分辨率: 1920*1080（全高清）</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屏幕比例: 16:9</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刷新率: 其他</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曲率: 1800R</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静态对比度: 3000:1</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动态对比度: 百万级动态对比度</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接口类型: HDMI D-SUB</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附加功能: 可壁挂</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6</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15</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监视器支架</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三星配套</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监视器配套支架</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套</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6</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16</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机柜</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图腾600*1000*2000</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42U</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机柜标准 </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19英寸标准</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材料及工艺 </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前门玻璃,后门钣金,材料采用SPCC优质冷轧钢</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规格不小于600</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lang w:val="en-US" w:eastAsia="zh-CN"/>
              </w:rPr>
              <w:t xml:space="preserve">宽</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×1000</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lang w:val="en-US" w:eastAsia="zh-CN"/>
              </w:rPr>
              <w:t xml:space="preserve">深</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×2000</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lang w:val="en-US" w:eastAsia="zh-CN"/>
              </w:rPr>
              <w:t xml:space="preserve">高</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mm </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17</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千兆交换机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华为S1724G</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24口10/100/1000M自适应电口交换机</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 xml:space="preserve">18</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小区管理服务器</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戴尔R730</w:t>
            </w:r>
            <w:r>
              <w:rPr>
                <w:rFonts w:hint="eastAsia" w:ascii="宋体" w:hAnsi="宋体" w:eastAsia="宋体" w:cs="宋体"/>
                <w:color w:val="ff0000"/>
                <w:sz w:val="24"/>
                <w:szCs w:val="24"/>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1、CPU:1颗英特尔至强 E5-2620 v4 2.1GHz,20M 缓存,8.0GT/s QPI,无Turbo,无 HT,6C/12T (85W) ；</w:t>
            </w:r>
            <w:r>
              <w:rPr>
                <w:rFonts w:hint="eastAsia" w:ascii="宋体" w:hAnsi="宋体" w:eastAsia="宋体" w:cs="宋体"/>
                <w:color w:val="ff0000"/>
                <w:sz w:val="24"/>
                <w:szCs w:val="24"/>
                <w:lang w:eastAsia="zh-CN"/>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2、内存: 32GB内存，</w:t>
            </w:r>
            <w:r>
              <w:rPr>
                <w:rFonts w:hint="eastAsia" w:ascii="宋体" w:hAnsi="宋体" w:eastAsia="宋体" w:cs="宋体"/>
                <w:color w:val="ff0000"/>
                <w:sz w:val="24"/>
                <w:szCs w:val="24"/>
                <w:lang w:eastAsia="zh-CN"/>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3、硬盘：1块512G SSD 2块600G,10K SAS；</w:t>
            </w:r>
            <w:r>
              <w:rPr>
                <w:rFonts w:hint="eastAsia" w:ascii="宋体" w:hAnsi="宋体" w:eastAsia="宋体" w:cs="宋体"/>
                <w:color w:val="ff0000"/>
                <w:sz w:val="24"/>
                <w:szCs w:val="24"/>
                <w:lang w:eastAsia="zh-CN"/>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4、至少集成双口千兆以太网卡；</w:t>
            </w:r>
            <w:r>
              <w:rPr>
                <w:rFonts w:hint="eastAsia" w:ascii="宋体" w:hAnsi="宋体" w:eastAsia="宋体" w:cs="宋体"/>
                <w:color w:val="ff0000"/>
                <w:sz w:val="24"/>
                <w:szCs w:val="24"/>
                <w:lang w:eastAsia="zh-CN"/>
              </w:rPr>
            </w:r>
            <w:r/>
          </w:p>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lang w:eastAsia="zh-CN"/>
              </w:rPr>
              <w:t xml:space="preserve">5、3年专业技术支持当日4小时(24*7)服务（人力+配件）</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 xml:space="preserve">19</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电脑</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639"/>
              <w:ind w:left="0"/>
              <w:jc w:val="left"/>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戴尔OptiPlex7050</w:t>
            </w:r>
            <w:r>
              <w:rPr>
                <w:rFonts w:hint="eastAsia" w:ascii="宋体" w:hAnsi="宋体" w:eastAsia="宋体" w:cs="宋体"/>
                <w:color w:val="ff0000"/>
                <w:sz w:val="24"/>
                <w:szCs w:val="24"/>
              </w:rPr>
            </w:r>
            <w:r/>
          </w:p>
          <w:p>
            <w:pPr>
              <w:pStyle w:val="639"/>
              <w:ind w:left="0"/>
              <w:jc w:val="left"/>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lang w:eastAsia="zh-CN"/>
              </w:rPr>
              <w:t xml:space="preserve">英特尔Q270芯片组/i7-6700 处理器（四核, 8MB,  3.4GHz, 65W）/ 4GB内存/1T硬盘/宽屏显示器/2GB 独立显卡/集成10/100/1000/网卡/原厂USB光电鼠标、键盘/正版Windows7  简体中文/原厂3年整机第二工作日上门服务（配件+人力)/立式机箱</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台</w:t>
            </w:r>
            <w:r>
              <w:rPr>
                <w:rFonts w:hint="eastAsia" w:ascii="宋体" w:hAnsi="宋体" w:eastAsia="宋体" w:cs="宋体"/>
                <w:color w:val="ff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39"/>
              <w:ind w:left="0"/>
              <w:keepLines w:val="0"/>
              <w:keepNext w:val="0"/>
              <w:pageBreakBefore w:val="0"/>
              <w:spacing w:line="240" w:lineRule="auto"/>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rPr>
            </w:r>
            <w:r/>
          </w:p>
        </w:tc>
      </w:tr>
    </w:tbl>
    <w:p>
      <w:pPr>
        <w:pStyle w:val="639"/>
        <w:ind w:left="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2.2019年投入使用</w:t>
      </w:r>
      <w:r>
        <w:rPr>
          <w:rFonts w:hint="eastAsia" w:ascii="宋体" w:hAnsi="宋体" w:eastAsia="宋体" w:cs="宋体"/>
          <w:b/>
          <w:bCs/>
          <w:color w:val="000000"/>
          <w:sz w:val="24"/>
          <w:szCs w:val="24"/>
        </w:rPr>
      </w:r>
      <w:r/>
    </w:p>
    <w:tbl>
      <w:tblPr>
        <w:tblW w:w="1050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6"/>
        <w:gridCol w:w="2276"/>
        <w:gridCol w:w="6643"/>
        <w:gridCol w:w="400"/>
        <w:gridCol w:w="478"/>
      </w:tblGrid>
      <w:tr>
        <w:trPr>
          <w:tblHeade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维护部位、名称</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品牌规格或维护要求</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639"/>
              <w:ind w:left="0"/>
              <w:keepLines w:val="0"/>
              <w:keepNext w:val="0"/>
              <w:pageBreakBefore w:val="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一、后端设备</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智慧社区综合安防管控系统</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hikvision7700</w:t>
            </w:r>
            <w:r>
              <w:rPr>
                <w:rFonts w:hint="eastAsia" w:ascii="宋体" w:hAnsi="宋体" w:eastAsia="宋体" w:cs="宋体"/>
                <w:color w:val="000000"/>
                <w:sz w:val="24"/>
                <w:szCs w:val="24"/>
              </w:rPr>
            </w:r>
            <w:r/>
          </w:p>
          <w:p>
            <w:pPr>
              <w:pStyle w:val="639"/>
              <w:ind w:left="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社区子系统</w:t>
            </w:r>
            <w:r>
              <w:rPr>
                <w:rFonts w:hint="eastAsia" w:ascii="宋体" w:hAnsi="宋体" w:eastAsia="宋体" w:cs="宋体"/>
                <w:color w:val="000000"/>
                <w:sz w:val="24"/>
                <w:szCs w:val="24"/>
              </w:rPr>
            </w:r>
            <w:r/>
          </w:p>
          <w:p>
            <w:pPr>
              <w:pStyle w:val="639"/>
              <w:ind w:left="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社区子系统主要包含了人房管理、出入查询、日志查询、报表管理出入查询，该模块主要是为了让用户能快速的了解到当前的有权限的门禁点下的用户的出入情况以及抓图和录像的情况。可查看人员的详情以及最近的出入记录。</w:t>
            </w:r>
            <w:r>
              <w:rPr>
                <w:rFonts w:hint="eastAsia" w:ascii="宋体" w:hAnsi="宋体" w:eastAsia="宋体" w:cs="宋体"/>
                <w:color w:val="000000"/>
                <w:sz w:val="24"/>
                <w:szCs w:val="24"/>
              </w:rPr>
            </w:r>
            <w:r/>
          </w:p>
          <w:p>
            <w:pPr>
              <w:pStyle w:val="639"/>
              <w:ind w:left="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人员管控模块</w:t>
            </w:r>
            <w:r>
              <w:rPr>
                <w:rFonts w:hint="eastAsia" w:ascii="宋体" w:hAnsi="宋体" w:eastAsia="宋体" w:cs="宋体"/>
                <w:color w:val="000000"/>
                <w:sz w:val="24"/>
                <w:szCs w:val="24"/>
              </w:rPr>
            </w:r>
            <w:r/>
          </w:p>
          <w:p>
            <w:pPr>
              <w:pStyle w:val="639"/>
              <w:ind w:left="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社区居住人员录入（增删改查）为了能够快速的添加组织区域、单元楼、出租屋、社区等信息，在组织区域下可以添加人员信息，并可以快速的在添加完房屋后，不断添加租客信息，支持各品牌读卡器的读取身份证的功能，并能够通过系统达到发卡，并实时的下发权限，也支持人证合一设备进行人员身份信息读取，并进行人脸比对、人脸抓拍，同时支持指纹开卡的功能。另外，支持卡的增删改查、管理员的增删改查、组织区域的增删改查、房屋的增删改查，同时也支持人员的移动和组织区域、人员的导出Exce表格。</w:t>
            </w:r>
            <w:r>
              <w:rPr>
                <w:rFonts w:hint="eastAsia" w:ascii="宋体" w:hAnsi="宋体" w:eastAsia="宋体" w:cs="宋体"/>
                <w:color w:val="000000"/>
                <w:sz w:val="24"/>
                <w:szCs w:val="24"/>
              </w:rPr>
            </w:r>
            <w:r/>
          </w:p>
          <w:p>
            <w:pPr>
              <w:pStyle w:val="639"/>
              <w:ind w:left="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人员档案管理</w:t>
            </w:r>
            <w:r>
              <w:rPr>
                <w:rFonts w:hint="eastAsia" w:ascii="宋体" w:hAnsi="宋体" w:eastAsia="宋体" w:cs="宋体"/>
                <w:color w:val="000000"/>
                <w:sz w:val="24"/>
                <w:szCs w:val="24"/>
              </w:rPr>
            </w:r>
            <w:r/>
          </w:p>
          <w:p>
            <w:pPr>
              <w:pStyle w:val="639"/>
              <w:ind w:left="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协管员、物管部门的人员信息采集，对辖区内所有人员信息进行汇总，形成人员信息库，人员档案管理支持对人员的基本信息、所拥有的车辆信息、人员门禁出入记录、车辆出入记录、过车记录、人员居住信息等大集成，集中展示。支持按姓名、身份证号码、境内外人员、性别、民族、手机号码等条件进行查询。</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应用程序服务器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戴尔PowerEdgeR730服务器</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1、CPU:2颗英特尔至强 E5-2620 v4 2.1GHz,20M 缓存,8.0GT/s QPI,无Turbo,无 HT,6C/12T (85W) ；</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2、内存: 32GB内存，</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3、硬盘：1块512G SSD  2块600G,10K SAS</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4、至少集成双口千兆以太网卡；</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5、3年专业技术支持当日4小时(24*7)服务（人力+配件）</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6、Windows Server 正版云操作系统数据中心版（2016版本，含25个客户端访问许可）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人脸分析服务器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海康威视iDS-96008NX-I2</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支持≥8路人脸名单库比对报警</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支持人脸1v1比对</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支持以图搜图</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硬件规格：</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标准机架式安装、</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≥2个存储盘位</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1个或以上千兆网口</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2个或以上USB3.0接口</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传输性能：</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输入带宽≥200M</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≥8路H.265、支持16×1080P解码</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支持H.265、H.264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二、小区</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（一）出入口管理系统前端设备</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人脸识别摄像机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海康威视DS-2CD762CJ-AJN</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最低照度：彩色:≤0.02 Lux @ (F1.2, AGC ON)黑白: ≤0.01 Lux @ (F1.2, AGC ON)，0Lux with IR镜头：变焦@F1.4</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视频压缩标准：H.265/H.264 / MJPEG</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最大图像尺寸：≥1920×1080</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存储功能：支持Micro SD/SDHC /SDXC卡(128G)断网本地存储及断网续传,NAS(NFS,SMB/CIFS均支持)</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通讯接口： 100M/1000M自适应以太网口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国产670mm（</w:t>
            </w:r>
            <w:r>
              <w:rPr>
                <w:rFonts w:hint="eastAsia" w:ascii="宋体" w:hAnsi="宋体" w:eastAsia="宋体" w:cs="宋体"/>
                <w:color w:val="000000"/>
                <w:sz w:val="24"/>
                <w:szCs w:val="24"/>
                <w:lang w:val="en-US" w:eastAsia="zh-CN"/>
              </w:rPr>
              <w:t xml:space="preserve">高</w:t>
            </w:r>
            <w:r>
              <w:rPr>
                <w:rFonts w:hint="eastAsia" w:ascii="宋体" w:hAnsi="宋体" w:eastAsia="宋体" w:cs="宋体"/>
                <w:color w:val="000000"/>
                <w:sz w:val="24"/>
                <w:szCs w:val="24"/>
              </w:rPr>
              <w:t xml:space="preserve">）×400mm（长）×350mm（</w:t>
            </w:r>
            <w:r>
              <w:rPr>
                <w:rFonts w:hint="eastAsia" w:ascii="宋体" w:hAnsi="宋体" w:eastAsia="宋体" w:cs="宋体"/>
                <w:color w:val="000000"/>
                <w:sz w:val="24"/>
                <w:szCs w:val="24"/>
                <w:lang w:val="en-US" w:eastAsia="zh-CN"/>
              </w:rPr>
              <w:t xml:space="preserve">宽</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8口千兆交换机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华为S1700-8G-AC</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传输速率10/100/1000/Mbps</w:t>
            </w:r>
            <w:r>
              <w:rPr>
                <w:rFonts w:hint="eastAsia" w:ascii="宋体" w:hAnsi="宋体" w:eastAsia="宋体" w:cs="宋体"/>
                <w:color w:val="000000"/>
                <w:sz w:val="24"/>
                <w:szCs w:val="24"/>
              </w:rPr>
            </w:r>
            <w:r/>
          </w:p>
          <w:p>
            <w:pPr>
              <w:pStyle w:val="639"/>
              <w:ind w:left="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标配固定端口参数：8个10/100/1000Base-T以太网端口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权智12V10A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排插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公牛4排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（二）视频监控系统前端设备</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星光级网络摄像机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海康威视DS-2CD7T4GLB-NT</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 星光级1/1.8" CMOS网络摄像机</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视频压缩标准：H.265/H.264 / MJPEG</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最大图像尺寸：≥2560×1440</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存储功能：支持断网本地存储及断网续传</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宽动态：超宽动态范围≥120dB，适合逆光环境下监控</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通讯接口：100M自适应以太网口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定制3.5米</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立杆基础</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定制配套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挑臂</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定制0.5米</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rPr>
                <w:rFonts w:hint="eastAsia" w:ascii="宋体" w:hAnsi="宋体" w:eastAsia="宋体" w:cs="宋体"/>
                <w:color w:val="000000"/>
                <w:sz w:val="24"/>
                <w:szCs w:val="24"/>
              </w:rPr>
            </w:r>
            <w:r/>
          </w:p>
        </w:tc>
      </w:tr>
      <w:tr>
        <w:trPr>
          <w:trHeight w:val="247"/>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预制成品穿线井</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定制400mm(高)*400mm（长）*350mm(宽)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r>
      <w:tr>
        <w:trPr>
          <w:trHeight w:val="277"/>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插座</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百兆数字光端机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恒信和安MIB1G-1E-1GA/B-EN</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20KM单模单纤百兆网络光收发器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千兆数字光端机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恒信和安MIB12G-1E-1GA/B-EN</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20KM单模单纤千兆网络光收发器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权智12V2A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8口千兆交换机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华为S1700-8G-AC</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传输速率：10/100/1000Mbps</w:t>
            </w:r>
            <w:r>
              <w:rPr>
                <w:rFonts w:hint="eastAsia" w:ascii="宋体" w:hAnsi="宋体" w:eastAsia="宋体" w:cs="宋体"/>
                <w:color w:val="000000"/>
                <w:sz w:val="24"/>
                <w:szCs w:val="24"/>
              </w:rPr>
            </w:r>
            <w:r/>
          </w:p>
          <w:p>
            <w:pPr>
              <w:pStyle w:val="639"/>
              <w:ind w:left="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标配固定端口参数：8个10/100/1000Base-T以太网端口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24口千兆交换机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华为S1724G</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24口10/100/1000M自适应电口交换机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（三）中控设备</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监视器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三星C32F391FWC</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屏幕类型: LED</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屏幕尺寸: 32</w:t>
            </w:r>
            <w:r>
              <w:rPr>
                <w:rFonts w:hint="eastAsia" w:ascii="宋体" w:hAnsi="宋体" w:eastAsia="宋体" w:cs="宋体"/>
                <w:color w:val="000000"/>
                <w:sz w:val="24"/>
                <w:szCs w:val="24"/>
                <w:lang w:val="en-US" w:eastAsia="zh-CN"/>
              </w:rPr>
              <w:t xml:space="preserve">英寸</w:t>
            </w:r>
            <w:r>
              <w:rPr>
                <w:rFonts w:hint="eastAsia" w:ascii="宋体" w:hAnsi="宋体" w:eastAsia="宋体" w:cs="宋体"/>
                <w:color w:val="000000"/>
                <w:sz w:val="24"/>
                <w:szCs w:val="24"/>
                <w:lang w:val="en-US" w:eastAsia="zh-CN"/>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英寸分辨率: 1920*1080（全高清）</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屏幕比例: 16:9</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 HDMI </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附加功能: 可壁挂</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监视器支架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三星配套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图腾G26042</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×1000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深</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×2000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PDU</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图腾配套</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机柜标准配套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理线架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图腾配套</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机柜标准配套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rHeight w:val="519"/>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24口千兆交换机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华为S1724G</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24口10/100/1000M自适应电口交换机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8口千兆交换机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华为S1700-8G-AC</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传输速率：10/100/1000Mbps</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标配固定端口参数：8个10/100/1000Base-T以太网端口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硬盘录像机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海康威视DS-9632N-I16</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U标准机架式IP存储，DSP+ARM架构，嵌入式软硬件设计；支持32路高清，320M带宽网络视频接入；支持16个SATA盘位；支持RAID0、1、5、6、10多种RAID模式及全局热备，多重保护数据安全；支持4K分辨率接入和解码输出；支持H.265、H.264编码前端自适应接入；支持关键视频添加标签和加锁保护、整机热备、断网续传、SMART2.0等功能；2个千兆以太网口，充分满足网络预览、回放以及备份应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工作站电脑</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戴尔OptiPlex7050</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高于或等于I5/4G/500G/集显/19</w:t>
            </w:r>
            <w:r>
              <w:rPr>
                <w:rFonts w:hint="eastAsia" w:ascii="宋体" w:hAnsi="宋体" w:eastAsia="宋体" w:cs="宋体"/>
                <w:color w:val="000000"/>
                <w:sz w:val="24"/>
                <w:szCs w:val="24"/>
                <w:lang w:val="en-US" w:eastAsia="zh-CN"/>
              </w:rPr>
              <w:t xml:space="preserve">英</w:t>
            </w:r>
            <w:r>
              <w:rPr>
                <w:rFonts w:hint="eastAsia" w:ascii="宋体" w:hAnsi="宋体" w:eastAsia="宋体" w:cs="宋体"/>
                <w:color w:val="000000"/>
                <w:sz w:val="24"/>
                <w:szCs w:val="24"/>
              </w:rPr>
              <w:t xml:space="preserve">寸/</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希捷ST4000VX000-520</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4TB   监控专用硬盘</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639"/>
              <w:ind w:left="0"/>
              <w:keepLines w:val="0"/>
              <w:keepNext w:val="0"/>
              <w:pageBreakBefore w:val="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639"/>
              <w:ind w:left="0"/>
              <w:keepLines w:val="0"/>
              <w:keepNext w:val="0"/>
              <w:pageBreakBefore w:val="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（一）出入口管理系统前端设备</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人脸识别摄像机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海康威视DS-2CD762CJ-AJN</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最低照度：彩色:≤0.02 Lux @ (F1.2, AGC ON)    黑白: ≤0.01 Lux @ (F1.2, AGC ON)，0Lux with IR</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镜头：变焦@F1.4</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视频压缩标准：H.265/H.264 / MJPEG</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最大图像尺寸：≥1920×1080</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存储功能：支持Micro SD/SDHC /SDXC卡(128G)断网本地存储及断网续传,NAS(NFS,SMB/CIFS均支持)</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通讯接口： 100M/1000M自适应以太网口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国产670mm×400mm×350mm</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不锈钢材质670mm(高)×400mm（长）×350mm(宽)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8口千兆交换机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华为S1700-8G-AC</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传输速率10/100/1000Mbps</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标配固定端口参数：8个10/100/1000Base-T以太网端口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权智12V10A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排插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公牛4排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访客登记终端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研腾YT-FK200</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桌面台式访客登记终端</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显示屏：≥10</w:t>
            </w:r>
            <w:r>
              <w:rPr>
                <w:rFonts w:hint="eastAsia" w:ascii="宋体" w:hAnsi="宋体" w:eastAsia="宋体" w:cs="宋体"/>
                <w:color w:val="000000"/>
                <w:sz w:val="24"/>
                <w:szCs w:val="24"/>
                <w:lang w:val="en-US" w:eastAsia="zh-CN"/>
              </w:rPr>
              <w:t xml:space="preserve">英</w:t>
            </w:r>
            <w:r>
              <w:rPr>
                <w:rFonts w:hint="eastAsia" w:ascii="宋体" w:hAnsi="宋体" w:eastAsia="宋体" w:cs="宋体"/>
                <w:color w:val="000000"/>
                <w:sz w:val="24"/>
                <w:szCs w:val="24"/>
              </w:rPr>
              <w:t xml:space="preserve">寸全彩显示器</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支持身份证刷卡、证件扫描、访客单打印、带高清摄像头支持拍照功能、数据支持联网导出至系统</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（二）视频监控系统前段设备</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星光级网络摄像机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海康威视DS-2CD7T4GLB-NT</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 星光级1/1.8" CMOS网络摄像机</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视频压缩标准：H.265/H.264 / MJPEG</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最大图像尺寸：≥2560×1440</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存储功能：支持断网本地存储及断网续传</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宽动态：超宽动态范围≥120dB，适合逆光环境下监控</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通讯接口：100M自适应以太网口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定制3.5米</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立杆基础</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定制配套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挑臂</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定制0.5米</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监控井</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定制400mm(高)*400mm（长）*350mm(宽)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插座</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百兆数字光端机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恒信和安MIB1G-1E-1GA/B-EN</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20KM单模单纤百兆网络光收发器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权智12V2A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千兆8口交换机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华为S1700-8G-AC</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传输速率：10/100/1000Mbps</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标配固定端口参数：8个10/100/1000Base-T以太网端口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（三）中控设备</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监视器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三星C32F391FWC</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屏幕类型:LED</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屏幕尺寸:32</w:t>
            </w:r>
            <w:r>
              <w:rPr>
                <w:rFonts w:hint="eastAsia" w:ascii="宋体" w:hAnsi="宋体" w:eastAsia="宋体" w:cs="宋体"/>
                <w:color w:val="000000"/>
                <w:sz w:val="24"/>
                <w:szCs w:val="24"/>
                <w:lang w:val="en-US" w:eastAsia="zh-CN"/>
              </w:rPr>
              <w:t xml:space="preserve">英寸</w:t>
            </w:r>
            <w:r>
              <w:rPr>
                <w:rFonts w:hint="eastAsia" w:ascii="宋体" w:hAnsi="宋体" w:eastAsia="宋体" w:cs="宋体"/>
                <w:color w:val="000000"/>
                <w:sz w:val="24"/>
                <w:szCs w:val="24"/>
                <w:lang w:val="en-US" w:eastAsia="zh-CN"/>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英寸分辨率:1920*1080（全高清）</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屏幕比例:16:9</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接口类型:HDMI</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附加功能:可壁挂</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监视器支架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三星配套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图腾G26042</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×1000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深</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×2000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PDU</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图腾配套</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机柜标准配套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理线架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图腾配套</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机柜标准配套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24口千兆交换机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华为S1724G</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24口10/100/1000M自适应电口交换机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8口千兆交换机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华为S1700-8G-AC</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传输速率：10/100/1000Mbps</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标配固定端口参数：8个10/100/1000Base-T以太网端口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硬盘录像机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海康威视DS-9632N-I16</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U标准机架式IP存储，DSP+ARM架构，嵌入式软硬件设计；支持32路高清，320M带宽网络视频接入；支持16个SATA盘位；支持RAID0、1、5、6、10多种RAID模式及全局热备，多重保护数据安全；支持4K分辨率接入和解码输出；支持H.265、H.264编码前端自适应接入；支持关键视频添加标签和加锁保护、整机热备、断网续传、SMART2.0等功能；2个千兆以太网口，充分满足网络预览、回放以及备份应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工作站电脑</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戴尔OptiPlex7050</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高于或等于I5/4G/500G/集显/19</w:t>
            </w:r>
            <w:r>
              <w:rPr>
                <w:rFonts w:hint="eastAsia" w:ascii="宋体" w:hAnsi="宋体" w:eastAsia="宋体" w:cs="宋体"/>
                <w:color w:val="000000"/>
                <w:sz w:val="24"/>
                <w:szCs w:val="24"/>
                <w:lang w:val="en-US" w:eastAsia="zh-CN"/>
              </w:rPr>
              <w:t xml:space="preserve">英</w:t>
            </w:r>
            <w:r>
              <w:rPr>
                <w:rFonts w:hint="eastAsia" w:ascii="宋体" w:hAnsi="宋体" w:eastAsia="宋体" w:cs="宋体"/>
                <w:color w:val="000000"/>
                <w:sz w:val="24"/>
                <w:szCs w:val="24"/>
              </w:rPr>
              <w:t xml:space="preserve">寸/</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希捷ST4000VX000-520</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4TB   监控专用硬盘</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639"/>
              <w:ind w:left="0"/>
              <w:keepLines w:val="0"/>
              <w:keepNext w:val="0"/>
              <w:pageBreakBefore w:val="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639"/>
              <w:ind w:left="0"/>
              <w:keepLines w:val="0"/>
              <w:keepNext w:val="0"/>
              <w:pageBreakBefore w:val="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（一）出入口管理系统前端设备</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人脸识别摄像机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海康威视DS-2CD762CJ-AJN</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最低照度：彩色:≤0.02 Lux @ (F1.2, AGC ON)    黑白: ≤0.01 Lux @ (F1.2, AGC ON)，0Lux with IR</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镜头：变焦@F1.4</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视频压缩标准：H.265/H.264 / MJPEG</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最大图像尺寸：≥1920×1080</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存储功能：支持Micro SD/SDHC /SDXC卡(128G)断网本地存储及断网续传,NAS(NFS,SMB/CIFS均支持)</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通讯接口： 100M/1000M自适应以太网口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国产670mm×400mm×350mm</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不锈钢材质670mm(高)×400mm（长）×350mm(宽)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8口千兆交换机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华为S1700-8G-AC</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传输速率10/100/1000Mbps</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标配固定端口参数：8个10/100/1000Base-T以太网端口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权智12V10A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排插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公牛4排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（二）视频监控系统前端设备</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星光级网络摄像机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海康威视DS-2CD7T4GLB-NT</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 星光级1/1.8" CMOS网络摄像机</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视频压缩标准：H.265/H.264 / MJPEG</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最大图像尺寸：≥2560×1440</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存储功能：支持断网本地存储及断网续传</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宽动态：超宽动态范围≥120dB，适合逆光环境下监控</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通讯接口：100M自适应以太网口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定制3.5米</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立杆基础</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定制配套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挑臂</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定制0.5米</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预制成品穿线井</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定制400mm(高)*400mm（长）*350mm(宽)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插座</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数字光端机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恒信和安MIB1G-1E-1GA/B-EN</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20KM单模单纤百兆网络光收发器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权智12V2A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8口千兆交换机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华为S1700-8G-AC</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传输速率：10/100/1000Mbps</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标配固定端口参数：8个10/100/1000Base-T以太网端口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（三）中控设备</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监视器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三星C32F391FWC</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屏幕类型:LED</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屏幕尺寸:32</w:t>
            </w:r>
            <w:r>
              <w:rPr>
                <w:rFonts w:hint="eastAsia" w:ascii="宋体" w:hAnsi="宋体" w:eastAsia="宋体" w:cs="宋体"/>
                <w:color w:val="000000"/>
                <w:sz w:val="24"/>
                <w:szCs w:val="24"/>
                <w:lang w:val="en-US" w:eastAsia="zh-CN"/>
              </w:rPr>
              <w:t xml:space="preserve">英寸</w:t>
            </w:r>
            <w:r>
              <w:rPr>
                <w:rFonts w:hint="eastAsia" w:ascii="宋体" w:hAnsi="宋体" w:eastAsia="宋体" w:cs="宋体"/>
                <w:color w:val="000000"/>
                <w:sz w:val="24"/>
                <w:szCs w:val="24"/>
                <w:lang w:val="en-US" w:eastAsia="zh-CN"/>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英寸分辨率:1920*1080（全高清）</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屏幕比例:16:9</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接口类型:HDMI</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附加功能:可壁挂</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监视器支架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三星配套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图腾G26042</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×1000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深</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×2000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PDU</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图腾配套</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机柜标准配套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理线架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图腾配套</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机柜标准配套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24口千兆交换机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华为S1724G</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24口10/100/1000M自适应电口交换机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8口千兆交换机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华为S1700-8G-AC</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传输速率：10/100/1000Mbps</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标配固定端口参数：8个10/100/1000Base-T以太网端口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硬盘录像机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海康威视DS-9632N-I16</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3U标准机架式IP存储，DSP+ARM架构，嵌入式软硬件设计；支持32路高清，320M带宽网络视频接入；支持16个SATA盘位；支持RAID 0、1、5、6、10多种RAID模式及全局热备，多重保护数据安全；支持4K分辨率接入和解码输出；支持H.265、H.264编码前端自适应接入；支持关键视频添加标签和加锁保护、整机热备、断网续传、SMART 2.0等功能；2个千兆以太网口，充分满足网络预览、回放以及备份应用。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工作站电脑</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戴尔OptiPlex7050</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高于或等于I5/4G/500G/集显/19</w:t>
            </w:r>
            <w:r>
              <w:rPr>
                <w:rFonts w:hint="eastAsia" w:ascii="宋体" w:hAnsi="宋体" w:eastAsia="宋体" w:cs="宋体"/>
                <w:color w:val="000000"/>
                <w:sz w:val="24"/>
                <w:szCs w:val="24"/>
                <w:lang w:val="en-US" w:eastAsia="zh-CN"/>
              </w:rPr>
              <w:t xml:space="preserve">英</w:t>
            </w:r>
            <w:r>
              <w:rPr>
                <w:rFonts w:hint="eastAsia" w:ascii="宋体" w:hAnsi="宋体" w:eastAsia="宋体" w:cs="宋体"/>
                <w:color w:val="000000"/>
                <w:sz w:val="24"/>
                <w:szCs w:val="24"/>
                <w:lang w:eastAsia="zh-CN"/>
              </w:rPr>
              <w:t xml:space="preserve">寸/</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希捷ST4000VX000-520</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4TB  监控专用硬盘</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w:t>
            </w:r>
            <w:r>
              <w:rPr>
                <w:rFonts w:hint="eastAsia" w:ascii="宋体" w:hAnsi="宋体" w:eastAsia="宋体" w:cs="宋体"/>
                <w:color w:val="000000"/>
                <w:sz w:val="24"/>
                <w:szCs w:val="24"/>
              </w:rPr>
            </w:r>
            <w:r/>
          </w:p>
        </w:tc>
      </w:tr>
    </w:tbl>
    <w:p>
      <w:pPr>
        <w:pStyle w:val="639"/>
        <w:ind w:left="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3.2020年投入使用</w:t>
      </w:r>
      <w:r>
        <w:rPr>
          <w:rFonts w:hint="eastAsia" w:ascii="宋体" w:hAnsi="宋体" w:eastAsia="宋体" w:cs="宋体"/>
          <w:b/>
          <w:bCs/>
          <w:color w:val="000000"/>
          <w:sz w:val="24"/>
          <w:szCs w:val="24"/>
        </w:rPr>
      </w:r>
      <w:r/>
    </w:p>
    <w:tbl>
      <w:tblPr>
        <w:tblW w:w="1051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3"/>
        <w:gridCol w:w="2178"/>
        <w:gridCol w:w="6756"/>
        <w:gridCol w:w="400"/>
        <w:gridCol w:w="467"/>
      </w:tblGrid>
      <w:tr>
        <w:trPr>
          <w:tblHeader/>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维护部位、名称</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品牌规格或维护要求</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一、后台设备</w:t>
            </w:r>
            <w:r>
              <w:rPr>
                <w:rFonts w:hint="eastAsia" w:ascii="宋体" w:hAnsi="宋体" w:eastAsia="宋体" w:cs="宋体"/>
                <w:b/>
                <w:bCs/>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全千兆智能三层交换机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华为S5700-28TP-LI</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24口10/100/1000M自适应电口交换机，4个千兆SFP</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综合安防管控系统</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系统平台必须使用Linux操作系统，支持7×24小时稳定运行，</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设备支持人脸白名单库的同步，同步时间不高于2s；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1、平台可统计小区不少于实有房屋、实有人口、实有单位、实有车辆、实有感知告警、实有安防力量、实有安防设备、实有事件</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实有信息主要通过现场采集方式进行信息采集，包括并不少于人员、车辆、房屋、设备、消防数据方面的信息采集；</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2、人员信息采集：支持包括并不少于姓名、身份证、近照清晰图、房间信息、人员类型、户籍类型、房间号、是否租客等字段；</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3、车辆信息采集：支持包括并不少于车牌号、车辆颜色、车辆类型、车主姓名、身份证号、联系方式、常用住址、起始/结束时间</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图腾600*1000*2000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×1000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深</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×2000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（一）设备部分</w:t>
            </w:r>
            <w:r>
              <w:rPr>
                <w:rFonts w:hint="eastAsia" w:ascii="宋体" w:hAnsi="宋体" w:eastAsia="宋体" w:cs="宋体"/>
                <w:b/>
                <w:bCs/>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球型网络摄像机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宇视IPC-B612-IR</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内置≥22倍光学变倍电动变焦镜头</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分辨力≥1100线</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信噪比56.6dB，最大亮度鉴别等级11级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最低照度：优于或满足彩色0.001lx，黑白0.001lx</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具有低拖影曝光模式，可实现低照环境下，画面清晰低拖影</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具有宽动态自由切换功能，当环境亮度变化时，可自动开启/关闭宽动态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红外作用距离≥500米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在同一个客户端上，可最多同时开启30个视频窗口进行画面浏览</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具有滚动OSD功能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球机壁装支架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宇视TR-WE45-IN</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配套安装支架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智能球型网络摄像机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宇视HIC6642</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全结构化智能球形摄像机</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内置GPU芯片，内置8GB eMMC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灰度等级13级，宽动态120dB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最低照度：优于或等于彩色≤0.0001lx，黑白≤0.00005lx</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通过红外补光，可识别距摄像机150m处的目标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支持对全屏区域或指定区域出现的机动车、非机动车及行人同时进行检测和跟踪，可最多检测出60个目标同时出现在视频图像中</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支持机动车、非机动车和行人分类和抓拍，分类准确率和抓拍率≥98%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可识别车身颜色、车款、车型，准确率≥98%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可抓拍车牌并识别车牌号码，准确率≥98%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可抓拍非机动车并提取结构化信息，准确率≥98%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可抓拍行人并提取结构化信息，准确率≥98%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具有目标跟踪功能，可对设定区域的运动目标进行跟踪，可设定持续跟踪时间，可自动变倍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球机壁装支架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宇视TR-WE45-IN</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配套安装支架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枪型网络摄像机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宇视IPC-S214</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400万像素筒形摄像机，最大分辨率不小于2592X1520；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最低照度彩色不高于0.003 lx，黑白不高于0.0003lx；亮度等级不小于11级，水平分辨力≥1500TVL；</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照度适应范围不低于135dB，宽动态能力检验不低于136，宽动态具有自动切换功能，满足高反差场景监控需求；</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具有不低于120dB宽动态功能</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支持智能红外，红外补光距离不小于100米，可以分清被摄物体轮廓；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枪机壁装支架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宇视TR-WM06-C-IN</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配套安装支架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定制3.5米</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定制6米</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数字光端机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精连JL-1000AB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20KM单模单纤千兆网络光收发器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千兆交换机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华为S1724G</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24口10/100/1000M自适应电口交换机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监视器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宇视MW3232-U</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屏幕类型: LED</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屏幕尺寸: 32</w:t>
            </w:r>
            <w:r>
              <w:rPr>
                <w:rFonts w:hint="eastAsia" w:ascii="宋体" w:hAnsi="宋体" w:eastAsia="宋体" w:cs="宋体"/>
                <w:color w:val="000000"/>
                <w:sz w:val="24"/>
                <w:szCs w:val="24"/>
                <w:lang w:val="en-US" w:eastAsia="zh-CN"/>
              </w:rPr>
              <w:t xml:space="preserve">英寸</w:t>
            </w:r>
            <w:r>
              <w:rPr>
                <w:rFonts w:hint="eastAsia" w:ascii="宋体" w:hAnsi="宋体" w:eastAsia="宋体" w:cs="宋体"/>
                <w:color w:val="000000"/>
                <w:sz w:val="24"/>
                <w:szCs w:val="24"/>
                <w:lang w:val="en-US" w:eastAsia="zh-CN"/>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英寸分辨率: 1920*1080（全高清）</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屏幕比例: 16:9</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 HDMI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附加功能: 可壁挂</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宇视配套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图腾600*1000*2000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理线架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图腾配套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24口汇聚交换机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华为S1724G</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24口10/100/1000M自适应电口交换机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综合监控一体化平台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宇视VMS-B230-A24</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综合监控一体化平台，可接入管理1000台设备，2000路视频通道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个千兆以太网口、2 个USB3. 0 接口、1 个RS232 接口、1 个VGA接口、1 个PCIE 插槽和4U24 盘位前面板维护， 1 个防腐蚀检测预警模块</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可接入1 个4 端口千兆以太网卡或1 个2 端口万兆以太网卡或1 个4 端口万兆以太网卡或1 个2 端口Mini 接口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支持最大14TB SATA接入</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可通过Mini SAS HD ( SAS3.0）接口连接扩展柜进行存储扩展，支持在线扩容</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具有电源、风扇电池、接口卡模块，支持磁盘、电源、风扇、电池热插拔，本次要求配置双电源热备</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电池模块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宇视NI-BCBB-NB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配套电池模块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宇视PWR-650A-NB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配套电源模块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希捷ST6000VX0003</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6T硬盘，监控级，监控专用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台式人证登记终端</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宇视EG131D-HF-D</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人证比对录入终端，自带补光设备，屏幕不小于7英寸</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工业级设计，稳定性高，外形高端大方，表面拉丝造型,正面防水，适用于室内和半室外场景；</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电脑</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联想     启天M620-D272</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CPU型号：i5-8500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主板芯片组类型：Q370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内存选择：4GB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硬盘选择：1TB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内置光驱：8倍DVD±RW</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显卡芯片描述：2GB独立显卡</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键盘、鼠标:原厂USB光电鼠标、键盘</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显示器屏幕尺寸:21.5</w:t>
            </w:r>
            <w:r>
              <w:rPr>
                <w:rFonts w:hint="eastAsia" w:ascii="宋体" w:hAnsi="宋体" w:eastAsia="宋体" w:cs="宋体"/>
                <w:color w:val="000000"/>
                <w:sz w:val="24"/>
                <w:szCs w:val="24"/>
                <w:lang w:val="en-US" w:eastAsia="zh-CN"/>
              </w:rPr>
              <w:t xml:space="preserve">英</w:t>
            </w:r>
            <w:r>
              <w:rPr>
                <w:rFonts w:hint="eastAsia" w:ascii="宋体" w:hAnsi="宋体" w:eastAsia="宋体" w:cs="宋体"/>
                <w:color w:val="000000"/>
                <w:sz w:val="24"/>
                <w:szCs w:val="24"/>
              </w:rPr>
              <w:t xml:space="preserve">寸液晶</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操作系统:正版Windows 操作系统</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（一）设备部分</w:t>
            </w:r>
            <w:r>
              <w:rPr>
                <w:rFonts w:hint="eastAsia" w:ascii="宋体" w:hAnsi="宋体" w:eastAsia="宋体" w:cs="宋体"/>
                <w:b/>
                <w:bCs/>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球型网络摄像机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宇视IPC-B612-IR</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内置≥22倍光学变倍电动变焦镜头</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分辨力≥1100线</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信噪比56.6dB，最大亮度鉴别等级11级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最低照度：优于或满足彩色0.001lx，黑白0.001lx</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具有低拖影曝光模式，可实现低照环境下，画面清晰低拖影</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具有宽动态自由切换功能，当环境亮度变化时，可自动开启/关闭宽动态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红外作用距离≥500米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在同一个客户端上，可最多同时开启30个视频窗口进行画面浏览</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具有滚动OSD功能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球机壁装支架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宇视TR-WE45-IN</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配套安装支架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枪型网络摄像机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宇视IPC-S214</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400万像素筒形摄像机，最大分辨率不小于2592X1520；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最低照度彩色不高于0.003 lx，黑白不高于0.0003lx；亮度等级不小于11级，水平分辨力≥1500TVL；</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照度适应范围不低于135dB，宽动态能力检验不低于136，宽动态具有自动切换功能，满足高反差场景监控需求；</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具有不低于120dB宽动态功能</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支持智能红外，红外补光距离不小于100米，可以分清被摄物体轮廓；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枪机壁装支架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宇视TR-WM06-C-IN</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配套安装支架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智能球型网络摄像机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宇视HIC6642</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全结构化智能球形摄像机</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内置GPU芯片，内置8GB eMMC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灰度等级13级，宽动态120dB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最低照度：优于或等于彩色≤0.0001lx，黑白≤0.00005lx</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通过红外补光，可识别距摄像机150m处的目标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支持对全屏区域或指定区域出现的机动车、非机动车及行人同时进行检测和跟踪，可最多检测出60个目标同时出现在视频图像中</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支持机动车、非机动车和行人分类和抓拍，分类准确率和抓拍率≥98%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可识别车身颜色、车款、车型，准确率≥98%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可抓拍车牌并识别车牌号码，准确率≥98%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可抓拍非机动车并提取结构化信息，准确率≥98%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可抓拍行人并提取结构化信息，准确率≥98%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具有目标跟踪功能，可对设定区域的运动目标进行跟踪，可设定持续跟踪时间，可自动变倍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球机壁装支架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宇视TR-WE45-IN</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配套安装支架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定制3.5米</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定制6米</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数字光端机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精连JL-1000AB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20KM单模单纤千兆网络光收发器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千兆交换机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华为S1724G</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24口10/100/1000M自适应电口交换机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监视器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宇视MW3232-U</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屏幕类型:LED</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屏幕尺寸:32</w:t>
            </w:r>
            <w:r>
              <w:rPr>
                <w:rFonts w:hint="eastAsia" w:ascii="宋体" w:hAnsi="宋体" w:eastAsia="宋体" w:cs="宋体"/>
                <w:color w:val="000000"/>
                <w:sz w:val="24"/>
                <w:szCs w:val="24"/>
                <w:lang w:val="en-US" w:eastAsia="zh-CN"/>
              </w:rPr>
              <w:t xml:space="preserve">英寸</w:t>
            </w:r>
            <w:r>
              <w:rPr>
                <w:rFonts w:hint="eastAsia" w:ascii="宋体" w:hAnsi="宋体" w:eastAsia="宋体" w:cs="宋体"/>
                <w:color w:val="000000"/>
                <w:sz w:val="24"/>
                <w:szCs w:val="24"/>
                <w:lang w:val="en-US" w:eastAsia="zh-CN"/>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英寸分辨率:1920*1080（全高清）</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屏幕比例:16:9</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接口类型:HDMI</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附加功能:可壁挂</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宇视配套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图腾600*1000*2000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理线架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图腾配套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24口汇聚交换机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华为S1724G</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24口10/100/1000M自适应电口交换机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综合监控一体化平台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 VMS-B230-A24</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综合监控一体化平台，可接入管理1000台设备，2000路视频通道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个千兆以太网口、2 个USB3. 0 接口、1 个RS232 接口、1 个VGA接口、1 个PCIE 插槽和4U24 盘位前面板维护， 1 个防腐蚀检测预警模块</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可接入1 个4 端口千兆以太网卡或1 个2 端口万兆以太网卡或1 个4 端口万兆以太网卡或1 个2 端口Mini 接口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支持最大14TB SATA接入</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可通过Mini SAS HD ( SAS3.0）接口连接扩展柜进行存储扩展，支持在线扩容</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具有电源、风扇电池、接口卡模块，支持磁盘、电源、风扇、电池热插拔，本次要求配置双电源热备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提供缓存保护功能，本次要求配置保护电池模块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电池模块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宇视NI-BCBB-NB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配套电池模块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宇视PWR-650A-NB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配套电源模块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希捷ST6000VX0003</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6T硬盘，监控级，监控专用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台式人证登记终端</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宇视EG131D-HF-D</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人证比对录入终端，自带补光设备，屏幕不小于7英寸</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工业级设计，稳定性高，外形高端大方，表面拉丝造型,正面防水，适用于室内和半室外场景；</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电脑</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联想     启天M620-D272</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CPU型号：i5-8500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主板芯片组类型：Q370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内存选择：≥4GB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硬盘选择：≥1TB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内置光驱：8倍DVD±RW</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显卡芯片描述：≥2GB独立显卡</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键盘、鼠标:原厂USB光电鼠标、键盘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显示器屏幕尺寸:≥21.5</w:t>
            </w:r>
            <w:r>
              <w:rPr>
                <w:rFonts w:hint="eastAsia" w:ascii="宋体" w:hAnsi="宋体" w:eastAsia="宋体" w:cs="宋体"/>
                <w:color w:val="000000"/>
                <w:sz w:val="24"/>
                <w:szCs w:val="24"/>
                <w:lang w:val="en-US" w:eastAsia="zh-CN"/>
              </w:rPr>
              <w:t xml:space="preserve">英</w:t>
            </w:r>
            <w:r>
              <w:rPr>
                <w:rFonts w:hint="eastAsia" w:ascii="宋体" w:hAnsi="宋体" w:eastAsia="宋体" w:cs="宋体"/>
                <w:color w:val="000000"/>
                <w:sz w:val="24"/>
                <w:szCs w:val="24"/>
              </w:rPr>
              <w:t xml:space="preserve">寸液晶</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操作系统:正版Windows 操作系统</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（一）设备部分</w:t>
            </w:r>
            <w:r>
              <w:rPr>
                <w:rFonts w:hint="eastAsia" w:ascii="宋体" w:hAnsi="宋体" w:eastAsia="宋体" w:cs="宋体"/>
                <w:b/>
                <w:bCs/>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球型网络摄像机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宇视IPC-B612-IR</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内置≥22倍光学变倍电动变焦镜头</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分辨力≥1100线</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信噪比56.6dB，最大亮度鉴别等级11级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最低照度：优于或满足彩色0.001lx，黑白0.001lx</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具有低拖影曝光模式，可实现低照环境下，画面清晰低拖影</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具有宽动态自由切换功能，当环境亮度变化时，可自动开启/关闭宽动态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红外作用距离≥500米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在同一个客户端上，可最多同时开启30个视频窗口进行画面浏览</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具有滚动OSD功能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球机壁装支架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宇视TR-WE45-IN</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配套安装支架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枪型网络摄像机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宇视IPC-S214</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400万像素筒形摄像机，最大分辨率不小于2592X1520；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最低照度彩色不高于0.003 lx，黑白不高于0.0003lx；亮度等级不小于11级，水平分辨力≥1500TVL；</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照度适应范围不低于135dB，宽动态能力检验不低于136，宽动态具有自动切换功能，满足高反差场景监控需求；</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具有不低于120dB宽动态功能</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支持智能红外，红外补光距离不小于100米，可以分清被摄物体轮廓；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枪机壁装支架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宇视TR-WM06-C-IN</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配套安装支架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智能球型网络摄像机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宇视HIC6642</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全结构化智能球形摄像机</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内置GPU芯片，内置8GB eMMC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灰度等级13级，宽动态120dB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最低照度：优于或等于彩色≤0.0001lx，黑白≤0.00005lx</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通过红外补光，可识别距摄像机150m处的目标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支持对全屏区域或指定区域出现的机动车、非机动车及行人同时进行检测和跟踪，可最多检测出60个目标同时出现在视频图像中</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支持机动车、非机动车和行人分类和抓拍，分类准确率和抓拍率≥98%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可识别车身颜色、车款、车型，准确率≥98%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可抓拍车牌并识别车牌号码，准确率≥98%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可抓拍非机动车并提取结构化信息，准确率≥98%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可抓拍行人并提取结构化信息，准确率≥98%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具有目标跟踪功能，可对设定区域的运动目标进行跟踪，可设定持续跟踪时间，可自动变倍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球机壁装支架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宇视TR-WE45-IN</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配套安装支架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定制3.5米</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定制6米</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数字光端机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精连JL-1000AB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20KM单模单纤千兆网络光收发器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千兆交换机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华为S1724G</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24口10/100/1000M自适应电口交换机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监视器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宇视MW3232-U</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屏幕类型: LED</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屏幕尺寸: 32</w:t>
            </w:r>
            <w:r>
              <w:rPr>
                <w:rFonts w:hint="eastAsia" w:ascii="宋体" w:hAnsi="宋体" w:eastAsia="宋体" w:cs="宋体"/>
                <w:color w:val="000000"/>
                <w:sz w:val="24"/>
                <w:szCs w:val="24"/>
                <w:lang w:val="en-US" w:eastAsia="zh-CN"/>
              </w:rPr>
              <w:t xml:space="preserve">英寸</w:t>
            </w:r>
            <w:r>
              <w:rPr>
                <w:rFonts w:hint="eastAsia" w:ascii="宋体" w:hAnsi="宋体" w:eastAsia="宋体" w:cs="宋体"/>
                <w:color w:val="000000"/>
                <w:sz w:val="24"/>
                <w:szCs w:val="24"/>
                <w:lang w:val="en-US" w:eastAsia="zh-CN"/>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英寸分辨率: 1920*1080（全高清）</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屏幕比例: 16:9</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 HDMI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附加功能: 可壁挂</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宇视配套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图腾600*1000*2000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理线架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图腾配套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24口汇聚交换机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华为S1724G</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24口10/100/1000M自适应电口交换机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综合监控一体化平台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宇视VMS-B230-A24</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综合监控一体化平台，可接入管理1000台设备，2000路视频通道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个千兆以太网口、2 个USB3. 0 接口、1 个RS232 接口、1 个VGA接口、1 个PCIE 插槽和4U24 盘位前面板维护， 1 个防腐蚀检测预警模块</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可接入1 个4 端口千兆以太网卡或1 个2 端口万兆以太网卡或1 个4 端口万兆以太网卡或1 个2 端口Mini 接口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支持最大14TB SATA接入</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可通过Mini SAS HD ( SAS3.0）接口连接扩展柜进行存储扩展，支持在线扩容</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具有电源、风扇电池、接口卡模块，支持磁盘、电源、风扇、电池热插拔，本次要求配置双电源热备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提供缓存保护功能，本次要求配置保护电池模块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电池模块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宇视NI-BCBB-NB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配套电池模块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宇视PWR-650A-NB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配套电源模块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希捷ST6000VX0003</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≥6T硬盘，监控级，监控专用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台式人证登记终端</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宇视EG131D-HF-D</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人证比对录入终端，自带补光设备，屏幕不小于7英寸</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工业级设计，稳定性高，外形高端大方，表面拉丝造型,正面防水，适用于室内和半室外场景；</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电脑</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联想     启天M620-D272</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CPU型号：i5-8500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主板芯片组类型：Q370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内存选择：≥4GB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硬盘选择：≥1TB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内置光驱：8倍DVD±RW</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显卡芯片描述：≥2GB独立显卡</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键盘、鼠标:原厂USB光电鼠标、键盘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显示器屏幕尺寸:≥21.5</w:t>
            </w:r>
            <w:r>
              <w:rPr>
                <w:rFonts w:hint="eastAsia" w:ascii="宋体" w:hAnsi="宋体" w:eastAsia="宋体" w:cs="宋体"/>
                <w:color w:val="000000"/>
                <w:sz w:val="24"/>
                <w:szCs w:val="24"/>
                <w:lang w:val="en-US" w:eastAsia="zh-CN"/>
              </w:rPr>
              <w:t xml:space="preserve">英</w:t>
            </w:r>
            <w:r>
              <w:rPr>
                <w:rFonts w:hint="eastAsia" w:ascii="宋体" w:hAnsi="宋体" w:eastAsia="宋体" w:cs="宋体"/>
                <w:color w:val="000000"/>
                <w:sz w:val="24"/>
                <w:szCs w:val="24"/>
              </w:rPr>
              <w:t xml:space="preserve">寸液晶</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操作系统:正版Windows 操作系统</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（一）设备部分</w:t>
            </w:r>
            <w:r>
              <w:rPr>
                <w:rFonts w:hint="eastAsia" w:ascii="宋体" w:hAnsi="宋体" w:eastAsia="宋体" w:cs="宋体"/>
                <w:b/>
                <w:bCs/>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球型网络摄像机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宇视IPC-B612-IR</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内置≥22倍光学变倍电动变焦镜头</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分辨力≥1100线</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信噪比56.6dB，最大亮度鉴别等级11级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最低照度：优于或满足彩色0.001lx，黑白0.001lx</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具有低拖影曝光模式，可实现低照环境下，画面清晰低拖影</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具有宽动态自由切换功能，当环境亮度变化时，可自动开启/关闭宽动态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红外作用距离≥500米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在同一个客户端上，可最多同时开启30个视频窗口进行画面浏览</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具有滚动OSD功能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球机壁装支架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宇视TR-WE45-IN</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配套安装支架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枪型网络摄像机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宇视IPC-S214</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400万像素筒形摄像机，最大分辨率不小于2592X1520；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最低照度彩色不高于0.003 lx，黑白不高于0.0003lx；亮度等级不小于11级，水平分辨力≥1500TVL；</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照度适应范围不低于135dB，宽动态能力检验不低于136，宽动态具有自动切换功能，满足高反差场景监控需求；</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具有不低于120dB宽动态功能</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支持智能红外，红外补光距离不小于100米，可以分清被摄物体轮廓；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枪机壁装支架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宇视TR-WM06-C-IN</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配套安装支架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智能球型网络摄像机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宇视HIC6642</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全结构化智能球形摄像机</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内置GPU芯片，内置8GB eMMC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灰度等级13级，宽动态120dB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最低照度：优于或等于彩色≤0.0001lx，黑白≤0.00005lx</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通过红外补光，可识别距摄像机150m处的目标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支持对全屏区域或指定区域出现的机动车、非机动车及行人同时进行检测和跟踪，可最多检测出60个目标同时出现在视频图像中</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支持机动车、非机动车和行人分类和抓拍，分类准确率和抓拍率≥98%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可识别车身颜色、车款、车型，准确率≥98%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可抓拍车牌并识别车牌号码，准确率≥98%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可抓拍非机动车并提取结构化信息，准确率≥98%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可抓拍行人并提取结构化信息，准确率≥98%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具有目标跟踪功能，可对设定区域的运动目标进行跟踪，可设定持续跟踪时间，可自动变倍</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球机壁装支架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宇视TR-WE45-IN</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配套安装支架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定制3.5米</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定制6米</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数字光端机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精连JL-1000AB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20KM单模单纤千兆网络光收发器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千兆交换机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华为S1724G</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24口10/100/1000M自适应电口交换机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监视器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宇视MW3232-U</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屏幕类型: LED</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屏幕尺寸: 32</w:t>
            </w:r>
            <w:r>
              <w:rPr>
                <w:rFonts w:hint="eastAsia" w:ascii="宋体" w:hAnsi="宋体" w:eastAsia="宋体" w:cs="宋体"/>
                <w:color w:val="000000"/>
                <w:sz w:val="24"/>
                <w:szCs w:val="24"/>
                <w:lang w:val="en-US" w:eastAsia="zh-CN"/>
              </w:rPr>
              <w:t xml:space="preserve">英寸</w:t>
            </w:r>
            <w:r>
              <w:rPr>
                <w:rFonts w:hint="eastAsia" w:ascii="宋体" w:hAnsi="宋体" w:eastAsia="宋体" w:cs="宋体"/>
                <w:color w:val="000000"/>
                <w:sz w:val="24"/>
                <w:szCs w:val="24"/>
                <w:lang w:val="en-US" w:eastAsia="zh-CN"/>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英寸分辨率: 1920*1080（全高清）</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屏幕比例: 16:9</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 HDMI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附加功能: 可壁挂</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安装支架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宇视配套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图腾600*1000*2000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理线架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图腾配套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24口汇聚交换机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华为S1724G</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24口10/100/1000M自适应电口交换机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综合监控一体化平台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 VMS-B230-A24</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综合监控一体化平台，可接入管理1000台设备，2000路视频通道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个千兆以太网口、2 个USB3. 0 接口、1 个RS232 接口、1 个VGA接口、1 个PCIE 插槽和4U24 盘位前面板维护， 1 个防腐蚀检测预警模块</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可接入1 个4 端口千兆以太网卡或1 个2 端口万兆以太网卡或1 个4 端口万兆以太网卡或1 个2 端口Mini 接口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支持最大14TB SATA接入</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可通过Mini SAS HD ( SAS3.0）接口连接扩展柜进行存储扩展，支持在线扩容</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具有电源、风扇电池、接口卡模块，支持磁盘、电源、风扇、电池热插拔，本次要求配置双电源热备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提供缓存保护功能，本次要求配置保护电池模块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电池模块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宇视NI-BCBB-NB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配套电池模块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宇视PWR-650A-NB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配套电源模块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宇视ST6000VX0003</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6T硬盘，监控级，监控专用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台式人证登记终端</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宇视EG131D-HF-D</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人证比对录入终端，自带补光设备，屏幕不小于7英寸</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工业级设计，稳定性高，外形高端大方，表面拉丝造型,正面防水，适用于室内和半室外场景；</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电脑</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联想     启天M620-D272</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CPU型号：i5-8500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主板芯片组类型：Q370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内存选择：4GB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硬盘选择：1TB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内置光驱：8倍DVD±RW</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显卡芯片描述：2GB独立显卡</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键盘、鼠标:原厂USB光电鼠标、键盘</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显示器屏幕尺寸:21.5</w:t>
            </w:r>
            <w:r>
              <w:rPr>
                <w:rFonts w:hint="eastAsia" w:ascii="宋体" w:hAnsi="宋体" w:eastAsia="宋体" w:cs="宋体"/>
                <w:color w:val="000000"/>
                <w:sz w:val="24"/>
                <w:szCs w:val="24"/>
                <w:lang w:val="en-US" w:eastAsia="zh-CN"/>
              </w:rPr>
              <w:t xml:space="preserve">英</w:t>
            </w:r>
            <w:r>
              <w:rPr>
                <w:rFonts w:hint="eastAsia" w:ascii="宋体" w:hAnsi="宋体" w:eastAsia="宋体" w:cs="宋体"/>
                <w:color w:val="000000"/>
                <w:sz w:val="24"/>
                <w:szCs w:val="24"/>
              </w:rPr>
              <w:t xml:space="preserve">寸液晶</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操作系统:正版Windows 操作系统</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bl>
    <w:p>
      <w:pPr>
        <w:pStyle w:val="639"/>
        <w:ind w:left="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4.2021年投入使用</w:t>
      </w:r>
      <w:r>
        <w:rPr>
          <w:rFonts w:hint="eastAsia" w:ascii="宋体" w:hAnsi="宋体" w:eastAsia="宋体" w:cs="宋体"/>
          <w:b/>
          <w:bCs/>
          <w:color w:val="000000"/>
          <w:sz w:val="24"/>
          <w:szCs w:val="24"/>
        </w:rPr>
      </w:r>
      <w:r/>
    </w:p>
    <w:tbl>
      <w:tblPr>
        <w:tblW w:w="1059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8"/>
        <w:gridCol w:w="1967"/>
        <w:gridCol w:w="6766"/>
        <w:gridCol w:w="539"/>
        <w:gridCol w:w="574"/>
      </w:tblGrid>
      <w:tr>
        <w:trPr>
          <w:tblHeader/>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967"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维护部位、名称</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6766"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品牌规格或维护要求</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539"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574"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公安高清卡口</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海康威视VCU-B023-W4K</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1/1.8英寸</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图像分辨率最大支持2064x2184。</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当视频监控区域内有无号牌车辆进入时，可对该车辆进行抓拍；</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支持车窗人脸检测功能，支持主、副驾驶的人脸扣取和图片抓拍并上传；</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支持人脸瞳距20~40像素人脸的识别和扣取，扣取的人脸小图叠加在场景大图上；</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气体爆闪灯</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覆盖范围:3m～4m@10m处。</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有效补光距离:10m～16m。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防护等级:IP65。</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功能特性：白光闪光灯,覆盖1车道,220VAC,3m～4m@10m处,同时支持电平量或开关量触发</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固定杆</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海康威视L1600-R117</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立杆高度：1.6米</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云存储设备</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海康威视DS-A72024RH-ICVS/QT(24×6T)+IVMS-5120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处理器：≥双六核处理器；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高速缓存：≥32GB；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SSD：SSD系统盘，并内置加速缓存；</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磁盘数量：≥24盘位；</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磁盘接口：支持SATA/SAS；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磁盘容量：支持1T/2T/3T/4T/6T/8T；</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RAID级别：IRAID：N+M:K，N+M≤16，M≥K；</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网络协议：GB、RTSP，ONVIF、PSIA 等；</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数据接口：≥6个千兆以太网口；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管理接口：≥1个千兆管理口；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USB 接口：≥4个（≥2 个USB3.0，≥2个USB2.0）；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能够直接接入支持GB/T28181-2016、ONVIF、RTSP、PSIA 标准的前端设备。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 《公安视频图像信息应用系统》中的GA/T1400协议；</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高清半球形网络摄像机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海康威视DS-2CD2325-I</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200万 1/2.7" CMOS ICR日夜型半球型网络摄像机</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 120 dB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调节角度: 水平：0°~360°，垂直：0°~ 75°，旋转：0°~360°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视场角: 2.8 mm，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红外距离: 最远可达30 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波长范围: 850 nm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防补光过曝: 支持</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最大图像尺寸: 1920 × 1080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视频压缩标准: 主码流：H.265/H.264</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网络存储: NAS（NFS，SMB/CIFS均支持）</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 1个RJ45 10 M/100 M自适应以太网口</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硬盘录像机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海康威视DS-9664-I8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2U标准机架式</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输入/输出带宽：400/256Mbps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2个HDMI，2个VGA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8盘位，支持硬盘热插拔</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2个千兆网口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支持1、2、4、8、16、32等倍速回放录像，支持录像回放的剪辑和回放截图功能</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存储硬盘</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海康威视ST4000V</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4TB/64MB(3Gb/秒 NCQ）/5900RPM/SATA3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海康威视DS-VE22S-B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2U双路标准机架式服务器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CPU：2颗Xeon 4210（10核，2.2GHz）</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内存：16G*4 DDR4，16根内存插槽，最大支持扩展至2TB内存</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硬盘：4块600G 10K 2.5</w:t>
            </w:r>
            <w:r>
              <w:rPr>
                <w:rFonts w:hint="eastAsia" w:ascii="宋体" w:hAnsi="宋体" w:eastAsia="宋体" w:cs="宋体"/>
                <w:color w:val="000000"/>
                <w:sz w:val="24"/>
                <w:szCs w:val="24"/>
                <w:lang w:val="en-US" w:eastAsia="zh-CN"/>
              </w:rPr>
              <w:t xml:space="preserve">英</w:t>
            </w:r>
            <w:r>
              <w:rPr>
                <w:rFonts w:hint="eastAsia" w:ascii="宋体" w:hAnsi="宋体" w:eastAsia="宋体" w:cs="宋体"/>
                <w:color w:val="000000"/>
                <w:sz w:val="24"/>
                <w:szCs w:val="24"/>
              </w:rPr>
              <w:t xml:space="preserve">寸 SAS硬盘</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阵列卡：SAS_HBA卡, 支持RAID 0/1/10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PCIE扩展：最大可支持6个PCIE扩展插槽</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网口：2个千兆电口，2个万兆光口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其他接口：1个RJ45管理接口，4个USB 3.0接口，1个VGA接口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电源：标配550W</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管理软件平台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海康8200定制</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一、车辆管理</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1.要求支持车辆群组管理，车辆群组收费规则和放行规则配置</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2.要求支持车辆进出可通过LED屏和语音播报两种方式来展示车辆信息，收费信息，停车时间等内容并且内容都可以自定义</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人员管理</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1.要求支持管理业主、租户、家属等不同身份类型人员姓名、性别、年龄、证件类型、证件号码、联系方式、卡号等信息；要求支持单个住户添加最多10套户室；</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2.要求支持按住户绑定的房屋进行权限下发，租户权限根据租期自动下发和清除；</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电脑</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联想启天M435</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商用办公台式电脑整机(i3-10100 8G 256GSSD 键鼠 3年上门、23英寸</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防雷型千兆POE工业交换机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光纤模块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neutral单模</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千兆光模块SFP光模块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128</w:t>
            </w:r>
            <w:r>
              <w:rPr>
                <w:rFonts w:hint="eastAsia" w:ascii="宋体" w:hAnsi="宋体" w:eastAsia="宋体" w:cs="宋体"/>
                <w:color w:val="000000"/>
                <w:sz w:val="24"/>
                <w:szCs w:val="24"/>
              </w:rPr>
            </w:r>
            <w:r/>
          </w:p>
        </w:tc>
      </w:tr>
    </w:tbl>
    <w:p>
      <w:pPr>
        <w:pStyle w:val="639"/>
        <w:ind w:left="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5.2021年12月投入使用</w:t>
      </w:r>
      <w:r>
        <w:rPr>
          <w:rFonts w:hint="eastAsia" w:ascii="宋体" w:hAnsi="宋体" w:eastAsia="宋体" w:cs="宋体"/>
          <w:b/>
          <w:bCs/>
          <w:color w:val="000000"/>
          <w:sz w:val="24"/>
          <w:szCs w:val="24"/>
        </w:rPr>
      </w:r>
      <w:r/>
    </w:p>
    <w:tbl>
      <w:tblPr>
        <w:tblW w:w="1046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1"/>
        <w:gridCol w:w="1881"/>
        <w:gridCol w:w="6733"/>
        <w:gridCol w:w="550"/>
        <w:gridCol w:w="547"/>
      </w:tblGrid>
      <w:tr>
        <w:trPr>
          <w:tblHeade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维护部位、名称</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品牌规格或维护要求</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一、机房中心设备</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大容量云存储节点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海康威视DS-A72048RH-ICVS/QT + 云存储软件 IVMS-5120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处理器：≥双六核处理器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高速缓存：≥32GB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SSD：SSD系统盘，并内置加速缓存</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磁盘数量：≥48盘位</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磁盘接口：支持SATA或SAS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磁盘容量：支持1T/2T/3T/4T/6T/8T；</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网络协议：GB、RTSP，ONVIF、PSIA 等；</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数据接口：≥4个千兆以太网口；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管理接口：≥1个千兆管理口；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USB 接口：≥4个（≥2 个USB3.0，≥2个USB2.0）；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支持视频直存技术，能够直接接入支持GB/T28181-2016、ONVIF标准的前端设备。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 《公安视频图像信息应用系统》中的GA/T1400协议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核心交换机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锐捷RG-S6120-48XS8CQ+RG-PA550I II-F</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交换容量（Gpbs）：≥2.56T/23.04T；堆叠支持：可堆叠；包转发率：1920Mpps；48个10G SFP+光口，8个100G/40G QSFP28光口，具备2个模块化电源，4个模块化风扇</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区域级视频云智能分析服务器（GPU服务器）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海康威视DS-ID2002-AUX/IOT(GA)/+智能分析软件 DS-IF0100-AI</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一、硬件规格：</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CPU：≥2个物理CPU（逻辑核心≥32核，主频≥2.0GHz）；</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GPU：性能≥NVIDIA TESLA T4卡*2；专业图形卡</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内存：≥544GB DDR4；</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硬盘：≥3.8T SSD，≥8T SATA；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网卡：≥2个千兆以太网口；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电源及外设：配置≥1200W 1+1冗余电源；</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二、大数据能力：</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设备每日可接入数据量≥300w/天；</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设备可存储数据总容量≥15亿；</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设备应具备数据高速存取空间，高速存取空间内可存储数据量≥3000万；</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设备接入服务器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海康威视DS-VE22S-B(W-XBD)</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2U双路标准机架式服务器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CPU：2颗intel至强系列处理器，核数≥10核，主频≥2.2GHz</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内存：16G*4 DDR4，16根内存插槽，最大支持扩展至2TB内存</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硬盘：4块600G 10K 2.5</w:t>
            </w:r>
            <w:r>
              <w:rPr>
                <w:rFonts w:hint="eastAsia" w:ascii="宋体" w:hAnsi="宋体" w:eastAsia="宋体" w:cs="宋体"/>
                <w:color w:val="000000"/>
                <w:sz w:val="24"/>
                <w:szCs w:val="24"/>
                <w:lang w:val="en-US" w:eastAsia="zh-CN"/>
              </w:rPr>
              <w:t xml:space="preserve">英</w:t>
            </w:r>
            <w:r>
              <w:rPr>
                <w:rFonts w:hint="eastAsia" w:ascii="宋体" w:hAnsi="宋体" w:eastAsia="宋体" w:cs="宋体"/>
                <w:color w:val="000000"/>
                <w:sz w:val="24"/>
                <w:szCs w:val="24"/>
              </w:rPr>
              <w:t xml:space="preserve">寸 SAS硬盘</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阵列卡：SAS_HBA卡, 支持RAID 0/1/10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PCIE扩展：最大可支持6个PCIE扩展插槽</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网口：2个千兆电口，2个万兆光口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其他接口：1个RJ45管理接口，后置2个USB 3.0接口，前置2个USB2.0接口，1个VGA接口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电源：标配550W（1+1）冗余电源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图片缓存接入服务器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海康威视DS-VE22S-B(W-XBD)</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4210×2/64G DDR4/600G 10K  SAS×4(RAID_1)/SAS_HBA/1GbE×2+10GbE×2/550W(1+1)/2U/16DIMM</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2U双路标准机架式服务器</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CPU：2颗intel至强系列处理器，核数≥10核，主频≥2.2GHz</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内存：16G*4 DDR4，16根内存插槽，最大支持扩展至2TB内存</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硬盘：4块600G 10K 2.5</w:t>
            </w:r>
            <w:r>
              <w:rPr>
                <w:rFonts w:hint="eastAsia" w:ascii="宋体" w:hAnsi="宋体" w:eastAsia="宋体" w:cs="宋体"/>
                <w:color w:val="000000"/>
                <w:sz w:val="24"/>
                <w:szCs w:val="24"/>
                <w:lang w:val="en-US" w:eastAsia="zh-CN"/>
              </w:rPr>
              <w:t xml:space="preserve">英</w:t>
            </w:r>
            <w:r>
              <w:rPr>
                <w:rFonts w:hint="eastAsia" w:ascii="宋体" w:hAnsi="宋体" w:eastAsia="宋体" w:cs="宋体"/>
                <w:color w:val="000000"/>
                <w:sz w:val="24"/>
                <w:szCs w:val="24"/>
              </w:rPr>
              <w:t xml:space="preserve">寸 SAS硬盘</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阵列卡：SAS_HBA卡, 支持RAID 0/1/10</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PCIE扩展：最大可支持6个PCIE扩展插槽</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网口：2个千兆电口，2个万兆光口</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其他接口：1个RJ45管理接口，后置2个USB 3.0接口，前置2个USB2.0接口，1个VGA接口</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电源：标配550W（1+1）冗余电源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流媒体缓存服务器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海康威视DS-VE22S-B(W-RBD)</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4210×2/32G DDR4/600G 10K SAS×4(RAID_10)/SAS_HBA/1GbE×2/550W(1+1)/2U/16DIMM</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2U双路标准机架式服务器</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CPU：2颗intel至强系列处理器，核数≥10核，主频≥2.2GHz</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内存：16G*2 DDR4，16根内存插槽，最大支持扩展至2TB内存</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硬盘：4块600G 10K 2.5</w:t>
            </w:r>
            <w:r>
              <w:rPr>
                <w:rFonts w:hint="eastAsia" w:ascii="宋体" w:hAnsi="宋体" w:eastAsia="宋体" w:cs="宋体"/>
                <w:color w:val="000000"/>
                <w:sz w:val="24"/>
                <w:szCs w:val="24"/>
                <w:lang w:val="en-US" w:eastAsia="zh-CN"/>
              </w:rPr>
              <w:t xml:space="preserve">英</w:t>
            </w:r>
            <w:r>
              <w:rPr>
                <w:rFonts w:hint="eastAsia" w:ascii="宋体" w:hAnsi="宋体" w:eastAsia="宋体" w:cs="宋体"/>
                <w:color w:val="000000"/>
                <w:sz w:val="24"/>
                <w:szCs w:val="24"/>
              </w:rPr>
              <w:t xml:space="preserve">寸 SAS硬盘</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阵列卡：SAS_HBA卡, 支持RAID 0/1/10</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PCIE扩展：最大可支持6个PCIE扩展插槽</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网口：2个千兆电口</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其他接口：1个RJ45管理接口，后置2个USB 3.0接口，前置2个USB2.0接口，1个VGA接口</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电源：标配550W（1+1）冗余电源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gridSpan w:val="5"/>
            <w:shd w:val="clear" w:color="000000" w:fill="ffffff"/>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二、住宅小区安防端</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华联视HL-POE1000E</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接口标准：RJ45，10/100/1000Mbps 自适应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定制2.5M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B</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中控部分</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室内壁装支架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海康威视DS-1292ZJ-K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70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×97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×173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室内壁装支架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海康威视DS-1292ZJ-K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70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×97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×173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华联视HL-POE1000E</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接口标准：RJ45，10/100/1000Mbps 自适应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400万热成像声光报警摄像机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海康威视DS-2TD26A5-N2X/CD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最低可用照度，0.01lx（彩色）；0.001lx（黑白）</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热成像图像尺寸（1920×1080、1280*720、704*576、640*512、384*288、352*288、320*240）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能进行黑白名单设置控制访问的IP地址和MAC地址</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具有支持图像细节增强功能、强光抑制</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热成像视频图像支持多种展示方式</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室内壁装支架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海康威视DS-1292ZJ-K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70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×97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×173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室外摄像机支架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 DS-1293ZJ</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88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400万热成像声光报警摄像机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海康威视DS-2TD26A5-N2X/CD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最低可用照度，0.01lx（彩色）；0.001lx（黑白）</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热成像图像尺寸（1920×1080、1280*720、704*576、640*512、384*288、352*288、320*240）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能进行黑白名单设置控制访问的IP地址和MAC地址</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具有支持图像细节增强功能、强光抑制</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热成像视频图像支持多种展示方式</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室内壁装支架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海康威视DS-1292ZJ-K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70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×97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×173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室外摄像机支架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 DS-1293ZJ</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88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400万热成像声光报警摄像机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海康威视DS-2TD26A5-N2X/CD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最低可用照度，0.01lx（彩色）；0.001lx（黑白）</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热成像图像尺寸（1920×1080、1280*720、704*576、640*512、384*288、352*288、320*240）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能进行黑白名单设置控制访问的IP地址和MAC地址</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具有支持图像细节增强功能、强光抑制</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热成像视频图像支持多种展示方式</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室外摄像机支架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 DS-1293ZJ</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88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定制2.5M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（八）小区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gridSpan w:val="2"/>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（九）小区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（十一）小区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室内壁装支架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海康威视DS-1292ZJ-K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70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×97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×173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定制2.5M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（十二）小区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（十三）小区</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400万热成像声光报警摄像机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海康威视DS-2TD26A5-N2X/CD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最低可用照度，0.01lx（彩色）；0.001lx（黑白）</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热成像图像尺寸（1920×1080、1280*720、704*576、640*512、384*288、352*288、320*240）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能进行黑白名单设置控制访问的IP地址和MAC地址</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具有支持图像细节增强功能、强光抑制</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热成像视频图像支持多种展示方式</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室外摄像机支架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 DS-1293ZJ</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88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（十四）小区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（十五）小区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400万热成像声光报警摄像机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海康威视DS-2TD26A5-N2X/CD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最低可用照度，0.01lx（彩色）；0.001lx（黑白）</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热成像图像尺寸（1920×1080、1280*720、704*576、640*512、384*288、352*288、320*240）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能进行黑白名单设置控制访问的IP地址和MAC地址</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具有支持图像细节增强功能、强光抑制</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热成像视频图像支持多种展示方式</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室内壁装支架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海康威视DS-1292ZJ-K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70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×97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×173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室外摄像机支架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 DS-1293ZJ</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88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（十六）小区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400万热成像声光报警摄像机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海康威视DS-2TD26A5-N2X/CD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最低可用照度，0.01lx（彩色）；0.001lx（黑白）</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热成像图像尺寸（1920×1080、1280*720、704*576、640*512、384*288、352*288、320*240）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能进行黑白名单设置控制访问的IP地址和MAC地址</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具有支持图像细节增强功能、强光抑制</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热成像视频图像支持多种展示方式</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室外摄像机支架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 DS-1293ZJ</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88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定制2.5M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（十七）小区</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400万热成像声光报警摄像机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海康威视DS-2TD26A5-N2X/CD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最低可用照度，0.01lx（彩色）；0.001lx（黑白）</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热成像图像尺寸（1920×1080、1280*720、704*576、640*512、384*288、352*288、320*240）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能进行黑白名单设置控制访问的IP地址和MAC地址</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具有支持图像细节增强功能、强光抑制</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热成像视频图像支持多种展示方式</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室外摄像机支架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 DS-1293ZJ</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88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（十八）小区</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（十九）小区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400万热成像声光报警摄像机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海康威视DS-2TD26A5-N2X/CD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最低可用照度，0.01lx（彩色）；0.001lx（黑白）</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热成像图像尺寸（1920×1080、1280*720、704*576、640*512、384*288、352*288、320*240）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能进行黑白名单设置控制访问的IP地址和MAC地址</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具有支持图像细节增强功能、强光抑制</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热成像视频图像支持多种展示方式</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室外摄像机支架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 DS-1293ZJ</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88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（二十）小区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400万热成像声光报警摄像机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海康威视DS-2TD26A5-N2X/CD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最低可用照度，0.01lx（彩色）；0.001lx（黑白）</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热成像图像尺寸（1920×1080、1280*720、704*576、640*512、384*288、352*288、320*240）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能进行黑白名单设置控制访问的IP地址和MAC地址</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具有支持图像细节增强功能、强光抑制</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热成像视频图像支持多种展示方式</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室外摄像机支架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 DS-1293ZJ</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88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定制2.5M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（二十一）小区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室内壁装支架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海康威视DS-1292ZJ-K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70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×97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×173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（二十二）小区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定制2.5M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（二十三）小区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400万电梯电瓶车检测专用摄像机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海康威视DS-2CD2345FMKH3-N2X/DT</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智能侦测:采用深度学习硬件及算法，提供精准的电瓶车侦测</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支持联动白光报警，支持联动声音报警</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传感器类型:1/2.7"ProgressiveScanCMOS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调节角度:水平：0°~360°，垂直：0°~75°，旋转：0°~360°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最低照度:0.005Lux@（F1.2，AGCON），0LuxwithIR</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焦距&amp;视场角:2.8mm，水平视场角：102.7°</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红外距离:最远可达30m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最大图像尺寸:2560×1440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视频压缩标准:H.265/H.264/MJPEG</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室内壁装支架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海康威视DS-1292ZJ-K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70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×97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×173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定制2.5M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室内壁挂机柜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定制600mm*440mm*635mm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≥600(高)*440（长）*635(宽)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b/>
                <w:bCs/>
                <w:color w:val="000000"/>
                <w:sz w:val="24"/>
                <w:szCs w:val="24"/>
              </w:rPr>
            </w:r>
            <w:r/>
          </w:p>
        </w:tc>
      </w:tr>
      <w:tr>
        <w:trPr>
          <w:trHeight w:val="279"/>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（二十四）小区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（二十五）小区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（二十六）小区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（二十七）小区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400万热成像声光报警摄像机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海康威视DS-2TD26A5-N2X/CD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最低可用照度，0.01lx（彩色）；0.001lx（黑白）</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热成像图像尺寸（1920×1080、1280*720、704*576、640*512、384*288、352*288、320*240）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能进行黑白名单设置控制访问的IP地址和MAC地址</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具有支持图像细节增强功能、强光抑制</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热成像视频图像支持多种展示方式</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室外摄像机支架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 DS-1293ZJ</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88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华联视HL-POE1000E</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接口标准：RJ45，10/100/1000Mbps 自适应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定制2.5M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（二十八）小区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400万热成像声光报警摄像机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海康威视DS-2TD26A5-N2X/CD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最低可用照度，0.01lx（彩色）；0.001lx（黑白）</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热成像图像尺寸（1920×1080、1280*720、704*576、640*512、384*288、352*288、320*240）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能进行黑白名单设置控制访问的IP地址和MAC地址</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具有支持图像细节增强功能、强光抑制</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热成像视频图像支持多种展示方式</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室外摄像机支架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 DS-1293ZJ</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88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（二十九）小区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定制2.5M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（三十）小区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400万热成像声光报警摄像机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海康威视DS-2TD26A5-N2X/CD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最低可用照度，0.01lx（彩色）；0.001lx（黑白）</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热成像图像尺寸（1920×1080、1280*720、704*576、640*512、384*288、352*288、320*240）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能进行黑白名单设置控制访问的IP地址和MAC地址</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具有支持图像细节增强功能、强光抑制</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热成像视频图像支持多种展示方式</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室外摄像机支架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 DS-1293ZJ</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88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（三十一）小区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定制2.5M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（三十二）小区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定制2.5M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图腾 G26642</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42U</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机柜标准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19英寸标准</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材料及工艺 </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前门玻璃,后门钣金,材料采用SPCC优质冷轧钢</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规格不小于600（宽）×1000（深）×2000（高）mm </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（三十三）小区</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出入口超级卡口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海康威视iDS-TCV900-M4K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 1/2.7英寸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分辨力≥1500TVL(2064x1544，25fps,4Mbps)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图像分辨率最大支持4096x2800。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宽动态范围≥100dB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可识别倾斜角度0º~45º的车牌；</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支持新能源车牌识别；</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支持挡风玻璃人脸检测功能，支持主、副驾驶的人脸扣取和图片抓拍并上传；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支持人脸瞳距20-40像素人脸的识别和扣取；</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过车抓拍时，支持气体爆闪灯进行抓拍图片同步补光功能；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出入口爆闪灯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海康威视VSL-1000-1/C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闪光能量：55J ±10%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色温：5600K。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回电时间：＜500ms。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峰值闪光持续时间：＜0.1ms。</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工作寿命：≥250万次。</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触发方式：电平，+5VDC。</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有效补光距离:10m～15m。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专业人像抓拍机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海康威视DS-2CD7647HWD-LZS(11-40mm)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宽动态能力不小于100dB。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信噪比不小于60dB。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25fps下，清晰度不小于1100TVL。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支持单场景同时检出不少于40张人脸图片，并支持面部跟踪。</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支持人脸区域自动曝光功能，可根据外部不同场景和光照变化自动调节人脸区域曝光参数。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400万星光级抓拍枪机一体化网络摄像机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海康威视DS-2CD7045EMK/E2-N2X(11-40mm)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最低照度彩色不大于0.0002 lx，黑白不大于0.0001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宽动态能力不小于120dB。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设备水平中心分辨力不小于1500TVL。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400万全彩网络摄像机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海康威视DS-2CD2T45EMK-N2X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具有400万像素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具有不小于1/2.7"靶面尺寸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最低照度彩色不小于0.0004 lx</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在2560x1440 @ 25fps下，清晰度不小于1000TVL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支持H.264、H.265视频编码格式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不低于IP67防尘防水等级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需支持DC12V供电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室内壁装支架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海康威视DS-1292ZJ-K</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 铝合金</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调整角度 水平：360°，垂直：-45°~45°</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 70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×97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安装面宽度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×173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伸出总长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mm ±10%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定制1.6M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千兆光口接入交换机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neutralCAM-PG1F82E-AF</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8×千兆POE电口+2×千兆电口+1×千兆SFP光口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支持通过5类以太网线网络监控摄像头供电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1～8端口支持标准IEEE802.3af供电</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背板带宽16G</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包转发率11.9M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10个10/100/1000 Mbps自适应RJ45端口</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10KM光模块</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锐捷XG-LR-SM1310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传输距离：10KM</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B中控部分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4K专业监视器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海康威视DS-D5055UC-A</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显示参数：LED背光；分辨率3840 × 2160@60 Hz   亮度不小于300cd/㎡；对比度不小于 1000：1    接口参数 ：音视频输入接口：HDMI × 1  AUDIO IN × 1   音视频输出接口：AUDIO OUT × 1   数据传输接口：USB × 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海康威视DS-6901UD</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高清视音频解码器，采用Linux操作系统，运行稳定可靠</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输出接口：支持1路HDMI、VGA、输出接口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编码格式：支持H.265、H.264、MPEG4、MJPEG等主流的编码格式；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封装格式：支持PS、RTP、TS、ES等主流的封装格式；</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音频解码：支持G.722、G.711A、G.726、G.711U、MPEG2-L2、AAC音频格式的解码；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解码能力：支持2路1200W，或4路800W，或6路500W，或10路300W，或16路1080P及以下分辨率同时实时解码；</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画面分割：支持1、2、4、6、8、9、10、12、16画面分割显示.</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网络接口：支持1个RJ45网络接口</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光汇聚万兆二层交换机</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HZHZ-10G3204SFM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4×千兆电口+24×千兆SFP光口+4×万兆SFP+光口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万兆端口支持DAC、AOC等低成本成品光缆接入使用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网管系统：802.1Q VLAN、Voice VLAN、GVRP、镜像、端口隔离、链路聚合、QoS、环路保护、IGMP Snooping功能、DHCP Server,DHCP Snooping功能、LLDP、DDM数字诊断监测、IP源防护、ARP检测、访问控制列表，支持不同VLAN间通讯和静态路由</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生成树支持STP，RSTP ，ERPS工业级环网(G.8032)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40KM光模块</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锐捷40G-QSFP-ER4-SM1310</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模块类型：SFP</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传输波长：1310nm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工作电压：3.3V</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传输介质：单模光纤</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接口类型：双LC接口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传输距离：40KM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（三十四）农村微卡口1</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800万全结构化人像摄像机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海康威视DS-2CD7286HMK/E2-N4X(11-40mm)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具有800万像素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镜头接口应采用C或CS接口。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最低照度彩色：0.0002 lx，黑白:0.0001 lx，最大亮度鉴别等级（灰度等级）不小于11级。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信噪比不小于58dB。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在4096x2160 @ 25fps下，清晰度不小于2000TVL。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华联视HL-POE1000E</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接口标准：RJ45，10/100/1000Mbps 自适应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rHeight w:val="353"/>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（三十五）农村微卡口2</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800万全结构化人像摄像机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海康威视DS-2CD7286HMK/E2-N4X(11-40mm)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具有800万像素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镜头接口应采用C或CS接口。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最低照度彩色：0.0002 lx，黑白:0.0001 lx，最大亮度鉴别等级（灰度等级）不小于11级。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信噪比不小于58dB。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在4096x2160 @ 25fps下，清晰度不小于2000TVL。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华联视HL-POE1000E</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接口标准：RJ45，10/100/1000Mbps 自适应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（三十六）农村微卡口3</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800万全结构化人像摄像机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海康威视DS-2CD7286HMK/E2-N4X(11-40mm)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具有800万像素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镜头接口应采用C或CS接口。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最低照度彩色：0.0002 lx，黑白:0.0001 lx，最大亮度鉴别等级（灰度等级）不小于11级。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信噪比不小于58dB。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在4096x2160 @ 25fps下，清晰度不小于2000TVL。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华联视HL-POE1000E</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接口标准：RJ45，10/100/1000Mbps 自适应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（三十七）农村微卡口4</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800万全结构化人像摄像机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海康威视DS-2CD7286HMK/E2-N4X(11-40mm)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具有800万像素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镜头接口应采用C或CS接口。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最低照度彩色：0.0002 lx，黑白:0.0001 lx，最大亮度鉴别等级（灰度等级）不小于11级。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信噪比不小于58dB。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在4096x2160 @ 25fps下，清晰度不小于2000TVL。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华联视HL-POE1000E</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接口标准：RJ45，10/100/1000Mbps 自适应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（三十八）农村微卡口5</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800万全结构化人像摄像机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海康威视DS-2CD7286HMK/E2-N4X(11-40mm)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具有800万像素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镜头接口应采用C或CS接口。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最低照度彩色：0.0002 lx，黑白:0.0001 lx，最大亮度鉴别等级（灰度等级）不小于11级。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信噪比不小于58dB。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在4096x2160 @ 25fps下，清晰度不小于2000TVL。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华联视HL-POE1000E</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接口标准：RJ45，10/100/1000Mbps 自适应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（三十九）农村微卡口6</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800万全结构化人像摄像机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海康威视DS-2CD7286HMK/E2-N4X(11-40mm)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具有800万像素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镜头接口应采用C或CS接口。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最低照度彩色：0.0002 lx，黑白:0.0001 lx，最大亮度鉴别等级（灰度等级）不小于11级。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信噪比不小于58dB。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在4096x2160 @ 25fps下，清晰度不小于2000TVL。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华联视HL-POE1000E</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接口标准：RJ45，10/100/1000Mbps 自适应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（四十）农村微卡口7</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800万全结构化人像摄像机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海康威视DS-2CD7286HMK/E2-N4X(11-40mm)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具有800万像素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镜头接口应采用C或CS接口。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最低照度彩色：0.0002 lx，黑白:0.0001 lx，最大亮度鉴别等级（灰度等级）不小于11级。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信噪比不小于58dB。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在4096x2160 @ 25fps下，清晰度不小于2000TVL。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华联视HL-POE1000E</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接口标准：RJ45，10/100/1000Mbps 自适应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（四十一）农村微卡口8</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800万全结构化人像摄像机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海康威视DS-2CD7286HMK/E2-N4X(11-40mm)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具有800万像素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镜头接口应采用C或CS接口。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最低照度彩色：0.0002 lx，黑白:0.0001 lx，最大亮度鉴别等级（灰度等级）不小于11级。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信噪比不小于58dB。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在4096x2160 @ 25fps下，清晰度不小于2000TVL。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华联视HL-POE1000E</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接口标准：RJ45，10/100/1000Mbps 自适应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（四十二）农村微卡口9</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800万全结构化人像摄像机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海康威视DS-2CD7286HMK/E2-N4X(11-40mm)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具有800万像素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镜头接口应采用C或CS接口。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最低照度彩色：0.0002 lx，黑白:0.0001 lx，最大亮度鉴别等级（灰度等级）不小于11级。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信噪比不小于58dB。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在4096x2160 @ 25fps下，清晰度不小于2000TVL。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华联视HL-POE1000E</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接口标准：RJ45，10/100/1000Mbps 自适应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（四十三）农村微卡口10</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800万全结构化人像摄像机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海康威视DS-2CD7286HMK/E2-N4X(11-40mm)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具有800万像素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镜头接口应采用C或CS接口。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最低照度彩色：0.0002 lx，黑白:0.0001 lx，最大亮度鉴别等级（灰度等级）不小于11级。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信噪比不小于58dB。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在4096x2160 @ 25fps下，清晰度不小于2000TVL。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华联视HL-POE1000E</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接口标准：RJ45，10/100/1000Mbps 自适应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（四十四）农村微卡口11</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800万全结构化人像摄像机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海康威视DS-2CD7286HMK/E2-N4X(11-40mm)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具有800万像素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镜头接口应采用C或CS接口。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最低照度彩色：0.0002 lx，黑白:0.0001 lx，最大亮度鉴别等级（灰度等级）不小于11级。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信噪比不小于58dB。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在4096x2160 @ 25fps下，清晰度不小于2000TVL。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华联视HL-POE1000E</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接口标准：RJ45，10/100/1000Mbps 自适应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（四十五）农村微卡口12</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800万全结构化人像摄像机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海康威视DS-2CD7286HMK/E2-N4X(11-40mm)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具有800万像素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镜头接口应采用C或CS接口。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最低照度彩色：0.0002 lx，黑白:0.0001 lx，最大亮度鉴别等级（灰度等级）不小于11级。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信噪比不小于58dB。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在4096x2160 @ 25fps下，清晰度不小于2000TVL。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华联视HL-POE1000E</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接口标准：RJ45，10/100/1000Mbps 自适应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（四十六）农村微卡口13</w:t>
            </w:r>
            <w:r>
              <w:rPr>
                <w:rFonts w:hint="eastAsia" w:ascii="宋体" w:hAnsi="宋体" w:eastAsia="宋体" w:cs="宋体"/>
                <w:b/>
                <w:bCs/>
                <w:color w:val="000000"/>
                <w:sz w:val="24"/>
                <w:szCs w:val="24"/>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639"/>
              <w:ind w:left="0"/>
              <w:jc w:val="lef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800万全结构化人像摄像机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海康威视DS-2CD7286HMK/E2-N4X(11-40mm)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具有800万像素 CMOS传感器。</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内置GPU芯片，具有不小于1/1.8"靶面尺寸</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镜头接口应采用C或CS接口。</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最低照度彩色：0.0002 lx，黑白:0.0001 lx，最大亮度鉴别等级（灰度等级）不小于11级。</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信噪比不小于58dB。</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在4096x2160 @ 25fps下，清晰度不小于2000TVL。</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支持H.264、H.265、MJPEG视频编码格式，且具有High Profile编码能力。</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华联视HL-POE1000E</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接口标准：RJ45，10/100/1000Mbps 自适应</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定制3.5M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室外防水设备箱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定制670mm×400mm×350mm</w:t>
            </w:r>
            <w:r>
              <w:rPr>
                <w:rFonts w:hint="eastAsia" w:ascii="宋体" w:hAnsi="宋体" w:eastAsia="宋体" w:cs="宋体"/>
                <w:color w:val="000000"/>
                <w:sz w:val="24"/>
                <w:szCs w:val="24"/>
              </w:rPr>
            </w:r>
            <w:r/>
          </w:p>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国产不锈钢≥670mm(高)×400mm（长）×350mm(宽)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公牛6排</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明纬12V10A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r>
    </w:tbl>
    <w:p>
      <w:pPr>
        <w:pStyle w:val="639"/>
        <w:ind w:left="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6.甪直镇区主干道报警柱监控2018年竣工投入使用</w:t>
      </w:r>
      <w:r>
        <w:rPr>
          <w:rFonts w:hint="eastAsia" w:ascii="宋体" w:hAnsi="宋体" w:eastAsia="宋体" w:cs="宋体"/>
          <w:b/>
          <w:bCs/>
          <w:color w:val="000000"/>
          <w:sz w:val="24"/>
          <w:szCs w:val="24"/>
        </w:rPr>
      </w:r>
      <w:r/>
    </w:p>
    <w:tbl>
      <w:tblPr>
        <w:tblW w:w="1044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49"/>
        <w:gridCol w:w="1891"/>
        <w:gridCol w:w="6705"/>
        <w:gridCol w:w="570"/>
        <w:gridCol w:w="532"/>
      </w:tblGrid>
      <w:tr>
        <w:trPr>
          <w:tblHeade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维护部位、名称</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705"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品牌规格或维护要求</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报警柱球机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5"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海康DS-2DE72GAWIW</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200万带红外或激光1920×1080@60fps；星光级超低照度：0.0005Lux/F1.5(彩色)，0.0001Lux/F1.5(黑白)，0 Lux with IR；200米或以上夜间可视距离；焦距：6-208mm，8</w:t>
            </w:r>
            <w:r>
              <w:rPr>
                <w:rFonts w:hint="eastAsia" w:ascii="宋体" w:hAnsi="宋体" w:eastAsia="宋体" w:cs="宋体"/>
                <w:color w:val="000000"/>
                <w:sz w:val="24"/>
                <w:szCs w:val="24"/>
                <w:lang w:val="en-US" w:eastAsia="zh-CN"/>
              </w:rPr>
              <w:t xml:space="preserve">英</w:t>
            </w:r>
            <w:r>
              <w:rPr>
                <w:rFonts w:hint="eastAsia" w:ascii="宋体" w:hAnsi="宋体" w:eastAsia="宋体" w:cs="宋体"/>
                <w:color w:val="000000"/>
                <w:sz w:val="24"/>
                <w:szCs w:val="24"/>
              </w:rPr>
              <w:t xml:space="preserve">寸外形，37倍或以上光学变倍；支持音频、报警；支持120dB宽动态、光学透雾、强光抑制、Smart IR 、电子防抖、3D数字降噪；支持智能运动跟踪；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报警柱枪机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5" w:type="dxa"/>
            <w:vAlign w:val="center"/>
            <w:textDirection w:val="lrTb"/>
            <w:noWrap w:val="false"/>
          </w:tcPr>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海康DS-2CD2T35XYZUV</w:t>
            </w:r>
            <w:r>
              <w:rPr>
                <w:rFonts w:hint="eastAsia" w:ascii="宋体" w:hAnsi="宋体" w:eastAsia="宋体" w:cs="宋体"/>
                <w:color w:val="000000"/>
                <w:sz w:val="24"/>
                <w:szCs w:val="24"/>
              </w:rPr>
            </w:r>
            <w:r/>
          </w:p>
          <w:p>
            <w:pPr>
              <w:pStyle w:val="639"/>
              <w:ind w:left="0"/>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300万1/3”CMOS ICR红外阵列筒型网络摄像机；H.265及H.264编码；最小照度 0.07Lux @(F1.2,AGC ON) ,0 Lux with IR；0.1 Lux @(F1.4,AGC ON), 0 Lux with IR；镜头 4mm, 水平视场角:60.5°(6mm,8mm,12mm可选)；快门 1/3秒至1/100,000秒；支持数字宽动态；帧率 50Hz: 25fps(2048 × 1536, 1920 × 1080, 1280 × 720)；红外照射距离：最远可达50米</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r>
    </w:tbl>
    <w:p>
      <w:pPr>
        <w:pStyle w:val="639"/>
        <w:ind w:left="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8.2023年投入使用XX场景化建设</w:t>
      </w:r>
      <w:r>
        <w:rPr>
          <w:rFonts w:hint="eastAsia" w:ascii="宋体" w:hAnsi="宋体" w:eastAsia="宋体" w:cs="宋体"/>
          <w:b/>
          <w:bCs/>
          <w:color w:val="000000"/>
          <w:sz w:val="24"/>
          <w:szCs w:val="24"/>
        </w:rPr>
      </w:r>
      <w:r/>
    </w:p>
    <w:tbl>
      <w:tblPr>
        <w:tblW w:w="105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845"/>
        <w:gridCol w:w="6801"/>
        <w:gridCol w:w="540"/>
        <w:gridCol w:w="612"/>
      </w:tblGrid>
      <w:tr>
        <w:trPr>
          <w:tblHeader/>
        </w:trPr>
        <w:tc>
          <w:tcPr>
            <w:tcW w:w="748"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维护部位、名称</w:t>
            </w:r>
            <w:r>
              <w:rPr>
                <w:rFonts w:hint="eastAsia" w:ascii="宋体" w:hAnsi="宋体" w:eastAsia="宋体" w:cs="宋体"/>
                <w:b/>
                <w:bCs/>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品牌规格或维护要求</w:t>
            </w:r>
            <w:r>
              <w:rPr>
                <w:rFonts w:hint="eastAsia" w:ascii="宋体" w:hAnsi="宋体" w:eastAsia="宋体" w:cs="宋体"/>
                <w:b/>
                <w:bCs/>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hint="eastAsia" w:ascii="宋体" w:hAnsi="宋体" w:eastAsia="宋体" w:cs="宋体"/>
                <w:b/>
                <w:bCs/>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r>
      <w:tr>
        <w:trPr/>
        <w:tc>
          <w:tcPr>
            <w:gridSpan w:val="5"/>
            <w:tcW w:w="1054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一、中控设备</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云存储视频服务器</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CPU：2颗处理器；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内存：8GB内存；</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磁盘数量：48盘位；（目前288TB满载中）</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磁盘容量：支持1T/2T/3T/4T/6T/8T；6T*48块硬盘；</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设备采用控制器架构；</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网络协议：GB、RTSP，ONVIF、PSIA 等；</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数据接口：4个千兆以太网口；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支持视频直存技术，支持GB/T28181、Onvif、RTSP、PSIA等标准视频协议接入及存储，支持视频采用SVAC、H265、H264等压缩编码。</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云存储图片服务器</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处理器：2颗64位多核处理器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内存：8GB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SSD：SSD系统盘，并内置加速缓存</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磁盘数量：48盘位（目前288TB满载中）</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磁盘接口：支持SATA/SAS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磁盘容量：支持1T/2T/3T/4T/6T/8T；6T*48块硬盘</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RAID级别：网络RAID；</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数据接口：4个千兆网口；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管理接口：1个千兆管理口；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USB 接口：2个；</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设备接入服务器</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2U双路标准机架式服务器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2颗intel至强系列处理器，核数10核，主频2.2GHz</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内存：16G*4 DDR4， </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硬盘：4块600G 10K 2.5</w:t>
            </w:r>
            <w:r>
              <w:rPr>
                <w:rFonts w:hint="eastAsia" w:ascii="宋体" w:hAnsi="宋体" w:eastAsia="宋体" w:cs="宋体"/>
                <w:color w:val="000000"/>
                <w:sz w:val="24"/>
                <w:szCs w:val="24"/>
                <w:lang w:val="en-US" w:eastAsia="zh-CN"/>
              </w:rPr>
              <w:t xml:space="preserve">英</w:t>
            </w:r>
            <w:r>
              <w:rPr>
                <w:rFonts w:hint="eastAsia" w:ascii="宋体" w:hAnsi="宋体" w:eastAsia="宋体" w:cs="宋体"/>
                <w:color w:val="000000"/>
                <w:sz w:val="24"/>
                <w:szCs w:val="24"/>
              </w:rPr>
              <w:t xml:space="preserve">寸 SAS硬盘</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阵列卡：SAS_HBA卡, 支持RAID 0/1/10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PCIE扩展：6个PCIE扩展插槽</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网口：2个千兆电口、2个万兆光口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其他接口：1个RJ45管理接口，后置2个USB 3.0接口，前置2个USB2.0接口，1个VGA接口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电源：标配550W（1+1）冗余电源</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装载：综合管理平台（Infovision PVIA (DN)</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gridSpan w:val="5"/>
            <w:tcW w:w="1054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二、监控联网运维</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三类监控联网平台运维</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要求已经完成接入的三类监控实时图像，分布在甪直镇各宾馆、酒店、商场、医院、菜市场、小区等公共场所，需保障视频查看正常，无卡顿、无掉帧；录像调用迅速，无卡顿、无掉帧，确保平台正常运行。 </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通讯链路服务</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单路节点网络传输带宽不低于50Mbps，包含三类监控联网线路，视频专网线路租用服务，服务期为一年。</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路</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448</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汇聚线路服务</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点对点光纤租用服务，服务期为一年</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路</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rPr>
            </w:r>
            <w:r/>
          </w:p>
        </w:tc>
      </w:tr>
      <w:tr>
        <w:trPr/>
        <w:tc>
          <w:tcPr>
            <w:gridSpan w:val="5"/>
            <w:tcW w:w="10546"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三、前端设备</w:t>
            </w:r>
            <w:r>
              <w:rPr>
                <w:rFonts w:hint="eastAsia" w:ascii="宋体" w:hAnsi="宋体" w:eastAsia="宋体" w:cs="宋体"/>
                <w:b/>
                <w:bCs/>
                <w:color w:val="000000"/>
                <w:sz w:val="24"/>
                <w:szCs w:val="24"/>
              </w:rPr>
            </w:r>
            <w:r/>
          </w:p>
        </w:tc>
      </w:tr>
      <w:tr>
        <w:trPr/>
        <w:tc>
          <w:tcPr>
            <w:gridSpan w:val="5"/>
            <w:tcW w:w="10546"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（一）A位置</w:t>
            </w:r>
            <w:r>
              <w:rPr>
                <w:rFonts w:hint="eastAsia" w:ascii="宋体" w:hAnsi="宋体" w:eastAsia="宋体" w:cs="宋体"/>
                <w:b/>
                <w:bCs/>
                <w:color w:val="000000"/>
                <w:sz w:val="24"/>
                <w:szCs w:val="24"/>
              </w:rPr>
            </w:r>
            <w:r/>
          </w:p>
        </w:tc>
      </w:tr>
      <w:tr>
        <w:trPr/>
        <w:tc>
          <w:tcPr>
            <w:gridSpan w:val="5"/>
            <w:tcW w:w="10546"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bookmarkStart w:id="2" w:name="_Hlk113270526"/>
            <w:r>
              <w:rPr>
                <w:rFonts w:hint="eastAsia" w:ascii="宋体" w:hAnsi="宋体" w:eastAsia="宋体" w:cs="宋体"/>
                <w:color w:val="000000"/>
                <w:sz w:val="24"/>
                <w:szCs w:val="24"/>
              </w:rPr>
              <w:t xml:space="preserve">多功能智能车辆感知设备</w:t>
            </w:r>
            <w:bookmarkEnd w:id="2"/>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传感器：900万像素彩色全局曝光 CMOS；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靶面尺寸：1英寸；</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支持图像分辨率4096 ×2160；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帧率25 fps；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视频编码格式：H.264/H265/MJPEG</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通讯接口2个100M/1000M 自适应RJ45 接口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触发输出：2路</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触发输入：2个</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音频接口: 1路输入，1路输出；</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补光控制：支持闪光灯或LED 频闪灯同步补光；</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支持三码流同时并发输出；</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多种触发模式：支持线圈触发、视频触发等多种触发模式。</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车辆识别功能：支持车牌识别、视频触发、车身颜色识别、车型识别、车标识别、车窗物件识别及通行车辆信息捕获；</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车牌颜色识别：支持识别蓝色、黄色、黑色、白色、绿色、红色、黄绿双拼色以及渐变绿色等车牌颜色；</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支持车道自动检测功能，可手动划定检测线，也可根据车道和停止线自动调整检测区域；</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节能补光灯</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车内人脸专用爆闪补光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闪光能量：60J；色温：5600K。回电时间：＜500ms。峰值闪光持续时间：＜0.1ms。</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工作寿命：300万次。触发方式：电平，+5VDC。覆盖范围:3m～4m@10m处。</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有效补光距离:10m～16m。电压:154VAC～265VAC；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频率:48Hz～52Hz。</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功耗:平均16W（@1闪/s）。</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功能特性：白光闪光灯,覆盖1车道,220VAC,3m～4m@10m处,同时支持电平量或开关量触发</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多功能智能人像感知设备</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传感器：400万像素CMOS传感器；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内置双镜头：</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通道1靶面尺寸：1/1.8＂；通道2靶面尺寸：1/2.7＂</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通道1焦距范围：8-32mm；通道2焦距：4mm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最低彩色照度0.0002 lx，最低黑白照度0.0001 lx；</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宽动态能力：120dB；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采用金属外壳。</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内置2个麦克风、1个扬声器，支持双向语音对讲。</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内置4颗混合补光灯，每颗灯由红外灯、白光灯组成，在开启白光灯或混合补光灯时，可输出彩色视频图像。</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千兆光口工业交换机</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交换容量128Gbps，包转发率20Mpps；8*千兆电口+2*千兆光口；</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供电方式：直流双路冗余供电，本次配置单路适配器；</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功能：网络/电源；</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传输速率：1000Mbps；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SPD端口：两端口；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SPD类别：组合型；</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电源电涌保护特性：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额定电压：220V AC；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lmax持续运行电压：275V AC；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保护水平：1150V AC；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额定负载电流：1A；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响应时间：≤25ns；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网络信号电涌保护特性：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持续运行电压：8V；</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保护水平：150V;</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响应时间：≤1ns；</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DC12V电源适配器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输入规格:AC176V~260V，50Hz，0.8A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输出规格:DC12V/2A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输入效率85.00%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负载调整率:±5%</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纹波/噪声:150mVp-p</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输出功率:24W Max</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rPr>
            </w:r>
            <w:r/>
          </w:p>
        </w:tc>
      </w:tr>
      <w:tr>
        <w:trPr/>
        <w:tc>
          <w:tcPr>
            <w:gridSpan w:val="5"/>
            <w:tcW w:w="10546"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（二）B位置</w:t>
            </w:r>
            <w:r>
              <w:rPr>
                <w:rFonts w:hint="eastAsia" w:ascii="宋体" w:hAnsi="宋体" w:eastAsia="宋体" w:cs="宋体"/>
                <w:b/>
                <w:bCs/>
                <w:color w:val="000000"/>
                <w:sz w:val="24"/>
                <w:szCs w:val="24"/>
              </w:rPr>
            </w:r>
            <w:r/>
          </w:p>
        </w:tc>
      </w:tr>
      <w:tr>
        <w:trPr/>
        <w:tc>
          <w:tcPr>
            <w:gridSpan w:val="5"/>
            <w:tcW w:w="10546"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多功能智能车辆感知设备</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传感器：900万像素彩色全局曝光 CMOS；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靶面尺寸：1英寸；</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支持图像分辨率4096 ×2160；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帧率25 fps；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视频编码格式：H.264/H265/MJPEG</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通讯接口2个100M/1000M 自适应RJ45 接口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触发输出：2路</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触发输入：2个</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音频接口: 1路输入，1路输出；</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补光控制：支持闪光灯或LED 频闪灯同步补光；</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支持三码流同时并发输出；</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多种触发模式：支持线圈触发、视频触发等多种触发模式。</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车辆识别功能：支持车牌识别、视频触发、车身颜色识别、车型识别、车标识别、车窗物件识别及通行车辆信息捕获；</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车牌颜色识别：支持识别蓝色、黄色、黑色、白色、绿色、红色、黄绿双拼色以及渐变绿色等车牌颜色；</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支持车道自动检测功能，可手动划定检测线，也可根据车道和停止线自动调整检测区域；</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节能补光灯</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jc w:val="lef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车内人脸专用爆闪补光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闪光能量：60J；色温：5600K。回电时间：＜500ms。峰值闪光持续时间：＜0.1ms。</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工作寿命：300万次。触发方式：电平，+5VDC。覆盖范围:3m～4m@10m处。</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有效补光距离:10m～16m。电压:154VAC～265VAC；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频率:48Hz～52Hz。</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功耗:平均＜16W（@1闪/s）。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功能特性：白光闪光灯,覆盖1车道,220VAC,3m～4m@10m处,同时支持电平量或开关量触发</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多功能智能人像感知设备</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传感器：400万像素CMOS传感器；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内置双镜头：</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通道1靶面尺寸：1/1.8＂；通道2靶面尺寸：1/2.7＂</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通道1焦距范围：8-32mm；通道2焦距：4mm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最低彩色照度≤0.0002 lx，最低黑白照度≤0.0001 lx；</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宽动态能力：120dB；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采用金属外壳。</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内置2个麦克风、1个扬声器，支持双向语音对讲。</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内置4颗混合补光灯，每颗灯由红外灯、白光灯组成，在开启白光灯或混合补光灯时，可输出彩色视频图像。</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千兆光口工业交换机</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交换容量128Gbps，包转发率20Mpps；8*千兆电口+2*千兆光口；</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供电方式：直流双路冗余供电，本次配置单路适配器；</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功能：网络/电源；</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传输速率：1000Mbps；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SPD端口：两端口；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SPD类别：组合型；</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电源电涌保护特性：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额定电压：220V AC；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lmax持续运行电压：275V AC；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保护水平：1150V AC；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额定负载电流：1A；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响应时间：≤25ns；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网络信号电涌保护特性：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持续运行电压：8V；</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保护水平：150V;</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响应时间：≤1ns；</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DC12V电源适配器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输入规格:AC176V~260V，50Hz，0.8A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输出规格:DC12V/2A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输入效率85.00%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负载调整率:±5%</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纹波/噪声:150mVp-p</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输出功率:24W Max</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c>
          <w:tcPr>
            <w:gridSpan w:val="5"/>
            <w:tcW w:w="10546"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（三）C位置</w:t>
            </w:r>
            <w:r>
              <w:rPr>
                <w:rFonts w:hint="eastAsia" w:ascii="宋体" w:hAnsi="宋体" w:eastAsia="宋体" w:cs="宋体"/>
                <w:b/>
                <w:bCs/>
                <w:color w:val="000000"/>
                <w:sz w:val="24"/>
                <w:szCs w:val="24"/>
              </w:rPr>
            </w:r>
            <w:r/>
          </w:p>
        </w:tc>
      </w:tr>
      <w:tr>
        <w:trPr/>
        <w:tc>
          <w:tcPr>
            <w:gridSpan w:val="5"/>
            <w:tcW w:w="10546"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多功能智能人像感知设备</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传感器：400万像素CMOS传感器；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内置双镜头：</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通道1靶面尺寸：1/1.8＂；通道2靶面尺寸：1/2.7＂</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通道1焦距范围：8-32mm；通道2焦距：4mm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最低彩色照度0.0002 lx，最低黑白照度0.0001 lx；</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宽动态能力：120dB；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采用金属外壳。</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内置2个麦克风、1个扬声器，支持双向语音对讲。</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内置4颗混合补光灯，每颗灯由红外灯、白光灯组成，在开启白光灯或混合补光灯时，可输出彩色视频图像。</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专业全景摄像机</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传感器：400万像素CMOS传感器；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靶面尺寸：1/1.8＂；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焦距范围：焦距：全景2.8~12 mm；细节5.9~147.5 mm；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最低彩色照度0.0005 lx，最低黑白照度0.0001 lx；</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宽动态：106dB；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光学变倍：全景4倍；细节25倍；</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补光距离：全景：全彩30 m；细节：红外250 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细节通道水平旋转范围0~360°连续旋转，垂直旋转范围-20°~90°；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摄像机内置不少于2个镜头，可输出至少一路全景视频和一路细节视频，其中全景路内置1个镜头，细节路内置1个镜头；</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全景路视频图像分辨率不小于2560 × 1440，细节路视频图像分辨率不小于2560x1440</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千兆光口工业交换机</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交换容量128Gbps，包转发率20Mpps；8*千兆电口+2*千兆光口；</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供电方式：直流双路冗余供电，本次配置单路适配器；</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汇聚交换机</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交换容量736Gbps，包转发率222Mpps</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配件要求；配置双电源，双风扇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端口要求；实配100/1000Base-T以太网口24个，combo 1000Base-X光接口8个，1/10 GE 光接口4个，扩展插槽1个，支持未来扩展2端口40G接口或8端口万兆光接口；支持VxLAN  支持二层/三层VxLAN，；支持802.1ae Macsec安全加密，实现MAC层安全加密，包括用户数据加密、数据帧完整性检查及数据源真实性校验，无需软件授权。有线无线一体化，支持融合AC功能，支持无线控制器功能；安全插卡 支持FW安全插卡。</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功能：网络/电源；</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传输速率：1000Mbps；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SPD端口：两端口；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SPD类别：组合型；</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电源电涌保护特性：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额定电压：220V AC；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lmax持续运行电压：275V AC；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保护水平：1150V AC；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额定负载电流：1A；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响应时间：≤25ns；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网络信号电涌保护特性：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持续运行电压：8V；</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保护水平：150V;</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响应时间：≤1ns；</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DC12V电源适配器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输入规格:AC176V~260V，50Hz，0.8A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输出规格:DC12V/2A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输入效率85.00%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负载调整率:±5%</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纹波/噪声:150mVp-p</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输出功率:24W Max</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w:t>
            </w:r>
            <w:r>
              <w:rPr>
                <w:rFonts w:hint="eastAsia" w:ascii="宋体" w:hAnsi="宋体" w:eastAsia="宋体" w:cs="宋体"/>
                <w:color w:val="000000"/>
                <w:sz w:val="24"/>
                <w:szCs w:val="24"/>
              </w:rPr>
            </w:r>
            <w:r/>
          </w:p>
        </w:tc>
      </w:tr>
      <w:tr>
        <w:trPr/>
        <w:tc>
          <w:tcPr>
            <w:gridSpan w:val="5"/>
            <w:tcW w:w="10546"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（四）D位置</w:t>
            </w:r>
            <w:r>
              <w:rPr>
                <w:rFonts w:hint="eastAsia" w:ascii="宋体" w:hAnsi="宋体" w:eastAsia="宋体" w:cs="宋体"/>
                <w:b/>
                <w:bCs/>
                <w:color w:val="000000"/>
                <w:sz w:val="24"/>
                <w:szCs w:val="24"/>
              </w:rPr>
            </w:r>
            <w:r/>
          </w:p>
        </w:tc>
      </w:tr>
      <w:tr>
        <w:trPr/>
        <w:tc>
          <w:tcPr>
            <w:gridSpan w:val="5"/>
            <w:tcW w:w="10546"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低照度人像卡口</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传感器：800万像素CMOS传感器；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靶面尺寸：1/1.8＂；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焦距范围：11-40mm；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最低彩色照度0.0002 lx，最低黑白照度0.0001 lx；</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宽动态能力：120dB；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采用金属外壳</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内置混合补光灯，可对红外灯及白光灯功率进行调节。</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需具有22路取流路数能力，以满足更多用户同时在线访问摄像机视频。</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检出两眼瞳距20像素点以上的人脸图片。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支持单场景同时检出30张人脸图片，并支持面部跟踪。</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人脸检出率不小于99%。</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支持人脸抓拍、人体检测、人脸人体检测三种模式。</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低照度星光球机</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传感器：400万像素CMOS传感器；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靶面尺寸：1/1.8＂；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焦距范围：6~150 mm；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最低彩色照度0.0002 lx，最低黑白照度0.0001 lx；</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宽动态：120dB；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光学变倍：25倍；</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补光距离：红外200 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细节通道水平旋转范围0~360°连续旋转，垂直旋转范围-20°~90°；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摄像机内置两个图像传感器，可分别输出黑白视频图像和彩色视频图像，并可对这两路视频图像进行融合输出；</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视频图像分辨率与帧率不小于2560×1440、25帧/秒;</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设备可对监控画面中不小于30个人脸进行检测、跟踪和抓拍;</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智能AI双舱人像一体机</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传感器：400万像素CMOS传感器；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内置2个CMOS图像传感器：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通道1靶面尺寸：1/1.8＂；通道2靶面尺寸：1/1.8＂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通道1焦距范围：8-32mm；通道2焦距：8-32mm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最低彩色照度≤0.0002 lx，最低黑白照度≤0.0001 lx；</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内置2颗GPU芯片，2个麦克风，1个扬声器。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设备双通道均具有2颗远光混合补光灯和2颗近光补光灯，开启补光灯后，可采集2路彩色视频图像。</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可输出2个通道画面，通道1和通道2的码流分辨率均不小于2560*1440。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双通道均支持PT一体化云台，通道1和通道2的云台应可独立控制，可通过IE浏览器或客户端远程调节PT位置以实现监控场景的切换。</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功能：网络/电源；</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传输速率：1000Mbps；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SPD端口：两端口；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SPD类别：组合型；</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电源电涌保护特性：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额定电压：220V AC；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lmax持续运行电压：275V AC；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保护水平：1150V AC；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额定负载电流：1A；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响应时间：≤25ns；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网络信号电涌保护特性：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持续运行电压：8V；</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保护水平：150V;</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响应时间：≤1ns；</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DC12V电源适配器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输入规格:AC176V~260V，50Hz，0.8A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输出规格:DC12V/2A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输入效率85.00%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负载调整率:±5%</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纹波/噪声:150mVp-p</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输出功率:24W Max</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rPr>
            </w:r>
            <w:r/>
          </w:p>
        </w:tc>
      </w:tr>
      <w:tr>
        <w:trPr/>
        <w:tc>
          <w:tcPr>
            <w:gridSpan w:val="5"/>
            <w:tcW w:w="10546"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（五）E位置</w:t>
            </w:r>
            <w:r>
              <w:rPr>
                <w:rFonts w:hint="eastAsia" w:ascii="宋体" w:hAnsi="宋体" w:eastAsia="宋体" w:cs="宋体"/>
                <w:b/>
                <w:bCs/>
                <w:color w:val="000000"/>
                <w:sz w:val="24"/>
                <w:szCs w:val="24"/>
              </w:rPr>
            </w:r>
            <w:r/>
          </w:p>
        </w:tc>
      </w:tr>
      <w:tr>
        <w:trPr/>
        <w:tc>
          <w:tcPr>
            <w:gridSpan w:val="5"/>
            <w:tcW w:w="10546"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A前端部分</w:t>
            </w:r>
            <w:r>
              <w:rPr>
                <w:rFonts w:hint="eastAsia" w:ascii="宋体" w:hAnsi="宋体" w:eastAsia="宋体" w:cs="宋体"/>
                <w:b/>
                <w:bCs/>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多功能智能人像感知设备</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传感器：400万像素CMOS传感器；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内置双镜头：</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通道1靶面尺寸：1/1.8＂；通道2靶面尺寸：1/2.7＂</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通道1焦距范围：8-32mm；通道2焦距：4mm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最低彩色照度0.0002 lx，最低黑白照度0.0001 lx；</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宽动态能力：120dB；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采用金属外壳。</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内置2个麦克风、1个扬声器，支持双向语音对讲。</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内置4颗混合补光灯，每颗灯由红外灯、白光灯组成，在开启白光灯或混合补光灯时，可输出彩色视频图像。</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支持检出两眼瞳距20像素点以上的人脸图片。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支持人脸比对，比对准确率不低于99%。</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支持侧脸过滤功能，可过滤上下、左右角度达到预设值的人脸。</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专业全景摄像机</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传感器：400万像素CMOS传感器；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靶面尺寸：1/1.8＂；</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焦距范围：焦距：全景2.8~12 mm；细节5.9~147.5 mm；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最低彩色照度0.0005 lx，最低黑白照度0.0001 lx；</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宽动态：106dB；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光学变倍：全景4倍；细节25倍；</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补光距离：全景：全彩30 m；细节：红外250 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细节通道水平旋转范围0~360°连续旋转，垂直旋转范围-20°~90°；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摄像机内置不少于2个镜头，可输出至少一路全景视频和一路细节视频，其中全景路内置1个镜头，细节路内置1个镜头；</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全景路视频图像分辨率不小于2560 × 1440，细节路视频图像分辨率不小于2560x1440</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千兆光口工业交换机</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交换容量128Gbps，包转发率20Mpps；8*千兆电口+2*千兆光口；</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供电方式：直流双路冗余供电，本次配置单路适配器；</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功能：网络/电源；</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传输速率：1000Mbps；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SPD端口：两端口；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SPD类别：组合型；</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电源电涌保护特性：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额定电压：220V AC；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lmax持续运行电压：275V AC；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保护水平：1150V AC；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额定负载电流：1A；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响应时间：≤25ns；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网络信号电涌保护特性：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持续运行电压：8V；</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保护水平：150V;</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响应时间：≤1ns；</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DC12V电源适配器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输入规格:AC176V~260V，50Hz，0.8A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输出规格:DC12V/2A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输入效率85.00%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负载调整率:±5%</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纹波/噪声:150mVp-p</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输出功率:24W Max</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gridSpan w:val="5"/>
            <w:tcW w:w="1054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（六）E-1位置</w:t>
            </w:r>
            <w:r>
              <w:rPr>
                <w:rFonts w:hint="eastAsia" w:ascii="宋体" w:hAnsi="宋体" w:eastAsia="宋体" w:cs="宋体"/>
                <w:color w:val="000000"/>
                <w:sz w:val="24"/>
                <w:szCs w:val="24"/>
              </w:rPr>
            </w:r>
            <w:r/>
          </w:p>
        </w:tc>
      </w:tr>
      <w:tr>
        <w:trPr/>
        <w:tc>
          <w:tcPr>
            <w:gridSpan w:val="5"/>
            <w:tcW w:w="1054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A前端部分</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bookmarkStart w:id="3" w:name="OLE_LINK3"/>
            <w:r>
              <w:rPr>
                <w:rFonts w:hint="eastAsia" w:ascii="宋体" w:hAnsi="宋体" w:eastAsia="宋体" w:cs="宋体"/>
                <w:color w:val="000000"/>
                <w:sz w:val="24"/>
                <w:szCs w:val="24"/>
              </w:rPr>
              <w:t xml:space="preserve">多功能智能人像感知设备</w:t>
            </w:r>
            <w:bookmarkEnd w:id="3"/>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传感器：400万像素CMOS传感器；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内置双镜头：</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通道1靶面尺寸：1/1.8＂；通道2靶面尺寸：1/2.7＂</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通道1焦距范围：8-32mm；通道2焦距：4mm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最低彩色照度0.0002 lx，最低黑白照度0.0001 lx；</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宽动态能力：120dB；</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内置GPU芯片；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采用金属外壳。</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内置2个麦克风、1个扬声器，支持双向语音对讲。</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支持MD5、SHA256加密算法。</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内置4颗混合补光灯，每颗灯由红外灯、白光灯组成，在开启白光灯或混合补光灯时，可输出彩色视频图像。</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千兆光口工业交换机</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交换容量128Gbps，包转发率20Mpps；8*千兆电口+2*千兆光口；</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供电方式：直流双路冗余供电，本次配置单路适配器；</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网络传输防雷器</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功能：网络/电源；</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传输速率：1000Mbps；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SPD端口：两端口；</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SPD类别：组合型；</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电源电涌保护特性：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额定电压：220V AC；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lmax持续运行电压：275V AC；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保护水平：1150V AC；</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额定负载电流：1A；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响应时间：≤25ns；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网络信号电涌保护特性：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持续运行电压：8V；</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保护水平：150V;</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响应时间：≤1ns；</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DC12V电源适配器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输入规格:AC176V~260V，50Hz，0.8A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输出规格:DC12V/2A</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输入效率85.00%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负载调整率:±5%</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纹波/噪声:150mVp-p</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输出功率:24W Max</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r>
      <w:tr>
        <w:trPr/>
        <w:tc>
          <w:tcPr>
            <w:gridSpan w:val="5"/>
            <w:tcW w:w="10546"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（七）全镇某行业场所门口</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高变焦800万室外微光结构化相机</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内置GPU处理器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传感器类型：1/1.8英寸CMOS；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像素：800万；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最大分辨率：3840×2160；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最低照度：0.0002Lux（彩色模式）；0.0001Lux（黑白模式）；0Lux（补光灯开启）；</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最大补光距离：50m（人脸检测距离）80m（视频监控距离）；</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镜头类型：电动变焦；</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镜头焦距：8-56mm；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人脸检测：支持人脸检测；支持跟踪；支持优选；支持抓拍；支持上报最优的人脸抓图；支持人脸增强，支持人脸曝光；支持人脸属性提取，支持6种属性8种表情：性别，年龄，眼镜，表情</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中变焦400万室外低照度结构化相机</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内置GPU处理器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bookmarkStart w:id="4" w:name="OLE_LINK4"/>
            <w:r>
              <w:rPr>
                <w:rFonts w:hint="eastAsia" w:ascii="宋体" w:hAnsi="宋体" w:eastAsia="宋体" w:cs="宋体"/>
                <w:color w:val="000000"/>
                <w:sz w:val="24"/>
                <w:szCs w:val="24"/>
              </w:rPr>
              <w:t xml:space="preserve">传感器类型：1/1.8英寸CMOS；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像素：400万；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最大分辨率：2688 × 1520；</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最低照度：0.001Lux（彩色模式）；0.0001Lux（黑白模式）；0Lux（补光灯开启）；</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最大补光距离：120m（红外）；</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镜头类型：电动变焦；</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镜头焦距：3.5-12mm；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人脸检测：支持人脸检测；支持跟踪；支持优选；支持抓拍；支持上报最优的人脸抓图；支持人脸增强，支持人脸曝光；</w:t>
            </w:r>
            <w:bookmarkEnd w:id="4"/>
            <w:r>
              <w:rPr>
                <w:rFonts w:hint="eastAsia" w:ascii="宋体" w:hAnsi="宋体" w:eastAsia="宋体" w:cs="宋体"/>
                <w:color w:val="000000"/>
                <w:sz w:val="24"/>
                <w:szCs w:val="24"/>
              </w:rPr>
              <w:t xml:space="preserve">支持人脸属性提取，支持6种属性8种表情：性别，年龄，眼镜，表情</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存储服务器</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主处理器：工业级嵌入式微控制器；</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操作系统：嵌入式Linux操作系统；</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接入路数：64路；</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硬盘接口：16个，SATA3.0，单盘最大16T；</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网络带宽：400Mbps接入、400Mbps存储、400Mbps转发；</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分辨率：24MP/16MP/12MP/8MP/6MP/5MP/4MP/3MP/1080P/720P；</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解码能力：1路24MP/2路16MP/5路12MP (20fps)/6路12MP (15fps)/5路8MP (30fps)/10路8MP (15fps)/6路6MP(30fps)/8路5MP(30fps)/9路5MP (25fps)/10路4MP (30fps)/15路4MP (20fps)/16路3MP (25fps)/10路1080P (60fps)/20路1080P (30fps)/30路720P (30fps)；</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W w:w="748"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845"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监控专用硬盘</w:t>
            </w:r>
            <w:r>
              <w:rPr>
                <w:rFonts w:hint="eastAsia" w:ascii="宋体" w:hAnsi="宋体" w:eastAsia="宋体" w:cs="宋体"/>
                <w:color w:val="000000"/>
                <w:sz w:val="24"/>
                <w:szCs w:val="24"/>
              </w:rPr>
            </w:r>
            <w:r/>
          </w:p>
        </w:tc>
        <w:tc>
          <w:tcPr>
            <w:tcW w:w="6801"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6TB SATA3.0接口 3.5</w:t>
            </w:r>
            <w:r>
              <w:rPr>
                <w:rFonts w:hint="eastAsia" w:ascii="宋体" w:hAnsi="宋体" w:eastAsia="宋体" w:cs="宋体"/>
                <w:color w:val="000000"/>
                <w:sz w:val="24"/>
                <w:szCs w:val="24"/>
                <w:lang w:val="en-US" w:eastAsia="zh-CN"/>
              </w:rPr>
              <w:t xml:space="preserve">英</w:t>
            </w:r>
            <w:r>
              <w:rPr>
                <w:rFonts w:hint="eastAsia" w:ascii="宋体" w:hAnsi="宋体" w:eastAsia="宋体" w:cs="宋体"/>
                <w:color w:val="000000"/>
                <w:sz w:val="24"/>
                <w:szCs w:val="24"/>
              </w:rPr>
              <w:t xml:space="preserve">寸监控专用存储硬盘</w:t>
            </w:r>
            <w:r>
              <w:rPr>
                <w:rFonts w:hint="eastAsia" w:ascii="宋体" w:hAnsi="宋体" w:eastAsia="宋体" w:cs="宋体"/>
                <w:color w:val="000000"/>
                <w:sz w:val="24"/>
                <w:szCs w:val="24"/>
              </w:rPr>
            </w:r>
            <w:r/>
          </w:p>
        </w:tc>
        <w:tc>
          <w:tcPr>
            <w:tcW w:w="540"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rPr>
                <w:rFonts w:hint="eastAsia" w:ascii="宋体" w:hAnsi="宋体" w:eastAsia="宋体" w:cs="宋体"/>
                <w:color w:val="000000"/>
                <w:sz w:val="24"/>
                <w:szCs w:val="24"/>
              </w:rPr>
            </w:r>
            <w:r/>
          </w:p>
        </w:tc>
        <w:tc>
          <w:tcPr>
            <w:tcW w:w="612"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r>
    </w:tbl>
    <w:p>
      <w:pPr>
        <w:pStyle w:val="639"/>
        <w:ind w:left="0"/>
        <w:spacing w:line="360" w:lineRule="auto"/>
        <w:widowControl w:val="off"/>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9.某大型园区内部与周边人像抓拍系统</w:t>
      </w:r>
      <w:r>
        <w:rPr>
          <w:rFonts w:hint="eastAsia" w:ascii="宋体" w:hAnsi="宋体" w:eastAsia="宋体" w:cs="宋体"/>
          <w:color w:val="000000"/>
          <w:sz w:val="24"/>
          <w:szCs w:val="24"/>
        </w:rPr>
      </w:r>
      <w:r/>
    </w:p>
    <w:tbl>
      <w:tblPr>
        <w:tblW w:w="104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6"/>
        <w:gridCol w:w="1860"/>
        <w:gridCol w:w="6754"/>
        <w:gridCol w:w="517"/>
        <w:gridCol w:w="563"/>
      </w:tblGrid>
      <w:tr>
        <w:trPr>
          <w:tblHead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维护部位、名称</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6754" w:type="dxa"/>
            <w:vAlign w:val="center"/>
            <w:textDirection w:val="lrTb"/>
            <w:noWrap/>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品牌规格或维护要求</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517" w:type="dxa"/>
            <w:vAlign w:val="center"/>
            <w:textDirection w:val="lrTb"/>
            <w:noWrap/>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563" w:type="dxa"/>
            <w:vAlign w:val="center"/>
            <w:textDirection w:val="lrTb"/>
            <w:noWrap/>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多功能智能人像感知设备</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4"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海康威视</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传感器类型：1/1.8英寸CMOS；</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像素：400万；</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最大补光距离：120m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镜头类型：电动变焦；</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镜头焦距：3.5-12mm；</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人脸检测：支持人脸检测；支持跟踪；支持优选；支持抓拍；支持上报最优的人脸抓图；支持人脸增强，支持人脸曝光；</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17"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118</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抱杆设备箱</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4"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壁装抱杆箱，含设备安装塑料底板、电源分配器及保护装置、抱箍等，</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17"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754"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摄像机配套供电适配器12-2A</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17"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118</w:t>
            </w:r>
            <w:r>
              <w:rPr>
                <w:rFonts w:hint="eastAsia" w:ascii="宋体" w:hAnsi="宋体" w:eastAsia="宋体" w:cs="宋体"/>
                <w:color w:val="000000"/>
                <w:sz w:val="24"/>
                <w:szCs w:val="24"/>
              </w:rPr>
            </w:r>
            <w:r/>
          </w:p>
        </w:tc>
      </w:tr>
    </w:tbl>
    <w:p>
      <w:pPr>
        <w:pStyle w:val="639"/>
        <w:ind w:left="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10.</w:t>
      </w:r>
      <w:bookmarkStart w:id="5" w:name="OLE_LINK8"/>
      <w:r>
        <w:rPr>
          <w:rFonts w:hint="eastAsia" w:ascii="宋体" w:hAnsi="宋体" w:eastAsia="宋体" w:cs="宋体"/>
          <w:b/>
          <w:bCs/>
          <w:color w:val="000000"/>
          <w:sz w:val="24"/>
          <w:szCs w:val="24"/>
        </w:rPr>
        <w:t xml:space="preserve">全镇道路监控：</w:t>
      </w:r>
      <w:r>
        <w:rPr>
          <w:rFonts w:hint="eastAsia" w:ascii="宋体" w:hAnsi="宋体" w:eastAsia="宋体" w:cs="宋体"/>
          <w:b/>
          <w:bCs/>
          <w:color w:val="000000"/>
          <w:sz w:val="24"/>
          <w:szCs w:val="24"/>
        </w:rPr>
      </w:r>
      <w:r/>
    </w:p>
    <w:p>
      <w:pPr>
        <w:pStyle w:val="639"/>
        <w:ind w:left="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道路治安监控维护A  </w:t>
      </w:r>
      <w:bookmarkEnd w:id="5"/>
      <w:r>
        <w:rPr>
          <w:rFonts w:hint="eastAsia" w:ascii="宋体" w:hAnsi="宋体" w:eastAsia="宋体" w:cs="宋体"/>
          <w:b/>
          <w:bCs/>
          <w:color w:val="000000"/>
          <w:sz w:val="24"/>
          <w:szCs w:val="24"/>
        </w:rPr>
        <w:t xml:space="preserve"> 2015-2017年竣工投入使用（已扣除拆迁与修路拆除数量）</w:t>
      </w:r>
      <w:r>
        <w:rPr>
          <w:rFonts w:hint="eastAsia" w:ascii="宋体" w:hAnsi="宋体" w:eastAsia="宋体" w:cs="宋体"/>
          <w:b/>
          <w:bCs/>
          <w:color w:val="000000"/>
          <w:sz w:val="24"/>
          <w:szCs w:val="24"/>
        </w:rPr>
      </w:r>
      <w:r/>
    </w:p>
    <w:tbl>
      <w:tblPr>
        <w:tblW w:w="1036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6"/>
        <w:gridCol w:w="1860"/>
        <w:gridCol w:w="6426"/>
        <w:gridCol w:w="683"/>
        <w:gridCol w:w="647"/>
      </w:tblGrid>
      <w:tr>
        <w:trPr>
          <w:tblHead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639"/>
              <w:ind w:left="0"/>
              <w:widowControl w:val="off"/>
              <w:rPr>
                <w:rFonts w:hint="eastAsia" w:ascii="宋体" w:hAnsi="宋体" w:eastAsia="宋体" w:cs="宋体"/>
                <w:b/>
                <w:bCs/>
                <w:color w:val="000000"/>
                <w:sz w:val="24"/>
                <w:szCs w:val="24"/>
              </w:rPr>
            </w:pPr>
            <w:r/>
            <w:bookmarkStart w:id="6" w:name="OLE_LINK2"/>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维护部位、名称</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6426" w:type="dxa"/>
            <w:vAlign w:val="center"/>
            <w:textDirection w:val="lrTb"/>
            <w:noWrap/>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品牌规格或维护要求</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683" w:type="dxa"/>
            <w:vAlign w:val="center"/>
            <w:textDirection w:val="lrTb"/>
            <w:noWrap/>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647" w:type="dxa"/>
            <w:vAlign w:val="center"/>
            <w:textDirection w:val="lrTb"/>
            <w:noWrap/>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室外网络高清球机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科达、大华</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星光级1080P网络高清球型摄像机，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抱杆设备箱</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壁装抱杆箱，含设备安装塑料底板、电源分配器及保护装置、抱箍等，</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球机安装杆件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球机室外安装6米立杆、支架等组件，含杆件、预埋基础、防雷接地等</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220</w:t>
            </w:r>
            <w:r>
              <w:rPr>
                <w:rFonts w:hint="eastAsia" w:ascii="宋体" w:hAnsi="宋体" w:eastAsia="宋体" w:cs="宋体"/>
                <w:color w:val="000000"/>
                <w:sz w:val="24"/>
                <w:szCs w:val="24"/>
              </w:rPr>
            </w:r>
            <w:r/>
          </w:p>
        </w:tc>
      </w:tr>
      <w:tr>
        <w:trPr>
          <w:trHeight w:val="639"/>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防雷器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百兆网络信号、电源防雷</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摄像机电源</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摄像机配套供电适配器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220</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视频存储管理服务</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满足前端摄像机视频录像30天存储功能，视频管理功能</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视频数据联网共享</w:t>
            </w: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按照区域公安视频管理部门要求，实现数据的上传共享服务。对本项目视频监控设备及服务设备的故障检测及设备网络安全检测、管理服务，设备的一机一档管理服务，并形成报表记录并存档。</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bl>
    <w:p>
      <w:pPr>
        <w:pStyle w:val="639"/>
        <w:ind w:left="0"/>
        <w:spacing w:line="360" w:lineRule="auto"/>
        <w:widowControl w:val="off"/>
        <w:rPr>
          <w:rFonts w:hint="eastAsia" w:ascii="宋体" w:hAnsi="宋体" w:eastAsia="宋体" w:cs="宋体"/>
          <w:b/>
          <w:bCs/>
          <w:color w:val="000000"/>
          <w:sz w:val="24"/>
          <w:szCs w:val="24"/>
        </w:rPr>
        <w:outlineLvl w:val="2"/>
      </w:pPr>
      <w:r/>
      <w:bookmarkEnd w:id="6"/>
      <w:r/>
      <w:bookmarkStart w:id="7" w:name="OLE_LINK6"/>
      <w:r>
        <w:rPr>
          <w:rFonts w:hint="eastAsia" w:ascii="宋体" w:hAnsi="宋体" w:eastAsia="宋体" w:cs="宋体"/>
          <w:b/>
          <w:bCs/>
          <w:color w:val="000000"/>
          <w:sz w:val="24"/>
          <w:szCs w:val="24"/>
        </w:rPr>
        <w:t xml:space="preserve">道路治安监控维护B  2016-2017年竣工投入使用（已扣除拆迁与修路拆除数量）</w:t>
      </w:r>
      <w:bookmarkEnd w:id="7"/>
      <w:r>
        <w:rPr>
          <w:rFonts w:hint="eastAsia" w:ascii="宋体" w:hAnsi="宋体" w:eastAsia="宋体" w:cs="宋体"/>
          <w:b/>
          <w:bCs/>
          <w:color w:val="000000"/>
          <w:sz w:val="24"/>
          <w:szCs w:val="24"/>
        </w:rPr>
      </w:r>
      <w:r/>
    </w:p>
    <w:tbl>
      <w:tblPr>
        <w:tblW w:w="10254"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49"/>
        <w:gridCol w:w="2249"/>
        <w:gridCol w:w="5913"/>
        <w:gridCol w:w="684"/>
        <w:gridCol w:w="659"/>
      </w:tblGrid>
      <w:tr>
        <w:trPr>
          <w:tblHeade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维护部位、名称</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品牌规格或维护要求</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639"/>
              <w:ind w:left="0"/>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高清球机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科达IPC425</w:t>
            </w:r>
            <w:r>
              <w:rPr>
                <w:rFonts w:hint="eastAsia" w:ascii="宋体" w:hAnsi="宋体" w:eastAsia="宋体" w:cs="宋体"/>
                <w:color w:val="000000"/>
                <w:sz w:val="24"/>
                <w:szCs w:val="24"/>
              </w:rPr>
            </w:r>
            <w:r/>
          </w:p>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采用‌200万像素（1080P）‌CMOS传感器，支持‌H.265/H.264‌编码，最高可达‌60fps‌流畅输出；具备‌星光级超低照度‌（部分型号低至0.0001Lux）及‌超宽动态（UWDR）‌功能。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网络防雷器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雷迅 SV-2/220EP</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配套球机AC24电源</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187</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室外防水箱</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w:t>
            </w:r>
            <w:r>
              <w:rPr>
                <w:rFonts w:hint="eastAsia" w:ascii="宋体" w:hAnsi="宋体" w:eastAsia="宋体" w:cs="宋体"/>
                <w:color w:val="000000"/>
                <w:sz w:val="24"/>
                <w:szCs w:val="24"/>
                <w:lang w:val="en-US" w:eastAsia="zh-CN"/>
              </w:rPr>
              <w:t xml:space="preserve">mm</w:t>
            </w:r>
            <w:r>
              <w:rPr>
                <w:rFonts w:hint="eastAsia" w:ascii="宋体" w:hAnsi="宋体" w:eastAsia="宋体" w:cs="宋体"/>
                <w:color w:val="000000"/>
                <w:sz w:val="24"/>
                <w:szCs w:val="24"/>
              </w:rPr>
              <w:t xml:space="preserve">(高)*300</w:t>
            </w:r>
            <w:r>
              <w:rPr>
                <w:rFonts w:hint="eastAsia" w:ascii="宋体" w:hAnsi="宋体" w:eastAsia="宋体" w:cs="宋体"/>
                <w:color w:val="000000"/>
                <w:sz w:val="24"/>
                <w:szCs w:val="24"/>
                <w:lang w:val="en-US" w:eastAsia="zh-CN"/>
              </w:rPr>
              <w:t xml:space="preserve">mm</w:t>
            </w:r>
            <w:r>
              <w:rPr>
                <w:rFonts w:hint="eastAsia" w:ascii="宋体" w:hAnsi="宋体" w:eastAsia="宋体" w:cs="宋体"/>
                <w:color w:val="000000"/>
                <w:sz w:val="24"/>
                <w:szCs w:val="24"/>
              </w:rPr>
              <w:t xml:space="preserve">（长）*150</w:t>
            </w:r>
            <w:r>
              <w:rPr>
                <w:rFonts w:hint="eastAsia" w:ascii="宋体" w:hAnsi="宋体" w:eastAsia="宋体" w:cs="宋体"/>
                <w:color w:val="000000"/>
                <w:sz w:val="24"/>
                <w:szCs w:val="24"/>
                <w:lang w:val="en-US" w:eastAsia="zh-CN"/>
              </w:rPr>
              <w:t xml:space="preserve">mm</w:t>
            </w:r>
            <w:r>
              <w:rPr>
                <w:rFonts w:hint="eastAsia" w:ascii="宋体" w:hAnsi="宋体" w:eastAsia="宋体" w:cs="宋体"/>
                <w:color w:val="000000"/>
                <w:sz w:val="24"/>
                <w:szCs w:val="24"/>
              </w:rPr>
              <w:t xml:space="preserve">(宽)（不锈钢）</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监控立杆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定制国产6-6.5M</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639"/>
              <w:ind w:left="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rPr>
            </w:r>
            <w:r/>
          </w:p>
        </w:tc>
      </w:tr>
    </w:tbl>
    <w:p>
      <w:pPr>
        <w:pStyle w:val="639"/>
        <w:ind w:firstLine="420"/>
        <w:spacing w:line="240" w:lineRule="auto"/>
        <w:rPr>
          <w:rFonts w:ascii="宋体" w:hAnsi="宋体" w:eastAsia="宋体" w:cs="宋体"/>
          <w:i w:val="0"/>
          <w:iCs w:val="0"/>
          <w:caps w:val="0"/>
          <w:color w:val="000000"/>
          <w:spacing w:val="0"/>
          <w:sz w:val="24"/>
          <w:szCs w:val="24"/>
          <w:shd w:val="clear" w:color="auto" w:fill="ffffff"/>
          <w:lang w:val="en-US" w:eastAsia="zh-CN" w:bidi="ar"/>
        </w:rPr>
      </w:pPr>
      <w:r>
        <w:rPr>
          <w:rFonts w:hint="eastAsia" w:ascii="宋体" w:hAnsi="宋体" w:eastAsia="宋体" w:cs="宋体"/>
          <w:i w:val="0"/>
          <w:iCs w:val="0"/>
          <w:caps w:val="0"/>
          <w:color w:val="000000"/>
          <w:spacing w:val="0"/>
          <w:sz w:val="24"/>
          <w:szCs w:val="24"/>
          <w:shd w:val="clear" w:color="auto" w:fill="ffffff"/>
          <w:lang w:val="en-US" w:eastAsia="zh-CN" w:bidi="ar"/>
        </w:rPr>
        <w:t xml:space="preserve">供应商可根据自身需求进行现场勘察，勘察联系人：褚伟杰，电话：65049010。</w:t>
      </w:r>
      <w:r>
        <w:rPr>
          <w:rFonts w:ascii="宋体" w:hAnsi="宋体" w:eastAsia="宋体" w:cs="宋体"/>
          <w:i w:val="0"/>
          <w:iCs w:val="0"/>
          <w:caps w:val="0"/>
          <w:color w:val="000000"/>
          <w:spacing w:val="0"/>
          <w:sz w:val="24"/>
          <w:szCs w:val="24"/>
          <w:shd w:val="clear" w:color="auto" w:fill="ffffff"/>
          <w:lang w:val="en-US" w:eastAsia="zh-CN" w:bidi="ar"/>
        </w:rPr>
      </w:r>
      <w:r/>
    </w:p>
    <w:p>
      <w:pPr>
        <w:pStyle w:val="639"/>
        <w:ind w:left="0"/>
        <w:spacing w:line="360" w:lineRule="auto"/>
        <w:widowControl w:val="off"/>
        <w:rPr>
          <w:rFonts w:hint="eastAsia" w:ascii="宋体" w:hAnsi="宋体" w:eastAsia="宋体" w:cs="宋体"/>
          <w:b/>
          <w:bCs/>
          <w:color w:val="000000"/>
          <w:sz w:val="21"/>
          <w:szCs w:val="21"/>
        </w:rPr>
        <w:outlineLvl w:val="1"/>
      </w:pPr>
      <w:r>
        <w:rPr>
          <w:rFonts w:hint="eastAsia" w:ascii="宋体" w:hAnsi="宋体" w:eastAsia="宋体" w:cs="宋体"/>
          <w:b/>
          <w:bCs/>
          <w:color w:val="000000"/>
          <w:sz w:val="21"/>
          <w:szCs w:val="21"/>
        </w:rPr>
        <w:t xml:space="preserve">（四）服务标准、服务要求</w:t>
      </w:r>
      <w:r>
        <w:rPr>
          <w:rFonts w:hint="eastAsia" w:ascii="宋体" w:hAnsi="宋体" w:eastAsia="宋体" w:cs="宋体"/>
          <w:b/>
          <w:bCs/>
          <w:color w:val="000000"/>
          <w:sz w:val="21"/>
          <w:szCs w:val="21"/>
        </w:rPr>
      </w:r>
      <w:r/>
    </w:p>
    <w:p>
      <w:pPr>
        <w:pStyle w:val="639"/>
        <w:ind w:left="0"/>
        <w:jc w:val="center"/>
        <w:spacing w:line="360" w:lineRule="auto"/>
        <w:widowControl w:val="off"/>
        <w:rPr>
          <w:rFonts w:hint="eastAsia" w:ascii="宋体" w:hAnsi="宋体" w:eastAsia="宋体" w:cs="宋体"/>
          <w:color w:val="000000"/>
          <w:sz w:val="21"/>
          <w:szCs w:val="21"/>
        </w:rPr>
        <w:outlineLvl w:val="1"/>
      </w:pPr>
      <w:r>
        <w:rPr>
          <w:rFonts w:hint="eastAsia" w:ascii="宋体" w:hAnsi="宋体" w:eastAsia="宋体" w:cs="宋体"/>
          <w:color w:val="000000"/>
          <w:sz w:val="21"/>
          <w:szCs w:val="21"/>
        </w:rPr>
        <w:t xml:space="preserve">（1）前端监控系统</w:t>
      </w:r>
      <w:r>
        <w:rPr>
          <w:rFonts w:hint="eastAsia" w:ascii="宋体" w:hAnsi="宋体" w:eastAsia="宋体" w:cs="宋体"/>
          <w:color w:val="000000"/>
          <w:sz w:val="21"/>
          <w:szCs w:val="21"/>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0"/>
        <w:gridCol w:w="5283"/>
        <w:gridCol w:w="2799"/>
      </w:tblGrid>
      <w:tr>
        <w:trPr>
          <w:cantSplit/>
        </w:trPr>
        <w:tc>
          <w:tcPr>
            <w:tcW w:w="2000" w:type="dxa"/>
            <w:vAlign w:val="center"/>
            <w:textDirection w:val="lrTb"/>
            <w:noWrap w:val="false"/>
          </w:tcPr>
          <w:p>
            <w:pPr>
              <w:pStyle w:val="639"/>
              <w:ind w:left="0" w:firstLine="422"/>
              <w:widowControl w:val="off"/>
              <w:rPr>
                <w:rFonts w:hint="eastAsia" w:ascii="宋体" w:hAnsi="宋体" w:eastAsia="宋体" w:cs="宋体"/>
                <w:b/>
                <w:color w:val="000000"/>
              </w:rPr>
            </w:pPr>
            <w:r>
              <w:rPr>
                <w:rFonts w:hint="eastAsia" w:ascii="宋体" w:hAnsi="宋体" w:eastAsia="宋体" w:cs="宋体"/>
                <w:b/>
                <w:color w:val="000000"/>
              </w:rPr>
              <w:t xml:space="preserve">设备名称</w:t>
            </w:r>
            <w:r>
              <w:rPr>
                <w:rFonts w:hint="eastAsia" w:ascii="宋体" w:hAnsi="宋体" w:eastAsia="宋体" w:cs="宋体"/>
                <w:b/>
                <w:color w:val="000000"/>
              </w:rPr>
            </w:r>
            <w:r/>
          </w:p>
        </w:tc>
        <w:tc>
          <w:tcPr>
            <w:tcW w:w="5283" w:type="dxa"/>
            <w:vAlign w:val="center"/>
            <w:textDirection w:val="lrTb"/>
            <w:noWrap w:val="false"/>
          </w:tcPr>
          <w:p>
            <w:pPr>
              <w:pStyle w:val="639"/>
              <w:ind w:left="0" w:firstLine="422"/>
              <w:widowControl w:val="off"/>
              <w:rPr>
                <w:rFonts w:hint="eastAsia" w:ascii="宋体" w:hAnsi="宋体" w:eastAsia="宋体" w:cs="宋体"/>
                <w:b/>
                <w:color w:val="000000"/>
              </w:rPr>
            </w:pPr>
            <w:r>
              <w:rPr>
                <w:rFonts w:hint="eastAsia" w:ascii="宋体" w:hAnsi="宋体" w:eastAsia="宋体" w:cs="宋体"/>
                <w:b/>
                <w:color w:val="000000"/>
              </w:rPr>
              <w:t xml:space="preserve">检查与保养事项</w:t>
            </w:r>
            <w:r>
              <w:rPr>
                <w:rFonts w:hint="eastAsia" w:ascii="宋体" w:hAnsi="宋体" w:eastAsia="宋体" w:cs="宋体"/>
                <w:b/>
                <w:color w:val="000000"/>
              </w:rPr>
            </w:r>
            <w:r/>
          </w:p>
        </w:tc>
        <w:tc>
          <w:tcPr>
            <w:tcW w:w="2799" w:type="dxa"/>
            <w:vAlign w:val="center"/>
            <w:textDirection w:val="lrTb"/>
            <w:noWrap w:val="false"/>
          </w:tcPr>
          <w:p>
            <w:pPr>
              <w:pStyle w:val="639"/>
              <w:ind w:left="0" w:firstLine="422"/>
              <w:widowControl w:val="off"/>
              <w:rPr>
                <w:rFonts w:hint="eastAsia" w:ascii="宋体" w:hAnsi="宋体" w:eastAsia="宋体" w:cs="宋体"/>
                <w:b/>
                <w:color w:val="000000"/>
              </w:rPr>
            </w:pPr>
            <w:r>
              <w:rPr>
                <w:rFonts w:hint="eastAsia" w:ascii="宋体" w:hAnsi="宋体" w:eastAsia="宋体" w:cs="宋体"/>
                <w:b/>
                <w:color w:val="000000"/>
              </w:rPr>
              <w:t xml:space="preserve">标准</w:t>
            </w:r>
            <w:r>
              <w:rPr>
                <w:rFonts w:hint="eastAsia" w:ascii="宋体" w:hAnsi="宋体" w:eastAsia="宋体" w:cs="宋体"/>
                <w:b/>
                <w:color w:val="000000"/>
              </w:rPr>
            </w:r>
            <w:r/>
          </w:p>
        </w:tc>
      </w:tr>
      <w:tr>
        <w:trPr>
          <w:cantSplit/>
        </w:trPr>
        <w:tc>
          <w:tcPr>
            <w:tcW w:w="2000"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摄象机、抓拍设备</w:t>
            </w:r>
            <w:r>
              <w:rPr>
                <w:rFonts w:hint="eastAsia" w:ascii="宋体" w:hAnsi="宋体" w:eastAsia="宋体" w:cs="宋体"/>
                <w:color w:val="000000"/>
              </w:rPr>
            </w:r>
            <w:r/>
          </w:p>
        </w:tc>
        <w:tc>
          <w:tcPr>
            <w:tcW w:w="5283"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工作电压及测量、光学清洁、信号传输电缆完好性及连接状态检查</w:t>
            </w:r>
            <w:r>
              <w:rPr>
                <w:rFonts w:hint="eastAsia" w:ascii="宋体" w:hAnsi="宋体" w:eastAsia="宋体" w:cs="宋体"/>
                <w:color w:val="000000"/>
              </w:rPr>
            </w:r>
            <w:r/>
          </w:p>
        </w:tc>
        <w:tc>
          <w:tcPr>
            <w:tcW w:w="279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清洁无灰尘、连接正常</w:t>
            </w:r>
            <w:r>
              <w:rPr>
                <w:rFonts w:hint="eastAsia" w:ascii="宋体" w:hAnsi="宋体" w:eastAsia="宋体" w:cs="宋体"/>
                <w:color w:val="000000"/>
              </w:rPr>
            </w:r>
            <w:r/>
          </w:p>
        </w:tc>
      </w:tr>
      <w:tr>
        <w:trPr>
          <w:cantSplit/>
        </w:trPr>
        <w:tc>
          <w:tcPr>
            <w:tcW w:w="2000"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补光灯、闪光灯</w:t>
            </w:r>
            <w:r>
              <w:rPr>
                <w:rFonts w:hint="eastAsia" w:ascii="宋体" w:hAnsi="宋体" w:eastAsia="宋体" w:cs="宋体"/>
                <w:color w:val="000000"/>
              </w:rPr>
            </w:r>
            <w:r/>
          </w:p>
        </w:tc>
        <w:tc>
          <w:tcPr>
            <w:tcW w:w="5283"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灯光亮度检查、时控光控开关检查</w:t>
            </w:r>
            <w:r>
              <w:rPr>
                <w:rFonts w:hint="eastAsia" w:ascii="宋体" w:hAnsi="宋体" w:eastAsia="宋体" w:cs="宋体"/>
                <w:color w:val="000000"/>
              </w:rPr>
            </w:r>
            <w:r/>
          </w:p>
        </w:tc>
        <w:tc>
          <w:tcPr>
            <w:tcW w:w="279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亮度合理、控制正常</w:t>
            </w:r>
            <w:r>
              <w:rPr>
                <w:rFonts w:hint="eastAsia" w:ascii="宋体" w:hAnsi="宋体" w:eastAsia="宋体" w:cs="宋体"/>
                <w:color w:val="000000"/>
              </w:rPr>
            </w:r>
            <w:r/>
          </w:p>
        </w:tc>
      </w:tr>
      <w:tr>
        <w:trPr>
          <w:cantSplit/>
        </w:trPr>
        <w:tc>
          <w:tcPr>
            <w:tcW w:w="2000"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配套设施</w:t>
            </w:r>
            <w:r>
              <w:rPr>
                <w:rFonts w:hint="eastAsia" w:ascii="宋体" w:hAnsi="宋体" w:eastAsia="宋体" w:cs="宋体"/>
                <w:color w:val="000000"/>
              </w:rPr>
            </w:r>
            <w:r/>
          </w:p>
        </w:tc>
        <w:tc>
          <w:tcPr>
            <w:tcW w:w="5283"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杆件、设备箱等外观是否洁净、设备环境温度、温度检查</w:t>
            </w:r>
            <w:r>
              <w:rPr>
                <w:rFonts w:hint="eastAsia" w:ascii="宋体" w:hAnsi="宋体" w:eastAsia="宋体" w:cs="宋体"/>
                <w:color w:val="000000"/>
              </w:rPr>
            </w:r>
            <w:r/>
          </w:p>
        </w:tc>
        <w:tc>
          <w:tcPr>
            <w:tcW w:w="279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清洁、环境达标</w:t>
            </w:r>
            <w:r>
              <w:rPr>
                <w:rFonts w:hint="eastAsia" w:ascii="宋体" w:hAnsi="宋体" w:eastAsia="宋体" w:cs="宋体"/>
                <w:color w:val="000000"/>
              </w:rPr>
            </w:r>
            <w:r/>
          </w:p>
        </w:tc>
      </w:tr>
      <w:tr>
        <w:trPr>
          <w:cantSplit/>
        </w:trPr>
        <w:tc>
          <w:tcPr>
            <w:tcW w:w="2000"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光终端、网络节点</w:t>
            </w:r>
            <w:r>
              <w:rPr>
                <w:rFonts w:hint="eastAsia" w:ascii="宋体" w:hAnsi="宋体" w:eastAsia="宋体" w:cs="宋体"/>
                <w:color w:val="000000"/>
              </w:rPr>
            </w:r>
            <w:r/>
          </w:p>
        </w:tc>
        <w:tc>
          <w:tcPr>
            <w:tcW w:w="5283"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光终端工作状态、信号传输状态、连接状态检查；大网故障、无光信号由运营商解决</w:t>
            </w:r>
            <w:r>
              <w:rPr>
                <w:rFonts w:hint="eastAsia" w:ascii="宋体" w:hAnsi="宋体" w:eastAsia="宋体" w:cs="宋体"/>
                <w:color w:val="000000"/>
              </w:rPr>
            </w:r>
            <w:r/>
          </w:p>
        </w:tc>
        <w:tc>
          <w:tcPr>
            <w:tcW w:w="279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传输正常、业务正常</w:t>
            </w:r>
            <w:r>
              <w:rPr>
                <w:rFonts w:hint="eastAsia" w:ascii="宋体" w:hAnsi="宋体" w:eastAsia="宋体" w:cs="宋体"/>
                <w:color w:val="000000"/>
              </w:rPr>
            </w:r>
            <w:r/>
          </w:p>
        </w:tc>
      </w:tr>
      <w:tr>
        <w:trPr>
          <w:cantSplit/>
        </w:trPr>
        <w:tc>
          <w:tcPr>
            <w:tcW w:w="2000" w:type="dxa"/>
            <w:vAlign w:val="center"/>
            <w:textDirection w:val="lrTb"/>
            <w:noWrap w:val="false"/>
          </w:tcPr>
          <w:p>
            <w:pPr>
              <w:pStyle w:val="639"/>
              <w:ind w:left="0" w:firstLine="420"/>
              <w:widowControl w:val="off"/>
              <w:rPr>
                <w:rFonts w:hint="eastAsia" w:ascii="宋体" w:hAnsi="宋体" w:eastAsia="宋体" w:cs="宋体"/>
                <w:color w:val="000000"/>
              </w:rPr>
            </w:pPr>
            <w:r>
              <w:rPr>
                <w:rFonts w:hint="eastAsia" w:ascii="宋体" w:hAnsi="宋体" w:eastAsia="宋体" w:cs="宋体"/>
                <w:color w:val="000000"/>
              </w:rPr>
              <w:t xml:space="preserve">取电管路</w:t>
            </w:r>
            <w:r>
              <w:rPr>
                <w:rFonts w:hint="eastAsia" w:ascii="宋体" w:hAnsi="宋体" w:eastAsia="宋体" w:cs="宋体"/>
                <w:color w:val="000000"/>
              </w:rPr>
            </w:r>
            <w:r/>
          </w:p>
        </w:tc>
        <w:tc>
          <w:tcPr>
            <w:tcW w:w="5283"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电源电压电流检查、管线管路、手井检查</w:t>
            </w:r>
            <w:r>
              <w:rPr>
                <w:rFonts w:hint="eastAsia" w:ascii="宋体" w:hAnsi="宋体" w:eastAsia="宋体" w:cs="宋体"/>
                <w:color w:val="000000"/>
              </w:rPr>
            </w:r>
            <w:r/>
          </w:p>
        </w:tc>
        <w:tc>
          <w:tcPr>
            <w:tcW w:w="279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电源电压稳定、管路无损坏</w:t>
            </w:r>
            <w:r>
              <w:rPr>
                <w:rFonts w:hint="eastAsia" w:ascii="宋体" w:hAnsi="宋体" w:eastAsia="宋体" w:cs="宋体"/>
                <w:color w:val="000000"/>
              </w:rPr>
            </w:r>
            <w:r/>
          </w:p>
        </w:tc>
      </w:tr>
    </w:tbl>
    <w:p>
      <w:pPr>
        <w:pStyle w:val="639"/>
        <w:ind w:left="0"/>
        <w:jc w:val="center"/>
        <w:spacing w:after="120" w:line="440" w:lineRule="exact"/>
        <w:widowControl w:val="off"/>
        <w:rPr>
          <w:rFonts w:hint="eastAsia" w:ascii="宋体" w:hAnsi="宋体" w:eastAsia="宋体" w:cs="宋体"/>
          <w:color w:val="000000"/>
        </w:rPr>
      </w:pPr>
      <w:r>
        <w:rPr>
          <w:rFonts w:hint="eastAsia" w:ascii="宋体" w:hAnsi="宋体" w:eastAsia="宋体" w:cs="宋体"/>
          <w:color w:val="000000"/>
        </w:rPr>
        <w:t xml:space="preserve">（2）中心端服务器、数字化运维服务要求、编解码设备、存储设备</w:t>
      </w:r>
      <w:r>
        <w:rPr>
          <w:rFonts w:hint="eastAsia" w:ascii="宋体" w:hAnsi="宋体" w:eastAsia="宋体" w:cs="宋体"/>
          <w:color w:val="000000"/>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6"/>
        <w:gridCol w:w="1267"/>
        <w:gridCol w:w="4824"/>
        <w:gridCol w:w="2315"/>
      </w:tblGrid>
      <w:tr>
        <w:trPr>
          <w:cantSplit/>
          <w:tblHeader/>
        </w:trPr>
        <w:tc>
          <w:tcPr>
            <w:tcW w:w="1676" w:type="dxa"/>
            <w:vAlign w:val="center"/>
            <w:textDirection w:val="lrTb"/>
            <w:noWrap w:val="false"/>
          </w:tcPr>
          <w:p>
            <w:pPr>
              <w:pStyle w:val="639"/>
              <w:ind w:left="0"/>
              <w:widowControl w:val="off"/>
              <w:rPr>
                <w:rFonts w:hint="eastAsia" w:ascii="宋体" w:hAnsi="宋体" w:eastAsia="宋体" w:cs="宋体"/>
                <w:b/>
                <w:color w:val="000000"/>
              </w:rPr>
            </w:pPr>
            <w:r>
              <w:rPr>
                <w:rFonts w:hint="eastAsia" w:ascii="宋体" w:hAnsi="宋体" w:eastAsia="宋体" w:cs="宋体"/>
                <w:b/>
                <w:color w:val="000000"/>
              </w:rPr>
              <w:t xml:space="preserve">服务名称</w:t>
            </w:r>
            <w:r>
              <w:rPr>
                <w:rFonts w:hint="eastAsia" w:ascii="宋体" w:hAnsi="宋体" w:eastAsia="宋体" w:cs="宋体"/>
                <w:b/>
                <w:color w:val="000000"/>
              </w:rPr>
            </w:r>
            <w:r/>
          </w:p>
        </w:tc>
        <w:tc>
          <w:tcPr>
            <w:gridSpan w:val="2"/>
            <w:tcW w:w="6091" w:type="dxa"/>
            <w:vAlign w:val="center"/>
            <w:textDirection w:val="lrTb"/>
            <w:noWrap w:val="false"/>
          </w:tcPr>
          <w:p>
            <w:pPr>
              <w:pStyle w:val="639"/>
              <w:ind w:left="0"/>
              <w:widowControl w:val="off"/>
              <w:rPr>
                <w:rFonts w:hint="eastAsia" w:ascii="宋体" w:hAnsi="宋体" w:eastAsia="宋体" w:cs="宋体"/>
                <w:b/>
                <w:color w:val="000000"/>
              </w:rPr>
            </w:pPr>
            <w:r>
              <w:rPr>
                <w:rFonts w:hint="eastAsia" w:ascii="宋体" w:hAnsi="宋体" w:eastAsia="宋体" w:cs="宋体"/>
                <w:b/>
                <w:color w:val="000000"/>
              </w:rPr>
              <w:t xml:space="preserve">检查与服务要求</w:t>
            </w:r>
            <w:r>
              <w:rPr>
                <w:rFonts w:hint="eastAsia" w:ascii="宋体" w:hAnsi="宋体" w:eastAsia="宋体" w:cs="宋体"/>
                <w:b/>
                <w:color w:val="000000"/>
              </w:rPr>
            </w:r>
            <w:r/>
          </w:p>
        </w:tc>
        <w:tc>
          <w:tcPr>
            <w:tcW w:w="2315" w:type="dxa"/>
            <w:vAlign w:val="center"/>
            <w:textDirection w:val="lrTb"/>
            <w:noWrap w:val="false"/>
          </w:tcPr>
          <w:p>
            <w:pPr>
              <w:pStyle w:val="639"/>
              <w:ind w:left="0"/>
              <w:widowControl w:val="off"/>
              <w:rPr>
                <w:rFonts w:hint="eastAsia" w:ascii="宋体" w:hAnsi="宋体" w:eastAsia="宋体" w:cs="宋体"/>
                <w:b/>
                <w:color w:val="000000"/>
              </w:rPr>
            </w:pPr>
            <w:r>
              <w:rPr>
                <w:rFonts w:hint="eastAsia" w:ascii="宋体" w:hAnsi="宋体" w:eastAsia="宋体" w:cs="宋体"/>
                <w:b/>
                <w:color w:val="000000"/>
              </w:rPr>
              <w:t xml:space="preserve">标准</w:t>
            </w:r>
            <w:r>
              <w:rPr>
                <w:rFonts w:hint="eastAsia" w:ascii="宋体" w:hAnsi="宋体" w:eastAsia="宋体" w:cs="宋体"/>
                <w:b/>
                <w:color w:val="000000"/>
              </w:rPr>
            </w:r>
            <w:r/>
          </w:p>
        </w:tc>
      </w:tr>
      <w:tr>
        <w:trPr>
          <w:cantSplit/>
        </w:trPr>
        <w:tc>
          <w:tcPr>
            <w:tcW w:w="1676" w:type="dxa"/>
            <w:vAlign w:val="center"/>
            <w:vMerge w:val="restart"/>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服务器 </w:t>
            </w:r>
            <w:r>
              <w:rPr>
                <w:rFonts w:hint="eastAsia" w:ascii="宋体" w:hAnsi="宋体" w:eastAsia="宋体" w:cs="宋体"/>
                <w:color w:val="000000"/>
              </w:rPr>
            </w:r>
            <w:r/>
          </w:p>
        </w:tc>
        <w:tc>
          <w:tcPr>
            <w:gridSpan w:val="2"/>
            <w:tcW w:w="6091"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周围环境：确认周围温度、湿度、尘埃、油雾等</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硬件</w:t>
            </w: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电源风扇、通风过滤网、CPU风扇检查维护</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无抖动，杂音</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键盘、鼠标检查保养</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完好，无抖动</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内部各部件连接状况检查</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完好无破损</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内外部清洁保养</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服务器与其他设备、网络等连接状况检查，接线及连接端子紧固</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牢固，无破损</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w:t>
            </w: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系统安全性检查 </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数值显示正常</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系统配置检查及系统版本</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工作正常</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系统补丁程序管理</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排除隐患</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系统硬盘碎片整理</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速度恢复正常</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系统备份</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数据正确</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运行日志备份检查</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数据正确</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CPU、内存使用情况、响应时间、并发用户数以及特定应用系统资源占用检查</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数据库碎片整理</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速度恢复正常</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应用程序（数字化安防运维检测服务）</w:t>
            </w: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应用程序各项功能</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正常启动</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应用程序数据库</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备份及优化</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查看应用程序运行故障记录</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应用程序运行日志备份和清理</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运行正常</w:t>
            </w:r>
            <w:r>
              <w:rPr>
                <w:rFonts w:hint="eastAsia" w:ascii="宋体" w:hAnsi="宋体" w:eastAsia="宋体" w:cs="宋体"/>
                <w:color w:val="000000"/>
              </w:rPr>
            </w:r>
            <w:r/>
          </w:p>
        </w:tc>
      </w:tr>
      <w:tr>
        <w:trPr>
          <w:cantSplit/>
        </w:trPr>
        <w:tc>
          <w:tcPr>
            <w:gridSpan w:val="4"/>
            <w:tcW w:w="10082" w:type="dxa"/>
            <w:vAlign w:val="center"/>
            <w:textDirection w:val="lrTb"/>
            <w:noWrap w:val="false"/>
          </w:tcPr>
          <w:p>
            <w:pPr>
              <w:pStyle w:val="639"/>
              <w:ind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rPr>
              <w:t xml:space="preserve">运维客户端服</w:t>
            </w:r>
            <w:r>
              <w:rPr>
                <w:rFonts w:hint="eastAsia" w:ascii="宋体" w:hAnsi="宋体" w:eastAsia="宋体" w:cs="宋体"/>
                <w:b w:val="0"/>
                <w:bCs w:val="0"/>
                <w:color w:val="000000"/>
                <w:sz w:val="21"/>
                <w:szCs w:val="21"/>
              </w:rPr>
              <w:t xml:space="preserve">务能力：</w:t>
            </w:r>
            <w:r>
              <w:rPr>
                <w:rFonts w:hint="eastAsia" w:ascii="宋体" w:hAnsi="宋体" w:eastAsia="宋体" w:cs="宋体"/>
                <w:b w:val="0"/>
                <w:bCs w:val="0"/>
                <w:i w:val="0"/>
                <w:iCs w:val="0"/>
                <w:caps w:val="0"/>
                <w:color w:val="ff0000"/>
                <w:spacing w:val="0"/>
                <w:sz w:val="21"/>
                <w:szCs w:val="21"/>
                <w:shd w:val="clear" w:color="auto" w:fill="ffffff"/>
                <w:lang w:val="en-US" w:eastAsia="zh-CN" w:bidi="ar"/>
              </w:rPr>
              <w:t xml:space="preserve">现有运维客户端所有权归原运维商所有，后续维护保养服务中，响应单位需自行提供运维客户端。</w:t>
            </w:r>
            <w:r>
              <w:rPr>
                <w:rFonts w:hint="eastAsia" w:ascii="宋体" w:hAnsi="宋体" w:eastAsia="宋体" w:cs="宋体"/>
                <w:b w:val="0"/>
                <w:bCs w:val="0"/>
                <w:color w:val="000000"/>
                <w:sz w:val="21"/>
                <w:szCs w:val="21"/>
              </w:rPr>
              <w:t xml:space="preserve">实现服务内容中涉及流媒体的质量检测取样功能，巡检时效≤10分钟一次，检测能力：在线率检测、颜色异常检测、</w:t>
            </w:r>
            <w:r>
              <w:rPr>
                <w:rFonts w:hint="eastAsia" w:ascii="宋体" w:hAnsi="宋体" w:eastAsia="宋体" w:cs="宋体"/>
                <w:color w:val="000000"/>
              </w:rPr>
              <w:t xml:space="preserve">亮度异常检测、噪点异常检测、视角移位检测、异物遮挡检测、聚焦异常检测；显示界面可一图展示点位信息、视频接入数量、实时在线率、故障类型统计、故障时间超24小时统计。系统可导出整体运行报表、指定区域报表、指定位置报表、图像质量报表、运维情况表。</w:t>
            </w:r>
            <w:r>
              <w:rPr>
                <w:rFonts w:hint="eastAsia" w:ascii="宋体" w:hAnsi="宋体" w:eastAsia="宋体" w:cs="宋体"/>
                <w:color w:val="000000"/>
              </w:rPr>
            </w:r>
            <w:r/>
          </w:p>
        </w:tc>
      </w:tr>
      <w:tr>
        <w:trPr>
          <w:cantSplit/>
        </w:trPr>
        <w:tc>
          <w:tcPr>
            <w:tcW w:w="1676" w:type="dxa"/>
            <w:vAlign w:val="center"/>
            <w:vMerge w:val="restart"/>
            <w:textDirection w:val="lrTb"/>
            <w:noWrap w:val="false"/>
          </w:tcPr>
          <w:p>
            <w:pPr>
              <w:pStyle w:val="639"/>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存储设备</w:t>
            </w:r>
            <w:r>
              <w:rPr>
                <w:rFonts w:hint="eastAsia" w:ascii="宋体" w:hAnsi="宋体" w:eastAsia="宋体" w:cs="宋体"/>
                <w:b/>
                <w:bCs/>
                <w:color w:val="000000"/>
              </w:rPr>
            </w:r>
            <w:r/>
          </w:p>
        </w:tc>
        <w:tc>
          <w:tcPr>
            <w:gridSpan w:val="2"/>
            <w:tcW w:w="6091"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周围环境：确认周围温度、湿度、尘埃、油雾等</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无灰尘</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电源风扇、通风过滤网检查维护</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牢固，无破损</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云存储使用状态检查</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存储事件、日志检查</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无异常</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云存储文件完整性检查</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有无掉包</w:t>
            </w:r>
            <w:r>
              <w:rPr>
                <w:rFonts w:hint="eastAsia" w:ascii="宋体" w:hAnsi="宋体" w:eastAsia="宋体" w:cs="宋体"/>
                <w:color w:val="000000"/>
              </w:rPr>
            </w:r>
            <w:r/>
          </w:p>
        </w:tc>
      </w:tr>
      <w:tr>
        <w:trPr>
          <w:cantSplit/>
        </w:trPr>
        <w:tc>
          <w:tcPr>
            <w:tcW w:w="1676" w:type="dxa"/>
            <w:vAlign w:val="center"/>
            <w:vMerge w:val="restart"/>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编解码设备</w:t>
            </w:r>
            <w:r>
              <w:rPr>
                <w:rFonts w:hint="eastAsia" w:ascii="宋体" w:hAnsi="宋体" w:eastAsia="宋体" w:cs="宋体"/>
                <w:color w:val="000000"/>
              </w:rPr>
            </w:r>
            <w:r/>
          </w:p>
        </w:tc>
        <w:tc>
          <w:tcPr>
            <w:gridSpan w:val="2"/>
            <w:tcW w:w="6091"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周围环境：确认周围温度、湿度、尘埃、油雾等</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硬件</w:t>
            </w: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电源风扇、通风过滤网、CPU风扇检查维护</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显示器、键盘、鼠标检查保养</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与网络连接状态检查</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牢固，无破损</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w:t>
            </w: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系统安全性检查</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系统配置检查及系统版本</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系统补丁程序管理</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系统硬盘碎片整理</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速度恢复正常</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系统备份</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监控软件</w:t>
            </w: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运行日志备份和清理</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正常运行</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配置参数检查</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正常运行</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画面维护检查</w:t>
            </w:r>
            <w:r>
              <w:rPr>
                <w:rFonts w:hint="eastAsia" w:ascii="宋体" w:hAnsi="宋体" w:eastAsia="宋体" w:cs="宋体"/>
                <w:color w:val="000000"/>
              </w:rPr>
            </w:r>
            <w:r/>
          </w:p>
        </w:tc>
        <w:tc>
          <w:tcPr>
            <w:tcW w:w="231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正常</w:t>
            </w:r>
            <w:r>
              <w:rPr>
                <w:rFonts w:hint="eastAsia" w:ascii="宋体" w:hAnsi="宋体" w:eastAsia="宋体" w:cs="宋体"/>
                <w:color w:val="000000"/>
              </w:rPr>
            </w:r>
            <w:r/>
          </w:p>
        </w:tc>
      </w:tr>
    </w:tbl>
    <w:p>
      <w:pPr>
        <w:pStyle w:val="639"/>
        <w:ind w:left="400"/>
        <w:jc w:val="center"/>
        <w:spacing w:after="120" w:line="440" w:lineRule="exact"/>
        <w:widowControl w:val="off"/>
        <w:rPr>
          <w:rFonts w:hint="eastAsia" w:ascii="宋体" w:hAnsi="宋体" w:eastAsia="宋体" w:cs="宋体"/>
          <w:color w:val="000000"/>
        </w:rPr>
      </w:pPr>
      <w:r>
        <w:rPr>
          <w:rFonts w:hint="eastAsia" w:ascii="宋体" w:hAnsi="宋体" w:eastAsia="宋体" w:cs="宋体"/>
          <w:color w:val="000000"/>
        </w:rPr>
        <w:t xml:space="preserve">（3）网络系统</w:t>
      </w:r>
      <w:r>
        <w:rPr>
          <w:rFonts w:hint="eastAsia" w:ascii="宋体" w:hAnsi="宋体" w:eastAsia="宋体" w:cs="宋体"/>
          <w:color w:val="000000"/>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8"/>
        <w:gridCol w:w="1361"/>
        <w:gridCol w:w="4144"/>
        <w:gridCol w:w="2569"/>
      </w:tblGrid>
      <w:tr>
        <w:trPr>
          <w:cantSplit/>
          <w:tblHeader/>
        </w:trPr>
        <w:tc>
          <w:tcPr>
            <w:tcW w:w="2008" w:type="dxa"/>
            <w:vAlign w:val="center"/>
            <w:textDirection w:val="lrTb"/>
            <w:noWrap w:val="false"/>
          </w:tcPr>
          <w:p>
            <w:pPr>
              <w:pStyle w:val="639"/>
              <w:ind w:left="0"/>
              <w:widowControl w:val="off"/>
              <w:rPr>
                <w:rFonts w:hint="eastAsia" w:ascii="宋体" w:hAnsi="宋体" w:eastAsia="宋体" w:cs="宋体"/>
                <w:b/>
                <w:color w:val="000000"/>
              </w:rPr>
            </w:pPr>
            <w:r>
              <w:rPr>
                <w:rFonts w:hint="eastAsia" w:ascii="宋体" w:hAnsi="宋体" w:eastAsia="宋体" w:cs="宋体"/>
                <w:b/>
                <w:color w:val="000000"/>
              </w:rPr>
              <w:t xml:space="preserve">服务名称</w:t>
            </w:r>
            <w:r>
              <w:rPr>
                <w:rFonts w:hint="eastAsia" w:ascii="宋体" w:hAnsi="宋体" w:eastAsia="宋体" w:cs="宋体"/>
                <w:b/>
                <w:color w:val="000000"/>
              </w:rPr>
            </w:r>
            <w:r/>
          </w:p>
        </w:tc>
        <w:tc>
          <w:tcPr>
            <w:gridSpan w:val="2"/>
            <w:tcW w:w="5505" w:type="dxa"/>
            <w:vAlign w:val="center"/>
            <w:textDirection w:val="lrTb"/>
            <w:noWrap w:val="false"/>
          </w:tcPr>
          <w:p>
            <w:pPr>
              <w:pStyle w:val="639"/>
              <w:ind w:left="0"/>
              <w:widowControl w:val="off"/>
              <w:rPr>
                <w:rFonts w:hint="eastAsia" w:ascii="宋体" w:hAnsi="宋体" w:eastAsia="宋体" w:cs="宋体"/>
                <w:b/>
                <w:color w:val="000000"/>
              </w:rPr>
            </w:pPr>
            <w:r>
              <w:rPr>
                <w:rFonts w:hint="eastAsia" w:ascii="宋体" w:hAnsi="宋体" w:eastAsia="宋体" w:cs="宋体"/>
                <w:b/>
                <w:color w:val="000000"/>
              </w:rPr>
              <w:t xml:space="preserve">检查与服务要求</w:t>
            </w:r>
            <w:r>
              <w:rPr>
                <w:rFonts w:hint="eastAsia" w:ascii="宋体" w:hAnsi="宋体" w:eastAsia="宋体" w:cs="宋体"/>
                <w:b/>
                <w:color w:val="000000"/>
              </w:rPr>
            </w:r>
            <w:r/>
          </w:p>
        </w:tc>
        <w:tc>
          <w:tcPr>
            <w:tcW w:w="2569" w:type="dxa"/>
            <w:vAlign w:val="center"/>
            <w:textDirection w:val="lrTb"/>
            <w:noWrap w:val="false"/>
          </w:tcPr>
          <w:p>
            <w:pPr>
              <w:pStyle w:val="639"/>
              <w:ind w:left="0"/>
              <w:widowControl w:val="off"/>
              <w:rPr>
                <w:rFonts w:hint="eastAsia" w:ascii="宋体" w:hAnsi="宋体" w:eastAsia="宋体" w:cs="宋体"/>
                <w:b/>
                <w:color w:val="000000"/>
              </w:rPr>
            </w:pPr>
            <w:r>
              <w:rPr>
                <w:rFonts w:hint="eastAsia" w:ascii="宋体" w:hAnsi="宋体" w:eastAsia="宋体" w:cs="宋体"/>
                <w:b/>
                <w:color w:val="000000"/>
              </w:rPr>
              <w:t xml:space="preserve">标准</w:t>
            </w:r>
            <w:r>
              <w:rPr>
                <w:rFonts w:hint="eastAsia" w:ascii="宋体" w:hAnsi="宋体" w:eastAsia="宋体" w:cs="宋体"/>
                <w:b/>
                <w:color w:val="000000"/>
              </w:rPr>
            </w:r>
            <w:r/>
          </w:p>
        </w:tc>
      </w:tr>
      <w:tr>
        <w:trPr>
          <w:cantSplit/>
        </w:trPr>
        <w:tc>
          <w:tcPr>
            <w:tcW w:w="2008" w:type="dxa"/>
            <w:vAlign w:val="center"/>
            <w:vMerge w:val="restart"/>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服务器</w:t>
            </w:r>
            <w:r>
              <w:rPr>
                <w:rFonts w:hint="eastAsia" w:ascii="宋体" w:hAnsi="宋体" w:eastAsia="宋体" w:cs="宋体"/>
                <w:color w:val="000000"/>
              </w:rPr>
            </w:r>
            <w:r/>
          </w:p>
        </w:tc>
        <w:tc>
          <w:tcPr>
            <w:gridSpan w:val="2"/>
            <w:tcW w:w="550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周围环境：确认周围温度、湿度、尘埃、油雾等</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restart"/>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硬件</w:t>
            </w:r>
            <w:r>
              <w:rPr>
                <w:rFonts w:hint="eastAsia" w:ascii="宋体" w:hAnsi="宋体" w:eastAsia="宋体" w:cs="宋体"/>
                <w:color w:val="000000"/>
              </w:rPr>
            </w:r>
            <w:r/>
          </w:p>
        </w:tc>
        <w:tc>
          <w:tcPr>
            <w:tcW w:w="414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电源风扇、通风过滤网、CPU风扇检查维护</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正常清洁</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键盘、鼠标检查保养</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restart"/>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系统OS软件</w:t>
            </w:r>
            <w:r>
              <w:rPr>
                <w:rFonts w:hint="eastAsia" w:ascii="宋体" w:hAnsi="宋体" w:eastAsia="宋体" w:cs="宋体"/>
                <w:color w:val="000000"/>
              </w:rPr>
            </w:r>
            <w:r/>
          </w:p>
        </w:tc>
        <w:tc>
          <w:tcPr>
            <w:tcW w:w="414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系统安全性检查</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系统配置检查及系统版本</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系统补丁程序管理</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系统硬盘碎片整理</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速度恢复正常</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系统备份</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应用软件</w:t>
            </w:r>
            <w:r>
              <w:rPr>
                <w:rFonts w:hint="eastAsia" w:ascii="宋体" w:hAnsi="宋体" w:eastAsia="宋体" w:cs="宋体"/>
                <w:color w:val="000000"/>
              </w:rPr>
            </w:r>
            <w:r/>
          </w:p>
        </w:tc>
        <w:tc>
          <w:tcPr>
            <w:tcW w:w="414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检查网络状态</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正常运行</w:t>
            </w:r>
            <w:r>
              <w:rPr>
                <w:rFonts w:hint="eastAsia" w:ascii="宋体" w:hAnsi="宋体" w:eastAsia="宋体" w:cs="宋体"/>
                <w:color w:val="000000"/>
              </w:rPr>
            </w:r>
            <w:r/>
          </w:p>
        </w:tc>
      </w:tr>
      <w:tr>
        <w:trPr>
          <w:cantSplit/>
        </w:trPr>
        <w:tc>
          <w:tcPr>
            <w:tcW w:w="2008" w:type="dxa"/>
            <w:vAlign w:val="center"/>
            <w:vMerge w:val="restart"/>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交换机</w:t>
            </w:r>
            <w:r>
              <w:rPr>
                <w:rFonts w:hint="eastAsia" w:ascii="宋体" w:hAnsi="宋体" w:eastAsia="宋体" w:cs="宋体"/>
                <w:color w:val="000000"/>
              </w:rPr>
            </w:r>
            <w:r/>
          </w:p>
        </w:tc>
        <w:tc>
          <w:tcPr>
            <w:tcW w:w="1361" w:type="dxa"/>
            <w:vAlign w:val="center"/>
            <w:vMerge w:val="restart"/>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硬件</w:t>
            </w:r>
            <w:r>
              <w:rPr>
                <w:rFonts w:hint="eastAsia" w:ascii="宋体" w:hAnsi="宋体" w:eastAsia="宋体" w:cs="宋体"/>
                <w:color w:val="000000"/>
              </w:rPr>
            </w:r>
            <w:r/>
          </w:p>
        </w:tc>
        <w:tc>
          <w:tcPr>
            <w:tcW w:w="414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周围环境：确认周围温度、湿度、尘埃、油雾等</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运行灯状态检查</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正常状态</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电源风扇检查维护</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正常</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restart"/>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配置参数</w:t>
            </w:r>
            <w:r>
              <w:rPr>
                <w:rFonts w:hint="eastAsia" w:ascii="宋体" w:hAnsi="宋体" w:eastAsia="宋体" w:cs="宋体"/>
                <w:color w:val="000000"/>
              </w:rPr>
            </w:r>
            <w:r/>
          </w:p>
        </w:tc>
        <w:tc>
          <w:tcPr>
            <w:tcW w:w="414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系统参数检查备份</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VLAN管理参数检查备份</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端口参数检查备份</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冗余配置管理参数检查备份</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光缆、双绞线</w:t>
            </w:r>
            <w:r>
              <w:rPr>
                <w:rFonts w:hint="eastAsia" w:ascii="宋体" w:hAnsi="宋体" w:eastAsia="宋体" w:cs="宋体"/>
                <w:color w:val="000000"/>
              </w:rPr>
            </w:r>
            <w:r/>
          </w:p>
        </w:tc>
        <w:tc>
          <w:tcPr>
            <w:gridSpan w:val="2"/>
            <w:tcW w:w="550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性能测试</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正常通讯/测试报告</w:t>
            </w:r>
            <w:r>
              <w:rPr>
                <w:rFonts w:hint="eastAsia" w:ascii="宋体" w:hAnsi="宋体" w:eastAsia="宋体" w:cs="宋体"/>
                <w:color w:val="000000"/>
              </w:rPr>
            </w:r>
            <w:r/>
          </w:p>
        </w:tc>
      </w:tr>
    </w:tbl>
    <w:p>
      <w:pPr>
        <w:pStyle w:val="639"/>
        <w:ind w:left="0"/>
        <w:jc w:val="center"/>
        <w:spacing w:after="120" w:line="440" w:lineRule="exact"/>
        <w:widowControl w:val="off"/>
        <w:rPr>
          <w:rFonts w:hint="eastAsia" w:ascii="宋体" w:hAnsi="宋体" w:eastAsia="宋体" w:cs="宋体"/>
          <w:color w:val="000000"/>
        </w:rPr>
      </w:pPr>
      <w:r>
        <w:rPr>
          <w:rFonts w:hint="eastAsia" w:ascii="宋体" w:hAnsi="宋体" w:eastAsia="宋体" w:cs="宋体"/>
          <w:color w:val="000000"/>
        </w:rPr>
        <w:t xml:space="preserve">（4）显示系统</w:t>
      </w:r>
      <w:r>
        <w:rPr>
          <w:rFonts w:hint="eastAsia" w:ascii="宋体" w:hAnsi="宋体" w:eastAsia="宋体" w:cs="宋体"/>
          <w:color w:val="000000"/>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8"/>
        <w:gridCol w:w="4745"/>
        <w:gridCol w:w="2569"/>
      </w:tblGrid>
      <w:tr>
        <w:trPr>
          <w:cantSplit/>
          <w:tblHeader/>
        </w:trPr>
        <w:tc>
          <w:tcPr>
            <w:tcW w:w="2768" w:type="dxa"/>
            <w:vAlign w:val="center"/>
            <w:textDirection w:val="lrTb"/>
            <w:noWrap w:val="false"/>
          </w:tcPr>
          <w:p>
            <w:pPr>
              <w:pStyle w:val="639"/>
              <w:ind w:left="0"/>
              <w:widowControl w:val="off"/>
              <w:rPr>
                <w:rFonts w:hint="eastAsia" w:ascii="宋体" w:hAnsi="宋体" w:eastAsia="宋体" w:cs="宋体"/>
                <w:b/>
                <w:color w:val="000000"/>
              </w:rPr>
            </w:pPr>
            <w:r>
              <w:rPr>
                <w:rFonts w:hint="eastAsia" w:ascii="宋体" w:hAnsi="宋体" w:eastAsia="宋体" w:cs="宋体"/>
                <w:b/>
                <w:color w:val="000000"/>
              </w:rPr>
              <w:t xml:space="preserve">服务名称</w:t>
            </w:r>
            <w:r>
              <w:rPr>
                <w:rFonts w:hint="eastAsia" w:ascii="宋体" w:hAnsi="宋体" w:eastAsia="宋体" w:cs="宋体"/>
                <w:b/>
                <w:color w:val="000000"/>
              </w:rPr>
            </w:r>
            <w:r/>
          </w:p>
        </w:tc>
        <w:tc>
          <w:tcPr>
            <w:tcW w:w="4745" w:type="dxa"/>
            <w:vAlign w:val="center"/>
            <w:textDirection w:val="lrTb"/>
            <w:noWrap w:val="false"/>
          </w:tcPr>
          <w:p>
            <w:pPr>
              <w:pStyle w:val="639"/>
              <w:ind w:left="0"/>
              <w:widowControl w:val="off"/>
              <w:rPr>
                <w:rFonts w:hint="eastAsia" w:ascii="宋体" w:hAnsi="宋体" w:eastAsia="宋体" w:cs="宋体"/>
                <w:b/>
                <w:color w:val="000000"/>
              </w:rPr>
            </w:pPr>
            <w:r>
              <w:rPr>
                <w:rFonts w:hint="eastAsia" w:ascii="宋体" w:hAnsi="宋体" w:eastAsia="宋体" w:cs="宋体"/>
                <w:b/>
                <w:color w:val="000000"/>
              </w:rPr>
              <w:t xml:space="preserve">检查与服务要求</w:t>
            </w:r>
            <w:r>
              <w:rPr>
                <w:rFonts w:hint="eastAsia" w:ascii="宋体" w:hAnsi="宋体" w:eastAsia="宋体" w:cs="宋体"/>
                <w:b/>
                <w:color w:val="000000"/>
              </w:rPr>
            </w:r>
            <w:r/>
          </w:p>
        </w:tc>
        <w:tc>
          <w:tcPr>
            <w:tcW w:w="2569" w:type="dxa"/>
            <w:vAlign w:val="center"/>
            <w:textDirection w:val="lrTb"/>
            <w:noWrap w:val="false"/>
          </w:tcPr>
          <w:p>
            <w:pPr>
              <w:pStyle w:val="639"/>
              <w:ind w:left="0"/>
              <w:widowControl w:val="off"/>
              <w:rPr>
                <w:rFonts w:hint="eastAsia" w:ascii="宋体" w:hAnsi="宋体" w:eastAsia="宋体" w:cs="宋体"/>
                <w:b/>
                <w:color w:val="000000"/>
              </w:rPr>
            </w:pPr>
            <w:r>
              <w:rPr>
                <w:rFonts w:hint="eastAsia" w:ascii="宋体" w:hAnsi="宋体" w:eastAsia="宋体" w:cs="宋体"/>
                <w:b/>
                <w:color w:val="000000"/>
              </w:rPr>
              <w:t xml:space="preserve">标准</w:t>
            </w:r>
            <w:r>
              <w:rPr>
                <w:rFonts w:hint="eastAsia" w:ascii="宋体" w:hAnsi="宋体" w:eastAsia="宋体" w:cs="宋体"/>
                <w:b/>
                <w:color w:val="000000"/>
              </w:rPr>
            </w:r>
            <w:r/>
          </w:p>
        </w:tc>
      </w:tr>
      <w:tr>
        <w:trPr>
          <w:cantSplit/>
        </w:trPr>
        <w:tc>
          <w:tcPr>
            <w:tcW w:w="2768"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显示单元</w:t>
            </w:r>
            <w:r>
              <w:rPr>
                <w:rFonts w:hint="eastAsia" w:ascii="宋体" w:hAnsi="宋体" w:eastAsia="宋体" w:cs="宋体"/>
                <w:color w:val="000000"/>
              </w:rPr>
            </w:r>
            <w:r/>
          </w:p>
        </w:tc>
        <w:tc>
          <w:tcPr>
            <w:tcW w:w="474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作为常规使用性维护，连接状态、工作状态、清洁保养、环境温湿度检测等检查；</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正常</w:t>
            </w:r>
            <w:r>
              <w:rPr>
                <w:rFonts w:hint="eastAsia" w:ascii="宋体" w:hAnsi="宋体" w:eastAsia="宋体" w:cs="宋体"/>
                <w:color w:val="000000"/>
              </w:rPr>
            </w:r>
            <w:r/>
          </w:p>
        </w:tc>
      </w:tr>
      <w:tr>
        <w:trPr>
          <w:cantSplit/>
        </w:trPr>
        <w:tc>
          <w:tcPr>
            <w:tcW w:w="2768"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图像处理器</w:t>
            </w:r>
            <w:r>
              <w:rPr>
                <w:rFonts w:hint="eastAsia" w:ascii="宋体" w:hAnsi="宋体" w:eastAsia="宋体" w:cs="宋体"/>
                <w:color w:val="000000"/>
              </w:rPr>
            </w:r>
            <w:r/>
          </w:p>
        </w:tc>
        <w:tc>
          <w:tcPr>
            <w:tcW w:w="474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功能完整性测试</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768"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显示管理软件</w:t>
            </w:r>
            <w:r>
              <w:rPr>
                <w:rFonts w:hint="eastAsia" w:ascii="宋体" w:hAnsi="宋体" w:eastAsia="宋体" w:cs="宋体"/>
                <w:color w:val="000000"/>
              </w:rPr>
            </w:r>
            <w:r/>
          </w:p>
        </w:tc>
        <w:tc>
          <w:tcPr>
            <w:tcW w:w="474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功能完整性测试</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bl>
    <w:p>
      <w:pPr>
        <w:pStyle w:val="639"/>
        <w:ind w:left="0"/>
        <w:jc w:val="center"/>
        <w:spacing w:after="120" w:line="440" w:lineRule="exact"/>
        <w:widowControl w:val="off"/>
        <w:rPr>
          <w:rFonts w:hint="eastAsia" w:ascii="宋体" w:hAnsi="宋体" w:eastAsia="宋体" w:cs="宋体"/>
          <w:color w:val="000000"/>
        </w:rPr>
      </w:pPr>
      <w:r>
        <w:rPr>
          <w:rFonts w:hint="eastAsia" w:ascii="宋体" w:hAnsi="宋体" w:eastAsia="宋体" w:cs="宋体"/>
          <w:color w:val="000000"/>
        </w:rPr>
        <w:t xml:space="preserve">（5）综合管理平台（Infovision PVIA (DN)）</w:t>
      </w:r>
      <w:r>
        <w:rPr>
          <w:rFonts w:hint="eastAsia" w:ascii="宋体" w:hAnsi="宋体" w:eastAsia="宋体" w:cs="宋体"/>
          <w:color w:val="000000"/>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8"/>
        <w:gridCol w:w="4745"/>
        <w:gridCol w:w="2569"/>
      </w:tblGrid>
      <w:tr>
        <w:trPr>
          <w:cantSplit/>
          <w:tblHeader/>
        </w:trPr>
        <w:tc>
          <w:tcPr>
            <w:tcW w:w="2768" w:type="dxa"/>
            <w:vAlign w:val="center"/>
            <w:textDirection w:val="lrTb"/>
            <w:noWrap w:val="false"/>
          </w:tcPr>
          <w:p>
            <w:pPr>
              <w:pStyle w:val="639"/>
              <w:ind w:left="0"/>
              <w:widowControl w:val="off"/>
              <w:rPr>
                <w:rFonts w:hint="eastAsia" w:ascii="宋体" w:hAnsi="宋体" w:eastAsia="宋体" w:cs="宋体"/>
                <w:b/>
                <w:color w:val="000000"/>
              </w:rPr>
            </w:pPr>
            <w:r>
              <w:rPr>
                <w:rFonts w:hint="eastAsia" w:ascii="宋体" w:hAnsi="宋体" w:eastAsia="宋体" w:cs="宋体"/>
                <w:b/>
                <w:color w:val="000000"/>
              </w:rPr>
              <w:t xml:space="preserve">服务名称</w:t>
            </w:r>
            <w:r>
              <w:rPr>
                <w:rFonts w:hint="eastAsia" w:ascii="宋体" w:hAnsi="宋体" w:eastAsia="宋体" w:cs="宋体"/>
                <w:b/>
                <w:color w:val="000000"/>
              </w:rPr>
            </w:r>
            <w:r/>
          </w:p>
        </w:tc>
        <w:tc>
          <w:tcPr>
            <w:tcW w:w="4745" w:type="dxa"/>
            <w:vAlign w:val="center"/>
            <w:textDirection w:val="lrTb"/>
            <w:noWrap w:val="false"/>
          </w:tcPr>
          <w:p>
            <w:pPr>
              <w:pStyle w:val="639"/>
              <w:ind w:left="0"/>
              <w:widowControl w:val="off"/>
              <w:rPr>
                <w:rFonts w:hint="eastAsia" w:ascii="宋体" w:hAnsi="宋体" w:eastAsia="宋体" w:cs="宋体"/>
                <w:b/>
                <w:color w:val="000000"/>
              </w:rPr>
            </w:pPr>
            <w:r>
              <w:rPr>
                <w:rFonts w:hint="eastAsia" w:ascii="宋体" w:hAnsi="宋体" w:eastAsia="宋体" w:cs="宋体"/>
                <w:b/>
                <w:color w:val="000000"/>
              </w:rPr>
              <w:t xml:space="preserve">检查与服务要求</w:t>
            </w:r>
            <w:r>
              <w:rPr>
                <w:rFonts w:hint="eastAsia" w:ascii="宋体" w:hAnsi="宋体" w:eastAsia="宋体" w:cs="宋体"/>
                <w:b/>
                <w:color w:val="000000"/>
              </w:rPr>
            </w:r>
            <w:r/>
          </w:p>
        </w:tc>
        <w:tc>
          <w:tcPr>
            <w:tcW w:w="2569" w:type="dxa"/>
            <w:vAlign w:val="center"/>
            <w:textDirection w:val="lrTb"/>
            <w:noWrap w:val="false"/>
          </w:tcPr>
          <w:p>
            <w:pPr>
              <w:pStyle w:val="639"/>
              <w:ind w:left="0"/>
              <w:widowControl w:val="off"/>
              <w:rPr>
                <w:rFonts w:hint="eastAsia" w:ascii="宋体" w:hAnsi="宋体" w:eastAsia="宋体" w:cs="宋体"/>
                <w:b/>
                <w:color w:val="000000"/>
              </w:rPr>
            </w:pPr>
            <w:r>
              <w:rPr>
                <w:rFonts w:hint="eastAsia" w:ascii="宋体" w:hAnsi="宋体" w:eastAsia="宋体" w:cs="宋体"/>
                <w:b/>
                <w:color w:val="000000"/>
              </w:rPr>
              <w:t xml:space="preserve">标准</w:t>
            </w:r>
            <w:r>
              <w:rPr>
                <w:rFonts w:hint="eastAsia" w:ascii="宋体" w:hAnsi="宋体" w:eastAsia="宋体" w:cs="宋体"/>
                <w:b/>
                <w:color w:val="000000"/>
              </w:rPr>
            </w:r>
            <w:r/>
          </w:p>
        </w:tc>
      </w:tr>
      <w:tr>
        <w:trPr>
          <w:cantSplit/>
        </w:trPr>
        <w:tc>
          <w:tcPr>
            <w:tcW w:w="2768"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应用管理服务</w:t>
            </w:r>
            <w:r>
              <w:rPr>
                <w:rFonts w:hint="eastAsia" w:ascii="宋体" w:hAnsi="宋体" w:eastAsia="宋体" w:cs="宋体"/>
                <w:color w:val="000000"/>
              </w:rPr>
            </w:r>
            <w:r/>
          </w:p>
        </w:tc>
        <w:tc>
          <w:tcPr>
            <w:tcW w:w="474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视频应用、电子地图、查询中心、布控中心、统计中心、人脸应用、车辆应用、探针应用、视频解析、案件研判、运维应用等</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软件以及各组件运行正常（中心端故障除外）</w:t>
            </w:r>
            <w:r>
              <w:rPr>
                <w:rFonts w:hint="eastAsia" w:ascii="宋体" w:hAnsi="宋体" w:eastAsia="宋体" w:cs="宋体"/>
                <w:color w:val="000000"/>
              </w:rPr>
            </w:r>
            <w:r/>
          </w:p>
        </w:tc>
      </w:tr>
      <w:tr>
        <w:trPr>
          <w:cantSplit/>
        </w:trPr>
        <w:tc>
          <w:tcPr>
            <w:tcW w:w="2768"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视频应用服务</w:t>
            </w:r>
            <w:r>
              <w:rPr>
                <w:rFonts w:hint="eastAsia" w:ascii="宋体" w:hAnsi="宋体" w:eastAsia="宋体" w:cs="宋体"/>
                <w:color w:val="000000"/>
              </w:rPr>
            </w:r>
            <w:r/>
          </w:p>
        </w:tc>
        <w:tc>
          <w:tcPr>
            <w:tcW w:w="474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流媒体服务、管理服务、接入服务、存储管理、大屏管理服务、视频联网服务、报警管理服务、卡口分析服务、人脸比对服务、对外接口服务</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软件以及各组件运行正常（中心端故障除外）</w:t>
            </w:r>
            <w:r>
              <w:rPr>
                <w:rFonts w:hint="eastAsia" w:ascii="宋体" w:hAnsi="宋体" w:eastAsia="宋体" w:cs="宋体"/>
                <w:color w:val="000000"/>
              </w:rPr>
            </w:r>
            <w:r/>
          </w:p>
        </w:tc>
      </w:tr>
      <w:tr>
        <w:trPr>
          <w:cantSplit/>
        </w:trPr>
        <w:tc>
          <w:tcPr>
            <w:tcW w:w="2768"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应用功能模块</w:t>
            </w:r>
            <w:r>
              <w:rPr>
                <w:rFonts w:hint="eastAsia" w:ascii="宋体" w:hAnsi="宋体" w:eastAsia="宋体" w:cs="宋体"/>
                <w:color w:val="000000"/>
              </w:rPr>
            </w:r>
            <w:r/>
          </w:p>
        </w:tc>
        <w:tc>
          <w:tcPr>
            <w:tcW w:w="474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视频应用、电子地图、查询中心、布控功能、统计功能、人脸应用、车辆应用、视频解析应用</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软件以及各组件运行正常（中心端故障除外）</w:t>
            </w:r>
            <w:r>
              <w:rPr>
                <w:rFonts w:hint="eastAsia" w:ascii="宋体" w:hAnsi="宋体" w:eastAsia="宋体" w:cs="宋体"/>
                <w:color w:val="000000"/>
              </w:rPr>
            </w:r>
            <w:r/>
          </w:p>
        </w:tc>
      </w:tr>
      <w:tr>
        <w:trPr>
          <w:cantSplit/>
        </w:trPr>
        <w:tc>
          <w:tcPr>
            <w:tcW w:w="2768"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配置管理模块</w:t>
            </w:r>
            <w:r>
              <w:rPr>
                <w:rFonts w:hint="eastAsia" w:ascii="宋体" w:hAnsi="宋体" w:eastAsia="宋体" w:cs="宋体"/>
                <w:color w:val="000000"/>
              </w:rPr>
            </w:r>
            <w:r/>
          </w:p>
        </w:tc>
        <w:tc>
          <w:tcPr>
            <w:tcW w:w="4745"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用户管理、日志管理、组织管理、卡口管理、人脸管理、结构化分析管理、报警管理、帮助中心等</w:t>
            </w:r>
            <w:r>
              <w:rPr>
                <w:rFonts w:hint="eastAsia" w:ascii="宋体" w:hAnsi="宋体" w:eastAsia="宋体" w:cs="宋体"/>
                <w:color w:val="000000"/>
              </w:rPr>
            </w:r>
            <w:r/>
          </w:p>
        </w:tc>
        <w:tc>
          <w:tcPr>
            <w:tcW w:w="2569"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软件以及各组件运行正常（中心端故障除外）</w:t>
            </w:r>
            <w:r>
              <w:rPr>
                <w:rFonts w:hint="eastAsia" w:ascii="宋体" w:hAnsi="宋体" w:eastAsia="宋体" w:cs="宋体"/>
                <w:color w:val="000000"/>
              </w:rPr>
            </w:r>
            <w:r/>
          </w:p>
        </w:tc>
      </w:tr>
    </w:tbl>
    <w:p>
      <w:pPr>
        <w:pStyle w:val="639"/>
        <w:ind w:left="400"/>
        <w:jc w:val="center"/>
        <w:spacing w:after="120" w:line="440" w:lineRule="exact"/>
        <w:widowControl w:val="off"/>
        <w:rPr>
          <w:rFonts w:hint="eastAsia" w:ascii="宋体" w:hAnsi="宋体" w:eastAsia="宋体" w:cs="宋体"/>
          <w:color w:val="000000"/>
        </w:rPr>
      </w:pPr>
      <w:r>
        <w:rPr>
          <w:rFonts w:hint="eastAsia" w:ascii="宋体" w:hAnsi="宋体" w:eastAsia="宋体" w:cs="宋体"/>
          <w:color w:val="000000"/>
        </w:rPr>
        <w:t xml:space="preserve">（6）软件系统含第三方软件系统</w:t>
      </w:r>
      <w:r>
        <w:rPr>
          <w:rFonts w:hint="eastAsia" w:ascii="宋体" w:hAnsi="宋体" w:eastAsia="宋体" w:cs="宋体"/>
          <w:color w:val="000000"/>
        </w:rPr>
      </w:r>
      <w:r/>
    </w:p>
    <w:tbl>
      <w:tblPr>
        <w:tblW w:w="98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4"/>
        <w:gridCol w:w="5478"/>
        <w:gridCol w:w="2182"/>
      </w:tblGrid>
      <w:tr>
        <w:trPr>
          <w:cantSplit/>
          <w:tblHeader/>
        </w:trPr>
        <w:tc>
          <w:tcPr>
            <w:tcW w:w="2164" w:type="dxa"/>
            <w:vAlign w:val="center"/>
            <w:textDirection w:val="lrTb"/>
            <w:noWrap w:val="false"/>
          </w:tcPr>
          <w:p>
            <w:pPr>
              <w:pStyle w:val="639"/>
              <w:ind w:left="0"/>
              <w:widowControl w:val="off"/>
              <w:rPr>
                <w:rFonts w:hint="eastAsia" w:ascii="宋体" w:hAnsi="宋体" w:eastAsia="宋体" w:cs="宋体"/>
                <w:b/>
                <w:color w:val="000000"/>
              </w:rPr>
            </w:pPr>
            <w:r>
              <w:rPr>
                <w:rFonts w:hint="eastAsia" w:ascii="宋体" w:hAnsi="宋体" w:eastAsia="宋体" w:cs="宋体"/>
                <w:b/>
                <w:color w:val="000000"/>
              </w:rPr>
              <w:t xml:space="preserve">服务名称</w:t>
            </w:r>
            <w:r>
              <w:rPr>
                <w:rFonts w:hint="eastAsia" w:ascii="宋体" w:hAnsi="宋体" w:eastAsia="宋体" w:cs="宋体"/>
                <w:b/>
                <w:color w:val="000000"/>
              </w:rPr>
            </w:r>
            <w:r/>
          </w:p>
        </w:tc>
        <w:tc>
          <w:tcPr>
            <w:tcW w:w="5478" w:type="dxa"/>
            <w:vAlign w:val="center"/>
            <w:textDirection w:val="lrTb"/>
            <w:noWrap w:val="false"/>
          </w:tcPr>
          <w:p>
            <w:pPr>
              <w:pStyle w:val="639"/>
              <w:ind w:left="0"/>
              <w:widowControl w:val="off"/>
              <w:rPr>
                <w:rFonts w:hint="eastAsia" w:ascii="宋体" w:hAnsi="宋体" w:eastAsia="宋体" w:cs="宋体"/>
                <w:b/>
                <w:color w:val="000000"/>
              </w:rPr>
            </w:pPr>
            <w:r>
              <w:rPr>
                <w:rFonts w:hint="eastAsia" w:ascii="宋体" w:hAnsi="宋体" w:eastAsia="宋体" w:cs="宋体"/>
                <w:b/>
                <w:color w:val="000000"/>
              </w:rPr>
              <w:t xml:space="preserve">检查与服务要求</w:t>
            </w:r>
            <w:r>
              <w:rPr>
                <w:rFonts w:hint="eastAsia" w:ascii="宋体" w:hAnsi="宋体" w:eastAsia="宋体" w:cs="宋体"/>
                <w:b/>
                <w:color w:val="000000"/>
              </w:rPr>
            </w:r>
            <w:r/>
          </w:p>
        </w:tc>
        <w:tc>
          <w:tcPr>
            <w:tcW w:w="2182" w:type="dxa"/>
            <w:vAlign w:val="center"/>
            <w:textDirection w:val="lrTb"/>
            <w:noWrap w:val="false"/>
          </w:tcPr>
          <w:p>
            <w:pPr>
              <w:pStyle w:val="639"/>
              <w:ind w:left="0"/>
              <w:widowControl w:val="off"/>
              <w:rPr>
                <w:rFonts w:hint="eastAsia" w:ascii="宋体" w:hAnsi="宋体" w:eastAsia="宋体" w:cs="宋体"/>
                <w:b/>
                <w:color w:val="000000"/>
              </w:rPr>
            </w:pPr>
            <w:r>
              <w:rPr>
                <w:rFonts w:hint="eastAsia" w:ascii="宋体" w:hAnsi="宋体" w:eastAsia="宋体" w:cs="宋体"/>
                <w:b/>
                <w:color w:val="000000"/>
              </w:rPr>
              <w:t xml:space="preserve">标准</w:t>
            </w:r>
            <w:r>
              <w:rPr>
                <w:rFonts w:hint="eastAsia" w:ascii="宋体" w:hAnsi="宋体" w:eastAsia="宋体" w:cs="宋体"/>
                <w:b/>
                <w:color w:val="000000"/>
              </w:rPr>
            </w:r>
            <w:r/>
          </w:p>
        </w:tc>
      </w:tr>
      <w:tr>
        <w:trPr>
          <w:cantSplit/>
        </w:trPr>
        <w:tc>
          <w:tcPr>
            <w:tcW w:w="216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运行环境检查</w:t>
            </w:r>
            <w:r>
              <w:rPr>
                <w:rFonts w:hint="eastAsia" w:ascii="宋体" w:hAnsi="宋体" w:eastAsia="宋体" w:cs="宋体"/>
                <w:color w:val="000000"/>
              </w:rPr>
            </w:r>
            <w:r/>
          </w:p>
        </w:tc>
        <w:tc>
          <w:tcPr>
            <w:tcW w:w="5478"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通用类运行环境检查，如：tomcat、IIS等</w:t>
            </w:r>
            <w:r>
              <w:rPr>
                <w:rFonts w:hint="eastAsia" w:ascii="宋体" w:hAnsi="宋体" w:eastAsia="宋体" w:cs="宋体"/>
                <w:color w:val="000000"/>
              </w:rPr>
            </w:r>
            <w:r/>
          </w:p>
        </w:tc>
        <w:tc>
          <w:tcPr>
            <w:tcW w:w="2182"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运行正常无报错</w:t>
            </w:r>
            <w:r>
              <w:rPr>
                <w:rFonts w:hint="eastAsia" w:ascii="宋体" w:hAnsi="宋体" w:eastAsia="宋体" w:cs="宋体"/>
                <w:color w:val="000000"/>
              </w:rPr>
            </w:r>
            <w:r/>
          </w:p>
        </w:tc>
      </w:tr>
      <w:tr>
        <w:trPr>
          <w:cantSplit/>
        </w:trPr>
        <w:tc>
          <w:tcPr>
            <w:tcW w:w="216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缓存检查</w:t>
            </w:r>
            <w:r>
              <w:rPr>
                <w:rFonts w:hint="eastAsia" w:ascii="宋体" w:hAnsi="宋体" w:eastAsia="宋体" w:cs="宋体"/>
                <w:color w:val="000000"/>
              </w:rPr>
            </w:r>
            <w:r/>
          </w:p>
        </w:tc>
        <w:tc>
          <w:tcPr>
            <w:tcW w:w="5478"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定期缓存清理</w:t>
            </w:r>
            <w:r>
              <w:rPr>
                <w:rFonts w:hint="eastAsia" w:ascii="宋体" w:hAnsi="宋体" w:eastAsia="宋体" w:cs="宋体"/>
                <w:color w:val="000000"/>
              </w:rPr>
            </w:r>
            <w:r/>
          </w:p>
        </w:tc>
        <w:tc>
          <w:tcPr>
            <w:tcW w:w="2182"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16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数据库备份</w:t>
            </w:r>
            <w:r>
              <w:rPr>
                <w:rFonts w:hint="eastAsia" w:ascii="宋体" w:hAnsi="宋体" w:eastAsia="宋体" w:cs="宋体"/>
                <w:color w:val="000000"/>
              </w:rPr>
            </w:r>
            <w:r/>
          </w:p>
        </w:tc>
        <w:tc>
          <w:tcPr>
            <w:tcW w:w="5478"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定期数据库备份、检查错误日志</w:t>
            </w:r>
            <w:r>
              <w:rPr>
                <w:rFonts w:hint="eastAsia" w:ascii="宋体" w:hAnsi="宋体" w:eastAsia="宋体" w:cs="宋体"/>
                <w:color w:val="000000"/>
              </w:rPr>
            </w:r>
            <w:r/>
          </w:p>
        </w:tc>
        <w:tc>
          <w:tcPr>
            <w:tcW w:w="2182"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每月一次</w:t>
            </w:r>
            <w:r>
              <w:rPr>
                <w:rFonts w:hint="eastAsia" w:ascii="宋体" w:hAnsi="宋体" w:eastAsia="宋体" w:cs="宋体"/>
                <w:color w:val="000000"/>
              </w:rPr>
            </w:r>
            <w:r/>
          </w:p>
        </w:tc>
      </w:tr>
      <w:tr>
        <w:trPr>
          <w:cantSplit/>
        </w:trPr>
        <w:tc>
          <w:tcPr>
            <w:tcW w:w="216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功能性检查</w:t>
            </w:r>
            <w:r>
              <w:rPr>
                <w:rFonts w:hint="eastAsia" w:ascii="宋体" w:hAnsi="宋体" w:eastAsia="宋体" w:cs="宋体"/>
                <w:color w:val="000000"/>
              </w:rPr>
            </w:r>
            <w:r/>
          </w:p>
        </w:tc>
        <w:tc>
          <w:tcPr>
            <w:tcW w:w="5478"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现有功能的完整性检查，发生短缺、报错等故障，第一时间上报原厂家解决</w:t>
            </w:r>
            <w:r>
              <w:rPr>
                <w:rFonts w:hint="eastAsia" w:ascii="宋体" w:hAnsi="宋体" w:eastAsia="宋体" w:cs="宋体"/>
                <w:color w:val="000000"/>
              </w:rPr>
            </w:r>
            <w:r/>
          </w:p>
        </w:tc>
        <w:tc>
          <w:tcPr>
            <w:tcW w:w="2182"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功能正常</w:t>
            </w:r>
            <w:r>
              <w:rPr>
                <w:rFonts w:hint="eastAsia" w:ascii="宋体" w:hAnsi="宋体" w:eastAsia="宋体" w:cs="宋体"/>
                <w:color w:val="000000"/>
              </w:rPr>
            </w:r>
            <w:r/>
          </w:p>
        </w:tc>
      </w:tr>
      <w:tr>
        <w:trPr>
          <w:cantSplit/>
        </w:trPr>
        <w:tc>
          <w:tcPr>
            <w:tcW w:w="216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功能性拓展</w:t>
            </w:r>
            <w:r>
              <w:rPr>
                <w:rFonts w:hint="eastAsia" w:ascii="宋体" w:hAnsi="宋体" w:eastAsia="宋体" w:cs="宋体"/>
                <w:color w:val="000000"/>
              </w:rPr>
            </w:r>
            <w:r/>
          </w:p>
        </w:tc>
        <w:tc>
          <w:tcPr>
            <w:tcW w:w="5478"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提供必要的生产环境、协助软件生产厂家做好系统升级等工作</w:t>
            </w:r>
            <w:r>
              <w:rPr>
                <w:rFonts w:hint="eastAsia" w:ascii="宋体" w:hAnsi="宋体" w:eastAsia="宋体" w:cs="宋体"/>
                <w:color w:val="000000"/>
              </w:rPr>
            </w:r>
            <w:r/>
          </w:p>
        </w:tc>
        <w:tc>
          <w:tcPr>
            <w:tcW w:w="2182"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配合协助</w:t>
            </w:r>
            <w:r>
              <w:rPr>
                <w:rFonts w:hint="eastAsia" w:ascii="宋体" w:hAnsi="宋体" w:eastAsia="宋体" w:cs="宋体"/>
                <w:color w:val="000000"/>
              </w:rPr>
            </w:r>
            <w:r/>
          </w:p>
        </w:tc>
      </w:tr>
      <w:tr>
        <w:trPr>
          <w:cantSplit/>
        </w:trPr>
        <w:tc>
          <w:tcPr>
            <w:tcW w:w="2164"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服务器日志检查</w:t>
            </w:r>
            <w:r>
              <w:rPr>
                <w:rFonts w:hint="eastAsia" w:ascii="宋体" w:hAnsi="宋体" w:eastAsia="宋体" w:cs="宋体"/>
                <w:color w:val="000000"/>
              </w:rPr>
            </w:r>
            <w:r/>
          </w:p>
        </w:tc>
        <w:tc>
          <w:tcPr>
            <w:tcW w:w="5478"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定期检查服务器运行日志，发现数据异常、受攻击等情况时，第一时间上报原厂家解决</w:t>
            </w:r>
            <w:r>
              <w:rPr>
                <w:rFonts w:hint="eastAsia" w:ascii="宋体" w:hAnsi="宋体" w:eastAsia="宋体" w:cs="宋体"/>
                <w:color w:val="000000"/>
              </w:rPr>
            </w:r>
            <w:r/>
          </w:p>
        </w:tc>
        <w:tc>
          <w:tcPr>
            <w:tcW w:w="2182" w:type="dxa"/>
            <w:vAlign w:val="center"/>
            <w:textDirection w:val="lrTb"/>
            <w:noWrap w:val="false"/>
          </w:tcPr>
          <w:p>
            <w:pPr>
              <w:pStyle w:val="639"/>
              <w:ind w:left="0"/>
              <w:widowControl w:val="off"/>
              <w:rPr>
                <w:rFonts w:hint="eastAsia" w:ascii="宋体" w:hAnsi="宋体" w:eastAsia="宋体" w:cs="宋体"/>
                <w:color w:val="000000"/>
              </w:rPr>
            </w:pPr>
            <w:r>
              <w:rPr>
                <w:rFonts w:hint="eastAsia" w:ascii="宋体" w:hAnsi="宋体" w:eastAsia="宋体" w:cs="宋体"/>
                <w:color w:val="000000"/>
              </w:rPr>
              <w:t xml:space="preserve">检查协助</w:t>
            </w:r>
            <w:r>
              <w:rPr>
                <w:rFonts w:hint="eastAsia" w:ascii="宋体" w:hAnsi="宋体" w:eastAsia="宋体" w:cs="宋体"/>
                <w:color w:val="000000"/>
              </w:rPr>
            </w:r>
            <w:r/>
          </w:p>
        </w:tc>
      </w:tr>
    </w:tbl>
    <w:p>
      <w:pPr>
        <w:pStyle w:val="675"/>
        <w:ind w:left="0" w:firstLine="0"/>
        <w:jc w:val="both"/>
        <w:rPr>
          <w:rFonts w:hint="eastAsia" w:ascii="宋体" w:hAnsi="宋体" w:eastAsia="宋体" w:cs="宋体"/>
          <w:b/>
          <w:bCs/>
          <w:color w:val="000000"/>
        </w:rPr>
      </w:pPr>
      <w:r>
        <w:rPr>
          <w:rFonts w:hint="eastAsia" w:ascii="宋体" w:hAnsi="宋体" w:eastAsia="宋体" w:cs="宋体"/>
          <w:b/>
          <w:bCs/>
          <w:color w:val="000000"/>
        </w:rPr>
        <w:t xml:space="preserve">（</w:t>
      </w:r>
      <w:r>
        <w:rPr>
          <w:rFonts w:hint="eastAsia" w:ascii="宋体" w:hAnsi="宋体" w:eastAsia="宋体" w:cs="宋体"/>
          <w:b/>
          <w:bCs/>
          <w:color w:val="000000"/>
          <w:lang w:val="en-US" w:eastAsia="zh-CN"/>
        </w:rPr>
        <w:t xml:space="preserve">五</w:t>
      </w:r>
      <w:r>
        <w:rPr>
          <w:rFonts w:hint="eastAsia" w:ascii="宋体" w:hAnsi="宋体" w:eastAsia="宋体" w:cs="宋体"/>
          <w:b/>
          <w:bCs/>
          <w:color w:val="000000"/>
        </w:rPr>
        <w:t xml:space="preserve">）服务考核表</w:t>
      </w:r>
      <w:r>
        <w:rPr>
          <w:rFonts w:hint="eastAsia" w:ascii="宋体" w:hAnsi="宋体" w:eastAsia="宋体" w:cs="宋体"/>
          <w:b/>
          <w:bCs/>
          <w:color w:val="000000"/>
        </w:rPr>
      </w:r>
      <w:r/>
    </w:p>
    <w:tbl>
      <w:tblPr>
        <w:tblW w:w="5262"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53"/>
        <w:gridCol w:w="1273"/>
        <w:gridCol w:w="791"/>
        <w:gridCol w:w="2733"/>
        <w:gridCol w:w="4202"/>
      </w:tblGrid>
      <w:tr>
        <w:trPr>
          <w:tblHeader/>
        </w:trPr>
        <w:tc>
          <w:tcPr>
            <w:gridSpan w:val="2"/>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考核项目</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39"/>
              <w:ind w:left="-105" w:right="-105"/>
              <w:jc w:val="center"/>
              <w:keepLines w:val="0"/>
              <w:keepNext w:val="0"/>
              <w:pageBreakBefore w:val="0"/>
              <w:spacing w:line="240" w:lineRule="auto"/>
              <w:widowControl w:val="off"/>
              <w:tabs>
                <w:tab w:val="left" w:pos="64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考核分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考核内容</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考核标准</w:t>
            </w:r>
            <w:r>
              <w:rPr>
                <w:rFonts w:hint="eastAsia" w:ascii="宋体" w:hAnsi="宋体" w:eastAsia="宋体" w:cs="宋体"/>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一、基础管理（共计25分）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1.工作计划管理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39"/>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由维保维护单位按要求提交年度整体工作计划方案，结合方案完整性、合理性、可落地性、针对性综合评分：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方案内容完整、规划清晰、贴合实际运维工作，得5分；内容基本完整、规划较合理，略有瑕疵，得3分；内容简略、规划笼统、可执行性差，得1分；未按时提交、拒不提交年度工作计划，得0分。</w:t>
            </w:r>
            <w:r>
              <w:rPr>
                <w:rFonts w:hint="eastAsia" w:ascii="宋体" w:hAnsi="宋体" w:eastAsia="宋体" w:cs="宋体"/>
                <w:color w:val="000000"/>
                <w:sz w:val="21"/>
                <w:szCs w:val="21"/>
                <w:lang w:bidi="ar"/>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639"/>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2.设备运行状况检查记录</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39"/>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要求每月完成1次设备运行状况现场检查，规范填写检查记录表，并经使用单位现场签字确认：</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全月记录表齐全、填写规范、确认手续完整，得10分；</w:t>
            </w:r>
            <w:r>
              <w:rPr>
                <w:rFonts w:hint="eastAsia" w:ascii="宋体" w:hAnsi="宋体" w:eastAsia="宋体" w:cs="宋体"/>
                <w:color w:val="000000"/>
                <w:sz w:val="21"/>
                <w:szCs w:val="21"/>
                <w:lang w:bidi="ar"/>
              </w:rPr>
            </w:r>
            <w:r/>
          </w:p>
          <w:p>
            <w:pPr>
              <w:pStyle w:val="639"/>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每缺失1张月度检查记录表，扣2分；本项分数扣完为止。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639"/>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3.故障报修修复确认记录</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39"/>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针对用户主动上报故障，完成维修后留存修复确认记录，以使用单位反馈评价为准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所有报修故障均及时修复、用户评价满意，得10分；</w:t>
            </w:r>
            <w:r>
              <w:rPr>
                <w:rFonts w:hint="eastAsia" w:ascii="宋体" w:hAnsi="宋体" w:eastAsia="宋体" w:cs="宋体"/>
                <w:color w:val="000000"/>
                <w:sz w:val="21"/>
                <w:szCs w:val="21"/>
                <w:lang w:bidi="ar"/>
              </w:rPr>
            </w:r>
            <w:r/>
          </w:p>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出现1起及以上用户反馈维修服务、修复效果不满意情况，每起扣2分；本项分数扣完为止。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二、质量管理（共计55分）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1.硬件设备完好率</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39"/>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15分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考核周期内，公安监控硬件设备综合完好率标准为≥95%：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设备完好率达标（95%及以上），得15分；</w:t>
            </w:r>
            <w:r>
              <w:rPr>
                <w:rFonts w:hint="eastAsia" w:ascii="宋体" w:hAnsi="宋体" w:eastAsia="宋体" w:cs="宋体"/>
                <w:color w:val="000000"/>
                <w:sz w:val="21"/>
                <w:szCs w:val="21"/>
                <w:lang w:bidi="ar"/>
              </w:rPr>
            </w:r>
            <w:r/>
          </w:p>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完好率每低于标准1个百分点，扣2分；本项分数扣完为止。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639"/>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2.故障限时修复</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39"/>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严格按照合同约定时限处置、修复各类设备及系统故障（不可抗力、甲方/上级指令等特殊原因除外）</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所有故障均在合同规定时限内完成修复，得10分；</w:t>
            </w:r>
            <w:r>
              <w:rPr>
                <w:rFonts w:hint="eastAsia" w:ascii="宋体" w:hAnsi="宋体" w:eastAsia="宋体" w:cs="宋体"/>
                <w:color w:val="000000"/>
                <w:sz w:val="21"/>
                <w:szCs w:val="21"/>
                <w:lang w:bidi="ar"/>
              </w:rPr>
            </w:r>
            <w:r/>
          </w:p>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无正当理由，每出现1起故障超时修复，扣2分；本项分数扣完为止。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639"/>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3.监控图像及字符标准合规</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39"/>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监控画面质量、画面字符叠加内容、格式严格遵照市局统一标准执行：</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全程合规，未收到上级部门通报，得10分；</w:t>
            </w:r>
            <w:r>
              <w:rPr>
                <w:rFonts w:hint="eastAsia" w:ascii="宋体" w:hAnsi="宋体" w:eastAsia="宋体" w:cs="宋体"/>
                <w:color w:val="000000"/>
                <w:sz w:val="21"/>
                <w:szCs w:val="21"/>
                <w:lang w:bidi="ar"/>
              </w:rPr>
            </w:r>
            <w:r/>
          </w:p>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每被上级部门通报1次图像、字符不合规问题，扣2分；本项分数扣完为止。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639"/>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4.软件系统运行保障</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39"/>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保障各类运维范围内软件系统稳定运行（因上级平台、网络、线路等外部原因引发故障除外）</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考核期内无软件系统重大故障，得10分；</w:t>
            </w:r>
            <w:r>
              <w:rPr>
                <w:rFonts w:hint="eastAsia" w:ascii="宋体" w:hAnsi="宋体" w:eastAsia="宋体" w:cs="宋体"/>
                <w:color w:val="000000"/>
                <w:sz w:val="21"/>
                <w:szCs w:val="21"/>
                <w:lang w:bidi="ar"/>
              </w:rPr>
            </w:r>
            <w:r/>
          </w:p>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每发生1起软件系统重大故障，扣2分；本项分数扣完为止。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639"/>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5.网络用规范管理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39"/>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严格遵守公安网管理规定，严禁出现网络混接、一机两用等违规行为：</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无网络违规行为、未被上级部门通报，得10分；</w:t>
            </w:r>
            <w:r>
              <w:rPr>
                <w:rFonts w:hint="eastAsia" w:ascii="宋体" w:hAnsi="宋体" w:eastAsia="宋体" w:cs="宋体"/>
                <w:color w:val="000000"/>
                <w:sz w:val="21"/>
                <w:szCs w:val="21"/>
                <w:lang w:bidi="ar"/>
              </w:rPr>
            </w:r>
            <w:r/>
          </w:p>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每发生1起网络混接、一机两用行为，或因此被上级部门通报，单次扣10分；本项分数扣完为止。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三、人员管理（共计20分）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1.人员仪容仪表与服务态度</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39"/>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现场维保作业人员统一着装、仪容整洁，服务沟通态度文明友善：</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全员规范着装、服务态度良好，无违规情况，得10分；</w:t>
            </w:r>
            <w:r>
              <w:rPr>
                <w:rFonts w:hint="eastAsia" w:ascii="宋体" w:hAnsi="宋体" w:eastAsia="宋体" w:cs="宋体"/>
                <w:color w:val="000000"/>
                <w:sz w:val="21"/>
                <w:szCs w:val="21"/>
                <w:lang w:bidi="ar"/>
              </w:rPr>
            </w:r>
            <w:r/>
          </w:p>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每出现1人次着装不规范、言行态度恶劣、服务生硬等违规情况，扣2分；本项分数扣完为止。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639"/>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2.保密纪律管理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3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维保人员严格遵守公安保密规定，严禁泄露工作中接触、听闻、目睹的案件信息、涉密事件及其他无关涉密内容：</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考核期内无泄密、违规传播情况，得10分；</w:t>
            </w:r>
            <w:r>
              <w:rPr>
                <w:rFonts w:hint="eastAsia" w:ascii="宋体" w:hAnsi="宋体" w:eastAsia="宋体" w:cs="宋体"/>
                <w:color w:val="000000"/>
                <w:sz w:val="21"/>
                <w:szCs w:val="21"/>
                <w:lang w:bidi="ar"/>
              </w:rPr>
            </w:r>
            <w:r/>
          </w:p>
          <w:p>
            <w:pPr>
              <w:pStyle w:val="639"/>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无意或故意向外透露涉密信息、案件、内部事件，每发现1起，扣2分；</w:t>
            </w:r>
            <w:r>
              <w:rPr>
                <w:rFonts w:hint="eastAsia" w:ascii="宋体" w:hAnsi="宋体" w:eastAsia="宋体" w:cs="宋体"/>
                <w:color w:val="000000"/>
                <w:sz w:val="21"/>
                <w:szCs w:val="21"/>
                <w:lang w:bidi="ar"/>
              </w:rPr>
            </w:r>
            <w:r/>
          </w:p>
          <w:p>
            <w:pPr>
              <w:pStyle w:val="639"/>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因信息泄露造成不良社会影响、单位负面影响的，本项直接扣10分；</w:t>
            </w:r>
            <w:r>
              <w:rPr>
                <w:rFonts w:hint="eastAsia" w:ascii="宋体" w:hAnsi="宋体" w:eastAsia="宋体" w:cs="宋体"/>
                <w:color w:val="000000"/>
                <w:sz w:val="21"/>
                <w:szCs w:val="21"/>
                <w:lang w:bidi="ar"/>
              </w:rPr>
            </w:r>
            <w:r/>
          </w:p>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若泄密行为造成严重违法后果，除考核扣分外，依法追究当事人相关法律责任。</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四、加分项（最高10分）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1.平台零故障运行</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3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维保期间，系统相关平台、软件系统运行稳定零故障</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整个维保考核周期内，所辖业务平台、配套软件系统全程稳定运行、零故障，一次性加5分；出现故障则本项不予加分。</w:t>
            </w:r>
            <w:r>
              <w:rPr>
                <w:rFonts w:hint="eastAsia" w:ascii="宋体" w:hAnsi="宋体" w:eastAsia="宋体" w:cs="宋体"/>
                <w:color w:val="000000"/>
                <w:sz w:val="21"/>
                <w:szCs w:val="21"/>
                <w:lang w:bidi="ar"/>
              </w:rPr>
            </w:r>
            <w:r/>
          </w:p>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所有加分项均需附书面说明，写明加分事由、任务详情、完成情况，无说明不予计分。</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639"/>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639"/>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2.配合维稳处突工作</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3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维保单位及人员主动配合甲方开展维稳、应急处突等专项工作，按时保质完成任务，按任务等级计分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639"/>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配合甲方完成维稳处突任务，按任务重要性单次加1-5分；</w:t>
            </w:r>
            <w:r>
              <w:rPr>
                <w:rFonts w:hint="eastAsia" w:ascii="宋体" w:hAnsi="宋体" w:eastAsia="宋体" w:cs="宋体"/>
                <w:color w:val="000000"/>
                <w:sz w:val="21"/>
                <w:szCs w:val="21"/>
                <w:lang w:bidi="ar"/>
              </w:rPr>
            </w:r>
            <w:r/>
          </w:p>
          <w:p>
            <w:pPr>
              <w:pStyle w:val="639"/>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常规一般处突任务，圆满完成加1-2分；</w:t>
            </w:r>
            <w:r>
              <w:rPr>
                <w:rFonts w:hint="eastAsia" w:ascii="宋体" w:hAnsi="宋体" w:eastAsia="宋体" w:cs="宋体"/>
                <w:color w:val="000000"/>
                <w:sz w:val="21"/>
                <w:szCs w:val="21"/>
                <w:lang w:bidi="ar"/>
              </w:rPr>
            </w:r>
            <w:r/>
          </w:p>
          <w:p>
            <w:pPr>
              <w:pStyle w:val="639"/>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重点、紧急维稳处突任务，高效圆满完成加3-5分；</w:t>
            </w:r>
            <w:r>
              <w:rPr>
                <w:rFonts w:hint="eastAsia" w:ascii="宋体" w:hAnsi="宋体" w:eastAsia="宋体" w:cs="宋体"/>
                <w:color w:val="000000"/>
                <w:sz w:val="21"/>
                <w:szCs w:val="21"/>
                <w:lang w:bidi="ar"/>
              </w:rPr>
            </w:r>
            <w:r/>
          </w:p>
          <w:p>
            <w:pPr>
              <w:pStyle w:val="639"/>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本项累计加分上限5分，加分需书面注明事由。</w:t>
            </w:r>
            <w:r>
              <w:rPr>
                <w:rFonts w:hint="eastAsia" w:ascii="宋体" w:hAnsi="宋体" w:eastAsia="宋体" w:cs="宋体"/>
                <w:color w:val="000000"/>
                <w:sz w:val="21"/>
                <w:szCs w:val="21"/>
                <w:lang w:bidi="ar"/>
              </w:rPr>
            </w:r>
            <w:r/>
          </w:p>
          <w:p>
            <w:pPr>
              <w:pStyle w:val="639"/>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所有加分项均需附书面说明，写明加分事由、任务详情、完成情况，无说明不予计分。</w:t>
            </w:r>
            <w:r>
              <w:rPr>
                <w:rFonts w:hint="eastAsia" w:ascii="宋体" w:hAnsi="宋体" w:eastAsia="宋体" w:cs="宋体"/>
                <w:color w:val="000000"/>
                <w:sz w:val="21"/>
                <w:szCs w:val="21"/>
              </w:rPr>
            </w:r>
            <w:r/>
          </w:p>
        </w:tc>
      </w:tr>
    </w:tbl>
    <w:p>
      <w:pPr>
        <w:pStyle w:val="639"/>
        <w:ind w:left="0" w:firstLine="420"/>
        <w:spacing w:line="360" w:lineRule="auto"/>
        <w:rPr>
          <w:rFonts w:hint="eastAsia" w:ascii="宋体" w:hAnsi="宋体" w:cs="宋体"/>
          <w:color w:val="000000"/>
          <w:szCs w:val="21"/>
        </w:rPr>
      </w:pPr>
      <w:r>
        <w:rPr>
          <w:rFonts w:hint="eastAsia" w:ascii="宋体" w:hAnsi="宋体" w:cs="宋体"/>
          <w:color w:val="000000"/>
          <w:sz w:val="21"/>
          <w:szCs w:val="21"/>
        </w:rPr>
        <w:t xml:space="preserve">1）当考核结果≥9</w:t>
      </w:r>
      <w:r>
        <w:rPr>
          <w:rFonts w:hint="eastAsia" w:ascii="宋体" w:hAnsi="宋体" w:cs="宋体"/>
          <w:color w:val="000000"/>
          <w:szCs w:val="21"/>
        </w:rPr>
        <w:t xml:space="preserve">0</w:t>
      </w:r>
      <w:r>
        <w:rPr>
          <w:rFonts w:hint="eastAsia" w:ascii="宋体" w:hAnsi="宋体" w:cs="宋体"/>
          <w:color w:val="000000"/>
          <w:sz w:val="21"/>
          <w:szCs w:val="21"/>
        </w:rPr>
        <w:t xml:space="preserve">分时，甲方可按合同全额付款。</w:t>
      </w:r>
      <w:r>
        <w:rPr>
          <w:rFonts w:hint="eastAsia" w:ascii="宋体" w:hAnsi="宋体" w:cs="宋体"/>
          <w:color w:val="000000"/>
          <w:szCs w:val="21"/>
        </w:rPr>
      </w:r>
      <w:r/>
    </w:p>
    <w:p>
      <w:pPr>
        <w:pStyle w:val="639"/>
        <w:ind w:left="0" w:firstLine="420"/>
        <w:spacing w:line="360" w:lineRule="auto"/>
        <w:rPr>
          <w:rFonts w:hint="eastAsia" w:ascii="宋体" w:hAnsi="宋体" w:cs="宋体"/>
          <w:color w:val="000000"/>
          <w:szCs w:val="21"/>
        </w:rPr>
      </w:pPr>
      <w:r>
        <w:rPr>
          <w:rFonts w:hint="eastAsia" w:ascii="宋体" w:hAnsi="宋体" w:cs="宋体"/>
          <w:color w:val="000000"/>
          <w:sz w:val="21"/>
          <w:szCs w:val="21"/>
        </w:rPr>
        <w:t xml:space="preserve">2）当考评结果＜9</w:t>
      </w:r>
      <w:r>
        <w:rPr>
          <w:rFonts w:hint="eastAsia" w:ascii="宋体" w:hAnsi="宋体" w:cs="宋体"/>
          <w:color w:val="000000"/>
          <w:szCs w:val="21"/>
        </w:rPr>
        <w:t xml:space="preserve">0</w:t>
      </w:r>
      <w:r>
        <w:rPr>
          <w:rFonts w:hint="eastAsia" w:ascii="宋体" w:hAnsi="宋体" w:cs="宋体"/>
          <w:color w:val="000000"/>
          <w:sz w:val="21"/>
          <w:szCs w:val="21"/>
        </w:rPr>
        <w:t xml:space="preserve">分，甲方按照考核分比例付款。（例：考核结果为85分，即应付款*0.85）</w:t>
      </w:r>
      <w:r>
        <w:rPr>
          <w:rFonts w:hint="eastAsia" w:ascii="宋体" w:hAnsi="宋体" w:cs="宋体"/>
          <w:color w:val="000000"/>
          <w:szCs w:val="21"/>
        </w:rPr>
      </w:r>
      <w:r/>
    </w:p>
    <w:p>
      <w:pPr>
        <w:pStyle w:val="639"/>
        <w:ind w:left="0" w:firstLine="420"/>
        <w:spacing w:line="360" w:lineRule="auto"/>
        <w:rPr>
          <w:rFonts w:hint="eastAsia" w:ascii="宋体" w:hAnsi="宋体" w:cs="宋体"/>
          <w:color w:val="000000"/>
          <w:szCs w:val="21"/>
        </w:rPr>
      </w:pPr>
      <w:r>
        <w:rPr>
          <w:rFonts w:hint="eastAsia" w:ascii="宋体" w:hAnsi="宋体" w:cs="宋体"/>
          <w:color w:val="000000"/>
          <w:sz w:val="21"/>
          <w:szCs w:val="21"/>
        </w:rPr>
        <w:t xml:space="preserve">3）当考评结果＜60分，甲方有权拒绝支付所有款项。</w:t>
      </w:r>
      <w:r>
        <w:rPr>
          <w:rFonts w:hint="eastAsia" w:ascii="宋体" w:hAnsi="宋体" w:cs="宋体"/>
          <w:color w:val="000000"/>
          <w:szCs w:val="21"/>
        </w:rPr>
      </w:r>
      <w:r/>
    </w:p>
    <w:p>
      <w:pPr>
        <w:pStyle w:val="639"/>
        <w:jc w:val="left"/>
        <w:spacing w:line="360" w:lineRule="auto"/>
        <w:tabs>
          <w:tab w:val="left" w:pos="720" w:leader="none"/>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、综合说明及其它要求：</w:t>
      </w:r>
      <w:r>
        <w:rPr>
          <w:rFonts w:hint="eastAsia" w:ascii="宋体" w:hAnsi="宋体" w:eastAsia="宋体" w:cs="宋体"/>
          <w:b/>
          <w:bCs/>
          <w:color w:val="000000"/>
          <w:sz w:val="24"/>
          <w:szCs w:val="24"/>
          <w:highlight w:val="none"/>
        </w:rPr>
      </w:r>
      <w:r/>
    </w:p>
    <w:p>
      <w:pPr>
        <w:pStyle w:val="639"/>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必须承诺采购文件中提出的全部技术规格与要求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如果其中某些条款不响应时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应在文件中逐条列出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未列出的视同响应。</w:t>
      </w:r>
      <w:r>
        <w:rPr>
          <w:rFonts w:hint="eastAsia" w:ascii="宋体" w:hAnsi="宋体" w:eastAsia="宋体" w:cs="宋体"/>
          <w:color w:val="000000"/>
          <w:sz w:val="24"/>
          <w:szCs w:val="24"/>
          <w:highlight w:val="none"/>
        </w:rPr>
      </w:r>
      <w:r/>
    </w:p>
    <w:p>
      <w:pPr>
        <w:pStyle w:val="639"/>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须保障采购方在使用</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或其任何一部分时不受到第三方关于侵犯专利权、商标权或工业设计权的指控。如果任何第三方提出侵权指控</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须与第三方交涉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并承担由此而产生的索赔、损失、损害、支出等一切费用（含律师费）。如采购方因此而遭致损失的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成交方应赔偿该损失。</w:t>
      </w:r>
      <w:r>
        <w:rPr>
          <w:rFonts w:hint="eastAsia" w:ascii="宋体" w:hAnsi="宋体" w:eastAsia="宋体" w:cs="宋体"/>
          <w:color w:val="000000"/>
          <w:sz w:val="24"/>
          <w:szCs w:val="24"/>
          <w:highlight w:val="none"/>
        </w:rPr>
      </w:r>
      <w:r/>
    </w:p>
    <w:p>
      <w:pPr>
        <w:pStyle w:val="639"/>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.成交后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采购单位有权不定期对</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质量进行查看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如果发现成交单位存在违反本次采购要求的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采购单位有权终止合同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相关损失由成交单位承担。</w:t>
      </w:r>
      <w:r>
        <w:rPr>
          <w:rFonts w:hint="eastAsia" w:ascii="宋体" w:hAnsi="宋体" w:eastAsia="宋体" w:cs="宋体"/>
          <w:color w:val="000000"/>
          <w:sz w:val="24"/>
          <w:szCs w:val="24"/>
          <w:highlight w:val="none"/>
        </w:rPr>
      </w:r>
      <w:r/>
    </w:p>
    <w:p>
      <w:pPr>
        <w:pStyle w:val="639"/>
        <w:ind w:left="0" w:firstLine="42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.报价应</w:t>
      </w:r>
      <w:r>
        <w:rPr>
          <w:rFonts w:hint="eastAsia" w:ascii="宋体" w:hAnsi="宋体" w:eastAsia="宋体" w:cs="宋体"/>
          <w:b w:val="0"/>
          <w:bCs w:val="0"/>
          <w:color w:val="000000"/>
          <w:sz w:val="24"/>
          <w:szCs w:val="24"/>
          <w:highlight w:val="none"/>
          <w:lang w:val="en-US" w:eastAsia="zh-CN"/>
        </w:rPr>
        <w:t xml:space="preserve">包括</w:t>
      </w:r>
      <w:r>
        <w:rPr>
          <w:rFonts w:hint="eastAsia" w:ascii="宋体" w:hAnsi="宋体" w:eastAsia="宋体" w:cs="宋体"/>
          <w:b w:val="0"/>
          <w:bCs w:val="0"/>
          <w:color w:val="000000"/>
          <w:sz w:val="24"/>
          <w:szCs w:val="24"/>
          <w:highlight w:val="none"/>
          <w:lang w:eastAsia="zh-CN"/>
        </w:rPr>
        <w:t xml:space="preserve">完成本项目服务内容所需的</w:t>
      </w:r>
      <w:r>
        <w:rPr>
          <w:rFonts w:hint="eastAsia" w:ascii="宋体" w:hAnsi="宋体" w:eastAsia="宋体" w:cs="宋体"/>
          <w:b w:val="0"/>
          <w:bCs w:val="0"/>
          <w:color w:val="000000"/>
          <w:sz w:val="24"/>
          <w:szCs w:val="24"/>
        </w:rPr>
        <w:t xml:space="preserve">材料费（包括清单内所有设备材料以及与之运行所相关的一切配套设施）、调试费、包装费、运费、人工费、安装费、工具劳保费、通讯费、各种税费等一切费用，服务期限内甲方不再为本项目支出合同之外的任何费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highlight w:val="none"/>
          <w:lang w:eastAsia="zh-CN"/>
        </w:rPr>
        <w:t xml:space="preserve">遇到法律法规规定的最低工资调整，其中人工费用相应浮动，及合同实施过程中的不可预见的各项费用，由供应商自行承担。</w:t>
      </w:r>
      <w:r>
        <w:rPr>
          <w:rFonts w:hint="eastAsia" w:ascii="宋体" w:hAnsi="宋体" w:eastAsia="宋体" w:cs="宋体"/>
          <w:b w:val="0"/>
          <w:bCs w:val="0"/>
          <w:color w:val="000000"/>
          <w:sz w:val="24"/>
          <w:szCs w:val="24"/>
          <w:highlight w:val="none"/>
          <w:lang w:eastAsia="zh-CN"/>
        </w:rPr>
      </w:r>
      <w:r/>
    </w:p>
    <w:p>
      <w:pPr>
        <w:pStyle w:val="639"/>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出现下列情形之一的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应当终止</w:t>
      </w:r>
      <w:r>
        <w:rPr>
          <w:rFonts w:hint="eastAsia" w:ascii="宋体" w:hAnsi="宋体" w:eastAsia="宋体" w:cs="宋体"/>
          <w:color w:val="000000"/>
          <w:sz w:val="24"/>
          <w:szCs w:val="24"/>
          <w:highlight w:val="none"/>
          <w:lang w:eastAsia="zh-CN"/>
        </w:rPr>
        <w:t xml:space="preserve">竞争性磋商</w:t>
      </w:r>
      <w:r>
        <w:rPr>
          <w:rFonts w:hint="eastAsia" w:ascii="宋体" w:hAnsi="宋体" w:eastAsia="宋体" w:cs="宋体"/>
          <w:color w:val="000000"/>
          <w:sz w:val="24"/>
          <w:szCs w:val="24"/>
          <w:highlight w:val="none"/>
        </w:rPr>
        <w:t xml:space="preserve">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重新开展采购活动：</w:t>
      </w:r>
      <w:r>
        <w:rPr>
          <w:rFonts w:hint="eastAsia" w:ascii="宋体" w:hAnsi="宋体" w:eastAsia="宋体" w:cs="宋体"/>
          <w:color w:val="000000"/>
          <w:sz w:val="24"/>
          <w:szCs w:val="24"/>
          <w:highlight w:val="none"/>
        </w:rPr>
      </w:r>
      <w:r/>
    </w:p>
    <w:p>
      <w:pPr>
        <w:pStyle w:val="639"/>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不再符合规定的</w:t>
      </w:r>
      <w:r>
        <w:rPr>
          <w:rFonts w:hint="eastAsia" w:ascii="宋体" w:hAnsi="宋体" w:eastAsia="宋体" w:cs="宋体"/>
          <w:color w:val="000000"/>
          <w:sz w:val="24"/>
          <w:szCs w:val="24"/>
          <w:highlight w:val="none"/>
          <w:lang w:eastAsia="zh-CN"/>
        </w:rPr>
        <w:t xml:space="preserve">竞争性磋商</w:t>
      </w:r>
      <w:r>
        <w:rPr>
          <w:rFonts w:hint="eastAsia" w:ascii="宋体" w:hAnsi="宋体" w:eastAsia="宋体" w:cs="宋体"/>
          <w:color w:val="000000"/>
          <w:sz w:val="24"/>
          <w:szCs w:val="24"/>
          <w:highlight w:val="none"/>
        </w:rPr>
        <w:t xml:space="preserve">采购单位式适用情形的；</w:t>
      </w:r>
      <w:r>
        <w:rPr>
          <w:rFonts w:hint="eastAsia" w:ascii="宋体" w:hAnsi="宋体" w:eastAsia="宋体" w:cs="宋体"/>
          <w:color w:val="000000"/>
          <w:sz w:val="24"/>
          <w:szCs w:val="24"/>
          <w:highlight w:val="none"/>
        </w:rPr>
      </w:r>
      <w:r/>
    </w:p>
    <w:p>
      <w:pPr>
        <w:pStyle w:val="639"/>
        <w:ind w:left="0" w:firstLine="4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639"/>
        <w:ind w:left="0" w:firstLine="4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（3）在采购过程中符合竞争要求的</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或者报价未超过采购预算的供应商不足3家的。</w:t>
      </w:r>
      <w:r>
        <w:rPr>
          <w:rFonts w:hint="eastAsia" w:ascii="宋体" w:hAnsi="宋体" w:eastAsia="宋体" w:cs="宋体"/>
          <w:color w:val="000000"/>
          <w:sz w:val="24"/>
          <w:szCs w:val="24"/>
          <w:highlight w:val="none"/>
        </w:rPr>
      </w:r>
      <w:r/>
    </w:p>
    <w:p>
      <w:pPr>
        <w:pStyle w:val="639"/>
        <w:ind w:left="0" w:firstLine="420"/>
        <w:spacing w:line="360" w:lineRule="auto"/>
        <w:widowControl/>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TW"/>
        </w:rPr>
        <w:t xml:space="preserve">成交</w:t>
      </w:r>
      <w:r>
        <w:rPr>
          <w:rFonts w:hint="eastAsia" w:ascii="宋体" w:hAnsi="宋体" w:eastAsia="宋体" w:cs="宋体"/>
          <w:color w:val="000000"/>
          <w:sz w:val="24"/>
          <w:szCs w:val="24"/>
          <w:highlight w:val="none"/>
          <w:lang w:val="zh-TW" w:eastAsia="zh-TW"/>
        </w:rPr>
        <w:t xml:space="preserve">服务费</w:t>
      </w:r>
      <w:r>
        <w:rPr>
          <w:rFonts w:hint="eastAsia" w:ascii="宋体" w:hAnsi="宋体" w:eastAsia="宋体" w:cs="宋体"/>
          <w:color w:val="000000"/>
          <w:sz w:val="24"/>
          <w:szCs w:val="24"/>
          <w:highlight w:val="none"/>
          <w:lang w:val="zh-TW" w:eastAsia="zh-TW"/>
        </w:rPr>
      </w:r>
      <w:r/>
    </w:p>
    <w:p>
      <w:pPr>
        <w:pStyle w:val="639"/>
        <w:ind w:left="0" w:firstLine="420"/>
        <w:spacing w:line="360" w:lineRule="auto"/>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 xml:space="preserve">本项目代理服务费，由</w:t>
      </w:r>
      <w:r>
        <w:rPr>
          <w:rFonts w:hint="eastAsia" w:ascii="宋体" w:hAnsi="宋体" w:eastAsia="宋体" w:cs="宋体"/>
          <w:color w:val="000000"/>
          <w:sz w:val="24"/>
          <w:szCs w:val="24"/>
          <w:highlight w:val="none"/>
        </w:rPr>
        <w:t xml:space="preserve">采购人支付</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r>
      <w:r/>
    </w:p>
    <w:p>
      <w:pPr>
        <w:pStyle w:val="639"/>
        <w:ind w:left="0" w:firstLine="420"/>
        <w:spacing w:line="360" w:lineRule="auto"/>
        <w:widowControl/>
        <w:rPr>
          <w:rFonts w:hint="eastAsia" w:ascii="宋体" w:hAnsi="宋体" w:eastAsia="宋体" w:cs="宋体"/>
          <w:color w:val="000000"/>
          <w:sz w:val="24"/>
          <w:szCs w:val="24"/>
          <w:highlight w:val="none"/>
          <w:lang w:val="zh-TW"/>
        </w:rPr>
      </w:pPr>
      <w:r>
        <w:rPr>
          <w:rFonts w:hint="eastAsia" w:ascii="宋体" w:hAnsi="宋体" w:eastAsia="宋体" w:cs="宋体"/>
          <w:color w:val="000000"/>
          <w:sz w:val="24"/>
          <w:szCs w:val="24"/>
          <w:highlight w:val="none"/>
          <w:lang w:val="zh-TW" w:eastAsia="zh-TW"/>
        </w:rPr>
        <w:t xml:space="preserve">服务费率：预算金额100万元以下部分</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费率为该部分预算金额的1.5%</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预算金额100万元（含）－500万元部分</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费率为该部分预算金额的1.1%</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rPr>
        <w:t xml:space="preserve">本项目服务费</w:t>
      </w:r>
      <w:r>
        <w:rPr>
          <w:rFonts w:hint="eastAsia" w:ascii="宋体" w:hAnsi="宋体" w:eastAsia="宋体" w:cs="宋体"/>
          <w:color w:val="000000"/>
          <w:sz w:val="24"/>
          <w:szCs w:val="24"/>
          <w:highlight w:val="none"/>
          <w:lang w:val="en-US" w:eastAsia="zh-CN"/>
        </w:rPr>
        <w:t xml:space="preserve">37070</w:t>
      </w:r>
      <w:r>
        <w:rPr>
          <w:rFonts w:hint="eastAsia" w:ascii="宋体" w:hAnsi="宋体" w:eastAsia="宋体" w:cs="宋体"/>
          <w:color w:val="000000"/>
          <w:sz w:val="24"/>
          <w:szCs w:val="24"/>
          <w:highlight w:val="none"/>
          <w:lang w:val="zh-TW"/>
        </w:rPr>
        <w:t xml:space="preserve">元。</w:t>
      </w:r>
      <w:r>
        <w:rPr>
          <w:rFonts w:hint="eastAsia" w:ascii="宋体" w:hAnsi="宋体" w:eastAsia="宋体" w:cs="宋体"/>
          <w:color w:val="000000"/>
          <w:sz w:val="24"/>
          <w:szCs w:val="24"/>
          <w:highlight w:val="none"/>
          <w:lang w:val="zh-TW"/>
        </w:rPr>
      </w:r>
      <w:r/>
    </w:p>
    <w:p>
      <w:pPr>
        <w:pStyle w:val="639"/>
        <w:ind w:left="0" w:firstLine="420"/>
        <w:spacing w:line="360" w:lineRule="auto"/>
        <w:widowControl/>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 xml:space="preserve">服务费账号</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30530188000070877</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账户名：</w:t>
      </w:r>
      <w:r>
        <w:rPr>
          <w:rFonts w:hint="eastAsia" w:ascii="宋体" w:hAnsi="宋体" w:eastAsia="宋体" w:cs="宋体"/>
          <w:color w:val="000000"/>
          <w:sz w:val="24"/>
          <w:szCs w:val="24"/>
          <w:highlight w:val="none"/>
          <w:lang w:val="zh-TW"/>
        </w:rPr>
        <w:t xml:space="preserve">苏州华厦招投标代理有限公司</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开户行：江苏银行苏州科技城支行  </w:t>
      </w:r>
      <w:r>
        <w:rPr>
          <w:rFonts w:hint="eastAsia" w:ascii="宋体" w:hAnsi="宋体" w:eastAsia="宋体" w:cs="宋体"/>
          <w:color w:val="000000"/>
          <w:sz w:val="24"/>
          <w:szCs w:val="24"/>
          <w:highlight w:val="none"/>
          <w:lang w:val="zh-TW" w:eastAsia="zh-TW"/>
        </w:rPr>
      </w:r>
      <w:r/>
    </w:p>
    <w:p>
      <w:pPr>
        <w:pStyle w:val="639"/>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.本次磋商采取</w:t>
      </w:r>
      <w:r>
        <w:rPr>
          <w:rFonts w:hint="eastAsia" w:ascii="宋体" w:hAnsi="宋体" w:eastAsia="宋体" w:cs="宋体"/>
          <w:b/>
          <w:bCs/>
          <w:color w:val="000000"/>
          <w:sz w:val="24"/>
          <w:szCs w:val="24"/>
          <w:highlight w:val="none"/>
        </w:rPr>
        <w:t xml:space="preserve">二次报价</w:t>
      </w:r>
      <w:r>
        <w:rPr>
          <w:rFonts w:hint="eastAsia" w:ascii="宋体" w:hAnsi="宋体" w:eastAsia="宋体" w:cs="宋体"/>
          <w:color w:val="000000"/>
          <w:sz w:val="24"/>
          <w:szCs w:val="24"/>
          <w:highlight w:val="none"/>
        </w:rPr>
        <w:t xml:space="preserve">的方式，即提交磋商文件中的报价为首次报价，磋商过程中再作一次最终报价。</w:t>
      </w:r>
      <w:r>
        <w:rPr>
          <w:rFonts w:hint="eastAsia" w:ascii="宋体" w:hAnsi="宋体" w:eastAsia="宋体" w:cs="宋体"/>
          <w:color w:val="000000"/>
          <w:sz w:val="24"/>
          <w:szCs w:val="24"/>
          <w:highlight w:val="none"/>
        </w:rPr>
      </w:r>
      <w:r/>
    </w:p>
    <w:p>
      <w:pPr>
        <w:pStyle w:val="639"/>
        <w:ind w:left="0" w:firstLine="4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TW"/>
        </w:rPr>
        <w:t xml:space="preserve">凡</w:t>
      </w:r>
      <w:r>
        <w:rPr>
          <w:rFonts w:hint="eastAsia" w:ascii="宋体" w:hAnsi="宋体" w:eastAsia="宋体" w:cs="宋体"/>
          <w:color w:val="000000"/>
          <w:sz w:val="24"/>
          <w:szCs w:val="24"/>
          <w:highlight w:val="none"/>
        </w:rPr>
        <w:t xml:space="preserve">涉及</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文件的补充说明和修改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均以苏州市政府采购网上的通知为准。</w:t>
      </w:r>
      <w:r>
        <w:rPr>
          <w:rFonts w:hint="eastAsia" w:ascii="宋体" w:hAnsi="宋体" w:eastAsia="宋体" w:cs="宋体"/>
          <w:color w:val="000000"/>
          <w:sz w:val="24"/>
          <w:szCs w:val="24"/>
          <w:highlight w:val="none"/>
        </w:rPr>
      </w:r>
      <w:r/>
    </w:p>
    <w:p>
      <w:pPr>
        <w:pStyle w:val="639"/>
        <w:spacing w:line="360" w:lineRule="auto"/>
        <w:tabs>
          <w:tab w:val="left" w:pos="0" w:leader="none"/>
        </w:tabs>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zh-CN"/>
        </w:rPr>
        <w:t xml:space="preserve">、磋商响应文件的组成</w:t>
      </w:r>
      <w:r>
        <w:rPr>
          <w:rFonts w:hint="eastAsia" w:ascii="宋体" w:hAnsi="宋体" w:eastAsia="宋体" w:cs="宋体"/>
          <w:b/>
          <w:bCs/>
          <w:color w:val="000000"/>
          <w:sz w:val="24"/>
          <w:szCs w:val="24"/>
          <w:highlight w:val="none"/>
          <w:lang w:val="zh-CN"/>
        </w:rPr>
      </w:r>
      <w:r/>
    </w:p>
    <w:p>
      <w:pPr>
        <w:pStyle w:val="649"/>
        <w:ind w:left="0" w:firstLine="422"/>
        <w:spacing w:line="360" w:lineRule="auto"/>
        <w:rPr>
          <w:rFonts w:hint="eastAsia" w:ascii="宋体" w:hAnsi="宋体" w:eastAsia="宋体" w:cs="宋体"/>
          <w:b/>
          <w:color w:val="000000"/>
          <w:sz w:val="24"/>
          <w:szCs w:val="24"/>
          <w:highlight w:val="none"/>
        </w:rPr>
      </w:pPr>
      <w:r/>
      <w:bookmarkEnd w:id="0"/>
      <w:r>
        <w:rPr>
          <w:rFonts w:hint="eastAsia" w:ascii="宋体" w:hAnsi="宋体" w:eastAsia="宋体" w:cs="宋体"/>
          <w:b/>
          <w:color w:val="000000"/>
          <w:sz w:val="24"/>
          <w:szCs w:val="24"/>
          <w:highlight w:val="none"/>
        </w:rPr>
        <w:t xml:space="preserve">1、封面</w:t>
      </w:r>
      <w:r>
        <w:rPr>
          <w:rFonts w:hint="eastAsia" w:ascii="宋体" w:hAnsi="宋体" w:eastAsia="宋体" w:cs="宋体"/>
          <w:b/>
          <w:color w:val="000000"/>
          <w:sz w:val="24"/>
          <w:szCs w:val="24"/>
          <w:highlight w:val="none"/>
        </w:rPr>
      </w:r>
      <w:r/>
    </w:p>
    <w:p>
      <w:pPr>
        <w:pStyle w:val="649"/>
        <w:ind w:left="0"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2、开标一览表</w:t>
      </w:r>
      <w:r>
        <w:rPr>
          <w:rFonts w:hint="eastAsia" w:ascii="宋体" w:hAnsi="宋体" w:eastAsia="宋体" w:cs="宋体"/>
          <w:b/>
          <w:color w:val="000000"/>
          <w:sz w:val="24"/>
          <w:szCs w:val="24"/>
          <w:highlight w:val="none"/>
        </w:rPr>
      </w:r>
      <w:r/>
    </w:p>
    <w:p>
      <w:pPr>
        <w:pStyle w:val="649"/>
        <w:ind w:left="0"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3、资格审查响应文件</w:t>
      </w:r>
      <w:r>
        <w:rPr>
          <w:rFonts w:hint="eastAsia" w:ascii="宋体" w:hAnsi="宋体" w:eastAsia="宋体" w:cs="宋体"/>
          <w:b/>
          <w:color w:val="000000"/>
          <w:sz w:val="24"/>
          <w:szCs w:val="24"/>
          <w:highlight w:val="none"/>
        </w:rPr>
      </w:r>
      <w:r/>
    </w:p>
    <w:p>
      <w:pPr>
        <w:pStyle w:val="649"/>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3.1关于资格文件的声明函；</w:t>
      </w:r>
      <w:r>
        <w:rPr>
          <w:rFonts w:hint="eastAsia" w:ascii="宋体" w:hAnsi="宋体" w:eastAsia="宋体" w:cs="宋体"/>
          <w:bCs/>
          <w:color w:val="000000"/>
          <w:sz w:val="24"/>
          <w:szCs w:val="24"/>
          <w:highlight w:val="none"/>
        </w:rPr>
      </w:r>
      <w:r/>
    </w:p>
    <w:p>
      <w:pPr>
        <w:pStyle w:val="649"/>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3.2磋商响应单位法定代表人身份证复印件；</w:t>
      </w:r>
      <w:r>
        <w:rPr>
          <w:rFonts w:hint="eastAsia" w:ascii="宋体" w:hAnsi="宋体" w:eastAsia="宋体" w:cs="宋体"/>
          <w:bCs/>
          <w:color w:val="000000"/>
          <w:sz w:val="24"/>
          <w:szCs w:val="24"/>
          <w:highlight w:val="none"/>
        </w:rPr>
      </w:r>
      <w:r/>
    </w:p>
    <w:p>
      <w:pPr>
        <w:pStyle w:val="649"/>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3.3法定代表人授权委托书（如有授权）；</w:t>
      </w:r>
      <w:r>
        <w:rPr>
          <w:rFonts w:hint="eastAsia" w:ascii="宋体" w:hAnsi="宋体" w:eastAsia="宋体" w:cs="宋体"/>
          <w:bCs/>
          <w:color w:val="000000"/>
          <w:sz w:val="24"/>
          <w:szCs w:val="24"/>
          <w:highlight w:val="none"/>
        </w:rPr>
      </w:r>
      <w:r/>
    </w:p>
    <w:p>
      <w:pPr>
        <w:pStyle w:val="649"/>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3.4磋商响应单位授权代理人身份证复印件（如有授权）；</w:t>
      </w:r>
      <w:r>
        <w:rPr>
          <w:rFonts w:hint="eastAsia" w:ascii="宋体" w:hAnsi="宋体" w:eastAsia="宋体" w:cs="宋体"/>
          <w:bCs/>
          <w:color w:val="000000"/>
          <w:sz w:val="24"/>
          <w:szCs w:val="24"/>
          <w:highlight w:val="none"/>
        </w:rPr>
      </w:r>
      <w:r/>
    </w:p>
    <w:p>
      <w:pPr>
        <w:pStyle w:val="649"/>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3.5合格供应商的基本条件</w:t>
      </w:r>
      <w:r>
        <w:rPr>
          <w:rFonts w:hint="eastAsia" w:ascii="宋体" w:hAnsi="宋体" w:eastAsia="宋体" w:cs="宋体"/>
          <w:bCs/>
          <w:color w:val="000000"/>
          <w:sz w:val="24"/>
          <w:szCs w:val="24"/>
          <w:highlight w:val="none"/>
        </w:rPr>
      </w:r>
      <w:r/>
    </w:p>
    <w:p>
      <w:pPr>
        <w:pStyle w:val="649"/>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3.5.1具有独立承担民事责任的能力证明。包括法人或者其他组织的营业执照等；</w:t>
      </w:r>
      <w:r>
        <w:rPr>
          <w:rFonts w:hint="eastAsia" w:ascii="宋体" w:hAnsi="宋体" w:eastAsia="宋体" w:cs="宋体"/>
          <w:bCs/>
          <w:color w:val="000000"/>
          <w:sz w:val="24"/>
          <w:szCs w:val="24"/>
          <w:highlight w:val="none"/>
        </w:rPr>
      </w:r>
      <w:r/>
    </w:p>
    <w:p>
      <w:pPr>
        <w:pStyle w:val="649"/>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3.5.2具有良好的商业信誉和健全的财务会计制度证明</w:t>
      </w:r>
      <w:r>
        <w:rPr>
          <w:rFonts w:hint="eastAsia" w:ascii="宋体" w:hAnsi="宋体" w:eastAsia="宋体" w:cs="宋体"/>
          <w:b/>
          <w:color w:val="000000"/>
          <w:sz w:val="24"/>
          <w:szCs w:val="24"/>
          <w:highlight w:val="none"/>
        </w:rPr>
        <w:t xml:space="preserve">（法人应提供最近一期财务报告，其他组织、自然人及成立未满一年的法人应提供银行出具的资信证明）；</w:t>
      </w:r>
      <w:r>
        <w:rPr>
          <w:rFonts w:hint="eastAsia" w:ascii="宋体" w:hAnsi="宋体" w:eastAsia="宋体" w:cs="宋体"/>
          <w:bCs/>
          <w:color w:val="000000"/>
          <w:sz w:val="24"/>
          <w:szCs w:val="24"/>
          <w:highlight w:val="none"/>
        </w:rPr>
      </w:r>
      <w:r/>
    </w:p>
    <w:p>
      <w:pPr>
        <w:pStyle w:val="649"/>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3.5.3履行合同所必需的设备和专业技术能力的证明材料或承诺；</w:t>
      </w:r>
      <w:r>
        <w:rPr>
          <w:rFonts w:hint="eastAsia" w:ascii="宋体" w:hAnsi="宋体" w:eastAsia="宋体" w:cs="宋体"/>
          <w:bCs/>
          <w:color w:val="000000"/>
          <w:sz w:val="24"/>
          <w:szCs w:val="24"/>
          <w:highlight w:val="none"/>
        </w:rPr>
      </w:r>
      <w:r/>
    </w:p>
    <w:p>
      <w:pPr>
        <w:pStyle w:val="649"/>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3.5.4有依法缴纳税收和社会保障资金的良好记录</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
          <w:bCs/>
          <w:color w:val="000000"/>
          <w:sz w:val="24"/>
          <w:szCs w:val="24"/>
          <w:highlight w:val="none"/>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649"/>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3.5.5参加政府采购活动前三年内在经营活动中没有重大违法记录的书面声明函；</w:t>
      </w:r>
      <w:r>
        <w:rPr>
          <w:rFonts w:hint="eastAsia" w:ascii="宋体" w:hAnsi="宋体" w:eastAsia="宋体" w:cs="宋体"/>
          <w:bCs/>
          <w:color w:val="000000"/>
          <w:sz w:val="24"/>
          <w:szCs w:val="24"/>
          <w:highlight w:val="none"/>
        </w:rPr>
      </w:r>
      <w:r/>
    </w:p>
    <w:p>
      <w:pPr>
        <w:pStyle w:val="649"/>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3.6其它有关资格证明的文件；</w:t>
      </w:r>
      <w:r>
        <w:rPr>
          <w:rFonts w:hint="eastAsia" w:ascii="宋体" w:hAnsi="宋体" w:eastAsia="宋体" w:cs="宋体"/>
          <w:bCs/>
          <w:color w:val="000000"/>
          <w:sz w:val="24"/>
          <w:szCs w:val="24"/>
          <w:highlight w:val="none"/>
        </w:rPr>
      </w:r>
      <w:r/>
    </w:p>
    <w:p>
      <w:pPr>
        <w:pStyle w:val="649"/>
        <w:ind w:left="0"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4、符合性审查响应文件</w:t>
      </w:r>
      <w:r>
        <w:rPr>
          <w:rFonts w:hint="eastAsia" w:ascii="宋体" w:hAnsi="宋体" w:eastAsia="宋体" w:cs="宋体"/>
          <w:b/>
          <w:color w:val="000000"/>
          <w:sz w:val="24"/>
          <w:szCs w:val="24"/>
          <w:highlight w:val="none"/>
        </w:rPr>
      </w:r>
      <w:r/>
    </w:p>
    <w:p>
      <w:pPr>
        <w:pStyle w:val="649"/>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4.1磋商响应函；</w:t>
      </w:r>
      <w:r>
        <w:rPr>
          <w:rFonts w:hint="eastAsia" w:ascii="宋体" w:hAnsi="宋体" w:eastAsia="宋体" w:cs="宋体"/>
          <w:bCs/>
          <w:color w:val="000000"/>
          <w:sz w:val="24"/>
          <w:szCs w:val="24"/>
          <w:highlight w:val="none"/>
        </w:rPr>
      </w:r>
      <w:r/>
    </w:p>
    <w:p>
      <w:pPr>
        <w:pStyle w:val="649"/>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4.2磋商报价分析表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格式如下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649"/>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4.3偏离表；</w:t>
      </w:r>
      <w:r>
        <w:rPr>
          <w:rFonts w:hint="eastAsia" w:ascii="宋体" w:hAnsi="宋体" w:eastAsia="宋体" w:cs="宋体"/>
          <w:bCs/>
          <w:color w:val="000000"/>
          <w:sz w:val="24"/>
          <w:szCs w:val="24"/>
          <w:highlight w:val="none"/>
        </w:rPr>
      </w:r>
      <w:r/>
    </w:p>
    <w:p>
      <w:pPr>
        <w:pStyle w:val="649"/>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4.4项目服务</w:t>
      </w:r>
      <w:r>
        <w:rPr>
          <w:rFonts w:hint="eastAsia" w:ascii="宋体" w:hAnsi="宋体" w:eastAsia="宋体" w:cs="宋体"/>
          <w:color w:val="000000"/>
          <w:sz w:val="24"/>
          <w:szCs w:val="24"/>
          <w:highlight w:val="none"/>
        </w:rPr>
        <w:t xml:space="preserve">人员配置表；</w:t>
      </w:r>
      <w:r>
        <w:rPr>
          <w:rFonts w:hint="eastAsia" w:ascii="宋体" w:hAnsi="宋体" w:eastAsia="宋体" w:cs="宋体"/>
          <w:color w:val="000000"/>
          <w:sz w:val="24"/>
          <w:szCs w:val="24"/>
          <w:highlight w:val="none"/>
        </w:rPr>
      </w:r>
      <w:r/>
    </w:p>
    <w:p>
      <w:pPr>
        <w:pStyle w:val="649"/>
        <w:ind w:left="0"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5、综合评审响应文件</w:t>
      </w:r>
      <w:r>
        <w:rPr>
          <w:rFonts w:hint="eastAsia" w:ascii="宋体" w:hAnsi="宋体" w:eastAsia="宋体" w:cs="宋体"/>
          <w:color w:val="000000"/>
          <w:sz w:val="24"/>
          <w:szCs w:val="24"/>
          <w:highlight w:val="none"/>
        </w:rPr>
      </w:r>
      <w:r/>
    </w:p>
    <w:p>
      <w:pPr>
        <w:pStyle w:val="649"/>
        <w:ind w:left="0"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技术方案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ind w:left="0"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售后服务效率比较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ind w:left="0"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5.3 针对本项目的</w:t>
      </w:r>
      <w:bookmarkStart w:id="8" w:name="OLE_LINK9"/>
      <w:r>
        <w:rPr>
          <w:rFonts w:hint="eastAsia" w:ascii="宋体" w:hAnsi="宋体" w:eastAsia="宋体" w:cs="宋体"/>
          <w:color w:val="000000"/>
          <w:sz w:val="24"/>
          <w:szCs w:val="24"/>
          <w:highlight w:val="none"/>
        </w:rPr>
        <w:t xml:space="preserve">运维客户端功能性演示</w:t>
      </w:r>
      <w:bookmarkEnd w:id="8"/>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ind w:left="0"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5.4 针对本项目配备人员比较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ind w:left="0"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5.5 响应单位综合能力比较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ind w:left="0" w:firstLine="42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rPr>
        <w:t xml:space="preserve">5.6</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类似项目业绩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eastAsia="zh-CN"/>
        </w:rPr>
      </w:r>
      <w:r/>
    </w:p>
    <w:p>
      <w:pPr>
        <w:pStyle w:val="649"/>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649"/>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7、对属于《节能产品政府采购品目清单》政府强制采购产品的，需提供该产品有效期内的认证等相关证明材料（如有）。</w:t>
      </w:r>
      <w:r>
        <w:rPr>
          <w:rFonts w:hint="eastAsia" w:ascii="宋体" w:hAnsi="宋体" w:eastAsia="宋体" w:cs="宋体"/>
          <w:color w:val="000000"/>
          <w:sz w:val="24"/>
          <w:szCs w:val="24"/>
          <w:highlight w:val="none"/>
        </w:rPr>
      </w:r>
      <w:r/>
    </w:p>
    <w:p>
      <w:pPr>
        <w:pStyle w:val="649"/>
        <w:ind w:left="0"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bCs/>
          <w:color w:val="000000"/>
          <w:sz w:val="24"/>
          <w:szCs w:val="24"/>
          <w:highlight w:val="none"/>
        </w:rPr>
        <w:t xml:space="preserve">（1）以上3.1-3.6为资格审查要求提供的材料，是作为对供应商资格审查、质疑身份认定的依据，响应供应商必须提供并加盖电子公章。否则，磋商响应文件将被认定为不符合资格审查要求。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rPr>
      </w:r>
      <w:r/>
    </w:p>
    <w:p>
      <w:pPr>
        <w:pStyle w:val="649"/>
        <w:ind w:left="0"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（2）以上4.1-4.</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为符合性审查须提供的资料，响应供应商必须提供并加盖电子公章。否则，磋商响应文件将被认定为未实质性响应。</w:t>
      </w:r>
      <w:r>
        <w:rPr>
          <w:rFonts w:hint="eastAsia" w:ascii="宋体" w:hAnsi="宋体" w:eastAsia="宋体" w:cs="宋体"/>
          <w:color w:val="000000"/>
          <w:sz w:val="24"/>
          <w:szCs w:val="24"/>
          <w:highlight w:val="none"/>
        </w:rPr>
      </w:r>
      <w:r/>
    </w:p>
    <w:p>
      <w:pPr>
        <w:pStyle w:val="649"/>
        <w:ind w:left="0"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eastAsia="宋体" w:cs="宋体"/>
          <w:b/>
          <w:color w:val="000000"/>
          <w:sz w:val="24"/>
          <w:szCs w:val="24"/>
          <w:highlight w:val="none"/>
        </w:rPr>
      </w:r>
      <w:r/>
    </w:p>
    <w:p>
      <w:pPr>
        <w:pStyle w:val="639"/>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lang w:val="zh-CN"/>
        </w:rPr>
        <w:t xml:space="preserve">电子响应文件要求：</w:t>
      </w:r>
      <w:r>
        <w:rPr>
          <w:rFonts w:hint="eastAsia" w:ascii="宋体" w:hAnsi="宋体" w:eastAsia="宋体" w:cs="宋体"/>
          <w:b/>
          <w:color w:val="000000"/>
          <w:sz w:val="24"/>
          <w:szCs w:val="24"/>
          <w:highlight w:val="none"/>
          <w:lang w:val="zh-CN"/>
        </w:rPr>
      </w:r>
      <w:r/>
    </w:p>
    <w:p>
      <w:pPr>
        <w:pStyle w:val="639"/>
        <w:ind w:firstLine="480"/>
        <w:keepLines w:val="0"/>
        <w:keepNext w:val="0"/>
        <w:pageBreakBefore w:val="0"/>
        <w:spacing w:line="360" w:lineRule="auto"/>
        <w:widowControl w:val="off"/>
        <w:tabs>
          <w:tab w:val="left" w:pos="851"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请供应商按照《苏采云系统供应商操作手册》、采购文件要求进行制作、上传电子响应文件，响应单位无需提供纸质响应文件。</w:t>
      </w:r>
      <w:r>
        <w:rPr>
          <w:rFonts w:hint="eastAsia" w:ascii="宋体" w:hAnsi="宋体" w:eastAsia="宋体" w:cs="宋体"/>
          <w:b/>
          <w:color w:val="000000"/>
          <w:sz w:val="24"/>
          <w:szCs w:val="24"/>
          <w:highlight w:val="none"/>
        </w:rPr>
        <w:t xml:space="preserve">电子响应文件制作完成后请在截止时间前完成提交（上传），否则视为放弃参加该采购项目。</w:t>
      </w:r>
      <w:r>
        <w:rPr>
          <w:rFonts w:hint="eastAsia" w:ascii="宋体" w:hAnsi="宋体" w:eastAsia="宋体" w:cs="宋体"/>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r>
      <w:r/>
    </w:p>
    <w:p>
      <w:pPr>
        <w:pStyle w:val="639"/>
        <w:ind w:firstLine="480"/>
        <w:keepLines w:val="0"/>
        <w:keepNext w:val="0"/>
        <w:pageBreakBefore w:val="0"/>
        <w:spacing w:line="360" w:lineRule="auto"/>
        <w:widowControl w:val="off"/>
        <w:tabs>
          <w:tab w:val="left" w:pos="851"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电子响应文件材料中要求加盖公章的必须加盖响应单位电子公章。</w:t>
      </w:r>
      <w:r>
        <w:rPr>
          <w:rFonts w:hint="eastAsia" w:ascii="宋体" w:hAnsi="宋体" w:eastAsia="宋体" w:cs="宋体"/>
          <w:color w:val="000000"/>
          <w:sz w:val="24"/>
          <w:szCs w:val="24"/>
          <w:highlight w:val="none"/>
        </w:rPr>
      </w:r>
      <w:r/>
    </w:p>
    <w:p>
      <w:pPr>
        <w:pStyle w:val="6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供应商应当在磋商文件要求的截止时间前，</w:t>
      </w:r>
      <w:r>
        <w:rPr>
          <w:rFonts w:hint="eastAsia" w:ascii="宋体" w:hAnsi="宋体" w:eastAsia="宋体" w:cs="宋体"/>
          <w:b/>
          <w:color w:val="000000"/>
          <w:sz w:val="24"/>
          <w:szCs w:val="24"/>
          <w:highlight w:val="none"/>
        </w:rPr>
        <w:t xml:space="preserve">将响应文件上传苏釆云系统，否则视为放弃参加该采购项目。</w:t>
      </w:r>
      <w:r>
        <w:rPr>
          <w:rFonts w:hint="eastAsia" w:ascii="宋体" w:hAnsi="宋体" w:eastAsia="宋体" w:cs="宋体"/>
          <w:color w:val="000000"/>
          <w:sz w:val="24"/>
          <w:szCs w:val="24"/>
          <w:highlight w:val="none"/>
        </w:rPr>
        <w:t xml:space="preserve">供应商在提交响应文件截止时间前，可以对所提交的响应文件进行补充、修改或者撤回。</w:t>
      </w:r>
      <w:r>
        <w:rPr>
          <w:rFonts w:hint="eastAsia" w:ascii="宋体" w:hAnsi="宋体" w:eastAsia="宋体" w:cs="宋体"/>
          <w:color w:val="000000"/>
          <w:sz w:val="24"/>
          <w:szCs w:val="24"/>
          <w:highlight w:val="none"/>
        </w:rPr>
      </w:r>
      <w:r/>
    </w:p>
    <w:p>
      <w:pPr>
        <w:pStyle w:val="639"/>
        <w:ind w:firstLine="480"/>
        <w:keepLines w:val="0"/>
        <w:keepNext w:val="0"/>
        <w:pageBreakBefore w:val="0"/>
        <w:spacing w:line="360" w:lineRule="auto"/>
        <w:widowControl w:val="off"/>
        <w:tabs>
          <w:tab w:val="left" w:pos="50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供应商应当按照磋商文件的要求编制响应文件，并对其提交的响应文件的真实性、合法性承担法律责任。</w:t>
      </w:r>
      <w:r>
        <w:rPr>
          <w:rFonts w:hint="eastAsia" w:ascii="宋体" w:hAnsi="宋体" w:eastAsia="宋体" w:cs="宋体"/>
          <w:color w:val="000000"/>
          <w:sz w:val="24"/>
          <w:szCs w:val="24"/>
          <w:highlight w:val="none"/>
        </w:rPr>
      </w:r>
      <w:r/>
    </w:p>
    <w:p>
      <w:pPr>
        <w:pStyle w:val="639"/>
        <w:ind w:firstLine="482"/>
        <w:keepLines w:val="0"/>
        <w:keepNext w:val="0"/>
        <w:pageBreakBefore w:val="0"/>
        <w:spacing w:line="360" w:lineRule="auto"/>
        <w:widowControl w:val="off"/>
        <w:tabs>
          <w:tab w:val="left" w:pos="502" w:leader="none"/>
        </w:tabs>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机器码检查中，不同响应单位使用同一台电脑编制响应文件的，响应文件将被认定为无效响应。</w:t>
      </w:r>
      <w:r>
        <w:rPr>
          <w:rFonts w:hint="eastAsia" w:ascii="宋体" w:hAnsi="宋体" w:eastAsia="宋体" w:cs="宋体"/>
          <w:b/>
          <w:bCs/>
          <w:color w:val="000000"/>
          <w:sz w:val="24"/>
          <w:szCs w:val="24"/>
          <w:highlight w:val="none"/>
          <w:lang w:val="zh-CN"/>
        </w:rPr>
      </w:r>
      <w:r/>
    </w:p>
    <w:p>
      <w:pPr>
        <w:pStyle w:val="639"/>
        <w:ind w:firstLine="482"/>
        <w:keepLines w:val="0"/>
        <w:keepNext w:val="0"/>
        <w:pageBreakBefore w:val="0"/>
        <w:spacing w:line="360" w:lineRule="auto"/>
        <w:widowControl w:val="off"/>
        <w:tabs>
          <w:tab w:val="left" w:pos="50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响应文件的制作要求：</w:t>
      </w:r>
      <w:r>
        <w:rPr>
          <w:rFonts w:hint="eastAsia" w:ascii="宋体" w:hAnsi="宋体" w:eastAsia="宋体" w:cs="宋体"/>
          <w:b/>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磋商响应文件有效期为自磋商之日起90日。</w:t>
      </w: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方（磋商响应单位）提交的磋商响应文件以及供方（磋商响应单位）与采购代理机构就有关采购的所有来往函电均应使用中文书写，服务方（磋商响应单位）提交的支持文件和印刷的文献可以用另一种语言，但相应内容均应附有中文的翻译本，在解释磋商响应文件时以中文翻译本为准。</w:t>
      </w:r>
      <w:r>
        <w:rPr>
          <w:rFonts w:hint="eastAsia" w:ascii="宋体" w:hAnsi="宋体" w:eastAsia="宋体" w:cs="宋体"/>
          <w:b/>
          <w:color w:val="000000"/>
          <w:sz w:val="24"/>
          <w:szCs w:val="24"/>
          <w:highlight w:val="none"/>
        </w:rPr>
      </w:r>
      <w:r/>
    </w:p>
    <w:p>
      <w:pPr>
        <w:pStyle w:val="654"/>
        <w:spacing w:line="360" w:lineRule="auto"/>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、综合说明：</w:t>
      </w:r>
      <w:r>
        <w:rPr>
          <w:rFonts w:hint="eastAsia" w:ascii="宋体" w:hAnsi="宋体" w:eastAsia="宋体" w:cs="宋体"/>
          <w:b/>
          <w:bCs/>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（一）响应内容必须符合国家相关标准，必须满足本次磋商文件的要求，若造成的损失和后果由单位负全责。</w:t>
      </w: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rPr>
      </w:r>
      <w:r/>
    </w:p>
    <w:p>
      <w:pPr>
        <w:pStyle w:val="6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hint="eastAsia" w:ascii="宋体" w:hAnsi="宋体" w:eastAsia="宋体" w:cs="宋体"/>
          <w:color w:val="000000"/>
          <w:sz w:val="24"/>
          <w:szCs w:val="24"/>
          <w:highlight w:val="none"/>
        </w:rPr>
      </w:r>
      <w:r/>
    </w:p>
    <w:p>
      <w:pPr>
        <w:pStyle w:val="6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2.2磋商小组负责具体的磋商事务，并独立履行以下职责：</w:t>
      </w:r>
      <w:r>
        <w:rPr>
          <w:rFonts w:hint="eastAsia" w:ascii="宋体" w:hAnsi="宋体" w:eastAsia="宋体" w:cs="宋体"/>
          <w:color w:val="000000"/>
          <w:sz w:val="24"/>
          <w:szCs w:val="24"/>
          <w:highlight w:val="none"/>
        </w:rPr>
      </w:r>
      <w:r/>
    </w:p>
    <w:p>
      <w:pPr>
        <w:pStyle w:val="6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2.2.1确认或者制定磋商文件； </w:t>
      </w:r>
      <w:r>
        <w:rPr>
          <w:rFonts w:hint="eastAsia" w:ascii="宋体" w:hAnsi="宋体" w:eastAsia="宋体" w:cs="宋体"/>
          <w:color w:val="000000"/>
          <w:sz w:val="24"/>
          <w:szCs w:val="24"/>
          <w:highlight w:val="none"/>
        </w:rPr>
      </w:r>
      <w:r/>
    </w:p>
    <w:p>
      <w:pPr>
        <w:pStyle w:val="6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2.2.2从符合相应资格条件的供应商名单中确定不少于3家的供应商参加磋商；</w:t>
      </w:r>
      <w:r>
        <w:rPr>
          <w:rFonts w:hint="eastAsia" w:ascii="宋体" w:hAnsi="宋体" w:eastAsia="宋体" w:cs="宋体"/>
          <w:color w:val="000000"/>
          <w:sz w:val="24"/>
          <w:szCs w:val="24"/>
          <w:highlight w:val="none"/>
        </w:rPr>
      </w:r>
      <w:r/>
    </w:p>
    <w:p>
      <w:pPr>
        <w:pStyle w:val="6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2.2.3审查供应商的响应文件并作出评价；</w:t>
      </w:r>
      <w:r>
        <w:rPr>
          <w:rFonts w:hint="eastAsia" w:ascii="宋体" w:hAnsi="宋体" w:eastAsia="宋体" w:cs="宋体"/>
          <w:color w:val="000000"/>
          <w:sz w:val="24"/>
          <w:szCs w:val="24"/>
          <w:highlight w:val="none"/>
        </w:rPr>
      </w:r>
      <w:r/>
    </w:p>
    <w:p>
      <w:pPr>
        <w:pStyle w:val="6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2.2.4要求供应商解释或者澄清其响应文件；</w:t>
      </w:r>
      <w:r>
        <w:rPr>
          <w:rFonts w:hint="eastAsia" w:ascii="宋体" w:hAnsi="宋体" w:eastAsia="宋体" w:cs="宋体"/>
          <w:color w:val="000000"/>
          <w:sz w:val="24"/>
          <w:szCs w:val="24"/>
          <w:highlight w:val="none"/>
        </w:rPr>
      </w:r>
      <w:r/>
    </w:p>
    <w:p>
      <w:pPr>
        <w:pStyle w:val="639"/>
        <w:ind w:firstLine="48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2.2.5编写评分报告；</w:t>
      </w:r>
      <w:r>
        <w:rPr>
          <w:rFonts w:hint="eastAsia" w:ascii="宋体" w:hAnsi="宋体" w:eastAsia="宋体" w:cs="宋体"/>
          <w:color w:val="000000"/>
          <w:sz w:val="24"/>
          <w:szCs w:val="24"/>
          <w:highlight w:val="none"/>
        </w:rPr>
      </w:r>
      <w:r/>
    </w:p>
    <w:p>
      <w:pPr>
        <w:pStyle w:val="639"/>
        <w:ind w:firstLine="48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2.2.6告知采购人、采购代理机构在评审过程中发现的供应商的违法违规行为。</w:t>
      </w:r>
      <w:r>
        <w:rPr>
          <w:rFonts w:hint="eastAsia" w:ascii="宋体" w:hAnsi="宋体" w:eastAsia="宋体" w:cs="宋体"/>
          <w:color w:val="000000"/>
          <w:sz w:val="24"/>
          <w:szCs w:val="24"/>
          <w:highlight w:val="none"/>
        </w:rPr>
      </w:r>
      <w:r/>
    </w:p>
    <w:p>
      <w:pPr>
        <w:pStyle w:val="6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2.3磋商小组成员应当履行下列义务：</w:t>
      </w:r>
      <w:r>
        <w:rPr>
          <w:rFonts w:hint="eastAsia" w:ascii="宋体" w:hAnsi="宋体" w:eastAsia="宋体" w:cs="宋体"/>
          <w:color w:val="000000"/>
          <w:sz w:val="24"/>
          <w:szCs w:val="24"/>
          <w:highlight w:val="none"/>
        </w:rPr>
      </w:r>
      <w:r/>
    </w:p>
    <w:p>
      <w:pPr>
        <w:pStyle w:val="6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2.3.1遵纪守法，客观、公正、廉洁地履行职责；</w:t>
      </w:r>
      <w:r>
        <w:rPr>
          <w:rFonts w:hint="eastAsia" w:ascii="宋体" w:hAnsi="宋体" w:eastAsia="宋体" w:cs="宋体"/>
          <w:color w:val="000000"/>
          <w:sz w:val="24"/>
          <w:szCs w:val="24"/>
          <w:highlight w:val="none"/>
        </w:rPr>
      </w:r>
      <w:r/>
    </w:p>
    <w:p>
      <w:pPr>
        <w:pStyle w:val="6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2.3.2按照磋商文件规定的评审办法独立进行评审，对个人的评审意见承担法律责任；</w:t>
      </w:r>
      <w:r>
        <w:rPr>
          <w:rFonts w:hint="eastAsia" w:ascii="宋体" w:hAnsi="宋体" w:eastAsia="宋体" w:cs="宋体"/>
          <w:color w:val="000000"/>
          <w:sz w:val="24"/>
          <w:szCs w:val="24"/>
          <w:highlight w:val="none"/>
        </w:rPr>
      </w:r>
      <w:r/>
    </w:p>
    <w:p>
      <w:pPr>
        <w:pStyle w:val="6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2.3.3参与评分报告的起草；</w:t>
      </w:r>
      <w:r>
        <w:rPr>
          <w:rFonts w:hint="eastAsia" w:ascii="宋体" w:hAnsi="宋体" w:eastAsia="宋体" w:cs="宋体"/>
          <w:color w:val="000000"/>
          <w:sz w:val="24"/>
          <w:szCs w:val="24"/>
          <w:highlight w:val="none"/>
        </w:rPr>
      </w:r>
      <w:r/>
    </w:p>
    <w:p>
      <w:pPr>
        <w:pStyle w:val="6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2.3.4配合采购人、采购代理机构答复供应商提出的质疑；</w:t>
      </w:r>
      <w:r>
        <w:rPr>
          <w:rFonts w:hint="eastAsia" w:ascii="宋体" w:hAnsi="宋体" w:eastAsia="宋体" w:cs="宋体"/>
          <w:color w:val="000000"/>
          <w:sz w:val="24"/>
          <w:szCs w:val="24"/>
          <w:highlight w:val="none"/>
        </w:rPr>
      </w:r>
      <w:r/>
    </w:p>
    <w:p>
      <w:pPr>
        <w:pStyle w:val="6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2.3.5配合财政部门的投诉处理和监督检查工作。</w:t>
      </w: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（三）评审内容的保密</w:t>
      </w:r>
      <w:r>
        <w:rPr>
          <w:rFonts w:hint="eastAsia" w:ascii="宋体" w:hAnsi="宋体" w:eastAsia="宋体" w:cs="宋体"/>
          <w:color w:val="000000"/>
          <w:sz w:val="24"/>
          <w:szCs w:val="24"/>
          <w:highlight w:val="none"/>
        </w:rPr>
      </w:r>
      <w:r/>
    </w:p>
    <w:p>
      <w:pPr>
        <w:pStyle w:val="6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3.1磋商开始后，直到宣布授予成交供应商合同为止，凡属于审查、澄清、评价和比较响应文件的所有资料，有关授予合同的信息都不应向供应商或与评审无关的其他人泄露。</w:t>
      </w:r>
      <w:r>
        <w:rPr>
          <w:rFonts w:hint="eastAsia" w:ascii="宋体" w:hAnsi="宋体" w:eastAsia="宋体" w:cs="宋体"/>
          <w:color w:val="000000"/>
          <w:sz w:val="24"/>
          <w:szCs w:val="24"/>
          <w:highlight w:val="none"/>
        </w:rPr>
      </w:r>
      <w:r/>
    </w:p>
    <w:p>
      <w:pPr>
        <w:pStyle w:val="6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3.2在响应文件的审查、澄清、评价和比较以及授予合同的过程中，供应商对磋商采购单位和磋商小组施加影响的任何行为，都将取消其成交资格。</w:t>
      </w:r>
      <w:r>
        <w:rPr>
          <w:rFonts w:hint="eastAsia" w:ascii="宋体" w:hAnsi="宋体" w:eastAsia="宋体" w:cs="宋体"/>
          <w:color w:val="000000"/>
          <w:sz w:val="24"/>
          <w:szCs w:val="24"/>
          <w:highlight w:val="none"/>
        </w:rPr>
      </w:r>
      <w:r/>
    </w:p>
    <w:p>
      <w:pPr>
        <w:pStyle w:val="6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3.3在评审期间，磋商采购单位将通过指定联络人与供应商进行联系。</w:t>
      </w: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（四）响应文件的澄清、说明和更正</w:t>
      </w:r>
      <w:r>
        <w:rPr>
          <w:rFonts w:hint="eastAsia" w:ascii="宋体" w:hAnsi="宋体" w:eastAsia="宋体" w:cs="宋体"/>
          <w:color w:val="000000"/>
          <w:sz w:val="24"/>
          <w:szCs w:val="24"/>
          <w:highlight w:val="none"/>
        </w:rPr>
      </w:r>
      <w:r/>
    </w:p>
    <w:p>
      <w:pPr>
        <w:pStyle w:val="639"/>
        <w:ind w:firstLine="3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63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4.2磋商小组要求供应商澄清、说明或者更正响应文件应当以书面形式作出。供应商的澄清、说明或者更正应当由法定代表人或代理人签字或者加盖电子公章。由代理人签字的，应当附法定代表人授权委托书。</w:t>
      </w:r>
      <w:r>
        <w:rPr>
          <w:rFonts w:hint="eastAsia" w:ascii="宋体" w:hAnsi="宋体" w:eastAsia="宋体" w:cs="宋体"/>
          <w:color w:val="000000"/>
          <w:sz w:val="24"/>
          <w:szCs w:val="24"/>
          <w:highlight w:val="none"/>
        </w:rPr>
      </w:r>
      <w:r/>
    </w:p>
    <w:p>
      <w:pPr>
        <w:pStyle w:val="639"/>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注：本项目供应商的澄清、说明或者补正采用线上澄清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（五）信用记录查询</w:t>
      </w:r>
      <w:r>
        <w:rPr>
          <w:rFonts w:hint="eastAsia" w:ascii="宋体" w:hAnsi="宋体" w:eastAsia="宋体" w:cs="宋体"/>
          <w:color w:val="000000"/>
          <w:sz w:val="24"/>
          <w:szCs w:val="24"/>
          <w:highlight w:val="none"/>
        </w:rPr>
      </w:r>
      <w:r/>
    </w:p>
    <w:p>
      <w:pPr>
        <w:pStyle w:val="6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根据政府采购法及相关法规，以及苏州市财政局《关于印发苏州市市级政府采购信用记录查询和使用工作试行办法的通知》（苏财购（2017）11号）文件的规定，我们将依法对供应商进行信用查询，凡经评标委员会确认不符合政府采购相关法律法规规定的，将拒绝其参与政府采购活动。</w:t>
      </w:r>
      <w:r>
        <w:rPr>
          <w:rFonts w:hint="eastAsia" w:ascii="宋体" w:hAnsi="宋体" w:eastAsia="宋体" w:cs="宋体"/>
          <w:color w:val="000000"/>
          <w:sz w:val="24"/>
          <w:szCs w:val="24"/>
          <w:highlight w:val="none"/>
        </w:rPr>
      </w:r>
      <w:r/>
    </w:p>
    <w:p>
      <w:pPr>
        <w:pStyle w:val="670"/>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5.1.查询截止时点：响应文件接收截止时间。</w:t>
      </w:r>
      <w:r>
        <w:rPr>
          <w:rFonts w:hint="eastAsia" w:ascii="宋体" w:hAnsi="宋体" w:eastAsia="宋体" w:cs="宋体"/>
          <w:color w:val="000000"/>
          <w:sz w:val="24"/>
          <w:szCs w:val="24"/>
          <w:highlight w:val="none"/>
        </w:rPr>
      </w:r>
      <w:r/>
    </w:p>
    <w:p>
      <w:pPr>
        <w:pStyle w:val="670"/>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5.2.查询渠道：采购代理机构会在接收</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截止时间后，登录信用中国网站（www.creditchina.gov.cn）和中国政府采购网（www.ccgp.gov.cn/）查询供应商的信用记录，并将查询结果递交评标委员会。</w:t>
      </w:r>
      <w:r>
        <w:rPr>
          <w:rFonts w:hint="eastAsia" w:ascii="宋体" w:hAnsi="宋体" w:eastAsia="宋体" w:cs="宋体"/>
          <w:color w:val="000000"/>
          <w:sz w:val="24"/>
          <w:szCs w:val="24"/>
          <w:highlight w:val="none"/>
        </w:rPr>
      </w:r>
      <w:r/>
    </w:p>
    <w:p>
      <w:pPr>
        <w:pStyle w:val="670"/>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eastAsia="宋体" w:cs="宋体"/>
          <w:color w:val="000000"/>
          <w:sz w:val="24"/>
          <w:szCs w:val="24"/>
          <w:highlight w:val="none"/>
        </w:rPr>
      </w:r>
      <w:r/>
    </w:p>
    <w:p>
      <w:pPr>
        <w:pStyle w:val="670"/>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5.4.信用记录使用规则：评标委员会在对供应商进行资格性审查时，应根据查询结果对供应商的不良信用记录逐项甄别确认。</w:t>
      </w:r>
      <w:r>
        <w:rPr>
          <w:rFonts w:hint="eastAsia" w:ascii="宋体" w:hAnsi="宋体" w:eastAsia="宋体" w:cs="宋体"/>
          <w:color w:val="000000"/>
          <w:sz w:val="24"/>
          <w:szCs w:val="24"/>
          <w:highlight w:val="none"/>
        </w:rPr>
      </w:r>
      <w:r/>
    </w:p>
    <w:p>
      <w:pPr>
        <w:pStyle w:val="63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三、合同主要条款</w:t>
      </w:r>
      <w:r>
        <w:rPr>
          <w:rFonts w:hint="eastAsia" w:ascii="宋体" w:hAnsi="宋体" w:eastAsia="宋体" w:cs="宋体"/>
          <w:b/>
          <w:bCs/>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使用单位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w:t>
      </w: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39"/>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一、定义</w:t>
      </w:r>
      <w:r>
        <w:rPr>
          <w:rFonts w:hint="eastAsia" w:ascii="宋体" w:hAnsi="宋体" w:eastAsia="宋体" w:cs="宋体"/>
          <w:b/>
          <w:color w:val="000000"/>
          <w:sz w:val="24"/>
          <w:szCs w:val="24"/>
        </w:rPr>
      </w:r>
      <w:r/>
    </w:p>
    <w:p>
      <w:pPr>
        <w:pStyle w:val="639"/>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以下术语有特定的含义：</w:t>
      </w:r>
      <w:r>
        <w:rPr>
          <w:rFonts w:hint="eastAsia" w:ascii="宋体" w:hAnsi="宋体" w:eastAsia="宋体" w:cs="宋体"/>
          <w:b/>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服务是指根据合同规定乙方应承担</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等工作和合同中规定乙方应承担的其它义务。</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合同价款是指根据成交单位的响应文件和合同规定，乙方在正确地履行合同义务后甲方应支付给乙方的价款。</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甲方是指合同中明确规定的实际购买和接受服务的单位。</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乙方是指合同中规定的提供服务的单位。</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eastAsia="宋体" w:cs="宋体"/>
          <w:color w:val="000000"/>
          <w:sz w:val="24"/>
          <w:szCs w:val="24"/>
        </w:rPr>
      </w:r>
      <w:r/>
    </w:p>
    <w:p>
      <w:pPr>
        <w:pStyle w:val="639"/>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二、合同项目及期限</w:t>
      </w:r>
      <w:r>
        <w:rPr>
          <w:rFonts w:hint="eastAsia" w:ascii="宋体" w:hAnsi="宋体" w:eastAsia="宋体" w:cs="宋体"/>
          <w:b/>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2.1乙方负责</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的服务工作。</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2.2服务期限：</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2.3服务地点：根据甲方指定地点。</w:t>
      </w:r>
      <w:r>
        <w:rPr>
          <w:rFonts w:hint="eastAsia" w:ascii="宋体" w:hAnsi="宋体" w:eastAsia="宋体" w:cs="宋体"/>
          <w:color w:val="000000"/>
          <w:sz w:val="24"/>
          <w:szCs w:val="24"/>
        </w:rPr>
      </w:r>
      <w:r/>
    </w:p>
    <w:p>
      <w:pPr>
        <w:pStyle w:val="639"/>
        <w:ind w:left="0" w:firstLine="42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三、合同总价款：</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。合同总价款</w:t>
      </w:r>
      <w:r>
        <w:rPr>
          <w:rFonts w:hint="eastAsia" w:ascii="宋体" w:hAnsi="宋体" w:eastAsia="宋体" w:cs="宋体"/>
          <w:b w:val="0"/>
          <w:bCs w:val="0"/>
          <w:color w:val="000000"/>
          <w:sz w:val="24"/>
          <w:szCs w:val="24"/>
          <w:highlight w:val="none"/>
          <w:lang w:val="en-US" w:eastAsia="zh-CN"/>
        </w:rPr>
        <w:t xml:space="preserve">包括</w:t>
      </w:r>
      <w:r>
        <w:rPr>
          <w:rFonts w:hint="eastAsia" w:ascii="宋体" w:hAnsi="宋体" w:eastAsia="宋体" w:cs="宋体"/>
          <w:b w:val="0"/>
          <w:bCs w:val="0"/>
          <w:color w:val="000000"/>
          <w:sz w:val="24"/>
          <w:szCs w:val="24"/>
          <w:highlight w:val="none"/>
          <w:lang w:eastAsia="zh-CN"/>
        </w:rPr>
        <w:t xml:space="preserve">完成本项目服务内容所需的</w:t>
      </w:r>
      <w:r>
        <w:rPr>
          <w:rFonts w:hint="eastAsia" w:ascii="宋体" w:hAnsi="宋体" w:eastAsia="宋体" w:cs="宋体"/>
          <w:b w:val="0"/>
          <w:bCs w:val="0"/>
          <w:color w:val="000000"/>
          <w:sz w:val="24"/>
          <w:szCs w:val="24"/>
        </w:rPr>
        <w:t xml:space="preserve">材料费（包括清单内所有设备材料以及与之运行所相关的一切配套设施）、调试费、包装费、运费、人工费、安装费、工具劳保费、通讯费、各种税费等一切费用，服务期限内甲方不再为本项目支出合同之外的任何费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highlight w:val="none"/>
          <w:lang w:eastAsia="zh-CN"/>
        </w:rPr>
        <w:t xml:space="preserve">遇到法律法规规定的最低工资调整，其中人工费用相应浮动，及合同实施过程中的不可预见的各项费用，由供应商自行承担。</w:t>
      </w:r>
      <w:r>
        <w:rPr>
          <w:rFonts w:hint="eastAsia" w:ascii="宋体" w:hAnsi="宋体" w:eastAsia="宋体" w:cs="宋体"/>
          <w:color w:val="000000"/>
          <w:sz w:val="24"/>
          <w:szCs w:val="24"/>
        </w:rPr>
      </w:r>
      <w:r/>
    </w:p>
    <w:p>
      <w:pPr>
        <w:pStyle w:val="639"/>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四、付款方式</w:t>
      </w:r>
      <w:r>
        <w:rPr>
          <w:rFonts w:hint="eastAsia" w:ascii="宋体" w:hAnsi="宋体" w:eastAsia="宋体" w:cs="宋体"/>
          <w:b/>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1.付款步骤：</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（1）合同签订后支付合同价款的30%</w:t>
      </w:r>
      <w:r>
        <w:rPr>
          <w:rFonts w:hint="eastAsia" w:ascii="宋体" w:hAnsi="宋体" w:eastAsia="宋体" w:cs="宋体"/>
          <w:color w:val="000000"/>
          <w:sz w:val="24"/>
          <w:szCs w:val="24"/>
          <w:lang w:val="en-US" w:eastAsia="zh-CN"/>
        </w:rPr>
        <w:t xml:space="preserve">为预付款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每半年支付一次合同款项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需</w:t>
      </w:r>
      <w:r>
        <w:rPr>
          <w:rFonts w:hint="eastAsia" w:ascii="宋体" w:hAnsi="宋体" w:eastAsia="宋体" w:cs="宋体"/>
          <w:color w:val="000000"/>
          <w:sz w:val="24"/>
          <w:szCs w:val="24"/>
        </w:rPr>
        <w:t xml:space="preserve">根据服务的质量、效率、专业性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定期量化考核</w:t>
      </w:r>
      <w:r>
        <w:rPr>
          <w:rFonts w:hint="eastAsia" w:ascii="宋体" w:hAnsi="宋体" w:eastAsia="宋体" w:cs="宋体"/>
          <w:color w:val="000000"/>
          <w:sz w:val="24"/>
          <w:szCs w:val="24"/>
          <w:lang w:val="en-US" w:eastAsia="zh-CN"/>
        </w:rPr>
        <w:t xml:space="preserve">及监理审核后支付</w:t>
      </w:r>
      <w:r>
        <w:rPr>
          <w:rFonts w:hint="eastAsia" w:ascii="宋体" w:hAnsi="宋体" w:eastAsia="宋体" w:cs="宋体"/>
          <w:color w:val="000000"/>
          <w:sz w:val="24"/>
          <w:szCs w:val="24"/>
        </w:rPr>
        <w:t xml:space="preserve">，绩效考核分与服务费用相关联。</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（2）在签订合同时，乙方明确表示无需预付款或者主动要求降低预付款比例的，甲方可不适用上述关于预付款的规定。</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3.支付方式：本次货款以数字人民币形式支付。乙方账户信息如下：</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开户名称：</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数字人民币账户（数币钱包ID）：</w:t>
      </w:r>
      <w:r>
        <w:rPr>
          <w:rFonts w:hint="eastAsia" w:ascii="宋体" w:hAnsi="宋体" w:eastAsia="宋体" w:cs="宋体"/>
          <w:color w:val="000000"/>
          <w:sz w:val="24"/>
          <w:szCs w:val="24"/>
        </w:rPr>
      </w:r>
      <w:r/>
    </w:p>
    <w:p>
      <w:pPr>
        <w:pStyle w:val="639"/>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五、甲、乙双方的责任</w:t>
      </w:r>
      <w:r>
        <w:rPr>
          <w:rFonts w:hint="eastAsia" w:ascii="宋体" w:hAnsi="宋体" w:eastAsia="宋体" w:cs="宋体"/>
          <w:b/>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1.甲方责任：</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1.1依本合同约定按期支付合同款项；</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1.2依本合同约定及时组织验收；</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1.3协助乙方进行项目的相关协调工作及约定期限内提供相关资料以利于开展项目。</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2.乙方责任：</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eastAsia="宋体" w:cs="宋体"/>
          <w:color w:val="000000"/>
          <w:sz w:val="24"/>
          <w:szCs w:val="24"/>
        </w:rPr>
      </w:r>
      <w:r/>
    </w:p>
    <w:p>
      <w:pPr>
        <w:pStyle w:val="639"/>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六、违约责任</w:t>
      </w:r>
      <w:r>
        <w:rPr>
          <w:rFonts w:hint="eastAsia" w:ascii="宋体" w:hAnsi="宋体" w:eastAsia="宋体" w:cs="宋体"/>
          <w:b/>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1.甲方违约责任：</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1.1在合同生效后，甲方无故要求解除合同的，应向乙方偿付合同总价款5%的违约金，违约金不足以补偿损失的，乙方有权要求甲方补足。</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1.2甲方逾期付款的应按照逾期付款金额的每天万分之四支付逾期付款违约金，总额不超总价款的5%。</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2.乙方的违约责任：</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在合同生效后，乙方无故要求解除合同的，应向甲方偿付合同总价款5%的违约金，违约金不足以补偿损失的，甲方有权要求乙方补足。</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2.2乙方未按合同规定的质量要求提供服务，不能完成合同时，甲方有权解除合同，乙方向甲方偿付合同总价款5%的违约金，违约金不足以补偿损失的甲方有权要求乙方补足。</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2.3乙方必须自己完成合同内容，不得自行分包，否则，甲方有权按乙方不能完成合同处理。</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2.4乙方应执行国家有关规定（如苏州最低工资标准和其他规定），负责乙方员工的生病、事故、伤残、死亡和劳务纠纷，甲方不承担任何相关责任。</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2.5乙方负有对自己员工的安全责任，甲方不承担任何相关责任。</w:t>
      </w:r>
      <w:r>
        <w:rPr>
          <w:rFonts w:hint="eastAsia" w:ascii="宋体" w:hAnsi="宋体" w:eastAsia="宋体" w:cs="宋体"/>
          <w:color w:val="000000"/>
          <w:sz w:val="24"/>
          <w:szCs w:val="24"/>
        </w:rPr>
      </w:r>
      <w:r/>
    </w:p>
    <w:p>
      <w:pPr>
        <w:pStyle w:val="639"/>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七、不可抗力</w:t>
      </w:r>
      <w:r>
        <w:rPr>
          <w:rFonts w:hint="eastAsia" w:ascii="宋体" w:hAnsi="宋体" w:eastAsia="宋体" w:cs="宋体"/>
          <w:b/>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eastAsia="宋体" w:cs="宋体"/>
          <w:color w:val="000000"/>
          <w:sz w:val="24"/>
          <w:szCs w:val="24"/>
        </w:rPr>
      </w:r>
      <w:r/>
    </w:p>
    <w:p>
      <w:pPr>
        <w:pStyle w:val="639"/>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八、争端的解决 </w:t>
      </w:r>
      <w:r>
        <w:rPr>
          <w:rFonts w:hint="eastAsia" w:ascii="宋体" w:hAnsi="宋体" w:eastAsia="宋体" w:cs="宋体"/>
          <w:b/>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2.如果调解不成，双方中的任何一方可向人民法院提起诉讼。诉讼由合同签订地人民法院管辖。 </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3.诉讼费由败诉方负担。</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4.因合同部分履行引发诉讼的，在诉讼期间，除正在进行诉讼的部分外，本合同的其它部分应继续执行。</w:t>
      </w:r>
      <w:r>
        <w:rPr>
          <w:rFonts w:hint="eastAsia" w:ascii="宋体" w:hAnsi="宋体" w:eastAsia="宋体" w:cs="宋体"/>
          <w:color w:val="000000"/>
          <w:sz w:val="24"/>
          <w:szCs w:val="24"/>
        </w:rPr>
      </w:r>
      <w:r/>
    </w:p>
    <w:p>
      <w:pPr>
        <w:pStyle w:val="639"/>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九、违约终止合同</w:t>
      </w:r>
      <w:r>
        <w:rPr>
          <w:rFonts w:hint="eastAsia" w:ascii="宋体" w:hAnsi="宋体" w:eastAsia="宋体" w:cs="宋体"/>
          <w:b/>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1.在甲方因乙方违约而按合同约定采取的任何补救措施不受影响的情况下，甲方可在下列情况下向乙方发出书面通知，提出终止部分或全部合同。</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如果乙方未能在合同规定的限期或甲方同意延长的限期内提供部分或全部服务。</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如果乙方未能履行合同规定的其它任何义务。</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3.如果甲方违约，应承担相应的违约责任。 </w:t>
      </w:r>
      <w:r>
        <w:rPr>
          <w:rFonts w:hint="eastAsia" w:ascii="宋体" w:hAnsi="宋体" w:eastAsia="宋体" w:cs="宋体"/>
          <w:color w:val="000000"/>
          <w:sz w:val="24"/>
          <w:szCs w:val="24"/>
        </w:rPr>
      </w:r>
      <w:r/>
    </w:p>
    <w:p>
      <w:pPr>
        <w:pStyle w:val="639"/>
        <w:ind w:left="0" w:firstLine="42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十、破产终止合同：</w:t>
      </w:r>
      <w:r>
        <w:rPr>
          <w:rFonts w:hint="eastAsia" w:ascii="宋体" w:hAnsi="宋体" w:eastAsia="宋体" w:cs="宋体"/>
          <w:color w:val="000000"/>
          <w:sz w:val="24"/>
          <w:szCs w:val="24"/>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eastAsia="宋体" w:cs="宋体"/>
          <w:color w:val="000000"/>
          <w:sz w:val="24"/>
          <w:szCs w:val="24"/>
        </w:rPr>
      </w:r>
      <w:r/>
    </w:p>
    <w:p>
      <w:pPr>
        <w:pStyle w:val="639"/>
        <w:ind w:left="0" w:firstLine="42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十一、政府采购法对政府采购合同变更终止的规定：</w:t>
      </w:r>
      <w:r>
        <w:rPr>
          <w:rFonts w:hint="eastAsia" w:ascii="宋体" w:hAnsi="宋体" w:eastAsia="宋体" w:cs="宋体"/>
          <w:color w:val="000000"/>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eastAsia="宋体" w:cs="宋体"/>
          <w:color w:val="000000"/>
          <w:sz w:val="24"/>
          <w:szCs w:val="24"/>
        </w:rPr>
      </w:r>
      <w:r/>
    </w:p>
    <w:p>
      <w:pPr>
        <w:pStyle w:val="639"/>
        <w:ind w:left="0" w:firstLine="42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十二、合同转让和分包：</w:t>
      </w:r>
      <w:r>
        <w:rPr>
          <w:rFonts w:hint="eastAsia" w:ascii="宋体" w:hAnsi="宋体" w:eastAsia="宋体" w:cs="宋体"/>
          <w:color w:val="000000"/>
          <w:sz w:val="24"/>
          <w:szCs w:val="24"/>
        </w:rPr>
        <w:t xml:space="preserve">本项目不得转让和分包。</w:t>
      </w:r>
      <w:r>
        <w:rPr>
          <w:rFonts w:hint="eastAsia" w:ascii="宋体" w:hAnsi="宋体" w:eastAsia="宋体" w:cs="宋体"/>
          <w:color w:val="000000"/>
          <w:sz w:val="24"/>
          <w:szCs w:val="24"/>
        </w:rPr>
      </w:r>
      <w:r/>
    </w:p>
    <w:p>
      <w:pPr>
        <w:pStyle w:val="639"/>
        <w:ind w:left="0" w:firstLine="42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十三、需要补充的合同条款：</w:t>
      </w:r>
      <w:r>
        <w:rPr>
          <w:rFonts w:hint="eastAsia" w:ascii="宋体" w:hAnsi="宋体" w:eastAsia="宋体" w:cs="宋体"/>
          <w:color w:val="000000"/>
          <w:sz w:val="24"/>
          <w:szCs w:val="24"/>
        </w:rPr>
        <w:t xml:space="preserve">（根据评审过程中或者商务谈判时商定的条款和条件在订立合同时标明）。</w:t>
      </w:r>
      <w:r>
        <w:rPr>
          <w:rFonts w:hint="eastAsia" w:ascii="宋体" w:hAnsi="宋体" w:eastAsia="宋体" w:cs="宋体"/>
          <w:color w:val="000000"/>
          <w:sz w:val="24"/>
          <w:szCs w:val="24"/>
        </w:rPr>
      </w:r>
      <w:r/>
    </w:p>
    <w:p>
      <w:pPr>
        <w:pStyle w:val="639"/>
        <w:ind w:left="0"/>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 xml:space="preserve">十四、合同生效</w:t>
      </w:r>
      <w:r>
        <w:rPr>
          <w:rFonts w:hint="eastAsia" w:ascii="宋体" w:hAnsi="宋体" w:eastAsia="宋体" w:cs="宋体"/>
          <w:b/>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1.双方签约人为各自法定代表人或被授权代表。</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2.本合同系指本文件及其附件中的所有部分，采购文件、成交单位的响应文件、成交通知书、成交单位在采购过程中的澄清和承诺等为本合同不可缺少的组成部分。</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3.本合同自甲乙双方签字盖章之日起生效。</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4.本合同壹式</w:t>
      </w:r>
      <w:r>
        <w:rPr>
          <w:rFonts w:hint="eastAsia" w:ascii="宋体" w:hAnsi="宋体" w:eastAsia="宋体" w:cs="宋体"/>
          <w:b/>
          <w:bCs w:val="0"/>
          <w:color w:val="000000"/>
          <w:sz w:val="24"/>
          <w:szCs w:val="24"/>
          <w:u w:val="single"/>
          <w:lang w:val="en-US" w:eastAsia="zh-CN"/>
        </w:rPr>
        <w:t xml:space="preserve">伍</w:t>
      </w:r>
      <w:r>
        <w:rPr>
          <w:rFonts w:hint="eastAsia" w:ascii="宋体" w:hAnsi="宋体" w:eastAsia="宋体" w:cs="宋体"/>
          <w:b/>
          <w:bCs w:val="0"/>
          <w:color w:val="000000"/>
          <w:sz w:val="24"/>
          <w:szCs w:val="24"/>
          <w:u w:val="single"/>
        </w:rPr>
        <w:t xml:space="preserve">份</w:t>
      </w:r>
      <w:r>
        <w:rPr>
          <w:rFonts w:hint="eastAsia" w:ascii="宋体" w:hAnsi="宋体" w:eastAsia="宋体" w:cs="宋体"/>
          <w:color w:val="000000"/>
          <w:sz w:val="24"/>
          <w:szCs w:val="24"/>
        </w:rPr>
        <w:t xml:space="preserve">，甲乙双方各执</w:t>
      </w:r>
      <w:r>
        <w:rPr>
          <w:rFonts w:hint="eastAsia" w:ascii="宋体" w:hAnsi="宋体" w:eastAsia="宋体" w:cs="宋体"/>
          <w:b/>
          <w:bCs w:val="0"/>
          <w:color w:val="000000"/>
          <w:sz w:val="24"/>
          <w:szCs w:val="24"/>
          <w:u w:val="single"/>
        </w:rPr>
        <w:t xml:space="preserve">贰份</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代理机构执</w:t>
      </w:r>
      <w:r>
        <w:rPr>
          <w:rFonts w:hint="eastAsia" w:ascii="宋体" w:hAnsi="宋体" w:eastAsia="宋体" w:cs="宋体"/>
          <w:b/>
          <w:bCs/>
          <w:color w:val="000000"/>
          <w:sz w:val="24"/>
          <w:szCs w:val="24"/>
          <w:u w:val="single"/>
          <w:lang w:val="en-US" w:eastAsia="zh-CN"/>
        </w:rPr>
        <w:t xml:space="preserve">壹份</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各份具有同等法律效力。</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5.本合同应按照中华人民共和国的现行法律进行解释。</w:t>
      </w:r>
      <w:r>
        <w:rPr>
          <w:rFonts w:hint="eastAsia" w:ascii="宋体" w:hAnsi="宋体" w:eastAsia="宋体" w:cs="宋体"/>
          <w:color w:val="000000"/>
          <w:sz w:val="24"/>
          <w:szCs w:val="24"/>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6.合同修改：除甲乙双方签署书面修改、补充协议，并成为本合同不可分割的一部分之外，本合同条件不得有任何变化或修改。 </w:t>
      </w:r>
      <w:r>
        <w:rPr>
          <w:rFonts w:hint="eastAsia" w:ascii="宋体" w:hAnsi="宋体" w:eastAsia="宋体" w:cs="宋体"/>
          <w:color w:val="000000"/>
          <w:sz w:val="24"/>
          <w:szCs w:val="24"/>
        </w:rPr>
      </w:r>
      <w:r/>
    </w:p>
    <w:p>
      <w:pPr>
        <w:pStyle w:val="675"/>
        <w:ind w:left="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39"/>
        <w:ind w:left="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甲方（公章）：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乙方（公章）：</w:t>
      </w:r>
      <w:r>
        <w:rPr>
          <w:rFonts w:hint="eastAsia" w:ascii="宋体" w:hAnsi="宋体" w:eastAsia="宋体" w:cs="宋体"/>
          <w:color w:val="000000"/>
          <w:sz w:val="24"/>
          <w:szCs w:val="24"/>
        </w:rPr>
      </w:r>
      <w:r/>
    </w:p>
    <w:p>
      <w:pPr>
        <w:pStyle w:val="639"/>
        <w:ind w:left="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法定代表人或授权代表（签字或盖章）：      法定代表人或授权代表（签字或盖章）： </w:t>
      </w:r>
      <w:r>
        <w:rPr>
          <w:rFonts w:hint="eastAsia" w:ascii="宋体" w:hAnsi="宋体" w:eastAsia="宋体" w:cs="宋体"/>
          <w:color w:val="000000"/>
          <w:sz w:val="24"/>
          <w:szCs w:val="24"/>
        </w:rPr>
      </w:r>
      <w:r/>
    </w:p>
    <w:p>
      <w:pPr>
        <w:pStyle w:val="639"/>
        <w:ind w:left="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签约日期：                                签约日期： </w:t>
      </w:r>
      <w:r>
        <w:rPr>
          <w:rFonts w:hint="eastAsia" w:ascii="宋体" w:hAnsi="宋体" w:eastAsia="宋体" w:cs="宋体"/>
          <w:color w:val="000000"/>
          <w:sz w:val="24"/>
          <w:szCs w:val="24"/>
        </w:rPr>
      </w:r>
      <w:r/>
    </w:p>
    <w:p>
      <w:pPr>
        <w:pStyle w:val="639"/>
        <w:ind w:left="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合同签订地：</w:t>
      </w:r>
      <w:r>
        <w:rPr>
          <w:rFonts w:hint="eastAsia" w:ascii="宋体" w:hAnsi="宋体" w:eastAsia="宋体" w:cs="宋体"/>
          <w:b w:val="0"/>
          <w:bCs/>
          <w:color w:val="000000"/>
          <w:sz w:val="24"/>
          <w:szCs w:val="24"/>
          <w:highlight w:val="none"/>
          <w:lang w:eastAsia="zh-CN"/>
        </w:rPr>
        <w:t xml:space="preserve">苏州市吴中区甪直镇人民政府</w:t>
      </w:r>
      <w:r>
        <w:rPr>
          <w:rFonts w:hint="eastAsia" w:ascii="宋体" w:hAnsi="宋体" w:eastAsia="宋体" w:cs="宋体"/>
          <w:b w:val="0"/>
          <w:bCs/>
          <w:color w:val="000000"/>
          <w:sz w:val="24"/>
          <w:szCs w:val="24"/>
          <w:highlight w:val="none"/>
          <w:lang w:eastAsia="zh-CN"/>
        </w:rPr>
      </w:r>
      <w:r/>
    </w:p>
    <w:p>
      <w:pPr>
        <w:pStyle w:val="670"/>
        <w:jc w:val="center"/>
        <w:spacing w:before="0" w:beforeAutospacing="0" w:after="0"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670"/>
        <w:jc w:val="center"/>
        <w:spacing w:before="0" w:beforeAutospacing="0" w:after="0"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四、竞争性磋商程序及磋商小组成员组成</w:t>
      </w:r>
      <w:r>
        <w:rPr>
          <w:rFonts w:hint="eastAsia" w:ascii="宋体" w:hAnsi="宋体" w:eastAsia="宋体" w:cs="宋体"/>
          <w:b/>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（一）程序： </w:t>
      </w: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1.采购代理机构按本须知规定的时间、地点主持磋商采购活动。</w:t>
      </w: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2.由磋商小组审查供应商提交的响应文件。</w:t>
      </w: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.磋商小组要求供应商澄清、说明或者更正响应文件应当以书面形式作出。供应商的澄清、说明或者更正应当由法定代表人或其授权代表签字或者加盖</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公章。由授权代表签字的，应当附法定代表人授权书。供应商为自然人的，应当由本人签字并附身份证。</w:t>
      </w: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.磋商小组所有成员集中与单一供应商分别进行磋商，并给予所有参加磋商的供应商平等的磋商机会。</w:t>
      </w:r>
      <w:r>
        <w:rPr>
          <w:rFonts w:hint="eastAsia" w:ascii="宋体" w:hAnsi="宋体" w:eastAsia="宋体" w:cs="宋体"/>
          <w:color w:val="000000"/>
          <w:sz w:val="24"/>
          <w:szCs w:val="24"/>
          <w:highlight w:val="none"/>
        </w:rPr>
      </w:r>
      <w:r/>
    </w:p>
    <w:p>
      <w:pPr>
        <w:pStyle w:val="639"/>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color w:val="000000"/>
          <w:sz w:val="24"/>
          <w:szCs w:val="24"/>
          <w:highlight w:val="none"/>
        </w:rPr>
      </w:r>
      <w:r/>
    </w:p>
    <w:p>
      <w:pPr>
        <w:pStyle w:val="639"/>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000000"/>
          <w:sz w:val="24"/>
          <w:szCs w:val="24"/>
          <w:highlight w:val="none"/>
        </w:rPr>
      </w:r>
      <w:r/>
    </w:p>
    <w:p>
      <w:pPr>
        <w:pStyle w:val="639"/>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b/>
          <w:color w:val="000000"/>
          <w:sz w:val="24"/>
          <w:szCs w:val="24"/>
          <w:highlight w:val="none"/>
        </w:rPr>
      </w:r>
      <w:r/>
    </w:p>
    <w:p>
      <w:pPr>
        <w:pStyle w:val="639"/>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磋商小组要求重新提交响应文件的并由其法定代表人或授权代表签字确认或者加盖</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公章。由授权代表签字的，应当附法定代表人授权书。供应商为自然人的，应当由本人签字并附身份证。</w:t>
      </w: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.供应商根据磋商情况进行承诺说明并填写承诺函，磋商结束后，要求所有实质性响应的供应商在最后一个供应商磋商结束后十分钟内提交最后报价，提交最后有效报价的供应商不得少于3家。</w:t>
      </w: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.经磋商确定最终采购需求和提交最后报价的供应商后，根据供应商的承诺、响应程度和供应商最后的报价，按照磋商文件规定的成交原则和评审办法进行综合评分。</w:t>
      </w: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.磋商小组根据磋商成交原则确定成交供应商，并将结果通知服务承接商。</w:t>
      </w:r>
      <w:r>
        <w:rPr>
          <w:rFonts w:hint="eastAsia" w:ascii="宋体" w:hAnsi="宋体" w:eastAsia="宋体" w:cs="宋体"/>
          <w:color w:val="000000"/>
          <w:sz w:val="24"/>
          <w:szCs w:val="24"/>
          <w:highlight w:val="none"/>
        </w:rPr>
      </w:r>
      <w:r/>
    </w:p>
    <w:p>
      <w:pPr>
        <w:pStyle w:val="639"/>
        <w:ind w:firstLine="4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.如磋商过程中出现本采购文件未尽事宜，由磋商小组根据政府采购有关法律、法规讨论决定。</w:t>
      </w: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bCs/>
          <w:color w:val="000000"/>
          <w:sz w:val="24"/>
          <w:szCs w:val="24"/>
          <w:highlight w:val="none"/>
          <w:lang w:val="zh-CN"/>
        </w:rPr>
      </w:pPr>
      <w:r/>
      <w:bookmarkStart w:id="9" w:name="_Toc2583655"/>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发出成交通知书</w:t>
      </w:r>
      <w:bookmarkEnd w:id="9"/>
      <w:r>
        <w:rPr>
          <w:rFonts w:hint="eastAsia" w:ascii="宋体" w:hAnsi="宋体" w:eastAsia="宋体" w:cs="宋体"/>
          <w:bCs/>
          <w:color w:val="000000"/>
          <w:sz w:val="24"/>
          <w:szCs w:val="24"/>
          <w:highlight w:val="none"/>
          <w:lang w:val="zh-CN"/>
        </w:rPr>
      </w:r>
      <w:r/>
    </w:p>
    <w:p>
      <w:pPr>
        <w:pStyle w:val="639"/>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采购代理机构按照法定流程发布成交公告，及时在项目交易系统中签发成交通知书。请成交供应商在成交结果公告届满之日起30日内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639"/>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（二）磋商小组成员组成：</w:t>
      </w: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hint="eastAsia" w:ascii="宋体" w:hAnsi="宋体" w:eastAsia="宋体" w:cs="宋体"/>
          <w:color w:val="000000"/>
          <w:sz w:val="24"/>
          <w:szCs w:val="24"/>
          <w:highlight w:val="none"/>
        </w:rPr>
      </w:r>
      <w:r/>
    </w:p>
    <w:p>
      <w:pPr>
        <w:pStyle w:val="63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2.磋商小组成员：采购单位1名，专家2名。</w:t>
      </w:r>
      <w:r>
        <w:rPr>
          <w:rFonts w:hint="eastAsia" w:ascii="宋体" w:hAnsi="宋体" w:eastAsia="宋体" w:cs="宋体"/>
          <w:color w:val="000000"/>
          <w:sz w:val="24"/>
          <w:szCs w:val="24"/>
          <w:highlight w:val="none"/>
        </w:rPr>
      </w:r>
      <w:r/>
    </w:p>
    <w:p>
      <w:pPr>
        <w:pStyle w:val="639"/>
        <w:ind w:firstLine="22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39"/>
        <w:ind w:firstLine="22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39"/>
        <w:ind w:firstLine="22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0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39"/>
        <w:jc w:val="center"/>
        <w:spacing w:line="360" w:lineRule="auto"/>
        <w:tabs>
          <w:tab w:val="left" w:pos="450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bCs/>
          <w:color w:val="000000"/>
          <w:sz w:val="24"/>
          <w:szCs w:val="24"/>
          <w:highlight w:val="none"/>
        </w:rPr>
        <w:t xml:space="preserve">五、评 分 标 准</w:t>
      </w:r>
      <w:r>
        <w:rPr>
          <w:rFonts w:hint="eastAsia" w:ascii="宋体" w:hAnsi="宋体" w:eastAsia="宋体" w:cs="宋体"/>
          <w:color w:val="000000"/>
          <w:sz w:val="24"/>
          <w:szCs w:val="24"/>
          <w:highlight w:val="none"/>
        </w:rPr>
      </w:r>
      <w:r/>
    </w:p>
    <w:p>
      <w:pPr>
        <w:pStyle w:val="639"/>
        <w:spacing w:line="360" w:lineRule="auto"/>
        <w:tabs>
          <w:tab w:val="left" w:pos="287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一、竞争性磋商成交原则：</w:t>
      </w:r>
      <w:r>
        <w:rPr>
          <w:rFonts w:hint="eastAsia" w:ascii="宋体" w:hAnsi="宋体" w:eastAsia="宋体" w:cs="宋体"/>
          <w:b/>
          <w:color w:val="000000"/>
          <w:sz w:val="24"/>
          <w:szCs w:val="24"/>
          <w:highlight w:val="none"/>
        </w:rPr>
      </w:r>
      <w:r/>
    </w:p>
    <w:p>
      <w:pPr>
        <w:pStyle w:val="639"/>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经磋商确定</w:t>
      </w:r>
      <w:r>
        <w:rPr>
          <w:rFonts w:hint="eastAsia" w:ascii="宋体" w:hAnsi="宋体" w:eastAsia="宋体" w:cs="宋体"/>
          <w:bCs/>
          <w:color w:val="000000"/>
          <w:sz w:val="24"/>
          <w:szCs w:val="24"/>
          <w:highlight w:val="none"/>
        </w:rPr>
        <w:t xml:space="preserve">最终采购需求和提交最后报价的供应商后，由磋商小组采用综合评分法对提交最后报价的供应商的响应文件和最后报价进行综合评分。</w:t>
      </w:r>
      <w:r>
        <w:rPr>
          <w:rFonts w:hint="eastAsia" w:ascii="宋体" w:hAnsi="宋体" w:eastAsia="宋体" w:cs="宋体"/>
          <w:bCs/>
          <w:color w:val="000000"/>
          <w:sz w:val="24"/>
          <w:szCs w:val="24"/>
          <w:highlight w:val="none"/>
        </w:rPr>
      </w:r>
      <w:r/>
    </w:p>
    <w:p>
      <w:pPr>
        <w:pStyle w:val="639"/>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综合评分法指响应文件满足磋商文件全部实质性要求且按评审因素的量化指标评审得分最高的供应商为成交候选单位的评审方法。评审时，磋商小组各成员应当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639"/>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综合评分法中的价格分统一采用低价优先法计算，即满足磋商文件要求且最后报价最低的供应商的价格为磋商基准价，其价格分为满分。其他供应商的价格分统一按照下列公式计算：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color w:val="000000"/>
          <w:sz w:val="24"/>
          <w:szCs w:val="24"/>
          <w:highlight w:val="none"/>
        </w:rPr>
      </w:r>
      <w:r/>
    </w:p>
    <w:p>
      <w:pPr>
        <w:pStyle w:val="639"/>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磋商报价得分=（磋商基准价/最后磋商报价）×价格权值×100（项目评审过程中，不得去掉最后报价中的最高报价和最低报价）。</w:t>
      </w:r>
      <w:r>
        <w:rPr>
          <w:rFonts w:hint="eastAsia" w:ascii="宋体" w:hAnsi="宋体" w:eastAsia="宋体" w:cs="宋体"/>
          <w:color w:val="000000"/>
          <w:sz w:val="24"/>
          <w:szCs w:val="24"/>
          <w:highlight w:val="none"/>
        </w:rPr>
      </w:r>
      <w:r/>
    </w:p>
    <w:p>
      <w:pPr>
        <w:pStyle w:val="639"/>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中小企业</w:t>
      </w:r>
      <w:r>
        <w:rPr>
          <w:rFonts w:hint="eastAsia" w:ascii="宋体" w:hAnsi="宋体" w:eastAsia="宋体" w:cs="宋体"/>
          <w:color w:val="000000"/>
          <w:sz w:val="24"/>
          <w:szCs w:val="24"/>
          <w:highlight w:val="none"/>
          <w:lang w:val="en-US" w:eastAsia="zh-CN"/>
        </w:rPr>
        <w:t xml:space="preserve">折扣</w:t>
      </w:r>
      <w:r>
        <w:rPr>
          <w:rFonts w:hint="eastAsia" w:ascii="宋体" w:hAnsi="宋体" w:eastAsia="宋体" w:cs="宋体"/>
          <w:color w:val="000000"/>
          <w:sz w:val="24"/>
          <w:szCs w:val="24"/>
          <w:highlight w:val="none"/>
          <w:lang w:val="en-US" w:eastAsia="zh-CN"/>
        </w:rPr>
      </w:r>
      <w:r/>
    </w:p>
    <w:p>
      <w:pPr>
        <w:pStyle w:val="639"/>
        <w:ind w:left="0" w:right="0" w:firstLine="420"/>
        <w:pageBreakBefore w:val="0"/>
        <w:spacing w:beforeAutospacing="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bCs/>
          <w:color w:val="000000"/>
          <w:sz w:val="24"/>
          <w:szCs w:val="24"/>
          <w:highlight w:val="none"/>
        </w:rPr>
        <w:t xml:space="preserve">20%</w:t>
      </w:r>
      <w:r>
        <w:rPr>
          <w:rFonts w:hint="eastAsia" w:ascii="宋体" w:hAnsi="宋体" w:eastAsia="宋体" w:cs="宋体"/>
          <w:color w:val="000000"/>
          <w:sz w:val="24"/>
          <w:szCs w:val="24"/>
          <w:highlight w:val="none"/>
        </w:rPr>
        <w:t xml:space="preserve">的扣除，用扣除后的价格参与评审，如扣除后的价格为最低价的，则作为评标基准价，</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金额则以实际报价为准。残疾人福利性单位属于小型、微型企业的，不重复享受政策。</w:t>
      </w:r>
      <w:r>
        <w:rPr>
          <w:rFonts w:hint="eastAsia" w:ascii="宋体" w:hAnsi="宋体" w:eastAsia="宋体" w:cs="宋体"/>
          <w:b/>
          <w:bCs/>
          <w:color w:val="000000"/>
          <w:sz w:val="24"/>
          <w:szCs w:val="24"/>
          <w:highlight w:val="none"/>
        </w:rPr>
        <w:t xml:space="preserve">本项目所属行业为：软件和信息技术服务业。</w:t>
      </w:r>
      <w:r>
        <w:rPr>
          <w:rFonts w:hint="eastAsia" w:ascii="宋体" w:hAnsi="宋体" w:eastAsia="宋体" w:cs="宋体"/>
          <w:b/>
          <w:bCs/>
          <w:color w:val="000000"/>
          <w:sz w:val="24"/>
          <w:szCs w:val="24"/>
          <w:highlight w:val="none"/>
        </w:rPr>
      </w:r>
      <w:r/>
    </w:p>
    <w:p>
      <w:pPr>
        <w:pStyle w:val="639"/>
        <w:ind w:left="0" w:right="0" w:firstLine="42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残疾人福利性单位</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监狱企业属于小型、微型企业的，不重复享受政策。</w:t>
      </w:r>
      <w:r>
        <w:rPr>
          <w:rFonts w:hint="eastAsia" w:ascii="宋体" w:hAnsi="宋体" w:eastAsia="宋体" w:cs="宋体"/>
          <w:color w:val="000000"/>
          <w:sz w:val="24"/>
          <w:szCs w:val="24"/>
          <w:highlight w:val="none"/>
        </w:rPr>
      </w:r>
      <w:r/>
    </w:p>
    <w:p>
      <w:pPr>
        <w:pStyle w:val="639"/>
        <w:ind w:left="0" w:right="0" w:firstLine="42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rPr>
          <w:rFonts w:hint="eastAsia" w:ascii="宋体" w:hAnsi="宋体" w:eastAsia="宋体" w:cs="宋体"/>
          <w:color w:val="000000"/>
          <w:sz w:val="24"/>
          <w:szCs w:val="24"/>
          <w:highlight w:val="none"/>
        </w:rPr>
      </w:r>
      <w:r/>
    </w:p>
    <w:p>
      <w:pPr>
        <w:pStyle w:val="639"/>
        <w:ind w:left="0" w:right="0" w:firstLine="420"/>
        <w:keepLines w:val="0"/>
        <w:keepNext w:val="0"/>
        <w:spacing w:line="360" w:lineRule="auto"/>
        <w:rPr>
          <w:rFonts w:hint="eastAsia" w:ascii="宋体" w:hAnsi="宋体" w:eastAsia="宋体" w:cs="宋体"/>
          <w:color w:val="000000"/>
          <w:sz w:val="24"/>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rPr>
        <w:t xml:space="preserve">评</w:t>
      </w:r>
      <w:r>
        <w:rPr>
          <w:rFonts w:hint="eastAsia" w:ascii="宋体" w:hAnsi="宋体" w:eastAsia="宋体" w:cs="宋体"/>
          <w:color w:val="000000"/>
          <w:sz w:val="24"/>
        </w:rPr>
        <w:t xml:space="preserve">审过程中出现下列情形之一的，评审委员会应当启动异常低价投标（响应）审查程序：</w:t>
      </w:r>
      <w:r>
        <w:rPr>
          <w:rFonts w:hint="eastAsia" w:ascii="宋体" w:hAnsi="宋体" w:eastAsia="宋体" w:cs="宋体"/>
          <w:color w:val="000000"/>
          <w:sz w:val="24"/>
        </w:rPr>
      </w:r>
      <w:r/>
    </w:p>
    <w:p>
      <w:pPr>
        <w:pStyle w:val="639"/>
        <w:ind w:firstLine="470"/>
        <w:spacing w:line="44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rPr>
      </w:r>
      <w:r/>
    </w:p>
    <w:p>
      <w:pPr>
        <w:pStyle w:val="639"/>
        <w:ind w:firstLine="470"/>
        <w:spacing w:line="44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rPr>
      </w:r>
      <w:r/>
    </w:p>
    <w:p>
      <w:pPr>
        <w:pStyle w:val="639"/>
        <w:ind w:firstLine="470"/>
        <w:spacing w:line="44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投标（响应）报价低于采购项目最高限价45%的，即投标（响应）报价&lt;采购项目最高限价×45%；</w:t>
      </w:r>
      <w:r>
        <w:rPr>
          <w:rFonts w:hint="eastAsia" w:ascii="宋体" w:hAnsi="宋体" w:eastAsia="宋体" w:cs="宋体"/>
          <w:color w:val="000000"/>
          <w:sz w:val="24"/>
        </w:rPr>
      </w:r>
      <w:r/>
    </w:p>
    <w:p>
      <w:pPr>
        <w:pStyle w:val="639"/>
        <w:ind w:firstLine="470"/>
        <w:spacing w:line="44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评审委员会基于专业判断，认为供应商报价过低，有可能影响产品质量或者不能诚信履约的其他情形。</w:t>
      </w:r>
      <w:r>
        <w:rPr>
          <w:rFonts w:hint="eastAsia" w:ascii="宋体" w:hAnsi="宋体" w:eastAsia="宋体" w:cs="宋体"/>
          <w:color w:val="000000"/>
          <w:sz w:val="24"/>
        </w:rPr>
      </w:r>
      <w:r/>
    </w:p>
    <w:p>
      <w:pPr>
        <w:pStyle w:val="639"/>
        <w:ind w:firstLine="480"/>
        <w:spacing w:line="460" w:lineRule="exact"/>
        <w:rPr>
          <w:rFonts w:hint="eastAsia" w:ascii="宋体" w:hAnsi="宋体" w:eastAsia="宋体" w:cs="宋体"/>
          <w:b/>
          <w:color w:val="000000"/>
          <w:sz w:val="24"/>
          <w:szCs w:val="24"/>
        </w:rPr>
      </w:pPr>
      <w:r>
        <w:rPr>
          <w:rFonts w:hint="eastAsia" w:ascii="宋体" w:hAnsi="宋体" w:eastAsia="宋体" w:cs="宋体"/>
          <w:color w:val="000000"/>
          <w:sz w:val="24"/>
        </w:rPr>
        <w:t xml:space="preserve">启动异常低价投标（响应）审查后，评审委员会应当要求相关供应商在评审现场合理的时间内对投标（响应）价格作出解释，提供项目具体成本测算等与报价合理性相关的书面说明及必要的证明材</w:t>
      </w:r>
      <w:r>
        <w:rPr>
          <w:rFonts w:hint="eastAsia" w:ascii="宋体" w:hAnsi="宋体" w:eastAsia="宋体" w:cs="宋体"/>
          <w:color w:val="000000"/>
          <w:sz w:val="24"/>
        </w:rPr>
        <w:t xml:space="preserve">料，包括但不限于原材料成本、人工成本、制造费用等，给予相关供应商的合理时间（30分钟内）。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color w:val="000000"/>
          <w:sz w:val="24"/>
          <w:szCs w:val="24"/>
        </w:rPr>
      </w:r>
      <w:r/>
    </w:p>
    <w:p>
      <w:pPr>
        <w:pStyle w:val="675"/>
        <w:rPr>
          <w:rFonts w:hint="eastAsia" w:ascii="宋体" w:hAnsi="宋体" w:eastAsia="宋体" w:cs="宋体"/>
          <w:color w:val="000000"/>
        </w:rPr>
      </w:pPr>
      <w:r>
        <w:rPr>
          <w:rFonts w:hint="eastAsia" w:ascii="宋体" w:hAnsi="宋体" w:eastAsia="宋体" w:cs="宋体"/>
          <w:color w:val="000000"/>
        </w:rPr>
      </w:r>
      <w:r/>
    </w:p>
    <w:p>
      <w:pPr>
        <w:pStyle w:val="639"/>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二、评分标准：</w:t>
      </w:r>
      <w:r>
        <w:rPr>
          <w:rFonts w:hint="eastAsia" w:ascii="宋体" w:hAnsi="宋体" w:eastAsia="宋体" w:cs="宋体"/>
          <w:b/>
          <w:color w:val="000000"/>
          <w:sz w:val="24"/>
          <w:szCs w:val="24"/>
          <w:highlight w:val="none"/>
        </w:rPr>
      </w:r>
      <w:r/>
    </w:p>
    <w:p>
      <w:pPr>
        <w:pStyle w:val="639"/>
        <w:ind w:firstLine="54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rPr>
        <w:t xml:space="preserve">磋商</w:t>
      </w:r>
      <w:r>
        <w:rPr>
          <w:rFonts w:hint="eastAsia" w:ascii="宋体" w:hAnsi="宋体" w:eastAsia="宋体" w:cs="宋体"/>
          <w:color w:val="000000"/>
          <w:sz w:val="24"/>
          <w:szCs w:val="24"/>
          <w:highlight w:val="none"/>
        </w:rPr>
        <w:t xml:space="preserve">采购的评标方法采用综合评估方法，即在最大限度地满足磋商采购文件实质性要求前提下，按照磋商采购文件中规定的各项因素进行综合评审。总分为100分，评审因素及各比重如下：价格分为</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0</w:t>
      </w:r>
      <w:r>
        <w:rPr>
          <w:rFonts w:hint="eastAsia" w:ascii="宋体" w:hAnsi="宋体" w:eastAsia="宋体" w:cs="宋体"/>
          <w:color w:val="000000"/>
          <w:sz w:val="24"/>
          <w:szCs w:val="24"/>
          <w:highlight w:val="none"/>
        </w:rPr>
        <w:t xml:space="preserve">分，技术部分、响应单位资质部分等为</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0</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39"/>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（一）价格分（</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0分）</w:t>
      </w:r>
      <w:r>
        <w:rPr>
          <w:rFonts w:hint="eastAsia" w:ascii="宋体" w:hAnsi="宋体" w:eastAsia="宋体" w:cs="宋体"/>
          <w:b/>
          <w:bCs/>
          <w:color w:val="000000"/>
          <w:sz w:val="24"/>
          <w:szCs w:val="24"/>
          <w:highlight w:val="none"/>
        </w:rPr>
      </w:r>
      <w:r/>
    </w:p>
    <w:p>
      <w:pPr>
        <w:pStyle w:val="639"/>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第一步：响应报价低于或等于预算价格的，为有效响应报价。超出此范围的响应报价为无效响应报价。无效响应报价的响应文件不进行评审，也不得标。</w:t>
      </w:r>
      <w:r>
        <w:rPr>
          <w:rFonts w:hint="eastAsia" w:ascii="宋体" w:hAnsi="宋体" w:eastAsia="宋体" w:cs="宋体"/>
          <w:color w:val="000000"/>
          <w:sz w:val="24"/>
          <w:szCs w:val="24"/>
          <w:highlight w:val="none"/>
        </w:rPr>
      </w:r>
      <w:r/>
    </w:p>
    <w:p>
      <w:pPr>
        <w:pStyle w:val="639"/>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第二步：在所有有效响应报价中选择报价最低的确定为基准报价。</w:t>
      </w:r>
      <w:r>
        <w:rPr>
          <w:rFonts w:hint="eastAsia" w:ascii="宋体" w:hAnsi="宋体" w:eastAsia="宋体" w:cs="宋体"/>
          <w:color w:val="000000"/>
          <w:sz w:val="24"/>
          <w:szCs w:val="24"/>
          <w:highlight w:val="none"/>
        </w:rPr>
      </w:r>
      <w:r/>
    </w:p>
    <w:p>
      <w:pPr>
        <w:pStyle w:val="639"/>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第三步：将所有有效报价与基准报价相比较：等于基准报价的得10分，其他响应单位的价格分按照下列公式计算（计算结果四舍五入保留两位小数）：</w:t>
      </w:r>
      <w:r>
        <w:rPr>
          <w:rFonts w:hint="eastAsia" w:ascii="宋体" w:hAnsi="宋体" w:eastAsia="宋体" w:cs="宋体"/>
          <w:color w:val="000000"/>
          <w:sz w:val="24"/>
          <w:szCs w:val="24"/>
          <w:highlight w:val="none"/>
        </w:rPr>
      </w:r>
      <w:r/>
    </w:p>
    <w:p>
      <w:pPr>
        <w:pStyle w:val="639"/>
        <w:ind w:firstLine="422"/>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 xml:space="preserve">响应报价得分＝（基准报价/响应报价）×</w:t>
      </w:r>
      <w:r>
        <w:rPr>
          <w:rFonts w:hint="eastAsia" w:ascii="宋体" w:hAnsi="宋体" w:eastAsia="宋体" w:cs="宋体"/>
          <w:b/>
          <w:color w:val="000000"/>
          <w:sz w:val="24"/>
          <w:szCs w:val="24"/>
          <w:highlight w:val="none"/>
          <w:u w:val="single"/>
          <w:lang w:val="en-US" w:eastAsia="zh-CN"/>
        </w:rPr>
        <w:t xml:space="preserve">1</w:t>
      </w:r>
      <w:r>
        <w:rPr>
          <w:rFonts w:hint="eastAsia" w:ascii="宋体" w:hAnsi="宋体" w:eastAsia="宋体" w:cs="宋体"/>
          <w:b/>
          <w:color w:val="000000"/>
          <w:sz w:val="24"/>
          <w:szCs w:val="24"/>
          <w:highlight w:val="none"/>
          <w:u w:val="single"/>
        </w:rPr>
        <w:t xml:space="preserve">0％×100</w:t>
      </w:r>
      <w:r>
        <w:rPr>
          <w:rFonts w:hint="eastAsia" w:ascii="宋体" w:hAnsi="宋体" w:eastAsia="宋体" w:cs="宋体"/>
          <w:b/>
          <w:color w:val="000000"/>
          <w:sz w:val="24"/>
          <w:szCs w:val="24"/>
          <w:highlight w:val="none"/>
          <w:u w:val="single"/>
        </w:rPr>
      </w:r>
      <w:r/>
    </w:p>
    <w:p>
      <w:pPr>
        <w:pStyle w:val="639"/>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39"/>
        <w:ind w:left="0" w:firstLine="422"/>
        <w:jc w:val="left"/>
        <w:spacing w:line="360" w:lineRule="auto"/>
        <w:rPr>
          <w:rFonts w:hint="eastAsia" w:ascii="宋体" w:hAnsi="宋体" w:eastAsia="宋体" w:cs="宋体"/>
          <w:b/>
          <w:color w:val="ff0000"/>
          <w:sz w:val="24"/>
          <w:szCs w:val="24"/>
        </w:rPr>
        <w:outlineLvl w:val="1"/>
      </w:pPr>
      <w:r>
        <w:rPr>
          <w:rFonts w:hint="eastAsia" w:ascii="宋体" w:hAnsi="宋体" w:eastAsia="宋体" w:cs="宋体"/>
          <w:b/>
          <w:color w:val="ff0000"/>
          <w:sz w:val="24"/>
          <w:szCs w:val="24"/>
        </w:rPr>
        <w:t xml:space="preserve">（二）技术方案（</w:t>
      </w:r>
      <w:r>
        <w:rPr>
          <w:rFonts w:hint="eastAsia" w:ascii="宋体" w:hAnsi="宋体" w:cs="宋体"/>
          <w:b/>
          <w:color w:val="ff0000"/>
          <w:sz w:val="24"/>
          <w:szCs w:val="24"/>
          <w:lang w:val="en-US" w:eastAsia="zh-CN"/>
        </w:rPr>
        <w:t xml:space="preserve">57</w:t>
      </w:r>
      <w:r>
        <w:rPr>
          <w:rFonts w:hint="eastAsia" w:ascii="宋体" w:hAnsi="宋体" w:eastAsia="宋体" w:cs="宋体"/>
          <w:b/>
          <w:color w:val="ff0000"/>
          <w:sz w:val="24"/>
          <w:szCs w:val="24"/>
        </w:rPr>
        <w:t xml:space="preserve">分）</w:t>
      </w:r>
      <w:r>
        <w:rPr>
          <w:rFonts w:hint="eastAsia" w:ascii="宋体" w:hAnsi="宋体" w:eastAsia="宋体" w:cs="宋体"/>
          <w:b/>
          <w:color w:val="ff0000"/>
          <w:sz w:val="24"/>
          <w:szCs w:val="24"/>
        </w:rPr>
      </w:r>
      <w:r/>
    </w:p>
    <w:p>
      <w:pPr>
        <w:pStyle w:val="639"/>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1.常见故障与处理流程方案（8分）</w:t>
      </w:r>
      <w:r>
        <w:rPr>
          <w:rFonts w:hint="eastAsia" w:ascii="宋体" w:hAnsi="宋体" w:eastAsia="宋体" w:cs="宋体"/>
          <w:b/>
          <w:color w:val="000000"/>
          <w:sz w:val="24"/>
          <w:szCs w:val="24"/>
        </w:rPr>
      </w:r>
      <w:r/>
    </w:p>
    <w:p>
      <w:pPr>
        <w:pStyle w:val="639"/>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符合现阶段道路监控的常见故障分析与处理流程图方案，方案包含但不限于：常见故障的快速定位、无图像处理流程、通讯故障排查流程、常见网络排查命令及使用方法、设备故障排查流程；质量管理体系完善、各控制要点明确的方案全面、合理、科学的得8分；方案比较全面、合理、科学得5分；方案简单、合理性欠缺的得3分；不提供不得分。</w:t>
      </w:r>
      <w:r>
        <w:rPr>
          <w:rFonts w:hint="eastAsia" w:ascii="宋体" w:hAnsi="宋体" w:eastAsia="宋体" w:cs="宋体"/>
          <w:color w:val="000000"/>
          <w:sz w:val="24"/>
          <w:szCs w:val="24"/>
        </w:rPr>
      </w:r>
      <w:r/>
    </w:p>
    <w:p>
      <w:pPr>
        <w:pStyle w:val="639"/>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w:t>
      </w: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 xml:space="preserve">提供网络通讯保障方案（8分）</w:t>
      </w:r>
      <w:r>
        <w:rPr>
          <w:rFonts w:hint="eastAsia" w:ascii="宋体" w:hAnsi="宋体" w:eastAsia="宋体" w:cs="宋体"/>
          <w:b/>
          <w:color w:val="000000"/>
          <w:sz w:val="24"/>
          <w:szCs w:val="24"/>
        </w:rPr>
      </w:r>
      <w:r/>
    </w:p>
    <w:p>
      <w:pPr>
        <w:pStyle w:val="639"/>
        <w:ind w:left="0" w:firstLine="42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道路监控网络通讯保障方案，包含但不限于：专网通讯保障，维护架构清晰、技术先进、维护简易、通讯保障处置能力得到保障的得8分；可满足使用要求、网络维护技术传统、故障难查找、解决时间得不到保障得5分；通讯保障方案结构复杂、执行效率低下的得3分；未提供不得分。</w:t>
      </w:r>
      <w:r>
        <w:rPr>
          <w:rFonts w:hint="eastAsia" w:ascii="宋体" w:hAnsi="宋体" w:eastAsia="宋体" w:cs="宋体"/>
          <w:color w:val="000000"/>
          <w:sz w:val="24"/>
          <w:szCs w:val="24"/>
        </w:rPr>
      </w:r>
      <w:r/>
    </w:p>
    <w:p>
      <w:pPr>
        <w:pStyle w:val="639"/>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3.针对本项目的理解（9分）</w:t>
      </w:r>
      <w:r>
        <w:rPr>
          <w:rFonts w:hint="eastAsia" w:ascii="宋体" w:hAnsi="宋体" w:eastAsia="宋体" w:cs="宋体"/>
          <w:b/>
          <w:color w:val="000000"/>
          <w:sz w:val="24"/>
          <w:szCs w:val="24"/>
        </w:rPr>
      </w:r>
      <w:r/>
    </w:p>
    <w:p>
      <w:pPr>
        <w:pStyle w:val="639"/>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本项目的阐述，对服务目标和要求充分理解，提供服务的范围和规划。掌握、理解分析准确、专业性强、深入程度高、与用户需求贴合度高的得9分；理解分析较准确、专业性较强、深入程度较高，与用户需求贴合度较高的得6分；理解分析不够准确、专业性不强、深入程度不够、与用户需求贴合度不强的得3分；未提供方案的不得分。</w:t>
      </w:r>
      <w:r>
        <w:rPr>
          <w:rFonts w:hint="eastAsia" w:ascii="宋体" w:hAnsi="宋体" w:eastAsia="宋体" w:cs="宋体"/>
          <w:color w:val="000000"/>
          <w:sz w:val="24"/>
          <w:szCs w:val="24"/>
        </w:rPr>
      </w:r>
      <w:r/>
    </w:p>
    <w:p>
      <w:pPr>
        <w:pStyle w:val="639"/>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4.监控应急保障方案（</w:t>
      </w:r>
      <w:r>
        <w:rPr>
          <w:rFonts w:hint="eastAsia" w:ascii="宋体" w:hAnsi="宋体" w:cs="宋体"/>
          <w:b/>
          <w:color w:val="000000"/>
          <w:sz w:val="24"/>
          <w:szCs w:val="24"/>
          <w:lang w:val="en-US" w:eastAsia="zh-CN"/>
        </w:rPr>
        <w:t xml:space="preserve">9</w:t>
      </w:r>
      <w:r>
        <w:rPr>
          <w:rFonts w:hint="eastAsia" w:ascii="宋体" w:hAnsi="宋体" w:eastAsia="宋体" w:cs="宋体"/>
          <w:b/>
          <w:color w:val="000000"/>
          <w:sz w:val="24"/>
          <w:szCs w:val="24"/>
        </w:rPr>
        <w:t xml:space="preserve">分）</w:t>
      </w:r>
      <w:r>
        <w:rPr>
          <w:rFonts w:hint="eastAsia" w:ascii="宋体" w:hAnsi="宋体" w:eastAsia="宋体" w:cs="宋体"/>
          <w:b/>
          <w:color w:val="000000"/>
          <w:sz w:val="24"/>
          <w:szCs w:val="24"/>
        </w:rPr>
      </w:r>
      <w:r/>
    </w:p>
    <w:p>
      <w:pPr>
        <w:pStyle w:val="639"/>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供应商提供完善的应急保障方案，包括但不限于：保障人员、保障团队、保障内容（系统保障、应急保障措施、应急保障维护流程图、应急电源配备），方案详细、合理、科学的得</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分；方案较详细、较合理、较科学得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分；方案简单不详细、合理性欠缺的得3分；不提供不得分。</w:t>
      </w:r>
      <w:r>
        <w:rPr>
          <w:rFonts w:hint="eastAsia" w:ascii="宋体" w:hAnsi="宋体" w:eastAsia="宋体" w:cs="宋体"/>
          <w:color w:val="000000"/>
          <w:sz w:val="24"/>
          <w:szCs w:val="24"/>
        </w:rPr>
      </w:r>
      <w:r/>
    </w:p>
    <w:p>
      <w:pPr>
        <w:pStyle w:val="639"/>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5.视频联网技术方案（8分）</w:t>
      </w:r>
      <w:r>
        <w:rPr>
          <w:rFonts w:hint="eastAsia" w:ascii="宋体" w:hAnsi="宋体" w:eastAsia="宋体" w:cs="宋体"/>
          <w:b/>
          <w:color w:val="000000"/>
          <w:sz w:val="24"/>
          <w:szCs w:val="24"/>
        </w:rPr>
      </w:r>
      <w:r/>
    </w:p>
    <w:p>
      <w:pPr>
        <w:pStyle w:val="639"/>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针对现有平台的联网方案，分别为视频设备接入与特征识别设备接入，方案包含但不限于：系统架构、安装场景、客观因素的影响、关键性作用、传输保障、安装规范、图像调节。描述准确、内容完整、与实际情况贴合度高的得8分；描述较准确、内容较完整、与实际情况贴合度较高的得5分；描述不准确、内容不完整、与实际情况贴合度不高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分；不提供不得分。</w:t>
      </w:r>
      <w:r>
        <w:rPr>
          <w:rFonts w:hint="eastAsia" w:ascii="宋体" w:hAnsi="宋体" w:eastAsia="宋体" w:cs="宋体"/>
          <w:color w:val="000000"/>
          <w:sz w:val="24"/>
          <w:szCs w:val="24"/>
        </w:rPr>
      </w:r>
      <w:r/>
    </w:p>
    <w:p>
      <w:pPr>
        <w:pStyle w:val="639"/>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6.</w:t>
      </w:r>
      <w:bookmarkStart w:id="10" w:name="OLE_LINK5"/>
      <w:r>
        <w:rPr>
          <w:rFonts w:hint="eastAsia" w:ascii="宋体" w:hAnsi="宋体" w:eastAsia="宋体" w:cs="宋体"/>
          <w:b/>
          <w:color w:val="000000"/>
          <w:sz w:val="24"/>
          <w:szCs w:val="24"/>
        </w:rPr>
        <w:t xml:space="preserve">针对本项目的安全保密制度方案比较</w:t>
      </w:r>
      <w:bookmarkEnd w:id="10"/>
      <w:r>
        <w:rPr>
          <w:rFonts w:hint="eastAsia" w:ascii="宋体" w:hAnsi="宋体" w:eastAsia="宋体" w:cs="宋体"/>
          <w:b/>
          <w:color w:val="000000"/>
          <w:sz w:val="24"/>
          <w:szCs w:val="24"/>
        </w:rPr>
        <w:t xml:space="preserve">（</w:t>
      </w:r>
      <w:r>
        <w:rPr>
          <w:rFonts w:hint="eastAsia" w:ascii="宋体" w:hAnsi="宋体" w:cs="宋体"/>
          <w:b/>
          <w:color w:val="000000"/>
          <w:sz w:val="24"/>
          <w:szCs w:val="24"/>
          <w:lang w:val="en-US" w:eastAsia="zh-CN"/>
        </w:rPr>
        <w:t xml:space="preserve">9</w:t>
      </w:r>
      <w:r>
        <w:rPr>
          <w:rFonts w:hint="eastAsia" w:ascii="宋体" w:hAnsi="宋体" w:eastAsia="宋体" w:cs="宋体"/>
          <w:b/>
          <w:color w:val="000000"/>
          <w:sz w:val="24"/>
          <w:szCs w:val="24"/>
        </w:rPr>
        <w:t xml:space="preserve">分）</w:t>
      </w:r>
      <w:r>
        <w:rPr>
          <w:rFonts w:hint="eastAsia" w:ascii="宋体" w:hAnsi="宋体" w:eastAsia="宋体" w:cs="宋体"/>
          <w:b/>
          <w:color w:val="000000"/>
          <w:sz w:val="24"/>
          <w:szCs w:val="24"/>
        </w:rPr>
      </w:r>
      <w:r/>
    </w:p>
    <w:p>
      <w:pPr>
        <w:pStyle w:val="639"/>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供应商提供的针对本服务项目的安全保密方案，包含但不限于：项目安全的保密制度、培训机制、实操规则、安全档案管理方案的合理性、完善性、规范性、清晰性、可操作性高的得</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分；管理制度方案的合理性、完善性、规范性、清晰性、可操作性较高的得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分；管理制度方案合理性、完善性、规范性、清晰性、可操作性不高的得3分；不提供不得分。</w:t>
      </w:r>
      <w:r>
        <w:rPr>
          <w:rFonts w:hint="eastAsia" w:ascii="宋体" w:hAnsi="宋体" w:eastAsia="宋体" w:cs="宋体"/>
          <w:color w:val="000000"/>
          <w:sz w:val="24"/>
          <w:szCs w:val="24"/>
        </w:rPr>
      </w:r>
      <w:r/>
    </w:p>
    <w:p>
      <w:pPr>
        <w:pStyle w:val="639"/>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ff0000"/>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ff0000"/>
          <w:spacing w:val="0"/>
          <w:sz w:val="24"/>
          <w:szCs w:val="24"/>
          <w:shd w:val="clear" w:color="auto" w:fill="ffffff"/>
          <w:lang w:val="en-US" w:eastAsia="zh-CN" w:bidi="ar"/>
        </w:rPr>
        <w:t xml:space="preserve">7.针对本项目的项目运行管理制度（6分）</w:t>
      </w:r>
      <w:r>
        <w:rPr>
          <w:rFonts w:hint="eastAsia" w:ascii="宋体" w:hAnsi="宋体" w:eastAsia="宋体" w:cs="宋体"/>
          <w:b/>
          <w:bCs/>
          <w:i w:val="0"/>
          <w:iCs w:val="0"/>
          <w:caps w:val="0"/>
          <w:color w:val="ff0000"/>
          <w:spacing w:val="0"/>
          <w:sz w:val="24"/>
          <w:szCs w:val="24"/>
          <w:shd w:val="clear" w:color="auto" w:fill="ffffff"/>
          <w:lang w:val="en-US" w:eastAsia="zh-CN" w:bidi="ar"/>
        </w:rPr>
        <w:tab/>
      </w:r>
      <w:r>
        <w:rPr>
          <w:rFonts w:hint="eastAsia" w:ascii="宋体" w:hAnsi="宋体" w:eastAsia="宋体" w:cs="宋体"/>
          <w:b w:val="0"/>
          <w:bCs w:val="0"/>
          <w:i w:val="0"/>
          <w:iCs w:val="0"/>
          <w:caps w:val="0"/>
          <w:color w:val="ff0000"/>
          <w:spacing w:val="0"/>
          <w:sz w:val="24"/>
          <w:szCs w:val="24"/>
          <w:shd w:val="clear" w:color="auto" w:fill="ffffff"/>
          <w:lang w:val="en-US" w:eastAsia="zh-CN" w:bidi="ar"/>
        </w:rPr>
      </w:r>
      <w:r/>
    </w:p>
    <w:p>
      <w:pPr>
        <w:pStyle w:val="639"/>
        <w:ind w:left="0" w:firstLine="422"/>
        <w:jc w:val="left"/>
        <w:spacing w:line="360" w:lineRule="auto"/>
        <w:rPr>
          <w:rFonts w:hint="eastAsia" w:ascii="宋体" w:hAnsi="宋体" w:eastAsia="宋体" w:cs="宋体"/>
          <w:b w:val="0"/>
          <w:bCs w:val="0"/>
          <w:i w:val="0"/>
          <w:iCs w:val="0"/>
          <w:caps w:val="0"/>
          <w:color w:val="ff0000"/>
          <w:spacing w:val="0"/>
          <w:sz w:val="24"/>
          <w:szCs w:val="24"/>
          <w:shd w:val="clear" w:color="auto" w:fill="ffffff"/>
          <w:lang w:val="en-US" w:eastAsia="zh-CN" w:bidi="ar"/>
        </w:rPr>
        <w:outlineLvl w:val="1"/>
      </w:pP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供应商针对本项目提供项目运行管理制度，包括但不限于管理规范、档案管理制度、人员职责等，制度完善合理、专业性强、可操作性强、与用户需求贴合度高的得6分；制度较合理、专业性较强、可操作性较强、与用户需求贴合度较高的得3分；制度不够合理、专业性一般、可操作性一般、与用户需求贴合度一般的得1分；不提供不得分。</w:t>
      </w:r>
      <w:r>
        <w:rPr>
          <w:rFonts w:hint="eastAsia" w:ascii="宋体" w:hAnsi="宋体" w:eastAsia="宋体" w:cs="宋体"/>
          <w:b w:val="0"/>
          <w:bCs w:val="0"/>
          <w:i w:val="0"/>
          <w:iCs w:val="0"/>
          <w:caps w:val="0"/>
          <w:color w:val="ff0000"/>
          <w:spacing w:val="0"/>
          <w:sz w:val="24"/>
          <w:szCs w:val="24"/>
          <w:shd w:val="clear" w:color="auto" w:fill="ffffff"/>
          <w:lang w:val="en-US" w:eastAsia="zh-CN" w:bidi="ar"/>
        </w:rPr>
      </w:r>
      <w:r/>
    </w:p>
    <w:p>
      <w:pPr>
        <w:pStyle w:val="639"/>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（三）售后服务效率比较：（8分）</w:t>
      </w:r>
      <w:r>
        <w:rPr>
          <w:rFonts w:hint="eastAsia" w:ascii="宋体" w:hAnsi="宋体" w:eastAsia="宋体" w:cs="宋体"/>
          <w:b/>
          <w:color w:val="000000"/>
          <w:sz w:val="24"/>
          <w:szCs w:val="24"/>
        </w:rPr>
      </w:r>
      <w:r/>
    </w:p>
    <w:p>
      <w:pPr>
        <w:pStyle w:val="639"/>
        <w:ind w:left="0" w:firstLine="422"/>
        <w:jc w:val="left"/>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供应商针对本项目实际提供售后服务方案，具有完整的售后服务三方框架（</w:t>
      </w:r>
      <w:r>
        <w:rPr>
          <w:rFonts w:hint="eastAsia" w:ascii="宋体" w:hAnsi="宋体" w:eastAsia="宋体" w:cs="宋体"/>
          <w:color w:val="000000"/>
          <w:sz w:val="24"/>
          <w:szCs w:val="24"/>
        </w:rPr>
        <w:t xml:space="preserve">以流程图形式展示售后服务运维中响应单位用户方、设备厂商、售后服务方的闭环故障处理服务流程。服务流程的展示包括但不限于用户的报修、综合调度中心的事故分析派发、故障的确认、一般事故、较大事故与重大事故的处理流程、售后服务负责人与设备厂商的对接工作界面、事故处理完毕后的归档及用户建议等）： 方案合理、实用性强、可操作性高、与用户需求贴合度高，优于采购需求的得8分；方案较合理、实用性较强、可操作性较高、与用户需求贴合度较高的得5分；方案不够合理、实用性一般、可操作性一般、与用户需求贴合度一般的得3分；未提供不得分。</w:t>
      </w:r>
      <w:r>
        <w:rPr>
          <w:rFonts w:hint="eastAsia" w:ascii="宋体" w:hAnsi="宋体" w:eastAsia="宋体" w:cs="宋体"/>
          <w:color w:val="000000"/>
          <w:sz w:val="24"/>
          <w:szCs w:val="24"/>
        </w:rPr>
      </w:r>
      <w:r/>
    </w:p>
    <w:p>
      <w:pPr>
        <w:pStyle w:val="639"/>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lang w:val="en-US" w:eastAsia="zh-CN" w:bidi="ar"/>
        </w:rPr>
        <w:t xml:space="preserve">（四）针对本项目的运维客户端功能展示（6分）</w:t>
      </w:r>
      <w:r>
        <w:rPr>
          <w:rFonts w:hint="eastAsia" w:ascii="宋体" w:hAnsi="宋体" w:eastAsia="宋体" w:cs="宋体"/>
          <w:b/>
          <w:bCs/>
          <w:i w:val="0"/>
          <w:iCs w:val="0"/>
          <w:caps w:val="0"/>
          <w:color w:val="000000"/>
          <w:spacing w:val="0"/>
          <w:sz w:val="24"/>
          <w:szCs w:val="24"/>
          <w:shd w:val="clear" w:color="auto" w:fill="ffffff"/>
          <w:lang w:val="en-US" w:eastAsia="zh-CN" w:bidi="ar"/>
        </w:rPr>
      </w:r>
      <w:r/>
    </w:p>
    <w:p>
      <w:pPr>
        <w:pStyle w:val="639"/>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运维客户端功能如下：</w:t>
      </w:r>
      <w:r>
        <w:rPr>
          <w:rFonts w:hint="eastAsia" w:ascii="宋体" w:hAnsi="宋体" w:eastAsia="宋体" w:cs="宋体"/>
          <w:b w:val="0"/>
          <w:bCs w:val="0"/>
          <w:i w:val="0"/>
          <w:iCs w:val="0"/>
          <w:caps w:val="0"/>
          <w:color w:val="000000"/>
          <w:spacing w:val="0"/>
          <w:sz w:val="24"/>
          <w:szCs w:val="24"/>
          <w:shd w:val="clear" w:color="auto" w:fill="ffffff"/>
          <w:lang w:val="en-US" w:eastAsia="zh-CN" w:bidi="ar"/>
        </w:rPr>
      </w:r>
      <w:r/>
    </w:p>
    <w:p>
      <w:pPr>
        <w:pStyle w:val="639"/>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1.实现服务内容中涉及流媒体的质量检测取样功能、检测能力的得2分，最高得2分。</w:t>
      </w:r>
      <w:r>
        <w:rPr>
          <w:rFonts w:hint="eastAsia" w:ascii="宋体" w:hAnsi="宋体" w:eastAsia="宋体" w:cs="宋体"/>
          <w:b w:val="0"/>
          <w:bCs w:val="0"/>
          <w:i w:val="0"/>
          <w:iCs w:val="0"/>
          <w:caps w:val="0"/>
          <w:color w:val="000000"/>
          <w:spacing w:val="0"/>
          <w:sz w:val="24"/>
          <w:szCs w:val="24"/>
          <w:shd w:val="clear" w:color="auto" w:fill="ffffff"/>
          <w:lang w:val="en-US" w:eastAsia="zh-CN" w:bidi="ar"/>
        </w:rPr>
      </w:r>
      <w:r/>
    </w:p>
    <w:p>
      <w:pPr>
        <w:pStyle w:val="639"/>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2.实现在线率检测、颜色异常检测、亮度异常检测、噪点异常检测、清晰度检测、异物遮挡检测、视角移位检测的得2分，最高得2分。</w:t>
      </w:r>
      <w:r>
        <w:rPr>
          <w:rFonts w:hint="eastAsia" w:ascii="宋体" w:hAnsi="宋体" w:eastAsia="宋体" w:cs="宋体"/>
          <w:b w:val="0"/>
          <w:bCs w:val="0"/>
          <w:i w:val="0"/>
          <w:iCs w:val="0"/>
          <w:caps w:val="0"/>
          <w:color w:val="000000"/>
          <w:spacing w:val="0"/>
          <w:sz w:val="24"/>
          <w:szCs w:val="24"/>
          <w:shd w:val="clear" w:color="auto" w:fill="ffffff"/>
          <w:lang w:val="en-US" w:eastAsia="zh-CN" w:bidi="ar"/>
        </w:rPr>
      </w:r>
      <w:r/>
    </w:p>
    <w:p>
      <w:pPr>
        <w:pStyle w:val="639"/>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3.显示界面可一图展示点位信息、视频接入数量、实时在线率、故障类型统计、故障时间超24小时统计的得2分，最高得2分。</w:t>
      </w:r>
      <w:r>
        <w:rPr>
          <w:rFonts w:hint="eastAsia" w:ascii="宋体" w:hAnsi="宋体" w:eastAsia="宋体" w:cs="宋体"/>
          <w:b w:val="0"/>
          <w:bCs w:val="0"/>
          <w:i w:val="0"/>
          <w:iCs w:val="0"/>
          <w:caps w:val="0"/>
          <w:color w:val="000000"/>
          <w:spacing w:val="0"/>
          <w:sz w:val="24"/>
          <w:szCs w:val="24"/>
          <w:shd w:val="clear" w:color="auto" w:fill="ffffff"/>
          <w:lang w:val="en-US" w:eastAsia="zh-CN" w:bidi="ar"/>
        </w:rPr>
      </w:r>
      <w:r/>
    </w:p>
    <w:p>
      <w:pPr>
        <w:pStyle w:val="639"/>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提供与</w:t>
      </w:r>
      <w:r>
        <w:rPr>
          <w:rFonts w:hint="eastAsia" w:ascii="宋体" w:hAnsi="宋体" w:eastAsia="宋体" w:cs="宋体"/>
          <w:b w:val="0"/>
          <w:bCs w:val="0"/>
          <w:i w:val="0"/>
          <w:iCs w:val="0"/>
          <w:caps w:val="0"/>
          <w:color w:val="000000"/>
          <w:spacing w:val="0"/>
          <w:sz w:val="24"/>
          <w:szCs w:val="24"/>
          <w:shd w:val="clear" w:color="auto" w:fill="ffffff"/>
          <w:lang w:val="en-US" w:eastAsia="zh-CN" w:bidi="ar"/>
        </w:rPr>
        <w:t xml:space="preserve">上述功能要求相符合的功能展示，展示方式不限于演示视频，PPT，功能截图（含技术说明）等，未提供或无法体现功能的不得分，展示内容确保真实且作为项目履约验收的重要参考依据。注：如提供演示视频，1.演示时间不超过10分钟，需在“苏采云”系统演示文件入口按系统要求上传演示文件。2.单个视频附件压缩包大小不得超过50M，整体附件压缩包不得超过300M，视频文件格式建议采用MP4、MKV、MOV、AVI格式。3.因供应商上传文件本身损坏等自身原因导致演示资料无法正常读取的视为无效演示，本项不得分，由供应商自行承担责任。</w:t>
      </w:r>
      <w:r>
        <w:rPr>
          <w:rFonts w:hint="eastAsia" w:ascii="宋体" w:hAnsi="宋体" w:eastAsia="宋体" w:cs="宋体"/>
          <w:b w:val="0"/>
          <w:bCs w:val="0"/>
          <w:i w:val="0"/>
          <w:iCs w:val="0"/>
          <w:caps w:val="0"/>
          <w:color w:val="000000"/>
          <w:spacing w:val="0"/>
          <w:sz w:val="24"/>
          <w:szCs w:val="24"/>
          <w:shd w:val="clear" w:color="auto" w:fill="ffffff"/>
          <w:lang w:val="en-US" w:eastAsia="zh-CN" w:bidi="ar"/>
        </w:rPr>
      </w:r>
      <w:r/>
    </w:p>
    <w:p>
      <w:pPr>
        <w:pStyle w:val="639"/>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lang w:val="en-US" w:eastAsia="zh-CN" w:bidi="ar"/>
        </w:rPr>
        <w:t xml:space="preserve">（五）针对本项目配备人员比较（9分）</w:t>
      </w:r>
      <w:r>
        <w:rPr>
          <w:rFonts w:hint="eastAsia" w:ascii="宋体" w:hAnsi="宋体" w:eastAsia="宋体" w:cs="宋体"/>
          <w:b/>
          <w:bCs/>
          <w:i w:val="0"/>
          <w:iCs w:val="0"/>
          <w:caps w:val="0"/>
          <w:color w:val="000000"/>
          <w:spacing w:val="0"/>
          <w:sz w:val="24"/>
          <w:szCs w:val="24"/>
          <w:shd w:val="clear" w:color="auto" w:fill="ffffff"/>
          <w:lang w:val="en-US" w:eastAsia="zh-CN" w:bidi="ar"/>
        </w:rPr>
      </w:r>
      <w:r/>
    </w:p>
    <w:p>
      <w:pPr>
        <w:pStyle w:val="639"/>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ff0000"/>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1.项目经理（4分）</w:t>
      </w:r>
      <w:r>
        <w:rPr>
          <w:rFonts w:hint="eastAsia" w:ascii="宋体" w:hAnsi="宋体" w:eastAsia="宋体" w:cs="宋体"/>
          <w:b w:val="0"/>
          <w:bCs w:val="0"/>
          <w:i w:val="0"/>
          <w:iCs w:val="0"/>
          <w:caps w:val="0"/>
          <w:color w:val="ff0000"/>
          <w:spacing w:val="0"/>
          <w:sz w:val="24"/>
          <w:szCs w:val="24"/>
          <w:shd w:val="clear" w:color="auto" w:fill="ffffff"/>
          <w:lang w:val="en-US" w:eastAsia="zh-CN" w:bidi="ar"/>
        </w:rPr>
      </w:r>
      <w:r/>
    </w:p>
    <w:p>
      <w:pPr>
        <w:pStyle w:val="639"/>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ff0000"/>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（1）具有信息系统项目管理师证书的得2分，最高2分；</w:t>
      </w:r>
      <w:r>
        <w:rPr>
          <w:rFonts w:hint="eastAsia" w:ascii="宋体" w:hAnsi="宋体" w:eastAsia="宋体" w:cs="宋体"/>
          <w:b w:val="0"/>
          <w:bCs w:val="0"/>
          <w:i w:val="0"/>
          <w:iCs w:val="0"/>
          <w:caps w:val="0"/>
          <w:color w:val="ff0000"/>
          <w:spacing w:val="0"/>
          <w:sz w:val="24"/>
          <w:szCs w:val="24"/>
          <w:shd w:val="clear" w:color="auto" w:fill="ffffff"/>
          <w:lang w:val="en-US" w:eastAsia="zh-CN" w:bidi="ar"/>
        </w:rPr>
      </w:r>
      <w:r/>
    </w:p>
    <w:p>
      <w:pPr>
        <w:pStyle w:val="639"/>
        <w:ind w:left="0" w:right="0"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b w:val="0"/>
          <w:bCs w:val="0"/>
          <w:i w:val="0"/>
          <w:iCs w:val="0"/>
          <w:caps w:val="0"/>
          <w:color w:val="ff0000"/>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（2）具有与本项目服务专业（电子信息、自动化、机电、通信工程技术等）中级技能证书的得1分，高级及以上技能证书的得2分，中级职称证书的得1分，高级及以上职称证书的得2分，最高2分。</w:t>
      </w:r>
      <w:r>
        <w:rPr>
          <w:rFonts w:ascii="宋体" w:hAnsi="宋体" w:eastAsia="宋体" w:cs="宋体"/>
          <w:b w:val="0"/>
          <w:bCs w:val="0"/>
          <w:i w:val="0"/>
          <w:iCs w:val="0"/>
          <w:caps w:val="0"/>
          <w:color w:val="ff0000"/>
          <w:spacing w:val="0"/>
          <w:sz w:val="24"/>
          <w:szCs w:val="24"/>
          <w:shd w:val="clear" w:color="auto" w:fill="ffffff"/>
          <w:lang w:val="en-US" w:eastAsia="zh-CN" w:bidi="ar"/>
        </w:rPr>
      </w:r>
      <w:r/>
    </w:p>
    <w:p>
      <w:pPr>
        <w:pStyle w:val="639"/>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ff0000"/>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2.项目组成员（除项目经理）（5分）</w:t>
      </w:r>
      <w:r>
        <w:rPr>
          <w:rFonts w:hint="eastAsia" w:ascii="宋体" w:hAnsi="宋体" w:eastAsia="宋体" w:cs="宋体"/>
          <w:b w:val="0"/>
          <w:bCs w:val="0"/>
          <w:i w:val="0"/>
          <w:iCs w:val="0"/>
          <w:caps w:val="0"/>
          <w:color w:val="ff0000"/>
          <w:spacing w:val="0"/>
          <w:sz w:val="24"/>
          <w:szCs w:val="24"/>
          <w:shd w:val="clear" w:color="auto" w:fill="ffffff"/>
          <w:lang w:val="en-US" w:eastAsia="zh-CN" w:bidi="ar"/>
        </w:rPr>
      </w:r>
      <w:r/>
    </w:p>
    <w:p>
      <w:pPr>
        <w:pStyle w:val="639"/>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ff0000"/>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（1）具有IT运维工程师证书，数据库系统工程师证书，网络工程师证书的，每提供1份得1分，最高3分；</w:t>
      </w:r>
      <w:r>
        <w:rPr>
          <w:rFonts w:hint="eastAsia" w:ascii="宋体" w:hAnsi="宋体" w:eastAsia="宋体" w:cs="宋体"/>
          <w:b w:val="0"/>
          <w:bCs w:val="0"/>
          <w:i w:val="0"/>
          <w:iCs w:val="0"/>
          <w:caps w:val="0"/>
          <w:color w:val="ff0000"/>
          <w:spacing w:val="0"/>
          <w:sz w:val="24"/>
          <w:szCs w:val="24"/>
          <w:shd w:val="clear" w:color="auto" w:fill="ffffff"/>
          <w:lang w:val="en-US" w:eastAsia="zh-CN" w:bidi="ar"/>
        </w:rPr>
      </w:r>
      <w:r/>
    </w:p>
    <w:p>
      <w:pPr>
        <w:pStyle w:val="639"/>
        <w:ind w:left="0" w:right="0"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b w:val="0"/>
          <w:bCs w:val="0"/>
          <w:i w:val="0"/>
          <w:iCs w:val="0"/>
          <w:caps w:val="0"/>
          <w:color w:val="ff0000"/>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（2）具有与本项目服务专业（电子信息、自动化、机电、通信工程技术等）中级技能证书的得1分，高级及以上技能证书的得2分，中级职称证书的得1分，高级及以上职称证书的得2分，最高2分。</w:t>
      </w:r>
      <w:r>
        <w:rPr>
          <w:rFonts w:ascii="宋体" w:hAnsi="宋体" w:eastAsia="宋体" w:cs="宋体"/>
          <w:b w:val="0"/>
          <w:bCs w:val="0"/>
          <w:i w:val="0"/>
          <w:iCs w:val="0"/>
          <w:caps w:val="0"/>
          <w:color w:val="ff0000"/>
          <w:spacing w:val="0"/>
          <w:sz w:val="24"/>
          <w:szCs w:val="24"/>
          <w:shd w:val="clear" w:color="auto" w:fill="ffffff"/>
          <w:lang w:val="en-US" w:eastAsia="zh-CN" w:bidi="ar"/>
        </w:rPr>
      </w:r>
      <w:r/>
    </w:p>
    <w:p>
      <w:pPr>
        <w:pStyle w:val="639"/>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ff0000"/>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ff0000"/>
          <w:spacing w:val="0"/>
          <w:sz w:val="24"/>
          <w:szCs w:val="24"/>
          <w:shd w:val="clear" w:color="auto" w:fill="ffffff"/>
          <w:lang w:val="en-US" w:eastAsia="zh-CN" w:bidi="ar"/>
        </w:rPr>
        <w:t xml:space="preserve">（注：响应文件中需提供以上1.-2.人员证书及响应单位为该员工缴纳的社保，同一人员同类别证书按最高级别计分，至少最近一个月的社保证明（集团或分支机构缴纳、异地社保均可，依法无需缴纳社保人员需提供证明），不提供相关证明不得分。）</w:t>
      </w:r>
      <w:r>
        <w:rPr>
          <w:rFonts w:hint="eastAsia" w:ascii="宋体" w:hAnsi="宋体" w:eastAsia="宋体" w:cs="宋体"/>
          <w:b w:val="0"/>
          <w:bCs w:val="0"/>
          <w:i w:val="0"/>
          <w:iCs w:val="0"/>
          <w:caps w:val="0"/>
          <w:color w:val="ff0000"/>
          <w:spacing w:val="0"/>
          <w:sz w:val="24"/>
          <w:szCs w:val="24"/>
          <w:shd w:val="clear" w:color="auto" w:fill="ffffff"/>
          <w:lang w:val="en-US" w:eastAsia="zh-CN" w:bidi="ar"/>
        </w:rPr>
      </w:r>
      <w:r/>
    </w:p>
    <w:p>
      <w:pPr>
        <w:pStyle w:val="639"/>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lang w:val="en-US" w:eastAsia="zh-CN" w:bidi="ar"/>
        </w:rPr>
        <w:t xml:space="preserve">（六）响应单位综合能力比较（6分）</w:t>
      </w:r>
      <w:r>
        <w:rPr>
          <w:rFonts w:hint="eastAsia" w:ascii="宋体" w:hAnsi="宋体" w:eastAsia="宋体" w:cs="宋体"/>
          <w:b/>
          <w:bCs/>
          <w:i w:val="0"/>
          <w:iCs w:val="0"/>
          <w:caps w:val="0"/>
          <w:color w:val="000000"/>
          <w:spacing w:val="0"/>
          <w:sz w:val="24"/>
          <w:szCs w:val="24"/>
          <w:shd w:val="clear" w:color="auto" w:fill="ffffff"/>
          <w:lang w:val="en-US" w:eastAsia="zh-CN" w:bidi="ar"/>
        </w:rPr>
      </w:r>
      <w:r/>
    </w:p>
    <w:p>
      <w:pPr>
        <w:pStyle w:val="639"/>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Cs/>
          <w:color w:val="000000"/>
          <w:sz w:val="24"/>
          <w:szCs w:val="24"/>
        </w:rPr>
        <w:t xml:space="preserve">1.供应商具有质量管理体系认证证书、信息安全管理体系认证证书、信息技术服务管理体系认证证书，每提供一项得2分，最高得6分。</w:t>
      </w:r>
      <w:r>
        <w:rPr>
          <w:rFonts w:hint="eastAsia" w:ascii="宋体" w:hAnsi="宋体" w:eastAsia="宋体" w:cs="宋体"/>
          <w:b/>
          <w:color w:val="000000"/>
          <w:sz w:val="24"/>
          <w:szCs w:val="24"/>
        </w:rPr>
      </w:r>
      <w:r/>
    </w:p>
    <w:p>
      <w:pPr>
        <w:pStyle w:val="639"/>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注：响应文件中需提供以上相关证书复印件或网络查询截图，并加盖供应商公章；未按要求提供或未提供不得分。</w:t>
      </w:r>
      <w:r>
        <w:rPr>
          <w:rFonts w:hint="eastAsia" w:ascii="宋体" w:hAnsi="宋体" w:eastAsia="宋体" w:cs="宋体"/>
          <w:b/>
          <w:color w:val="000000"/>
          <w:sz w:val="24"/>
          <w:szCs w:val="24"/>
        </w:rPr>
      </w:r>
      <w:r/>
    </w:p>
    <w:p>
      <w:pPr>
        <w:pStyle w:val="639"/>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（七）类似项目业绩（4分）</w:t>
      </w:r>
      <w:r>
        <w:rPr>
          <w:rFonts w:hint="eastAsia" w:ascii="宋体" w:hAnsi="宋体" w:eastAsia="宋体" w:cs="宋体"/>
          <w:b/>
          <w:color w:val="000000"/>
          <w:sz w:val="24"/>
          <w:szCs w:val="24"/>
        </w:rPr>
      </w:r>
      <w:r/>
    </w:p>
    <w:p>
      <w:pPr>
        <w:pStyle w:val="639"/>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2023年1月1日（以合同签订日期为准）响应单位具有类似服务项目业绩的，每提供一个得1分，最高得4分。</w:t>
      </w:r>
      <w:r>
        <w:rPr>
          <w:rFonts w:hint="eastAsia" w:ascii="宋体" w:hAnsi="宋体" w:eastAsia="宋体" w:cs="宋体"/>
          <w:b/>
          <w:color w:val="000000"/>
          <w:sz w:val="24"/>
          <w:szCs w:val="24"/>
        </w:rPr>
        <w:t xml:space="preserve">（注：</w:t>
      </w:r>
      <w:r>
        <w:rPr>
          <w:rFonts w:hint="eastAsia" w:ascii="宋体" w:hAnsi="宋体" w:eastAsia="宋体" w:cs="宋体"/>
          <w:b/>
          <w:bCs/>
          <w:color w:val="000000"/>
          <w:sz w:val="24"/>
          <w:szCs w:val="24"/>
        </w:rPr>
        <w:t xml:space="preserve">提供完整合同复印件并加盖供应商公章，不提供相关证明不得分。</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r>
      <w:r/>
    </w:p>
    <w:p>
      <w:pPr>
        <w:pStyle w:val="705"/>
        <w:ind w:left="426" w:hanging="426"/>
        <w:spacing w:line="360" w:lineRule="auto"/>
        <w:tabs>
          <w:tab w:val="left" w:pos="2700" w:leader="none"/>
        </w:tabs>
        <w:rPr>
          <w:rFonts w:hint="eastAsia" w:ascii="宋体" w:hAnsi="宋体" w:eastAsia="宋体" w:cs="宋体"/>
          <w:b/>
          <w:bCs/>
          <w:color w:val="000000"/>
          <w:sz w:val="24"/>
          <w:szCs w:val="24"/>
          <w:highlight w:val="none"/>
          <w:lang w:val="zh-TW" w:eastAsia="zh-TW"/>
        </w:rPr>
        <w:framePr w:wrap="auto" w:vAnchor="margin" w:hAnchor="text"/>
      </w:pPr>
      <w:r>
        <w:rPr>
          <w:rFonts w:hint="eastAsia" w:ascii="宋体" w:hAnsi="宋体" w:eastAsia="宋体" w:cs="宋体"/>
          <w:b/>
          <w:bCs/>
          <w:color w:val="000000"/>
          <w:sz w:val="24"/>
          <w:szCs w:val="24"/>
          <w:highlight w:val="none"/>
          <w:lang w:val="zh-TW" w:eastAsia="zh-TW"/>
        </w:rPr>
        <w:t xml:space="preserve">注：</w:t>
      </w:r>
      <w:r>
        <w:rPr>
          <w:rFonts w:hint="eastAsia" w:ascii="宋体" w:hAnsi="宋体" w:eastAsia="宋体" w:cs="宋体"/>
          <w:b/>
          <w:bCs/>
          <w:color w:val="000000"/>
          <w:sz w:val="24"/>
          <w:szCs w:val="24"/>
          <w:highlight w:val="none"/>
          <w:lang w:val="zh-TW" w:eastAsia="zh-TW"/>
        </w:rPr>
      </w:r>
      <w:r/>
    </w:p>
    <w:p>
      <w:pPr>
        <w:pStyle w:val="705"/>
        <w:spacing w:line="360" w:lineRule="auto"/>
        <w:tabs>
          <w:tab w:val="left" w:pos="509" w:leader="none"/>
        </w:tabs>
        <w:rPr>
          <w:rFonts w:hint="eastAsia" w:ascii="宋体" w:hAnsi="宋体" w:eastAsia="宋体" w:cs="宋体"/>
          <w:color w:val="000000"/>
          <w:sz w:val="24"/>
          <w:szCs w:val="24"/>
          <w:highlight w:val="none"/>
          <w:lang w:eastAsia="zh-TW"/>
        </w:rPr>
        <w:framePr w:wrap="auto" w:vAnchor="margin" w:hAnchor="text"/>
      </w:pPr>
      <w:r>
        <w:rPr>
          <w:rFonts w:hint="eastAsia" w:ascii="宋体" w:hAnsi="宋体" w:eastAsia="宋体" w:cs="宋体"/>
          <w:color w:val="000000"/>
          <w:sz w:val="24"/>
          <w:szCs w:val="24"/>
          <w:highlight w:val="none"/>
          <w:lang w:eastAsia="zh-TW"/>
        </w:rPr>
        <w:t xml:space="preserve">1.</w:t>
      </w:r>
      <w:r>
        <w:rPr>
          <w:rFonts w:hint="eastAsia" w:ascii="宋体" w:hAnsi="宋体" w:eastAsia="宋体" w:cs="宋体"/>
          <w:color w:val="000000"/>
          <w:sz w:val="24"/>
          <w:szCs w:val="24"/>
          <w:highlight w:val="none"/>
          <w:lang w:val="zh-TW" w:eastAsia="zh-TW"/>
        </w:rPr>
        <w:t xml:space="preserve">评标时，未能按以上要求提供相应证明的，不作为评标依据，仅以按上述要求实际提供相关证明的数量作为评标依据。</w:t>
      </w:r>
      <w:r>
        <w:rPr>
          <w:rFonts w:hint="eastAsia" w:ascii="宋体" w:hAnsi="宋体" w:eastAsia="宋体" w:cs="宋体"/>
          <w:color w:val="000000"/>
          <w:sz w:val="24"/>
          <w:szCs w:val="24"/>
          <w:highlight w:val="none"/>
          <w:lang w:eastAsia="zh-TW"/>
        </w:rPr>
      </w:r>
      <w:r/>
    </w:p>
    <w:p>
      <w:pPr>
        <w:pStyle w:val="705"/>
        <w:spacing w:line="360" w:lineRule="auto"/>
        <w:tabs>
          <w:tab w:val="left" w:pos="509" w:leader="none"/>
        </w:tabs>
        <w:rPr>
          <w:rFonts w:hint="eastAsia" w:ascii="宋体" w:hAnsi="宋体" w:eastAsia="宋体" w:cs="宋体"/>
          <w:color w:val="000000"/>
          <w:sz w:val="24"/>
          <w:szCs w:val="24"/>
          <w:highlight w:val="none"/>
          <w:lang w:val="zh-TW" w:eastAsia="zh-TW"/>
        </w:rPr>
        <w:framePr w:wrap="auto" w:vAnchor="margin" w:hAnchor="text"/>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TW"/>
        </w:rPr>
        <w:t xml:space="preserve">.</w:t>
      </w:r>
      <w:r>
        <w:rPr>
          <w:rFonts w:hint="eastAsia" w:ascii="宋体" w:hAnsi="宋体" w:eastAsia="宋体" w:cs="宋体"/>
          <w:color w:val="000000"/>
          <w:sz w:val="24"/>
          <w:szCs w:val="24"/>
          <w:highlight w:val="none"/>
          <w:lang w:val="zh-TW" w:eastAsia="zh-TW"/>
        </w:rPr>
        <w:t xml:space="preserve">针对评分标准中评分的每一条，</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lang w:val="zh-TW" w:eastAsia="zh-TW"/>
        </w:rPr>
        <w:t xml:space="preserve">均应提供相关资料并作出相应说明供评委评判，不提供相关资料的视为不具备该项得分的条件。</w:t>
      </w:r>
      <w:r>
        <w:rPr>
          <w:rFonts w:hint="eastAsia" w:ascii="宋体" w:hAnsi="宋体" w:eastAsia="宋体" w:cs="宋体"/>
          <w:color w:val="000000"/>
          <w:sz w:val="24"/>
          <w:szCs w:val="24"/>
          <w:highlight w:val="none"/>
          <w:lang w:val="zh-TW" w:eastAsia="zh-TW"/>
        </w:rPr>
      </w:r>
      <w:r/>
    </w:p>
    <w:p>
      <w:pPr>
        <w:pStyle w:val="705"/>
        <w:spacing w:line="360" w:lineRule="auto"/>
        <w:tabs>
          <w:tab w:val="left" w:pos="509" w:leader="none"/>
        </w:tabs>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r>
      <w:r/>
    </w:p>
    <w:p>
      <w:pPr>
        <w:pStyle w:val="67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3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六、附   件</w:t>
      </w:r>
      <w:r>
        <w:rPr>
          <w:rFonts w:hint="eastAsia" w:ascii="宋体" w:hAnsi="宋体" w:eastAsia="宋体" w:cs="宋体"/>
          <w:b/>
          <w:color w:val="000000"/>
          <w:sz w:val="24"/>
          <w:szCs w:val="24"/>
          <w:highlight w:val="none"/>
        </w:rPr>
      </w:r>
      <w:r/>
    </w:p>
    <w:p>
      <w:pPr>
        <w:pStyle w:val="639"/>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参考格式，磋商响应单位可根据下述格式自制表格进行响应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3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39"/>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磋商响应报价表</w:t>
      </w:r>
      <w:r>
        <w:rPr>
          <w:rFonts w:hint="eastAsia" w:ascii="宋体" w:hAnsi="宋体" w:eastAsia="宋体" w:cs="宋体"/>
          <w:b/>
          <w:bCs/>
          <w:color w:val="000000"/>
          <w:sz w:val="24"/>
          <w:szCs w:val="24"/>
          <w:highlight w:val="none"/>
        </w:rPr>
      </w:r>
      <w:r/>
    </w:p>
    <w:p>
      <w:pPr>
        <w:pStyle w:val="63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磋商响应报价表</w:t>
      </w:r>
      <w:r>
        <w:rPr>
          <w:rFonts w:hint="eastAsia" w:ascii="宋体" w:hAnsi="宋体" w:eastAsia="宋体" w:cs="宋体"/>
          <w:b/>
          <w:bCs/>
          <w:color w:val="000000"/>
          <w:sz w:val="24"/>
          <w:szCs w:val="24"/>
          <w:highlight w:val="none"/>
        </w:rPr>
      </w:r>
      <w:r/>
    </w:p>
    <w:p>
      <w:pPr>
        <w:pStyle w:val="63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39"/>
        <w:ind w:left="0" w:firstLine="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2026年度全镇监控安防设备维护保养服务</w:t>
      </w:r>
      <w:r>
        <w:rPr>
          <w:rFonts w:hint="eastAsia" w:ascii="宋体" w:hAnsi="宋体" w:eastAsia="宋体" w:cs="宋体"/>
          <w:color w:val="000000"/>
          <w:sz w:val="24"/>
          <w:szCs w:val="24"/>
          <w:highlight w:val="none"/>
          <w:lang w:eastAsia="zh-CN"/>
        </w:rPr>
      </w:r>
      <w:r/>
    </w:p>
    <w:p>
      <w:pPr>
        <w:pStyle w:val="639"/>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采购编号：</w:t>
      </w:r>
      <w:r>
        <w:rPr>
          <w:rFonts w:hint="eastAsia" w:ascii="宋体" w:hAnsi="宋体" w:eastAsia="宋体" w:cs="宋体"/>
          <w:color w:val="000000"/>
          <w:sz w:val="24"/>
          <w:szCs w:val="24"/>
          <w:highlight w:val="none"/>
          <w:lang w:eastAsia="zh-CN"/>
        </w:rPr>
        <w:t xml:space="preserve">JSZC-320506-DLHX-C2026-0007</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8"/>
        <w:gridCol w:w="4249"/>
        <w:gridCol w:w="2111"/>
        <w:gridCol w:w="1234"/>
      </w:tblGrid>
      <w:tr>
        <w:trPr>
          <w:cantSplit/>
          <w:trHeight w:val="830"/>
        </w:trPr>
        <w:tc>
          <w:tcPr>
            <w:tcW w:w="1228"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4249"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c>
          <w:tcPr>
            <w:tcW w:w="2111"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1234"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770"/>
        </w:trPr>
        <w:tc>
          <w:tcPr>
            <w:tcW w:w="1228"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249"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2026年度全镇监控安防设备维护保养服务</w:t>
            </w:r>
            <w:r>
              <w:rPr>
                <w:rFonts w:hint="eastAsia" w:ascii="宋体" w:hAnsi="宋体" w:eastAsia="宋体" w:cs="宋体"/>
                <w:color w:val="000000"/>
                <w:sz w:val="24"/>
                <w:szCs w:val="24"/>
                <w:highlight w:val="none"/>
              </w:rPr>
            </w:r>
            <w:r/>
          </w:p>
        </w:tc>
        <w:tc>
          <w:tcPr>
            <w:tcW w:w="2111"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4"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28"/>
        </w:trPr>
        <w:tc>
          <w:tcPr>
            <w:tcW w:w="1228"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w:t>
            </w:r>
            <w:r>
              <w:rPr>
                <w:rFonts w:hint="eastAsia" w:ascii="宋体" w:hAnsi="宋体" w:eastAsia="宋体" w:cs="宋体"/>
                <w:color w:val="000000"/>
                <w:sz w:val="24"/>
                <w:szCs w:val="24"/>
                <w:highlight w:val="none"/>
              </w:rPr>
            </w:r>
            <w:r/>
          </w:p>
        </w:tc>
        <w:tc>
          <w:tcPr>
            <w:gridSpan w:val="3"/>
            <w:tcW w:w="7594" w:type="dxa"/>
            <w:vAlign w:val="center"/>
            <w:textDirection w:val="lrTb"/>
            <w:noWrap w:val="false"/>
          </w:tcPr>
          <w:p>
            <w:pPr>
              <w:pStyle w:val="639"/>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z w:val="24"/>
                <w:szCs w:val="24"/>
                <w:highlight w:val="none"/>
                <w:lang w:eastAsia="zh-CN"/>
              </w:rPr>
              <w:t xml:space="preserve">一年（具体起始时间甲方书面通知为准）</w:t>
            </w:r>
            <w:r>
              <w:rPr>
                <w:rFonts w:hint="eastAsia" w:ascii="宋体" w:hAnsi="宋体" w:eastAsia="宋体" w:cs="宋体"/>
                <w:color w:val="000000"/>
                <w:spacing w:val="20"/>
                <w:sz w:val="24"/>
                <w:szCs w:val="24"/>
                <w:highlight w:val="none"/>
              </w:rPr>
            </w:r>
            <w:r/>
          </w:p>
        </w:tc>
      </w:tr>
    </w:tbl>
    <w:p>
      <w:pPr>
        <w:pStyle w:val="715"/>
        <w:ind w:left="0"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p>
      <w:pPr>
        <w:pStyle w:val="63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p>
      <w:pPr>
        <w:pStyle w:val="63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66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jc w:val="left"/>
        <w:spacing w:line="360" w:lineRule="auto"/>
        <w:rPr>
          <w:rFonts w:hint="eastAsia" w:ascii="宋体" w:hAnsi="宋体" w:eastAsia="宋体" w:cs="宋体"/>
          <w:color w:val="000000"/>
          <w:sz w:val="24"/>
          <w:szCs w:val="24"/>
          <w:highlight w:val="none"/>
          <w:lang w:eastAsia="en-US"/>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b w:val="0"/>
          <w:bCs w:val="0"/>
          <w:color w:val="000000"/>
          <w:sz w:val="24"/>
          <w:szCs w:val="24"/>
          <w:highlight w:val="none"/>
          <w:lang w:val="en-US" w:eastAsia="zh-CN"/>
        </w:rPr>
        <w:t xml:space="preserve">包括</w:t>
      </w:r>
      <w:r>
        <w:rPr>
          <w:rFonts w:hint="eastAsia" w:ascii="宋体" w:hAnsi="宋体" w:eastAsia="宋体" w:cs="宋体"/>
          <w:b w:val="0"/>
          <w:bCs w:val="0"/>
          <w:color w:val="000000"/>
          <w:sz w:val="24"/>
          <w:szCs w:val="24"/>
          <w:highlight w:val="none"/>
          <w:lang w:eastAsia="zh-CN"/>
        </w:rPr>
        <w:t xml:space="preserve">完成本项目服务内容所需的</w:t>
      </w:r>
      <w:r>
        <w:rPr>
          <w:rFonts w:hint="eastAsia" w:ascii="宋体" w:hAnsi="宋体" w:eastAsia="宋体" w:cs="宋体"/>
          <w:b w:val="0"/>
          <w:bCs w:val="0"/>
          <w:color w:val="000000"/>
          <w:sz w:val="24"/>
          <w:szCs w:val="24"/>
        </w:rPr>
        <w:t xml:space="preserve">材料费（包括清单内所有设备材料以及与之运行所相关的一切配套设施）、调试费、包装费、运费、人工费、安装费、工具劳保费、通讯费、各种税费等一切费用，服务期限内甲方不再为本项目支出合同之外的任何费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highlight w:val="none"/>
          <w:lang w:eastAsia="zh-CN"/>
        </w:rPr>
        <w:t xml:space="preserve">遇到法律法规规定的最低工资调整，其中人工费用相应浮动，及合同实施过程中的不可预见的各项费用，由供应商自行承担。</w:t>
      </w:r>
      <w:r>
        <w:rPr>
          <w:rFonts w:hint="eastAsia" w:ascii="宋体" w:hAnsi="宋体" w:eastAsia="宋体" w:cs="宋体"/>
          <w:color w:val="000000"/>
          <w:sz w:val="24"/>
          <w:szCs w:val="24"/>
          <w:highlight w:val="none"/>
          <w:lang w:eastAsia="en-US"/>
        </w:rPr>
      </w:r>
      <w:r/>
    </w:p>
    <w:p>
      <w:pPr>
        <w:pStyle w:val="666"/>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649"/>
        <w:ind w:left="0" w:firstLine="0"/>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eastAsia="zh-CN"/>
        </w:rPr>
        <w:t xml:space="preserve">磋商响应</w:t>
      </w:r>
      <w:r>
        <w:rPr>
          <w:rFonts w:hint="eastAsia" w:ascii="宋体" w:hAnsi="宋体" w:eastAsia="宋体" w:cs="宋体"/>
          <w:b/>
          <w:color w:val="000000"/>
          <w:sz w:val="24"/>
          <w:szCs w:val="24"/>
          <w:highlight w:val="none"/>
        </w:rPr>
        <w:t xml:space="preserve">承诺书</w:t>
      </w:r>
      <w:r>
        <w:rPr>
          <w:rFonts w:hint="eastAsia" w:ascii="宋体" w:hAnsi="宋体" w:eastAsia="宋体" w:cs="宋体"/>
          <w:b/>
          <w:color w:val="000000"/>
          <w:sz w:val="24"/>
          <w:szCs w:val="24"/>
          <w:highlight w:val="none"/>
        </w:rPr>
      </w:r>
      <w:r/>
    </w:p>
    <w:p>
      <w:pPr>
        <w:pStyle w:val="649"/>
        <w:ind w:firstLine="0"/>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磋商响应</w:t>
      </w:r>
      <w:r>
        <w:rPr>
          <w:rFonts w:hint="eastAsia" w:ascii="宋体" w:hAnsi="宋体" w:eastAsia="宋体" w:cs="宋体"/>
          <w:b/>
          <w:bCs/>
          <w:color w:val="000000"/>
          <w:sz w:val="24"/>
          <w:szCs w:val="24"/>
          <w:highlight w:val="none"/>
        </w:rPr>
        <w:t xml:space="preserve">承诺书</w:t>
      </w:r>
      <w:r>
        <w:rPr>
          <w:rFonts w:hint="eastAsia" w:ascii="宋体" w:hAnsi="宋体" w:eastAsia="宋体" w:cs="宋体"/>
          <w:b/>
          <w:bCs/>
          <w:color w:val="000000"/>
          <w:sz w:val="24"/>
          <w:szCs w:val="24"/>
          <w:highlight w:val="none"/>
        </w:rPr>
      </w:r>
      <w:r/>
    </w:p>
    <w:p>
      <w:pPr>
        <w:pStyle w:val="649"/>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苏州华厦招投标代理有限公司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我们收到贵公司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JSZC-320506-DLHX-C2026-0007</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号磋商邀请函，经仔细阅读和研究，我们决定参加该次磋商活动。</w:t>
      </w: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1、我们愿意按照磋商邀请函的一切要求，提供包括完成该项目的各项应有费用。</w:t>
      </w:r>
      <w:r>
        <w:rPr>
          <w:rFonts w:hint="eastAsia" w:ascii="宋体" w:hAnsi="宋体" w:eastAsia="宋体" w:cs="宋体"/>
          <w:color w:val="000000"/>
          <w:sz w:val="24"/>
          <w:szCs w:val="24"/>
          <w:highlight w:val="none"/>
        </w:rPr>
      </w:r>
      <w:r/>
    </w:p>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2、如果我们磋商商务被接受，我们将严格履行磋商邀请函中规定的每一项要求，按期、按质、按量履行合同的义务。</w:t>
      </w:r>
      <w:r>
        <w:rPr>
          <w:rFonts w:hint="eastAsia" w:ascii="宋体" w:hAnsi="宋体" w:eastAsia="宋体" w:cs="宋体"/>
          <w:color w:val="000000"/>
          <w:sz w:val="24"/>
          <w:szCs w:val="24"/>
          <w:highlight w:val="none"/>
        </w:rPr>
      </w:r>
      <w:r/>
    </w:p>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3、我们愿意提供邀请方在磋商邀请函中要求的所有资料。</w:t>
      </w:r>
      <w:r>
        <w:rPr>
          <w:rFonts w:hint="eastAsia" w:ascii="宋体" w:hAnsi="宋体" w:eastAsia="宋体" w:cs="宋体"/>
          <w:color w:val="000000"/>
          <w:sz w:val="24"/>
          <w:szCs w:val="24"/>
          <w:highlight w:val="none"/>
        </w:rPr>
      </w:r>
      <w:r/>
    </w:p>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4、我们认为你们有权决定成交人者，还认为你们有权接受或拒绝所有的磋商供应商。</w:t>
      </w:r>
      <w:r>
        <w:rPr>
          <w:rFonts w:hint="eastAsia" w:ascii="宋体" w:hAnsi="宋体" w:eastAsia="宋体" w:cs="宋体"/>
          <w:color w:val="000000"/>
          <w:sz w:val="24"/>
          <w:szCs w:val="24"/>
          <w:highlight w:val="none"/>
        </w:rPr>
      </w:r>
      <w:r/>
    </w:p>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5、我们愿意遵守磋商邀请函中所列的收费标准。</w:t>
      </w:r>
      <w:r>
        <w:rPr>
          <w:rFonts w:hint="eastAsia" w:ascii="宋体" w:hAnsi="宋体" w:eastAsia="宋体" w:cs="宋体"/>
          <w:color w:val="000000"/>
          <w:sz w:val="24"/>
          <w:szCs w:val="24"/>
          <w:highlight w:val="none"/>
        </w:rPr>
      </w:r>
      <w:r/>
    </w:p>
    <w:p>
      <w:pPr>
        <w:pStyle w:val="649"/>
        <w:ind w:firstLine="480"/>
        <w:spacing w:line="360" w:lineRule="auto"/>
        <w:widowControl/>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6、如果我们成交后未履行以上承诺，我公司愿意接受有关部门的处理：</w:t>
      </w:r>
      <w:r>
        <w:rPr>
          <w:rFonts w:hint="eastAsia" w:ascii="宋体" w:hAnsi="宋体" w:eastAsia="宋体" w:cs="宋体"/>
          <w:color w:val="000000"/>
          <w:sz w:val="24"/>
          <w:szCs w:val="24"/>
          <w:highlight w:val="none"/>
        </w:rPr>
      </w:r>
      <w:r/>
    </w:p>
    <w:p>
      <w:pPr>
        <w:pStyle w:val="649"/>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A、取消成交资格</w:t>
      </w:r>
      <w:r>
        <w:rPr>
          <w:rFonts w:hint="eastAsia" w:ascii="宋体" w:hAnsi="宋体" w:eastAsia="宋体" w:cs="宋体"/>
          <w:color w:val="000000"/>
          <w:sz w:val="24"/>
          <w:szCs w:val="24"/>
          <w:highlight w:val="none"/>
        </w:rPr>
      </w:r>
      <w:r/>
    </w:p>
    <w:p>
      <w:pPr>
        <w:pStyle w:val="649"/>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B、列入不诚信企业名录予以曝光</w:t>
      </w:r>
      <w:r>
        <w:rPr>
          <w:rFonts w:hint="eastAsia" w:ascii="宋体" w:hAnsi="宋体" w:eastAsia="宋体" w:cs="宋体"/>
          <w:color w:val="000000"/>
          <w:sz w:val="24"/>
          <w:szCs w:val="24"/>
          <w:highlight w:val="none"/>
        </w:rPr>
      </w:r>
      <w:r/>
    </w:p>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、综合说明：</w:t>
      </w:r>
      <w:r>
        <w:rPr>
          <w:rFonts w:hint="eastAsia" w:ascii="宋体" w:hAnsi="宋体" w:eastAsia="宋体" w:cs="宋体"/>
          <w:color w:val="000000"/>
          <w:sz w:val="24"/>
          <w:szCs w:val="24"/>
          <w:highlight w:val="none"/>
        </w:rPr>
      </w:r>
      <w:r/>
    </w:p>
    <w:p>
      <w:pPr>
        <w:pStyle w:val="649"/>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（1）伴随服务及配合措施；      </w:t>
      </w:r>
      <w:r>
        <w:rPr>
          <w:rFonts w:hint="eastAsia" w:ascii="宋体" w:hAnsi="宋体" w:eastAsia="宋体" w:cs="宋体"/>
          <w:color w:val="000000"/>
          <w:sz w:val="24"/>
          <w:szCs w:val="24"/>
          <w:highlight w:val="none"/>
        </w:rPr>
      </w:r>
      <w:r/>
    </w:p>
    <w:p>
      <w:pPr>
        <w:pStyle w:val="649"/>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（2）要求甲方提供的配合；      </w:t>
      </w:r>
      <w:r>
        <w:rPr>
          <w:rFonts w:hint="eastAsia" w:ascii="宋体" w:hAnsi="宋体" w:eastAsia="宋体" w:cs="宋体"/>
          <w:color w:val="000000"/>
          <w:sz w:val="24"/>
          <w:szCs w:val="24"/>
          <w:highlight w:val="none"/>
        </w:rPr>
      </w:r>
      <w:r/>
    </w:p>
    <w:p>
      <w:pPr>
        <w:pStyle w:val="649"/>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（3）其它说明。</w:t>
      </w:r>
      <w:r>
        <w:rPr>
          <w:rFonts w:hint="eastAsia" w:ascii="宋体" w:hAnsi="宋体" w:eastAsia="宋体" w:cs="宋体"/>
          <w:color w:val="000000"/>
          <w:sz w:val="24"/>
          <w:szCs w:val="24"/>
          <w:highlight w:val="none"/>
        </w:rPr>
      </w:r>
      <w:r/>
    </w:p>
    <w:p>
      <w:pPr>
        <w:pStyle w:val="649"/>
        <w:ind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所有有关标书的函电，请按下列地址联系：</w:t>
      </w:r>
      <w:r>
        <w:rPr>
          <w:rFonts w:hint="eastAsia" w:ascii="宋体" w:hAnsi="宋体" w:eastAsia="宋体" w:cs="宋体"/>
          <w:color w:val="000000"/>
          <w:sz w:val="24"/>
          <w:szCs w:val="24"/>
          <w:highlight w:val="none"/>
        </w:rPr>
      </w:r>
      <w:r/>
    </w:p>
    <w:p>
      <w:pPr>
        <w:pStyle w:val="649"/>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                           联系人：</w:t>
      </w:r>
      <w:r>
        <w:rPr>
          <w:rFonts w:hint="eastAsia" w:ascii="宋体" w:hAnsi="宋体" w:eastAsia="宋体" w:cs="宋体"/>
          <w:color w:val="000000"/>
          <w:sz w:val="24"/>
          <w:szCs w:val="24"/>
          <w:highlight w:val="none"/>
        </w:rPr>
      </w:r>
      <w:r/>
    </w:p>
    <w:p>
      <w:pPr>
        <w:pStyle w:val="649"/>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邮政编码： </w:t>
      </w:r>
      <w:r>
        <w:rPr>
          <w:rFonts w:hint="eastAsia" w:ascii="宋体" w:hAnsi="宋体" w:eastAsia="宋体" w:cs="宋体"/>
          <w:color w:val="000000"/>
          <w:sz w:val="24"/>
          <w:szCs w:val="24"/>
          <w:highlight w:val="none"/>
        </w:rPr>
      </w:r>
      <w:r/>
    </w:p>
    <w:p>
      <w:pPr>
        <w:pStyle w:val="649"/>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传真：</w:t>
      </w:r>
      <w:r>
        <w:rPr>
          <w:rFonts w:hint="eastAsia" w:ascii="宋体" w:hAnsi="宋体" w:eastAsia="宋体" w:cs="宋体"/>
          <w:color w:val="000000"/>
          <w:sz w:val="24"/>
          <w:szCs w:val="24"/>
          <w:highlight w:val="none"/>
        </w:rPr>
      </w:r>
      <w:r/>
    </w:p>
    <w:p>
      <w:pPr>
        <w:pStyle w:val="639"/>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639"/>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639"/>
        <w:ind w:firstLine="69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63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3、（磋商方）法定代表人授权委托书 </w:t>
      </w:r>
      <w:r>
        <w:rPr>
          <w:rFonts w:hint="eastAsia" w:ascii="宋体" w:hAnsi="宋体" w:eastAsia="宋体" w:cs="宋体"/>
          <w:b/>
          <w:color w:val="000000"/>
          <w:sz w:val="24"/>
          <w:szCs w:val="24"/>
          <w:highlight w:val="none"/>
        </w:rPr>
      </w:r>
      <w:r/>
    </w:p>
    <w:p>
      <w:pPr>
        <w:pStyle w:val="71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授权委托书</w:t>
      </w:r>
      <w:r>
        <w:rPr>
          <w:rFonts w:hint="eastAsia" w:ascii="宋体" w:hAnsi="宋体" w:eastAsia="宋体" w:cs="宋体"/>
          <w:color w:val="000000"/>
          <w:sz w:val="24"/>
          <w:szCs w:val="24"/>
          <w:highlight w:val="none"/>
        </w:rPr>
      </w:r>
      <w:r/>
    </w:p>
    <w:p>
      <w:pPr>
        <w:pStyle w:val="715"/>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15"/>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（磋商单位名称）的法定代表人，现授权委托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（姓名）为我公司被授权人，以本公司的名义参加苏州华厦招投标代理有限公司组织实施的编号为</w:t>
      </w:r>
      <w:r>
        <w:rPr>
          <w:rFonts w:hint="eastAsia" w:ascii="宋体" w:hAnsi="宋体" w:eastAsia="宋体" w:cs="宋体"/>
          <w:color w:val="000000"/>
          <w:sz w:val="24"/>
          <w:szCs w:val="24"/>
          <w:highlight w:val="none"/>
          <w:u w:val="single"/>
          <w:lang w:eastAsia="zh-CN"/>
        </w:rPr>
        <w:t xml:space="preserve">JSZC-320506-DLHX-C2026-0007</w:t>
      </w:r>
      <w:r>
        <w:rPr>
          <w:rFonts w:hint="eastAsia" w:ascii="宋体" w:hAnsi="宋体" w:eastAsia="宋体" w:cs="宋体"/>
          <w:bCs/>
          <w:color w:val="000000"/>
          <w:sz w:val="24"/>
          <w:szCs w:val="24"/>
          <w:highlight w:val="none"/>
          <w:u w:val="single"/>
        </w:rPr>
        <w:t xml:space="preserve">号</w:t>
      </w:r>
      <w:r>
        <w:rPr>
          <w:rFonts w:hint="eastAsia" w:ascii="宋体" w:hAnsi="宋体" w:eastAsia="宋体" w:cs="宋体"/>
          <w:color w:val="000000"/>
          <w:sz w:val="24"/>
          <w:szCs w:val="24"/>
          <w:highlight w:val="none"/>
        </w:rPr>
        <w:t xml:space="preserve">的竞争性磋商活动。被授权人在开标、评标、合同磋商过程中所签署的一切文件和处理与这有关的一切事务，我均予以承认。</w:t>
      </w:r>
      <w:r>
        <w:rPr>
          <w:rFonts w:hint="eastAsia" w:ascii="宋体" w:hAnsi="宋体" w:eastAsia="宋体" w:cs="宋体"/>
          <w:color w:val="000000"/>
          <w:sz w:val="24"/>
          <w:szCs w:val="24"/>
          <w:highlight w:val="none"/>
        </w:rPr>
      </w:r>
      <w:r/>
    </w:p>
    <w:p>
      <w:pPr>
        <w:pStyle w:val="715"/>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被授权人在授权委托书有效期内签署的所有文件不因授权委托的撤销而失效，除非有撤销授权委托的书面通知，本授权委托书自响应开始至合同履行完毕止。</w:t>
      </w:r>
      <w:r>
        <w:rPr>
          <w:rFonts w:hint="eastAsia" w:ascii="宋体" w:hAnsi="宋体" w:eastAsia="宋体" w:cs="宋体"/>
          <w:color w:val="000000"/>
          <w:sz w:val="24"/>
          <w:szCs w:val="24"/>
          <w:highlight w:val="none"/>
        </w:rPr>
      </w:r>
      <w:r/>
    </w:p>
    <w:p>
      <w:pPr>
        <w:pStyle w:val="715"/>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被授权人无转委托权。特此委托。</w:t>
      </w:r>
      <w:r>
        <w:rPr>
          <w:rFonts w:hint="eastAsia" w:ascii="宋体" w:hAnsi="宋体" w:eastAsia="宋体" w:cs="宋体"/>
          <w:color w:val="000000"/>
          <w:sz w:val="24"/>
          <w:szCs w:val="24"/>
          <w:highlight w:val="none"/>
        </w:rPr>
      </w:r>
      <w:r/>
    </w:p>
    <w:p>
      <w:pPr>
        <w:pStyle w:val="715"/>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39"/>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639"/>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639"/>
        <w:ind w:firstLine="69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15"/>
        <w:jc w:val="righ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ind w:left="0"/>
        <w:jc w:val="both"/>
        <w:spacing w:line="480" w:lineRule="exact"/>
        <w:rPr>
          <w:rFonts w:ascii="Times New Roman" w:hAnsi="Times New Roman"/>
          <w:b/>
          <w:color w:val="000000"/>
          <w:sz w:val="21"/>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4、</w:t>
      </w:r>
      <w:r>
        <w:rPr>
          <w:rFonts w:hint="eastAsia" w:ascii="宋体" w:hAnsi="宋体" w:eastAsia="宋体" w:cs="宋体"/>
          <w:b/>
          <w:color w:val="000000"/>
          <w:sz w:val="24"/>
          <w:szCs w:val="24"/>
        </w:rPr>
        <w:t xml:space="preserve">偏离表（技术、商务）</w:t>
      </w:r>
      <w:r>
        <w:rPr>
          <w:rFonts w:ascii="Times New Roman" w:hAnsi="Times New Roman"/>
          <w:b/>
          <w:color w:val="000000"/>
          <w:sz w:val="21"/>
        </w:rPr>
      </w:r>
      <w:r/>
    </w:p>
    <w:p>
      <w:pPr>
        <w:pStyle w:val="675"/>
        <w:ind w:left="40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偏离表</w:t>
      </w:r>
      <w:r>
        <w:rPr>
          <w:rFonts w:hint="eastAsia" w:ascii="宋体" w:hAnsi="宋体" w:eastAsia="宋体" w:cs="宋体"/>
          <w:b/>
          <w:color w:val="000000"/>
          <w:sz w:val="24"/>
          <w:szCs w:val="24"/>
        </w:rPr>
      </w:r>
      <w:r/>
    </w:p>
    <w:p>
      <w:pPr>
        <w:pStyle w:val="675"/>
        <w:ind w:left="40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tbl>
      <w:tblPr>
        <w:tblW w:w="95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3110"/>
        <w:gridCol w:w="2450"/>
        <w:gridCol w:w="1842"/>
        <w:gridCol w:w="1418"/>
      </w:tblGrid>
      <w:tr>
        <w:trPr>
          <w:trHeight w:val="760"/>
        </w:trPr>
        <w:tc>
          <w:tcPr>
            <w:tcW w:w="724" w:type="dxa"/>
            <w:vAlign w:val="center"/>
            <w:textDirection w:val="lrTb"/>
            <w:noWrap w:val="false"/>
          </w:tcPr>
          <w:p>
            <w:pPr>
              <w:pStyle w:val="639"/>
              <w:ind w:left="0"/>
              <w:widowControl w:val="off"/>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3110" w:type="dxa"/>
            <w:vAlign w:val="center"/>
            <w:textDirection w:val="lrTb"/>
            <w:noWrap w:val="false"/>
          </w:tcPr>
          <w:p>
            <w:pPr>
              <w:pStyle w:val="639"/>
              <w:ind w:left="0"/>
              <w:jc w:val="center"/>
              <w:widowControl w:val="off"/>
              <w:rPr>
                <w:rFonts w:ascii="宋体" w:hAnsi="宋体"/>
                <w:color w:val="000000"/>
                <w:sz w:val="21"/>
                <w:szCs w:val="21"/>
              </w:rPr>
            </w:pPr>
            <w:r>
              <w:rPr>
                <w:rFonts w:hint="eastAsia" w:ascii="宋体" w:hAnsi="宋体"/>
                <w:color w:val="000000"/>
                <w:sz w:val="21"/>
                <w:szCs w:val="21"/>
              </w:rPr>
              <w:t xml:space="preserve">采购要求</w:t>
            </w:r>
            <w:r>
              <w:rPr>
                <w:rFonts w:ascii="宋体" w:hAnsi="宋体"/>
                <w:color w:val="000000"/>
                <w:sz w:val="21"/>
                <w:szCs w:val="21"/>
              </w:rPr>
            </w:r>
            <w:r/>
          </w:p>
        </w:tc>
        <w:tc>
          <w:tcPr>
            <w:tcW w:w="2450" w:type="dxa"/>
            <w:vAlign w:val="center"/>
            <w:textDirection w:val="lrTb"/>
            <w:noWrap w:val="false"/>
          </w:tcPr>
          <w:p>
            <w:pPr>
              <w:pStyle w:val="639"/>
              <w:ind w:left="0"/>
              <w:jc w:val="center"/>
              <w:widowControl w:val="off"/>
              <w:rPr>
                <w:rFonts w:ascii="宋体" w:hAnsi="宋体"/>
                <w:color w:val="000000"/>
                <w:sz w:val="21"/>
                <w:szCs w:val="21"/>
              </w:rPr>
            </w:pPr>
            <w:r>
              <w:rPr>
                <w:rFonts w:hint="eastAsia" w:ascii="宋体" w:hAnsi="宋体"/>
                <w:color w:val="000000"/>
                <w:sz w:val="21"/>
                <w:szCs w:val="21"/>
              </w:rPr>
              <w:t xml:space="preserve">响应情况</w:t>
            </w:r>
            <w:r>
              <w:rPr>
                <w:rFonts w:ascii="宋体" w:hAnsi="宋体"/>
                <w:color w:val="000000"/>
                <w:sz w:val="21"/>
                <w:szCs w:val="21"/>
              </w:rPr>
            </w:r>
            <w:r/>
          </w:p>
        </w:tc>
        <w:tc>
          <w:tcPr>
            <w:tcW w:w="1842" w:type="dxa"/>
            <w:vAlign w:val="center"/>
            <w:textDirection w:val="lrTb"/>
            <w:noWrap w:val="false"/>
          </w:tcPr>
          <w:p>
            <w:pPr>
              <w:pStyle w:val="639"/>
              <w:ind w:left="0"/>
              <w:jc w:val="center"/>
              <w:widowControl w:val="off"/>
              <w:rPr>
                <w:rFonts w:ascii="宋体" w:hAnsi="宋体"/>
                <w:color w:val="000000"/>
                <w:sz w:val="21"/>
                <w:szCs w:val="21"/>
              </w:rPr>
            </w:pPr>
            <w:r>
              <w:rPr>
                <w:rFonts w:hint="eastAsia" w:ascii="宋体" w:hAnsi="宋体"/>
                <w:color w:val="000000"/>
                <w:sz w:val="21"/>
                <w:szCs w:val="21"/>
              </w:rPr>
              <w:t xml:space="preserve">偏离说明</w:t>
            </w:r>
            <w:r>
              <w:rPr>
                <w:rFonts w:ascii="宋体" w:hAnsi="宋体"/>
                <w:color w:val="000000"/>
                <w:sz w:val="21"/>
                <w:szCs w:val="21"/>
              </w:rPr>
            </w:r>
            <w:r/>
          </w:p>
        </w:tc>
        <w:tc>
          <w:tcPr>
            <w:tcW w:w="1418" w:type="dxa"/>
            <w:vAlign w:val="top"/>
            <w:textDirection w:val="lrTb"/>
            <w:noWrap w:val="false"/>
          </w:tcPr>
          <w:p>
            <w:pPr>
              <w:pStyle w:val="639"/>
              <w:ind w:left="0"/>
              <w:jc w:val="center"/>
              <w:spacing w:line="600" w:lineRule="auto"/>
              <w:widowControl w:val="off"/>
              <w:rPr>
                <w:rFonts w:hint="eastAsia" w:ascii="宋体" w:hAnsi="宋体" w:eastAsia="宋体"/>
                <w:color w:val="000000"/>
                <w:sz w:val="21"/>
                <w:szCs w:val="21"/>
                <w:lang w:eastAsia="zh-CN"/>
              </w:rPr>
            </w:pPr>
            <w:r>
              <w:rPr>
                <w:rFonts w:hint="eastAsia" w:ascii="宋体" w:hAnsi="宋体"/>
                <w:color w:val="000000"/>
                <w:sz w:val="21"/>
                <w:szCs w:val="21"/>
                <w:lang w:val="en-US" w:eastAsia="zh-CN"/>
              </w:rPr>
              <w:t xml:space="preserve">备注</w:t>
            </w:r>
            <w:r>
              <w:rPr>
                <w:rFonts w:hint="eastAsia" w:ascii="宋体" w:hAnsi="宋体" w:eastAsia="宋体"/>
                <w:color w:val="000000"/>
                <w:sz w:val="21"/>
                <w:szCs w:val="21"/>
                <w:lang w:eastAsia="zh-CN"/>
              </w:rPr>
            </w:r>
            <w:r/>
          </w:p>
        </w:tc>
      </w:tr>
      <w:tr>
        <w:trPr>
          <w:cantSplit/>
          <w:trHeight w:val="495"/>
        </w:trPr>
        <w:tc>
          <w:tcPr>
            <w:tcW w:w="724"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top"/>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top"/>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top"/>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top"/>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top"/>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639"/>
              <w:ind w:left="0"/>
              <w:jc w:val="center"/>
              <w:widowControl w:val="off"/>
              <w:rPr>
                <w:rFonts w:ascii="宋体" w:hAnsi="宋体"/>
                <w:color w:val="000000"/>
                <w:sz w:val="21"/>
                <w:szCs w:val="21"/>
              </w:rPr>
            </w:pPr>
            <w:r>
              <w:rPr>
                <w:rFonts w:ascii="宋体" w:hAnsi="宋体"/>
                <w:color w:val="000000"/>
                <w:sz w:val="21"/>
                <w:szCs w:val="21"/>
              </w:rPr>
            </w:r>
            <w:r/>
          </w:p>
        </w:tc>
      </w:tr>
    </w:tbl>
    <w:p>
      <w:pPr>
        <w:pStyle w:val="639"/>
        <w:ind w:left="0"/>
        <w:jc w:val="left"/>
        <w:spacing w:line="380" w:lineRule="exact"/>
        <w:rPr>
          <w:rFonts w:ascii="Times New Roman" w:hAnsi="Times New Roman"/>
          <w:color w:val="000000"/>
          <w:sz w:val="21"/>
        </w:rPr>
      </w:pPr>
      <w:r>
        <w:rPr>
          <w:rFonts w:ascii="Times New Roman" w:hAnsi="Times New Roman"/>
          <w:color w:val="000000"/>
          <w:sz w:val="21"/>
        </w:rPr>
      </w:r>
      <w:r/>
    </w:p>
    <w:p>
      <w:pPr>
        <w:pStyle w:val="639"/>
        <w:ind w:firstLine="611"/>
        <w:spacing w:line="360" w:lineRule="auto"/>
        <w:rPr>
          <w:rFonts w:hint="eastAsia" w:ascii="宋体" w:hAnsi="宋体" w:eastAsia="宋体" w:cs="宋体"/>
          <w:color w:val="000000"/>
          <w:sz w:val="24"/>
          <w:szCs w:val="24"/>
          <w:highlight w:val="none"/>
        </w:rPr>
      </w:pPr>
      <w:r>
        <w:rPr>
          <w:rFonts w:hint="eastAsia" w:ascii="宋体" w:hAnsi="宋体" w:cs="宋体"/>
          <w:color w:val="000000"/>
          <w:sz w:val="21"/>
          <w:szCs w:val="21"/>
        </w:rPr>
        <w:t xml:space="preserve"> </w:t>
      </w: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639"/>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639"/>
        <w:ind w:firstLine="698"/>
        <w:jc w:val="left"/>
        <w:spacing w:line="360" w:lineRule="auto"/>
        <w:rPr>
          <w:rFonts w:ascii="宋体" w:cs="宋体"/>
          <w:color w:val="000000"/>
          <w:sz w:val="22"/>
          <w:szCs w:val="22"/>
          <w:lang w:val="zh-CN"/>
        </w:rPr>
      </w:pPr>
      <w:r>
        <w:rPr>
          <w:rFonts w:hint="eastAsia" w:ascii="宋体" w:hAnsi="宋体" w:eastAsia="宋体" w:cs="宋体"/>
          <w:color w:val="000000"/>
          <w:sz w:val="24"/>
          <w:szCs w:val="24"/>
          <w:highlight w:val="none"/>
        </w:rPr>
        <w:t xml:space="preserve">日期：         年         月       日</w:t>
      </w:r>
      <w:r>
        <w:rPr>
          <w:rFonts w:hint="eastAsia" w:ascii="宋体" w:cs="宋体"/>
          <w:color w:val="000000"/>
          <w:sz w:val="22"/>
          <w:szCs w:val="22"/>
          <w:lang w:val="zh-CN"/>
        </w:rPr>
        <w:t xml:space="preserve"> </w:t>
      </w:r>
      <w:r>
        <w:rPr>
          <w:rFonts w:ascii="宋体" w:cs="宋体"/>
          <w:color w:val="000000"/>
          <w:sz w:val="22"/>
          <w:szCs w:val="22"/>
          <w:lang w:val="zh-CN"/>
        </w:rPr>
      </w:r>
      <w:r/>
    </w:p>
    <w:p>
      <w:pPr>
        <w:pStyle w:val="639"/>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639"/>
        <w:numPr>
          <w:ilvl w:val="0"/>
          <w:numId w:val="0"/>
        </w:numPr>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在本表中对照采购文件要求对应列出响应内容，并在“偏离说明”项下填写以下内容：优于的，填写“正偏离”；符合的，填写“无偏离”；低于的，填写“负偏离”。</w:t>
      </w:r>
      <w:r>
        <w:rPr>
          <w:rFonts w:hint="eastAsia" w:ascii="宋体" w:hAnsi="宋体" w:eastAsia="宋体" w:cs="宋体"/>
          <w:color w:val="000000"/>
          <w:sz w:val="24"/>
          <w:szCs w:val="24"/>
          <w:highlight w:val="none"/>
        </w:rPr>
      </w:r>
      <w:r/>
    </w:p>
    <w:p>
      <w:pPr>
        <w:pStyle w:val="639"/>
        <w:numPr>
          <w:ilvl w:val="0"/>
          <w:numId w:val="0"/>
        </w:numPr>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highlight w:val="none"/>
        </w:rPr>
        <w:t xml:space="preserve">未在上表中说明的，如在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文件其他内容中已有文字说明的，则以已有文字说明为准，否则，将被认为完全响应</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文件的</w:t>
      </w:r>
      <w:r>
        <w:rPr>
          <w:rFonts w:hint="eastAsia" w:ascii="宋体" w:hAnsi="宋体" w:eastAsia="宋体" w:cs="宋体"/>
          <w:color w:val="000000"/>
          <w:sz w:val="24"/>
          <w:szCs w:val="24"/>
          <w:highlight w:val="none"/>
          <w:lang w:val="en-US" w:eastAsia="zh-CN"/>
        </w:rPr>
        <w:t xml:space="preserve">要求及规定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9"/>
        <w:numPr>
          <w:ilvl w:val="0"/>
          <w:numId w:val="0"/>
        </w:numPr>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highlight w:val="none"/>
        </w:rPr>
        <w:t xml:space="preserve">若事项较多，供应商可根据实际情况另纸说明。</w:t>
      </w:r>
      <w:r>
        <w:rPr>
          <w:rFonts w:hint="eastAsia" w:ascii="宋体" w:hAnsi="宋体" w:eastAsia="宋体" w:cs="宋体"/>
          <w:color w:val="000000"/>
          <w:sz w:val="24"/>
          <w:szCs w:val="24"/>
          <w:highlight w:val="none"/>
        </w:rPr>
      </w:r>
      <w:r/>
    </w:p>
    <w:p>
      <w:pPr>
        <w:pStyle w:val="63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br w:type="page" w:clear="all"/>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服务人员表 </w:t>
      </w:r>
      <w:r>
        <w:rPr>
          <w:rFonts w:hint="eastAsia" w:ascii="宋体" w:hAnsi="宋体" w:eastAsia="宋体" w:cs="宋体"/>
          <w:b/>
          <w:color w:val="000000"/>
          <w:sz w:val="24"/>
          <w:szCs w:val="24"/>
          <w:highlight w:val="none"/>
        </w:rPr>
      </w:r>
      <w:r/>
    </w:p>
    <w:p>
      <w:pPr>
        <w:pStyle w:val="639"/>
        <w:ind w:firstLine="38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服务人员表</w:t>
      </w:r>
      <w:r>
        <w:rPr>
          <w:rFonts w:hint="eastAsia" w:ascii="宋体" w:hAnsi="宋体" w:eastAsia="宋体" w:cs="宋体"/>
          <w:color w:val="000000"/>
          <w:sz w:val="24"/>
          <w:szCs w:val="24"/>
          <w:highlight w:val="none"/>
        </w:rPr>
      </w:r>
      <w:r/>
    </w:p>
    <w:p>
      <w:pPr>
        <w:pStyle w:val="639"/>
        <w:jc w:val="center"/>
        <w:spacing w:line="360" w:lineRule="auto"/>
        <w:rPr>
          <w:rFonts w:hint="eastAsia" w:ascii="宋体" w:hAnsi="宋体" w:eastAsia="宋体" w:cs="宋体"/>
          <w:bCs/>
          <w:color w:val="000000"/>
          <w:spacing w:val="20"/>
          <w:sz w:val="24"/>
          <w:szCs w:val="24"/>
          <w:highlight w:val="none"/>
        </w:rPr>
      </w:pPr>
      <w:r>
        <w:rPr>
          <w:rFonts w:hint="eastAsia" w:ascii="宋体" w:hAnsi="宋体" w:eastAsia="宋体" w:cs="宋体"/>
          <w:bCs/>
          <w:color w:val="000000"/>
          <w:spacing w:val="20"/>
          <w:sz w:val="24"/>
          <w:szCs w:val="24"/>
          <w:highlight w:val="none"/>
        </w:rPr>
      </w:r>
      <w:r/>
    </w:p>
    <w:p>
      <w:pPr>
        <w:pStyle w:val="639"/>
        <w:jc w:val="left"/>
        <w:spacing w:line="360" w:lineRule="auto"/>
        <w:rPr>
          <w:rFonts w:hint="eastAsia" w:ascii="宋体" w:hAnsi="宋体" w:eastAsia="宋体" w:cs="宋体"/>
          <w:b w:val="0"/>
          <w:bCs/>
          <w:color w:val="000000"/>
          <w:sz w:val="24"/>
          <w:szCs w:val="24"/>
          <w:highlight w:val="none"/>
          <w:u w:val="single"/>
          <w:lang w:eastAsia="zh-CN"/>
        </w:rPr>
      </w:pPr>
      <w:r>
        <w:rPr>
          <w:rFonts w:hint="eastAsia" w:ascii="宋体" w:hAnsi="宋体" w:eastAsia="宋体" w:cs="宋体"/>
          <w:color w:val="000000"/>
          <w:sz w:val="24"/>
          <w:szCs w:val="24"/>
          <w:highlight w:val="none"/>
        </w:rPr>
        <w:t xml:space="preserve">采购内容：</w:t>
      </w:r>
      <w:r>
        <w:rPr>
          <w:rFonts w:hint="eastAsia" w:ascii="宋体" w:hAnsi="宋体" w:eastAsia="宋体" w:cs="宋体"/>
          <w:b w:val="0"/>
          <w:bCs/>
          <w:color w:val="000000"/>
          <w:sz w:val="24"/>
          <w:szCs w:val="24"/>
          <w:highlight w:val="none"/>
          <w:u w:val="none"/>
          <w:lang w:eastAsia="zh-CN"/>
        </w:rPr>
        <w:t xml:space="preserve">2026年度全镇监控安防设备维护保养服务</w:t>
      </w:r>
      <w:r>
        <w:rPr>
          <w:rFonts w:hint="eastAsia" w:ascii="宋体" w:hAnsi="宋体" w:eastAsia="宋体" w:cs="宋体"/>
          <w:b w:val="0"/>
          <w:bCs/>
          <w:color w:val="000000"/>
          <w:sz w:val="24"/>
          <w:szCs w:val="24"/>
          <w:highlight w:val="none"/>
          <w:u w:val="single"/>
          <w:lang w:eastAsia="zh-CN"/>
        </w:rPr>
      </w:r>
      <w:r/>
    </w:p>
    <w:p>
      <w:pPr>
        <w:pStyle w:val="639"/>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采购编号：</w:t>
      </w:r>
      <w:r>
        <w:rPr>
          <w:rFonts w:hint="eastAsia" w:ascii="宋体" w:hAnsi="宋体" w:eastAsia="宋体" w:cs="宋体"/>
          <w:color w:val="000000"/>
          <w:sz w:val="24"/>
          <w:szCs w:val="24"/>
          <w:highlight w:val="none"/>
          <w:lang w:eastAsia="zh-CN"/>
        </w:rPr>
        <w:t xml:space="preserve">JSZC-320506-DLHX-C2026-0007</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915"/>
        <w:gridCol w:w="1503"/>
        <w:gridCol w:w="1084"/>
        <w:gridCol w:w="1035"/>
        <w:gridCol w:w="1105"/>
        <w:gridCol w:w="1000"/>
      </w:tblGrid>
      <w:tr>
        <w:trPr>
          <w:trHeight w:val="760"/>
        </w:trPr>
        <w:tc>
          <w:tcPr>
            <w:tcW w:w="880"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注：请按以上格式自制表格填写后响应。</w:t>
      </w:r>
      <w:r>
        <w:rPr>
          <w:rFonts w:hint="eastAsia" w:ascii="宋体" w:hAnsi="宋体" w:eastAsia="宋体" w:cs="宋体"/>
          <w:color w:val="000000"/>
          <w:sz w:val="24"/>
          <w:szCs w:val="24"/>
          <w:highlight w:val="none"/>
        </w:rPr>
      </w:r>
      <w:r/>
    </w:p>
    <w:p>
      <w:pPr>
        <w:pStyle w:val="639"/>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639"/>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639"/>
        <w:ind w:firstLine="69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5、类似项目业绩清单表 </w:t>
      </w:r>
      <w:r>
        <w:rPr>
          <w:rFonts w:hint="eastAsia" w:ascii="宋体" w:hAnsi="宋体" w:eastAsia="宋体" w:cs="宋体"/>
          <w:b/>
          <w:color w:val="000000"/>
          <w:sz w:val="24"/>
          <w:szCs w:val="24"/>
          <w:highlight w:val="none"/>
        </w:rPr>
      </w:r>
      <w:r/>
    </w:p>
    <w:p>
      <w:pPr>
        <w:pStyle w:val="63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3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类似项目业绩清单表</w:t>
      </w:r>
      <w:r>
        <w:rPr>
          <w:rFonts w:hint="eastAsia" w:ascii="宋体" w:hAnsi="宋体" w:eastAsia="宋体" w:cs="宋体"/>
          <w:bCs/>
          <w:color w:val="000000"/>
          <w:sz w:val="24"/>
          <w:szCs w:val="24"/>
          <w:highlight w:val="none"/>
        </w:rPr>
      </w:r>
      <w:r/>
    </w:p>
    <w:p>
      <w:pPr>
        <w:pStyle w:val="63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jc w:val="left"/>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项目名</w:t>
      </w:r>
      <w:r>
        <w:rPr>
          <w:rFonts w:hint="eastAsia" w:ascii="宋体" w:hAnsi="宋体" w:eastAsia="宋体" w:cs="宋体"/>
          <w:color w:val="000000"/>
          <w:sz w:val="24"/>
          <w:szCs w:val="24"/>
          <w:highlight w:val="none"/>
          <w:u w:val="none"/>
        </w:rPr>
        <w:t xml:space="preserve">称：</w:t>
      </w:r>
      <w:r>
        <w:rPr>
          <w:rFonts w:hint="eastAsia" w:ascii="宋体" w:hAnsi="宋体" w:eastAsia="宋体" w:cs="宋体"/>
          <w:b w:val="0"/>
          <w:bCs/>
          <w:color w:val="000000"/>
          <w:sz w:val="24"/>
          <w:szCs w:val="24"/>
          <w:highlight w:val="none"/>
          <w:u w:val="none"/>
          <w:lang w:eastAsia="zh-CN"/>
        </w:rPr>
        <w:t xml:space="preserve">2026年度全镇监控安防设备维护保养服务</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none"/>
        </w:rPr>
      </w:r>
      <w:r/>
    </w:p>
    <w:p>
      <w:pPr>
        <w:pStyle w:val="639"/>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none"/>
        </w:rPr>
        <w:t xml:space="preserve">采购编号：</w:t>
      </w:r>
      <w:r>
        <w:rPr>
          <w:rFonts w:hint="eastAsia" w:ascii="宋体" w:hAnsi="宋体" w:eastAsia="宋体" w:cs="宋体"/>
          <w:color w:val="000000"/>
          <w:sz w:val="24"/>
          <w:szCs w:val="24"/>
          <w:highlight w:val="none"/>
          <w:u w:val="none"/>
          <w:lang w:eastAsia="zh-CN"/>
        </w:rPr>
        <w:t xml:space="preserve">JSZC-320506-DLHX-C2026-00</w:t>
      </w:r>
      <w:r>
        <w:rPr>
          <w:rFonts w:hint="eastAsia" w:ascii="宋体" w:hAnsi="宋体" w:eastAsia="宋体" w:cs="宋体"/>
          <w:color w:val="000000"/>
          <w:sz w:val="24"/>
          <w:szCs w:val="24"/>
          <w:highlight w:val="none"/>
          <w:lang w:eastAsia="zh-CN"/>
        </w:rPr>
        <w:t xml:space="preserve">07</w:t>
      </w:r>
      <w:r>
        <w:rPr>
          <w:rFonts w:hint="eastAsia" w:ascii="宋体" w:hAnsi="宋体" w:eastAsia="宋体" w:cs="宋体"/>
          <w:color w:val="000000"/>
          <w:sz w:val="24"/>
          <w:szCs w:val="24"/>
          <w:highlight w:val="none"/>
          <w:u w:val="singl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915"/>
        <w:gridCol w:w="918"/>
      </w:tblGrid>
      <w:tr>
        <w:trPr>
          <w:cantSplit/>
          <w:trHeight w:val="740"/>
        </w:trPr>
        <w:tc>
          <w:tcPr>
            <w:tcW w:w="897"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服务范围</w:t>
            </w: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合同金额（万元）</w:t>
            </w: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tbRlV"/>
            <w:noWrap w:val="false"/>
          </w:tcPr>
          <w:p>
            <w:pPr>
              <w:pStyle w:val="639"/>
              <w:ind w:left="113" w:right="11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63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6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39"/>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639"/>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639"/>
        <w:ind w:firstLine="69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639"/>
        <w:ind w:left="420" w:right="357" w:hanging="400"/>
        <w:spacing w:before="12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注：磋商响应单位应提供双方签订的合同复印件。</w:t>
      </w:r>
      <w:r>
        <w:rPr>
          <w:rFonts w:hint="eastAsia" w:ascii="宋体" w:hAnsi="宋体" w:eastAsia="宋体" w:cs="宋体"/>
          <w:b/>
          <w:color w:val="000000"/>
          <w:sz w:val="24"/>
          <w:szCs w:val="24"/>
          <w:highlight w:val="none"/>
        </w:rPr>
      </w:r>
      <w:r/>
    </w:p>
    <w:p>
      <w:pPr>
        <w:pStyle w:val="6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39"/>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39"/>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39"/>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39"/>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39"/>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39"/>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39"/>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39"/>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49"/>
        <w:ind w:firstLine="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6、磋商响应单位情况表</w:t>
      </w:r>
      <w:r>
        <w:rPr>
          <w:rFonts w:hint="eastAsia" w:ascii="宋体" w:hAnsi="宋体" w:eastAsia="宋体" w:cs="宋体"/>
          <w:b/>
          <w:color w:val="000000"/>
          <w:sz w:val="24"/>
          <w:szCs w:val="24"/>
          <w:highlight w:val="none"/>
        </w:rPr>
      </w:r>
      <w:r/>
    </w:p>
    <w:p>
      <w:pPr>
        <w:pStyle w:val="649"/>
        <w:ind w:firstLine="480"/>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磋商响应单位情况表</w:t>
      </w:r>
      <w:r>
        <w:rPr>
          <w:rFonts w:hint="eastAsia" w:ascii="宋体" w:hAnsi="宋体" w:eastAsia="宋体" w:cs="宋体"/>
          <w:bCs/>
          <w:color w:val="000000"/>
          <w:sz w:val="24"/>
          <w:szCs w:val="24"/>
          <w:highlight w:val="none"/>
        </w:rPr>
      </w:r>
      <w:r/>
    </w:p>
    <w:p>
      <w:pPr>
        <w:pStyle w:val="6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44"/>
        <w:gridCol w:w="409"/>
        <w:gridCol w:w="1403"/>
        <w:gridCol w:w="400"/>
        <w:gridCol w:w="688"/>
        <w:gridCol w:w="1147"/>
        <w:gridCol w:w="346"/>
        <w:gridCol w:w="1577"/>
      </w:tblGrid>
      <w:tr>
        <w:trPr>
          <w:trHeight w:val="645"/>
        </w:trPr>
        <w:tc>
          <w:tcPr>
            <w:tcW w:w="548" w:type="dxa"/>
            <w:vAlign w:val="center"/>
            <w:textDirection w:val="lrTb"/>
            <w:noWrap w:val="false"/>
          </w:tcPr>
          <w:p>
            <w:pPr>
              <w:pStyle w:val="649"/>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649"/>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企业法定代表人</w:t>
            </w:r>
            <w:r>
              <w:rPr>
                <w:rFonts w:hint="eastAsia" w:ascii="宋体" w:hAnsi="宋体" w:eastAsia="宋体" w:cs="宋体"/>
                <w:color w:val="000000"/>
                <w:sz w:val="24"/>
                <w:szCs w:val="24"/>
                <w:highlight w:val="none"/>
              </w:rPr>
            </w:r>
            <w:r/>
          </w:p>
        </w:tc>
        <w:tc>
          <w:tcPr>
            <w:gridSpan w:val="3"/>
            <w:tcW w:w="2212" w:type="dxa"/>
            <w:vAlign w:val="center"/>
            <w:textDirection w:val="lrTb"/>
            <w:noWrap w:val="false"/>
          </w:tcPr>
          <w:p>
            <w:pPr>
              <w:pStyle w:val="649"/>
              <w:ind w:firstLine="48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835" w:type="dxa"/>
            <w:vAlign w:val="center"/>
            <w:textDirection w:val="lrTb"/>
            <w:noWrap w:val="false"/>
          </w:tcPr>
          <w:p>
            <w:pPr>
              <w:pStyle w:val="649"/>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公司成立日期</w:t>
            </w:r>
            <w:r>
              <w:rPr>
                <w:rFonts w:hint="eastAsia" w:ascii="宋体" w:hAnsi="宋体" w:eastAsia="宋体" w:cs="宋体"/>
                <w:color w:val="000000"/>
                <w:sz w:val="24"/>
                <w:szCs w:val="24"/>
                <w:highlight w:val="none"/>
              </w:rPr>
            </w:r>
            <w:r/>
          </w:p>
        </w:tc>
        <w:tc>
          <w:tcPr>
            <w:gridSpan w:val="2"/>
            <w:tcW w:w="1923" w:type="dxa"/>
            <w:vAlign w:val="center"/>
            <w:textDirection w:val="lrTb"/>
            <w:noWrap w:val="false"/>
          </w:tcPr>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649"/>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649"/>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总部地址</w:t>
            </w:r>
            <w:r>
              <w:rPr>
                <w:rFonts w:hint="eastAsia" w:ascii="宋体" w:hAnsi="宋体" w:eastAsia="宋体" w:cs="宋体"/>
                <w:color w:val="000000"/>
                <w:sz w:val="24"/>
                <w:szCs w:val="24"/>
                <w:highlight w:val="none"/>
              </w:rPr>
            </w:r>
            <w:r/>
          </w:p>
        </w:tc>
        <w:tc>
          <w:tcPr>
            <w:gridSpan w:val="7"/>
            <w:tcW w:w="5970" w:type="dxa"/>
            <w:vAlign w:val="center"/>
            <w:textDirection w:val="lrTb"/>
            <w:noWrap w:val="false"/>
          </w:tcPr>
          <w:p>
            <w:pPr>
              <w:pStyle w:val="649"/>
              <w:ind w:firstLine="48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649"/>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649"/>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当地代表处地址</w:t>
            </w:r>
            <w:r>
              <w:rPr>
                <w:rFonts w:hint="eastAsia" w:ascii="宋体" w:hAnsi="宋体" w:eastAsia="宋体" w:cs="宋体"/>
                <w:color w:val="000000"/>
                <w:sz w:val="24"/>
                <w:szCs w:val="24"/>
                <w:highlight w:val="none"/>
              </w:rPr>
            </w:r>
            <w:r/>
          </w:p>
        </w:tc>
        <w:tc>
          <w:tcPr>
            <w:gridSpan w:val="7"/>
            <w:tcW w:w="5970" w:type="dxa"/>
            <w:vAlign w:val="center"/>
            <w:textDirection w:val="lrTb"/>
            <w:noWrap w:val="false"/>
          </w:tcPr>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649"/>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gridSpan w:val="2"/>
            <w:tcW w:w="1812" w:type="dxa"/>
            <w:vAlign w:val="center"/>
            <w:textDirection w:val="lrTb"/>
            <w:noWrap w:val="false"/>
          </w:tcPr>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8" w:type="dxa"/>
            <w:vAlign w:val="center"/>
            <w:textDirection w:val="lrTb"/>
            <w:noWrap w:val="false"/>
          </w:tcPr>
          <w:p>
            <w:pPr>
              <w:pStyle w:val="649"/>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c>
          <w:tcPr>
            <w:gridSpan w:val="3"/>
            <w:tcW w:w="3070" w:type="dxa"/>
            <w:vAlign w:val="center"/>
            <w:textDirection w:val="lrTb"/>
            <w:noWrap w:val="false"/>
          </w:tcPr>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5"/>
        </w:trPr>
        <w:tc>
          <w:tcPr>
            <w:tcW w:w="548" w:type="dxa"/>
            <w:vAlign w:val="center"/>
            <w:textDirection w:val="lrTb"/>
            <w:noWrap w:val="false"/>
          </w:tcPr>
          <w:p>
            <w:pPr>
              <w:pStyle w:val="649"/>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tc>
        <w:tc>
          <w:tcPr>
            <w:gridSpan w:val="2"/>
            <w:tcW w:w="1812" w:type="dxa"/>
            <w:vAlign w:val="center"/>
            <w:textDirection w:val="lrTb"/>
            <w:noWrap w:val="false"/>
          </w:tcPr>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8" w:type="dxa"/>
            <w:vAlign w:val="center"/>
            <w:textDirection w:val="lrTb"/>
            <w:noWrap w:val="false"/>
          </w:tcPr>
          <w:p>
            <w:pPr>
              <w:pStyle w:val="649"/>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电子邮箱</w:t>
            </w:r>
            <w:r>
              <w:rPr>
                <w:rFonts w:hint="eastAsia" w:ascii="宋体" w:hAnsi="宋体" w:eastAsia="宋体" w:cs="宋体"/>
                <w:color w:val="000000"/>
                <w:sz w:val="24"/>
                <w:szCs w:val="24"/>
                <w:highlight w:val="none"/>
              </w:rPr>
            </w:r>
            <w:r/>
          </w:p>
        </w:tc>
        <w:tc>
          <w:tcPr>
            <w:gridSpan w:val="3"/>
            <w:tcW w:w="3070" w:type="dxa"/>
            <w:vAlign w:val="center"/>
            <w:textDirection w:val="lrTb"/>
            <w:noWrap w:val="false"/>
          </w:tcPr>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649"/>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w:t>
            </w:r>
            <w:r>
              <w:rPr>
                <w:rFonts w:hint="eastAsia" w:ascii="宋体" w:hAnsi="宋体" w:eastAsia="宋体" w:cs="宋体"/>
                <w:color w:val="000000"/>
                <w:sz w:val="24"/>
                <w:szCs w:val="24"/>
                <w:highlight w:val="none"/>
              </w:rPr>
            </w:r>
            <w:r/>
          </w:p>
        </w:tc>
        <w:tc>
          <w:tcPr>
            <w:gridSpan w:val="2"/>
            <w:tcW w:w="1812" w:type="dxa"/>
            <w:vAlign w:val="center"/>
            <w:textDirection w:val="lrTb"/>
            <w:noWrap w:val="false"/>
          </w:tcPr>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8" w:type="dxa"/>
            <w:vAlign w:val="center"/>
            <w:textDirection w:val="lrTb"/>
            <w:noWrap w:val="false"/>
          </w:tcPr>
          <w:p>
            <w:pPr>
              <w:pStyle w:val="649"/>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注册年份</w:t>
            </w:r>
            <w:r>
              <w:rPr>
                <w:rFonts w:hint="eastAsia" w:ascii="宋体" w:hAnsi="宋体" w:eastAsia="宋体" w:cs="宋体"/>
                <w:color w:val="000000"/>
                <w:sz w:val="24"/>
                <w:szCs w:val="24"/>
                <w:highlight w:val="none"/>
              </w:rPr>
            </w:r>
            <w:r/>
          </w:p>
        </w:tc>
        <w:tc>
          <w:tcPr>
            <w:gridSpan w:val="3"/>
            <w:tcW w:w="3070" w:type="dxa"/>
            <w:vAlign w:val="center"/>
            <w:textDirection w:val="lrTb"/>
            <w:noWrap w:val="false"/>
          </w:tcPr>
          <w:p>
            <w:pPr>
              <w:pStyle w:val="649"/>
              <w:ind w:left="437"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649"/>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649"/>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单位职工人数</w:t>
            </w:r>
            <w:r>
              <w:rPr>
                <w:rFonts w:hint="eastAsia" w:ascii="宋体" w:hAnsi="宋体" w:eastAsia="宋体" w:cs="宋体"/>
                <w:color w:val="000000"/>
                <w:sz w:val="24"/>
                <w:szCs w:val="24"/>
                <w:highlight w:val="none"/>
              </w:rPr>
            </w:r>
            <w:r/>
          </w:p>
        </w:tc>
        <w:tc>
          <w:tcPr>
            <w:gridSpan w:val="2"/>
            <w:tcW w:w="1812" w:type="dxa"/>
            <w:vAlign w:val="center"/>
            <w:textDirection w:val="lrTb"/>
            <w:noWrap w:val="false"/>
          </w:tcPr>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gridSpan w:val="4"/>
            <w:tcW w:w="2581" w:type="dxa"/>
            <w:vAlign w:val="center"/>
            <w:textDirection w:val="lrTb"/>
            <w:noWrap w:val="false"/>
          </w:tcPr>
          <w:p>
            <w:pPr>
              <w:pStyle w:val="649"/>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最近一</w:t>
            </w:r>
            <w:r>
              <w:rPr>
                <w:rFonts w:hint="eastAsia" w:ascii="宋体" w:hAnsi="宋体" w:eastAsia="宋体" w:cs="宋体"/>
                <w:color w:val="000000"/>
                <w:sz w:val="24"/>
                <w:szCs w:val="24"/>
                <w:highlight w:val="none"/>
              </w:rPr>
              <w:t xml:space="preserve">年总营业收入</w:t>
            </w: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r>
      <w:tr>
        <w:trPr>
          <w:cantSplit/>
          <w:trHeight w:val="645"/>
        </w:trPr>
        <w:tc>
          <w:tcPr>
            <w:tcW w:w="548" w:type="dxa"/>
            <w:vAlign w:val="center"/>
            <w:textDirection w:val="lrTb"/>
            <w:noWrap w:val="false"/>
          </w:tcPr>
          <w:p>
            <w:pPr>
              <w:pStyle w:val="649"/>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gridSpan w:val="8"/>
            <w:tcW w:w="7814" w:type="dxa"/>
            <w:vAlign w:val="center"/>
            <w:textDirection w:val="lrTb"/>
            <w:noWrap w:val="false"/>
          </w:tcPr>
          <w:p>
            <w:pPr>
              <w:pStyle w:val="649"/>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企业或社会团体办公场所的面积：</w:t>
            </w:r>
            <w:r>
              <w:rPr>
                <w:rFonts w:hint="eastAsia" w:ascii="宋体" w:hAnsi="宋体" w:eastAsia="宋体" w:cs="宋体"/>
                <w:color w:val="000000"/>
                <w:sz w:val="24"/>
                <w:szCs w:val="24"/>
                <w:highlight w:val="none"/>
              </w:rPr>
            </w:r>
            <w:r/>
          </w:p>
        </w:tc>
      </w:tr>
      <w:tr>
        <w:trPr>
          <w:trHeight w:val="1767"/>
        </w:trPr>
        <w:tc>
          <w:tcPr>
            <w:tcW w:w="548" w:type="dxa"/>
            <w:vAlign w:val="center"/>
            <w:textDirection w:val="lrTb"/>
            <w:noWrap w:val="false"/>
          </w:tcPr>
          <w:p>
            <w:pPr>
              <w:pStyle w:val="649"/>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gridSpan w:val="8"/>
            <w:tcW w:w="7814" w:type="dxa"/>
            <w:vAlign w:val="center"/>
            <w:textDirection w:val="lrTb"/>
            <w:noWrap w:val="false"/>
          </w:tcPr>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主营范围</w:t>
            </w:r>
            <w:r>
              <w:rPr>
                <w:rFonts w:hint="eastAsia" w:ascii="宋体" w:hAnsi="宋体" w:eastAsia="宋体" w:cs="宋体"/>
                <w:color w:val="000000"/>
                <w:sz w:val="24"/>
                <w:szCs w:val="24"/>
                <w:highlight w:val="none"/>
              </w:rPr>
            </w:r>
            <w:r/>
          </w:p>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1、_____________________________________</w:t>
            </w:r>
            <w:r>
              <w:rPr>
                <w:rFonts w:hint="eastAsia" w:ascii="宋体" w:hAnsi="宋体" w:eastAsia="宋体" w:cs="宋体"/>
                <w:color w:val="000000"/>
                <w:sz w:val="24"/>
                <w:szCs w:val="24"/>
                <w:highlight w:val="none"/>
              </w:rPr>
            </w:r>
            <w:r/>
          </w:p>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2、____________________________________</w:t>
            </w:r>
            <w:r>
              <w:rPr>
                <w:rFonts w:hint="eastAsia" w:ascii="宋体" w:hAnsi="宋体" w:eastAsia="宋体" w:cs="宋体"/>
                <w:color w:val="000000"/>
                <w:sz w:val="24"/>
                <w:szCs w:val="24"/>
                <w:highlight w:val="none"/>
              </w:rPr>
            </w:r>
            <w:r/>
          </w:p>
        </w:tc>
      </w:tr>
      <w:tr>
        <w:trPr>
          <w:trHeight w:val="1013"/>
        </w:trPr>
        <w:tc>
          <w:tcPr>
            <w:tcW w:w="548" w:type="dxa"/>
            <w:vAlign w:val="center"/>
            <w:textDirection w:val="lrTb"/>
            <w:noWrap w:val="false"/>
          </w:tcPr>
          <w:p>
            <w:pPr>
              <w:pStyle w:val="649"/>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2"/>
            <w:tcW w:w="2253" w:type="dxa"/>
            <w:vAlign w:val="top"/>
            <w:textDirection w:val="lrTb"/>
            <w:noWrap w:val="false"/>
          </w:tcPr>
          <w:p>
            <w:pPr>
              <w:pStyle w:val="649"/>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最近2年内在经营过程中受到何种奖励或处分</w:t>
            </w:r>
            <w:r>
              <w:rPr>
                <w:rFonts w:hint="eastAsia" w:ascii="宋体" w:hAnsi="宋体" w:eastAsia="宋体" w:cs="宋体"/>
                <w:color w:val="000000"/>
                <w:sz w:val="24"/>
                <w:szCs w:val="24"/>
                <w:highlight w:val="none"/>
              </w:rPr>
            </w:r>
            <w:r/>
          </w:p>
        </w:tc>
        <w:tc>
          <w:tcPr>
            <w:gridSpan w:val="6"/>
            <w:tcW w:w="5561" w:type="dxa"/>
            <w:vAlign w:val="top"/>
            <w:textDirection w:val="lrTb"/>
            <w:noWrap w:val="false"/>
          </w:tcPr>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8"/>
        </w:trPr>
        <w:tc>
          <w:tcPr>
            <w:tcW w:w="548" w:type="dxa"/>
            <w:vAlign w:val="center"/>
            <w:textDirection w:val="lrTb"/>
            <w:noWrap w:val="false"/>
          </w:tcPr>
          <w:p>
            <w:pPr>
              <w:pStyle w:val="649"/>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gridSpan w:val="2"/>
            <w:tcW w:w="2253" w:type="dxa"/>
            <w:vAlign w:val="top"/>
            <w:textDirection w:val="lrTb"/>
            <w:noWrap w:val="false"/>
          </w:tcPr>
          <w:p>
            <w:pPr>
              <w:pStyle w:val="649"/>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最近3年内有无因售假、售劣或是其他原因被消费者投诉或起诉的情况及说明</w:t>
            </w:r>
            <w:r>
              <w:rPr>
                <w:rFonts w:hint="eastAsia" w:ascii="宋体" w:hAnsi="宋体" w:eastAsia="宋体" w:cs="宋体"/>
                <w:color w:val="000000"/>
                <w:sz w:val="24"/>
                <w:szCs w:val="24"/>
                <w:highlight w:val="none"/>
              </w:rPr>
            </w:r>
            <w:r/>
          </w:p>
        </w:tc>
        <w:tc>
          <w:tcPr>
            <w:gridSpan w:val="6"/>
            <w:tcW w:w="5561" w:type="dxa"/>
            <w:vAlign w:val="top"/>
            <w:textDirection w:val="lrTb"/>
            <w:noWrap w:val="false"/>
          </w:tcPr>
          <w:p>
            <w:pPr>
              <w:pStyle w:val="64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8"/>
        </w:trPr>
        <w:tc>
          <w:tcPr>
            <w:tcW w:w="548" w:type="dxa"/>
            <w:vAlign w:val="center"/>
            <w:textDirection w:val="lrTb"/>
            <w:noWrap w:val="false"/>
          </w:tcPr>
          <w:p>
            <w:pPr>
              <w:pStyle w:val="649"/>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gridSpan w:val="8"/>
            <w:tcW w:w="7814" w:type="dxa"/>
            <w:vAlign w:val="center"/>
            <w:textDirection w:val="lrTb"/>
            <w:noWrap w:val="false"/>
          </w:tcPr>
          <w:p>
            <w:pPr>
              <w:pStyle w:val="649"/>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rPr>
                <w:rFonts w:hint="eastAsia" w:ascii="宋体" w:hAnsi="宋体" w:eastAsia="宋体" w:cs="宋体"/>
                <w:color w:val="000000"/>
                <w:sz w:val="24"/>
                <w:szCs w:val="24"/>
                <w:highlight w:val="none"/>
              </w:rPr>
            </w:r>
            <w:r/>
          </w:p>
        </w:tc>
      </w:tr>
    </w:tbl>
    <w:p>
      <w:pPr>
        <w:pStyle w:val="639"/>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7</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中小企业声明函 </w:t>
      </w:r>
      <w:r>
        <w:rPr>
          <w:rFonts w:hint="eastAsia" w:ascii="宋体" w:hAnsi="宋体" w:eastAsia="宋体" w:cs="宋体"/>
          <w:b/>
          <w:color w:val="000000"/>
          <w:sz w:val="24"/>
          <w:szCs w:val="24"/>
          <w:highlight w:val="none"/>
        </w:rPr>
      </w:r>
      <w:r/>
    </w:p>
    <w:p>
      <w:pPr>
        <w:pStyle w:val="6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 企业发展管理办法》（财库﹝2020﹞46 号）的规定，本公司 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b w:val="0"/>
          <w:bCs/>
          <w:color w:val="000000"/>
          <w:sz w:val="24"/>
          <w:szCs w:val="24"/>
          <w:highlight w:val="none"/>
          <w:u w:val="single"/>
          <w:lang w:eastAsia="zh-CN"/>
        </w:rPr>
        <w:t xml:space="preserve">2026年度全镇监控安防设备维护保养服务</w:t>
      </w:r>
      <w:r>
        <w:rPr>
          <w:rFonts w:hint="eastAsia" w:ascii="宋体" w:hAnsi="宋体" w:eastAsia="宋体" w:cs="宋体"/>
          <w:color w:val="000000"/>
          <w:sz w:val="24"/>
          <w:szCs w:val="24"/>
          <w:highlight w:val="none"/>
        </w:rPr>
        <w:t xml:space="preserve">采购活动，服务全部由符合政策要求的中小企业承接。相关企业的具体情 况如下： </w:t>
      </w:r>
      <w:r>
        <w:rPr>
          <w:rFonts w:hint="eastAsia" w:ascii="宋体" w:hAnsi="宋体" w:eastAsia="宋体" w:cs="宋体"/>
          <w:color w:val="000000"/>
          <w:sz w:val="24"/>
          <w:szCs w:val="24"/>
          <w:highlight w:val="none"/>
        </w:rPr>
      </w:r>
      <w:r/>
    </w:p>
    <w:p>
      <w:pPr>
        <w:pStyle w:val="639"/>
        <w:numPr>
          <w:ilvl w:val="0"/>
          <w:numId w:val="3"/>
        </w:numPr>
        <w:ind w:left="-6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软件和信息技术服务业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元，属于</w:t>
      </w:r>
      <w:r>
        <w:rPr>
          <w:rFonts w:hint="eastAsia" w:ascii="宋体" w:hAnsi="宋体" w:eastAsia="宋体" w:cs="宋体"/>
          <w:color w:val="000000"/>
          <w:sz w:val="24"/>
          <w:szCs w:val="24"/>
          <w:highlight w:val="none"/>
          <w:u w:val="single"/>
        </w:rPr>
        <w:t xml:space="preserve">（中型企业、 小型企业、微型企业）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39"/>
        <w:numPr>
          <w:ilvl w:val="0"/>
          <w:numId w:val="3"/>
        </w:numPr>
        <w:ind w:left="-6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软件和信息技术服务业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元，属于</w:t>
      </w:r>
      <w:r>
        <w:rPr>
          <w:rFonts w:hint="eastAsia" w:ascii="宋体" w:hAnsi="宋体" w:eastAsia="宋体" w:cs="宋体"/>
          <w:color w:val="000000"/>
          <w:sz w:val="24"/>
          <w:szCs w:val="24"/>
          <w:highlight w:val="none"/>
          <w:u w:val="single"/>
        </w:rPr>
        <w:t xml:space="preserve">（中型企业、 小型企业、微型企业）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39"/>
        <w:numPr>
          <w:ilvl w:val="0"/>
          <w:numId w:val="0"/>
        </w:numPr>
        <w:ind w:left="42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39"/>
        <w:numPr>
          <w:ilvl w:val="0"/>
          <w:numId w:val="0"/>
        </w:numPr>
        <w:ind w:left="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9"/>
        <w:numPr>
          <w:ilvl w:val="0"/>
          <w:numId w:val="0"/>
        </w:numPr>
        <w:ind w:left="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 形。 </w:t>
      </w:r>
      <w:r>
        <w:rPr>
          <w:rFonts w:hint="eastAsia" w:ascii="宋体" w:hAnsi="宋体" w:eastAsia="宋体" w:cs="宋体"/>
          <w:color w:val="000000"/>
          <w:sz w:val="24"/>
          <w:szCs w:val="24"/>
          <w:highlight w:val="none"/>
        </w:rPr>
      </w:r>
      <w:r/>
    </w:p>
    <w:p>
      <w:pPr>
        <w:pStyle w:val="639"/>
        <w:numPr>
          <w:ilvl w:val="0"/>
          <w:numId w:val="0"/>
        </w:numPr>
        <w:ind w:left="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 法承担相应责任。</w:t>
      </w:r>
      <w:r>
        <w:rPr>
          <w:rFonts w:hint="eastAsia" w:ascii="宋体" w:hAnsi="宋体" w:eastAsia="宋体" w:cs="宋体"/>
          <w:color w:val="000000"/>
          <w:sz w:val="24"/>
          <w:szCs w:val="24"/>
          <w:highlight w:val="none"/>
        </w:rPr>
      </w:r>
      <w:r/>
    </w:p>
    <w:p>
      <w:pPr>
        <w:pStyle w:val="639"/>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注：从业人员、营业收入、资产总额填报上一年度数据，无上一年度数据的新成立企业可不填报。</w:t>
      </w:r>
      <w:r>
        <w:rPr>
          <w:rFonts w:hint="eastAsia" w:ascii="宋体" w:hAnsi="宋体" w:eastAsia="宋体" w:cs="宋体"/>
          <w:b/>
          <w:color w:val="000000"/>
          <w:sz w:val="24"/>
          <w:szCs w:val="24"/>
          <w:highlight w:val="none"/>
        </w:rPr>
      </w:r>
      <w:r/>
    </w:p>
    <w:p>
      <w:pPr>
        <w:pStyle w:val="639"/>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8、</w:t>
      </w:r>
      <w:r>
        <w:rPr>
          <w:rFonts w:hint="eastAsia" w:ascii="宋体" w:hAnsi="宋体" w:eastAsia="宋体" w:cs="宋体"/>
          <w:b/>
          <w:color w:val="000000"/>
          <w:sz w:val="24"/>
          <w:szCs w:val="24"/>
          <w:highlight w:val="none"/>
        </w:rPr>
        <w:t xml:space="preserve">残疾人福利性单位声明函 </w:t>
      </w:r>
      <w:r>
        <w:rPr>
          <w:rFonts w:hint="eastAsia" w:ascii="宋体" w:hAnsi="宋体" w:eastAsia="宋体" w:cs="宋体"/>
          <w:b/>
          <w:color w:val="000000"/>
          <w:sz w:val="24"/>
          <w:szCs w:val="24"/>
          <w:highlight w:val="none"/>
        </w:rPr>
      </w:r>
      <w:r/>
    </w:p>
    <w:p>
      <w:pPr>
        <w:pStyle w:val="670"/>
        <w:jc w:val="center"/>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0"/>
        <w:jc w:val="center"/>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残疾人福利性单位声明函</w:t>
      </w:r>
      <w:r>
        <w:rPr>
          <w:rFonts w:hint="eastAsia" w:ascii="宋体" w:hAnsi="宋体" w:eastAsia="宋体" w:cs="宋体"/>
          <w:color w:val="000000"/>
          <w:sz w:val="24"/>
          <w:szCs w:val="24"/>
          <w:highlight w:val="none"/>
        </w:rPr>
      </w:r>
      <w:r/>
    </w:p>
    <w:p>
      <w:pPr>
        <w:pStyle w:val="670"/>
        <w:jc w:val="center"/>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0"/>
        <w:ind w:firstLine="48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67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67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0"/>
        <w:jc w:val="righ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单位名称（盖章）：</w:t>
      </w:r>
      <w:r>
        <w:rPr>
          <w:rFonts w:hint="eastAsia" w:ascii="宋体" w:hAnsi="宋体" w:eastAsia="宋体" w:cs="宋体"/>
          <w:color w:val="000000"/>
          <w:sz w:val="24"/>
          <w:szCs w:val="24"/>
          <w:highlight w:val="none"/>
        </w:rPr>
      </w:r>
      <w:r/>
    </w:p>
    <w:p>
      <w:pPr>
        <w:pStyle w:val="670"/>
        <w:jc w:val="righ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649"/>
        <w:ind w:left="0" w:firstLine="0"/>
        <w:jc w:val="both"/>
        <w:keepLines w:val="0"/>
        <w:keepNext w:val="0"/>
        <w:pageBreakBefore w:val="0"/>
        <w:spacing w:line="360" w:lineRule="exact"/>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关于资格文件的声明函</w:t>
      </w:r>
      <w:r>
        <w:rPr>
          <w:rFonts w:hint="eastAsia" w:ascii="宋体" w:hAnsi="宋体" w:eastAsia="宋体" w:cs="宋体"/>
          <w:b/>
          <w:bCs/>
          <w:color w:val="000000"/>
          <w:sz w:val="24"/>
          <w:szCs w:val="24"/>
        </w:rPr>
      </w:r>
      <w:r/>
    </w:p>
    <w:p>
      <w:pPr>
        <w:pStyle w:val="649"/>
        <w:ind w:firstLine="0"/>
        <w:jc w:val="center"/>
        <w:keepLines w:val="0"/>
        <w:keepNext w:val="0"/>
        <w:pageBreakBefore w:val="0"/>
        <w:spacing w:line="360" w:lineRule="exact"/>
        <w:widowControl w:val="off"/>
        <w:rPr>
          <w:rFonts w:hint="eastAsia" w:ascii="宋体" w:hAnsi="宋体" w:eastAsia="宋体" w:cs="宋体"/>
          <w:b w:val="0"/>
          <w:bCs w:val="0"/>
          <w:color w:val="000000"/>
          <w:sz w:val="24"/>
          <w:szCs w:val="24"/>
          <w:u w:val="single"/>
        </w:rPr>
      </w:pPr>
      <w:r>
        <w:rPr>
          <w:rFonts w:hint="eastAsia" w:ascii="宋体" w:hAnsi="宋体" w:eastAsia="宋体" w:cs="宋体"/>
          <w:b w:val="0"/>
          <w:bCs w:val="0"/>
          <w:color w:val="000000"/>
          <w:sz w:val="24"/>
          <w:szCs w:val="24"/>
        </w:rPr>
        <w:t xml:space="preserve">关于资格文件的声明函</w:t>
      </w:r>
      <w:r>
        <w:rPr>
          <w:rFonts w:hint="eastAsia" w:ascii="宋体" w:hAnsi="宋体" w:eastAsia="宋体" w:cs="宋体"/>
          <w:b w:val="0"/>
          <w:bCs w:val="0"/>
          <w:color w:val="000000"/>
          <w:sz w:val="24"/>
          <w:szCs w:val="24"/>
          <w:u w:val="single"/>
        </w:rPr>
      </w:r>
      <w:r/>
    </w:p>
    <w:p>
      <w:pPr>
        <w:pStyle w:val="649"/>
        <w:ind w:firstLine="0"/>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49"/>
        <w:ind w:firstLine="480"/>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本公司愿就由贵公司组织实施的编号为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号的采购活动进行投标。本公司所提交的响应文件中所有关于响应资格的文件、证明和陈述均是真实的、有效的。若与真实情况不符，本公司愿意承担由此而产生的一切后果。</w:t>
      </w:r>
      <w:r>
        <w:rPr>
          <w:rFonts w:hint="eastAsia" w:ascii="宋体" w:hAnsi="宋体" w:eastAsia="宋体" w:cs="宋体"/>
          <w:color w:val="000000"/>
          <w:sz w:val="24"/>
          <w:szCs w:val="24"/>
        </w:rPr>
      </w:r>
      <w:r/>
    </w:p>
    <w:p>
      <w:pPr>
        <w:pStyle w:val="649"/>
        <w:ind w:firstLine="480"/>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49"/>
        <w:ind w:left="0" w:firstLine="0"/>
        <w:jc w:val="both"/>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磋商响应单位法定代表人：（签字或盖章）</w:t>
      </w:r>
      <w:r>
        <w:rPr>
          <w:rFonts w:hint="eastAsia" w:ascii="宋体" w:hAnsi="宋体" w:eastAsia="宋体" w:cs="宋体"/>
          <w:color w:val="000000"/>
          <w:sz w:val="24"/>
          <w:szCs w:val="24"/>
        </w:rPr>
      </w:r>
      <w:r/>
    </w:p>
    <w:p>
      <w:pPr>
        <w:pStyle w:val="649"/>
        <w:ind w:left="0" w:firstLine="0"/>
        <w:jc w:val="both"/>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磋商响应单位：（公章）         </w:t>
      </w:r>
      <w:r>
        <w:rPr>
          <w:rFonts w:hint="eastAsia" w:ascii="宋体" w:hAnsi="宋体" w:eastAsia="宋体" w:cs="宋体"/>
          <w:color w:val="000000"/>
          <w:sz w:val="24"/>
          <w:szCs w:val="24"/>
        </w:rPr>
      </w:r>
      <w:r/>
    </w:p>
    <w:p>
      <w:pPr>
        <w:pStyle w:val="649"/>
        <w:ind w:left="0" w:firstLine="0"/>
        <w:jc w:val="both"/>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 月 </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639"/>
        <w:ind w:left="0"/>
        <w:jc w:val="left"/>
        <w:keepLines w:val="0"/>
        <w:keepNext w:val="0"/>
        <w:pageBreakBefore w:val="0"/>
        <w:spacing w:line="3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639"/>
        <w:ind w:left="0"/>
        <w:jc w:val="left"/>
        <w:keepLines w:val="0"/>
        <w:keepNext w:val="0"/>
        <w:pageBreakBefore w:val="0"/>
        <w:spacing w:line="36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rPr>
        <w:t xml:space="preserve">磋商报价分析表</w:t>
      </w:r>
      <w:r>
        <w:rPr>
          <w:rFonts w:hint="eastAsia" w:ascii="宋体" w:hAnsi="宋体" w:eastAsia="宋体" w:cs="宋体"/>
          <w:b/>
          <w:bCs/>
          <w:color w:val="000000"/>
          <w:sz w:val="24"/>
          <w:szCs w:val="24"/>
        </w:rPr>
      </w:r>
      <w:r/>
    </w:p>
    <w:p>
      <w:pPr>
        <w:pStyle w:val="639"/>
        <w:ind w:left="0"/>
        <w:jc w:val="center"/>
        <w:keepLines w:val="0"/>
        <w:keepNext w:val="0"/>
        <w:pageBreakBefore w:val="0"/>
        <w:spacing w:line="36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磋商报价分析表</w:t>
      </w:r>
      <w:r>
        <w:rPr>
          <w:rFonts w:hint="eastAsia" w:ascii="宋体" w:hAnsi="宋体" w:eastAsia="宋体" w:cs="宋体"/>
          <w:b/>
          <w:color w:val="000000"/>
          <w:sz w:val="24"/>
          <w:szCs w:val="24"/>
        </w:rPr>
      </w:r>
      <w:r/>
    </w:p>
    <w:tbl>
      <w:tblPr>
        <w:tblW w:w="9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W w:w="992"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274"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费用项目</w:t>
            </w:r>
            <w:r>
              <w:rPr>
                <w:rFonts w:hint="eastAsia" w:ascii="宋体" w:hAnsi="宋体" w:eastAsia="宋体" w:cs="宋体"/>
                <w:color w:val="000000"/>
                <w:sz w:val="24"/>
                <w:szCs w:val="24"/>
              </w:rPr>
            </w:r>
            <w:r/>
          </w:p>
        </w:tc>
        <w:tc>
          <w:tcPr>
            <w:tcW w:w="1409"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单位/数量</w:t>
            </w:r>
            <w:r>
              <w:rPr>
                <w:rFonts w:hint="eastAsia" w:ascii="宋体" w:hAnsi="宋体" w:eastAsia="宋体" w:cs="宋体"/>
                <w:color w:val="000000"/>
                <w:sz w:val="24"/>
                <w:szCs w:val="24"/>
              </w:rPr>
            </w:r>
            <w:r/>
          </w:p>
        </w:tc>
        <w:tc>
          <w:tcPr>
            <w:tcW w:w="1781"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rPr>
                <w:rFonts w:hint="eastAsia" w:ascii="宋体" w:hAnsi="宋体" w:eastAsia="宋体" w:cs="宋体"/>
                <w:color w:val="000000"/>
                <w:sz w:val="24"/>
                <w:szCs w:val="24"/>
              </w:rPr>
            </w:r>
            <w:r/>
          </w:p>
        </w:tc>
        <w:tc>
          <w:tcPr>
            <w:tcW w:w="1913"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rPr>
                <w:rFonts w:hint="eastAsia" w:ascii="宋体" w:hAnsi="宋体" w:eastAsia="宋体" w:cs="宋体"/>
                <w:color w:val="000000"/>
                <w:sz w:val="24"/>
                <w:szCs w:val="24"/>
              </w:rPr>
            </w:r>
            <w:r/>
          </w:p>
        </w:tc>
        <w:tc>
          <w:tcPr>
            <w:tcW w:w="1489"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cantSplit/>
          <w:trHeight w:val="427"/>
        </w:trPr>
        <w:tc>
          <w:tcPr>
            <w:tcW w:w="992"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274"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9" w:type="dxa"/>
            <w:vAlign w:val="top"/>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81"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13"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89"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93"/>
        </w:trPr>
        <w:tc>
          <w:tcPr>
            <w:tcW w:w="992"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2274"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9" w:type="dxa"/>
            <w:vAlign w:val="top"/>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81"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13"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89"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43"/>
        </w:trPr>
        <w:tc>
          <w:tcPr>
            <w:tcW w:w="992"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2274"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9" w:type="dxa"/>
            <w:vAlign w:val="top"/>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81"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13"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89"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43"/>
        </w:trPr>
        <w:tc>
          <w:tcPr>
            <w:tcW w:w="992" w:type="dxa"/>
            <w:vAlign w:val="center"/>
            <w:textDirection w:val="lrTb"/>
            <w:noWrap w:val="false"/>
          </w:tcPr>
          <w:p>
            <w:pPr>
              <w:pStyle w:val="639"/>
              <w:ind w:left="0"/>
              <w:jc w:val="center"/>
              <w:keepLines w:val="0"/>
              <w:keepNext w:val="0"/>
              <w:pageBreakBefore w:val="0"/>
              <w:spacing w:line="36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tc>
        <w:tc>
          <w:tcPr>
            <w:tcW w:w="2274"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9" w:type="dxa"/>
            <w:vAlign w:val="top"/>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81"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13"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89"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8"/>
        </w:trPr>
        <w:tc>
          <w:tcPr>
            <w:gridSpan w:val="2"/>
            <w:tcW w:w="3266"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合计总报价</w:t>
            </w:r>
            <w:r>
              <w:rPr>
                <w:rFonts w:hint="eastAsia" w:ascii="宋体" w:hAnsi="宋体" w:eastAsia="宋体" w:cs="宋体"/>
                <w:color w:val="000000"/>
                <w:sz w:val="24"/>
                <w:szCs w:val="24"/>
              </w:rPr>
            </w:r>
            <w:r/>
          </w:p>
        </w:tc>
        <w:tc>
          <w:tcPr>
            <w:gridSpan w:val="4"/>
            <w:tcW w:w="6592" w:type="dxa"/>
            <w:vAlign w:val="center"/>
            <w:textDirection w:val="lrTb"/>
            <w:noWrap w:val="false"/>
          </w:tcPr>
          <w:p>
            <w:pPr>
              <w:pStyle w:val="639"/>
              <w:ind w:left="0"/>
              <w:jc w:val="center"/>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人民币（小写）       元</w:t>
            </w:r>
            <w:r>
              <w:rPr>
                <w:rFonts w:hint="eastAsia" w:ascii="宋体" w:hAnsi="宋体" w:eastAsia="宋体" w:cs="宋体"/>
                <w:color w:val="000000"/>
                <w:sz w:val="24"/>
                <w:szCs w:val="24"/>
              </w:rPr>
            </w:r>
            <w:r/>
          </w:p>
        </w:tc>
      </w:tr>
    </w:tbl>
    <w:p>
      <w:pPr>
        <w:pStyle w:val="639"/>
        <w:ind w:firstLine="698"/>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639"/>
        <w:ind w:firstLine="698"/>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639"/>
        <w:ind w:firstLine="698"/>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639"/>
        <w:ind w:left="0"/>
        <w:keepLines w:val="0"/>
        <w:keepNext w:val="0"/>
        <w:pageBreakBefore w:val="0"/>
        <w:spacing w:line="360" w:lineRule="exact"/>
        <w:widowControl w:val="off"/>
        <w:tabs>
          <w:tab w:val="left" w:pos="13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注：1.本表中的报价为综合报价，</w:t>
      </w:r>
      <w:r>
        <w:rPr>
          <w:rFonts w:hint="eastAsia" w:ascii="宋体" w:hAnsi="宋体" w:eastAsia="宋体" w:cs="宋体"/>
          <w:b w:val="0"/>
          <w:bCs w:val="0"/>
          <w:color w:val="000000"/>
          <w:sz w:val="24"/>
          <w:szCs w:val="24"/>
          <w:highlight w:val="none"/>
          <w:lang w:val="en-US" w:eastAsia="zh-CN"/>
        </w:rPr>
        <w:t xml:space="preserve">包括</w:t>
      </w:r>
      <w:r>
        <w:rPr>
          <w:rFonts w:hint="eastAsia" w:ascii="宋体" w:hAnsi="宋体" w:eastAsia="宋体" w:cs="宋体"/>
          <w:b w:val="0"/>
          <w:bCs w:val="0"/>
          <w:color w:val="000000"/>
          <w:sz w:val="24"/>
          <w:szCs w:val="24"/>
          <w:highlight w:val="none"/>
          <w:lang w:eastAsia="zh-CN"/>
        </w:rPr>
        <w:t xml:space="preserve">完成本项目服务内容所需的</w:t>
      </w:r>
      <w:r>
        <w:rPr>
          <w:rFonts w:hint="eastAsia" w:ascii="宋体" w:hAnsi="宋体" w:eastAsia="宋体" w:cs="宋体"/>
          <w:b w:val="0"/>
          <w:bCs w:val="0"/>
          <w:color w:val="000000"/>
          <w:sz w:val="24"/>
          <w:szCs w:val="24"/>
        </w:rPr>
        <w:t xml:space="preserve">材料费（包括清单内所有设备材料以及与之运行所相关的一切配套设施）、调试费、包装费、运费、人工费、安装费、工具劳保费、通讯费、各种税费等一切费用，服务期限内甲方不再为本项目支出合同之外的任何费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highlight w:val="none"/>
          <w:lang w:eastAsia="zh-CN"/>
        </w:rPr>
        <w:t xml:space="preserve">遇到法律法规规定的最低工资调整，其中人工费用相应浮动，及合同实施过程中的不可预见的各项费用，由供应商自行承担</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39"/>
        <w:ind w:left="0"/>
        <w:keepLines w:val="0"/>
        <w:keepNext w:val="0"/>
        <w:pageBreakBefore w:val="0"/>
        <w:spacing w:line="360" w:lineRule="exact"/>
        <w:widowControl w:val="off"/>
        <w:tabs>
          <w:tab w:val="left" w:pos="13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2.磋商报价分析表包含响应单位各项成本核算和投入的成本明细，合计金额应与开标一览表金额一致；否则，以开标一览表为准。</w:t>
      </w:r>
      <w:r>
        <w:rPr>
          <w:rFonts w:hint="eastAsia" w:ascii="宋体" w:hAnsi="宋体" w:eastAsia="宋体" w:cs="宋体"/>
          <w:color w:val="000000"/>
          <w:sz w:val="24"/>
          <w:szCs w:val="24"/>
        </w:rPr>
      </w:r>
      <w:r/>
    </w:p>
    <w:p>
      <w:pPr>
        <w:pStyle w:val="639"/>
        <w:ind w:left="0"/>
        <w:keepLines w:val="0"/>
        <w:keepNext w:val="0"/>
        <w:pageBreakBefore w:val="0"/>
        <w:spacing w:line="360" w:lineRule="exact"/>
        <w:widowControl w:val="off"/>
        <w:tabs>
          <w:tab w:val="left" w:pos="1320"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若事</w:t>
      </w:r>
      <w:r>
        <w:rPr>
          <w:rFonts w:hint="eastAsia" w:ascii="宋体" w:hAnsi="宋体" w:eastAsia="宋体" w:cs="宋体"/>
          <w:color w:val="000000"/>
          <w:sz w:val="24"/>
          <w:szCs w:val="24"/>
        </w:rPr>
        <w:t xml:space="preserve">项较多，供应商可根据实际情况</w:t>
      </w:r>
      <w:r>
        <w:rPr>
          <w:rFonts w:hint="eastAsia" w:ascii="宋体" w:hAnsi="宋体" w:eastAsia="宋体" w:cs="宋体"/>
          <w:color w:val="000000"/>
          <w:sz w:val="24"/>
          <w:szCs w:val="24"/>
          <w:lang w:val="en-US" w:eastAsia="zh-CN"/>
        </w:rPr>
        <w:t xml:space="preserve">增加</w:t>
      </w:r>
      <w:r>
        <w:rPr>
          <w:rFonts w:hint="eastAsia" w:ascii="宋体" w:hAnsi="宋体" w:eastAsia="宋体" w:cs="宋体"/>
          <w:color w:val="000000"/>
          <w:sz w:val="24"/>
          <w:szCs w:val="24"/>
        </w:rPr>
        <w:t xml:space="preserve">说明。</w:t>
      </w:r>
      <w:r>
        <w:rPr>
          <w:rFonts w:hint="eastAsia" w:ascii="宋体" w:hAnsi="宋体" w:eastAsia="宋体" w:cs="宋体"/>
          <w:color w:val="000000"/>
          <w:sz w:val="24"/>
          <w:szCs w:val="24"/>
        </w:rPr>
      </w:r>
      <w:r/>
    </w:p>
    <w:p>
      <w:pPr>
        <w:pStyle w:val="670"/>
        <w:jc w:val="right"/>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9"/>
        <w:jc w:val="center"/>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（全文完）</w:t>
      </w:r>
      <w:r/>
    </w:p>
    <w:sectPr>
      <w:headerReference w:type="default" r:id="rId9"/>
      <w:footerReference w:type="default" r:id="rId10"/>
      <w:footnotePr/>
      <w:endnotePr/>
      <w:type w:val="nextPage"/>
      <w:pgSz w:w="11906" w:h="16838" w:orient="portrait"/>
      <w:pgMar w:top="1440" w:right="1286" w:bottom="1440" w:left="1380" w:header="851" w:footer="992" w:gutter="0"/>
      <w:rtlGutter/>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Courier New">
    <w:panose1 w:val="02070309020205020404"/>
  </w:font>
  <w:font w:name="方正仿宋简体">
    <w:panose1 w:val="020B0503020202020204"/>
  </w:font>
  <w:font w:name="楷体_GB2312">
    <w:panose1 w:val="02010609060101010101"/>
  </w:font>
  <w:font w:name="仿宋_GB2312">
    <w:panose1 w:val="02010609060101010101"/>
  </w:font>
  <w:font w:name="黑体">
    <w:panose1 w:val="02010609060101010101"/>
  </w:font>
  <w:font w:name="Calibri">
    <w:panose1 w:val="020F050202020403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jc w:val="center"/>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17</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35</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jc w:val="both"/>
      <w:keepLines w:val="0"/>
      <w:keepNext w:val="0"/>
      <w:pageBreakBefore w:val="0"/>
      <w:widowControl w:val="off"/>
      <w:tabs>
        <w:tab w:val="center" w:pos="4153" w:leader="none"/>
        <w:tab w:val="right" w:pos="8306" w:leader="none"/>
      </w:tabs>
      <w:rPr>
        <w:rFonts w:hint="eastAsia" w:eastAsia="宋体"/>
        <w:b/>
        <w:lang w:eastAsia="zh-CN"/>
      </w:rPr>
    </w:pPr>
    <w:r>
      <w:rPr>
        <w:rFonts w:hint="eastAsia"/>
        <w:b/>
      </w:rPr>
      <w:t xml:space="preserve">苏州华厦招投标代理有限公司竞争性磋商文件                         </w:t>
    </w:r>
    <w:r>
      <w:rPr>
        <w:rFonts w:hint="eastAsia"/>
        <w:b/>
        <w:lang w:val="en-US" w:eastAsia="zh-CN"/>
      </w:rPr>
      <w:t xml:space="preserve">  </w:t>
    </w:r>
    <w:r>
      <w:rPr>
        <w:rFonts w:hint="eastAsia"/>
        <w:b/>
      </w:rPr>
      <w:t xml:space="preserve">         </w:t>
    </w:r>
    <w:r>
      <w:rPr>
        <w:rFonts w:hint="eastAsia"/>
        <w:b/>
        <w:lang w:val="en-US" w:eastAsia="zh-CN"/>
      </w:rPr>
      <w:t xml:space="preserve">JSZC-320506-DLHX-C2026-0007</w:t>
    </w:r>
    <w:r>
      <w:rPr>
        <w:rFonts w:hint="eastAsia" w:eastAsia="宋体"/>
        <w:b/>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639"/>
        <w:ind w:left="-60" w:firstLine="0"/>
      </w:pPr>
    </w:lvl>
    <w:lvl w:ilvl="1">
      <w:start w:val="1"/>
      <w:numFmt w:val="decimal"/>
      <w:isLgl w:val="false"/>
      <w:suff w:val="tab"/>
      <w:lvlText w:val="%2."/>
      <w:lvlJc w:val="left"/>
      <w:pPr>
        <w:pStyle w:val="639"/>
        <w:ind w:left="1380" w:hanging="360"/>
        <w:tabs>
          <w:tab w:val="num" w:pos="1440" w:leader="none"/>
        </w:tabs>
      </w:pPr>
    </w:lvl>
    <w:lvl w:ilvl="2">
      <w:start w:val="1"/>
      <w:numFmt w:val="decimal"/>
      <w:isLgl w:val="false"/>
      <w:suff w:val="tab"/>
      <w:lvlText w:val="%3."/>
      <w:lvlJc w:val="left"/>
      <w:pPr>
        <w:pStyle w:val="639"/>
        <w:ind w:left="2100" w:hanging="360"/>
        <w:tabs>
          <w:tab w:val="num" w:pos="2160" w:leader="none"/>
        </w:tabs>
      </w:pPr>
    </w:lvl>
    <w:lvl w:ilvl="3">
      <w:start w:val="1"/>
      <w:numFmt w:val="decimal"/>
      <w:isLgl w:val="false"/>
      <w:suff w:val="tab"/>
      <w:lvlText w:val="%4."/>
      <w:lvlJc w:val="left"/>
      <w:pPr>
        <w:pStyle w:val="639"/>
        <w:ind w:left="2820" w:hanging="360"/>
        <w:tabs>
          <w:tab w:val="num" w:pos="2880" w:leader="none"/>
        </w:tabs>
      </w:pPr>
    </w:lvl>
    <w:lvl w:ilvl="4">
      <w:start w:val="1"/>
      <w:numFmt w:val="decimal"/>
      <w:isLgl w:val="false"/>
      <w:suff w:val="tab"/>
      <w:lvlText w:val="%5."/>
      <w:lvlJc w:val="left"/>
      <w:pPr>
        <w:pStyle w:val="639"/>
        <w:ind w:left="3540" w:hanging="360"/>
        <w:tabs>
          <w:tab w:val="num" w:pos="3600" w:leader="none"/>
        </w:tabs>
      </w:pPr>
    </w:lvl>
    <w:lvl w:ilvl="5">
      <w:start w:val="1"/>
      <w:numFmt w:val="decimal"/>
      <w:isLgl w:val="false"/>
      <w:suff w:val="tab"/>
      <w:lvlText w:val="%6."/>
      <w:lvlJc w:val="left"/>
      <w:pPr>
        <w:pStyle w:val="639"/>
        <w:ind w:left="4260" w:hanging="360"/>
        <w:tabs>
          <w:tab w:val="num" w:pos="4320" w:leader="none"/>
        </w:tabs>
      </w:pPr>
    </w:lvl>
    <w:lvl w:ilvl="6">
      <w:start w:val="1"/>
      <w:numFmt w:val="decimal"/>
      <w:isLgl w:val="false"/>
      <w:suff w:val="tab"/>
      <w:lvlText w:val="%7."/>
      <w:lvlJc w:val="left"/>
      <w:pPr>
        <w:pStyle w:val="639"/>
        <w:ind w:left="4980" w:hanging="360"/>
        <w:tabs>
          <w:tab w:val="num" w:pos="5040" w:leader="none"/>
        </w:tabs>
      </w:pPr>
    </w:lvl>
    <w:lvl w:ilvl="7">
      <w:start w:val="1"/>
      <w:numFmt w:val="decimal"/>
      <w:isLgl w:val="false"/>
      <w:suff w:val="tab"/>
      <w:lvlText w:val="%8."/>
      <w:lvlJc w:val="left"/>
      <w:pPr>
        <w:pStyle w:val="639"/>
        <w:ind w:left="5700" w:hanging="360"/>
        <w:tabs>
          <w:tab w:val="num" w:pos="5760" w:leader="none"/>
        </w:tabs>
      </w:pPr>
    </w:lvl>
    <w:lvl w:ilvl="8">
      <w:start w:val="1"/>
      <w:numFmt w:val="decimal"/>
      <w:isLgl w:val="false"/>
      <w:suff w:val="tab"/>
      <w:lvlText w:val="%9."/>
      <w:lvlJc w:val="left"/>
      <w:pPr>
        <w:pStyle w:val="639"/>
        <w:ind w:left="6420" w:hanging="360"/>
        <w:tabs>
          <w:tab w:val="num" w:pos="6480" w:leader="none"/>
        </w:tabs>
      </w:pPr>
    </w:lvl>
  </w:abstractNum>
  <w:abstractNum w:abstractNumId="1">
    <w:multiLevelType w:val="hybridMultilevel"/>
    <w:lvl w:ilvl="0">
      <w:start w:val="1"/>
      <w:numFmt w:val="japaneseCounting"/>
      <w:isLgl w:val="false"/>
      <w:suff w:val="tab"/>
      <w:lvlText w:val="%1、"/>
      <w:lvlJc w:val="left"/>
      <w:pPr>
        <w:pStyle w:val="639"/>
        <w:ind w:left="720" w:hanging="720"/>
        <w:tabs>
          <w:tab w:val="num" w:pos="720" w:leader="none"/>
        </w:tabs>
      </w:pPr>
      <w:rPr>
        <w:rFonts w:hint="eastAsia"/>
      </w:rPr>
    </w:lvl>
    <w:lvl w:ilvl="1">
      <w:start w:val="1"/>
      <w:numFmt w:val="decimal"/>
      <w:isLgl w:val="false"/>
      <w:suff w:val="tab"/>
      <w:lvlText w:val="%2．"/>
      <w:lvlJc w:val="left"/>
      <w:pPr>
        <w:pStyle w:val="639"/>
        <w:ind w:left="1140" w:hanging="720"/>
        <w:tabs>
          <w:tab w:val="num" w:pos="1140" w:leader="none"/>
        </w:tabs>
      </w:pPr>
      <w:rPr>
        <w:rFonts w:hint="eastAsia"/>
      </w:rPr>
    </w:lvl>
    <w:lvl w:ilvl="2">
      <w:start w:val="5"/>
      <w:numFmt w:val="decimal"/>
      <w:isLgl w:val="false"/>
      <w:suff w:val="tab"/>
      <w:lvlText w:val="%3."/>
      <w:lvlJc w:val="left"/>
      <w:pPr>
        <w:pStyle w:val="639"/>
        <w:ind w:left="1200" w:hanging="360"/>
        <w:tabs>
          <w:tab w:val="num" w:pos="1200" w:leader="none"/>
        </w:tabs>
      </w:pPr>
    </w:lvl>
    <w:lvl w:ilvl="3">
      <w:start w:val="1"/>
      <w:numFmt w:val="decimal"/>
      <w:isLgl w:val="false"/>
      <w:suff w:val="tab"/>
      <w:lvlText w:val="%4."/>
      <w:lvlJc w:val="left"/>
      <w:pPr>
        <w:pStyle w:val="639"/>
        <w:ind w:left="1680" w:hanging="420"/>
        <w:tabs>
          <w:tab w:val="num" w:pos="1680" w:leader="none"/>
        </w:tabs>
      </w:pPr>
    </w:lvl>
    <w:lvl w:ilvl="4">
      <w:start w:val="1"/>
      <w:numFmt w:val="lowerLetter"/>
      <w:isLgl w:val="false"/>
      <w:suff w:val="tab"/>
      <w:lvlText w:val="%5)"/>
      <w:lvlJc w:val="left"/>
      <w:pPr>
        <w:pStyle w:val="639"/>
        <w:ind w:left="2100" w:hanging="420"/>
        <w:tabs>
          <w:tab w:val="num" w:pos="2100" w:leader="none"/>
        </w:tabs>
      </w:pPr>
    </w:lvl>
    <w:lvl w:ilvl="5">
      <w:start w:val="1"/>
      <w:numFmt w:val="lowerRoman"/>
      <w:isLgl w:val="false"/>
      <w:suff w:val="tab"/>
      <w:lvlText w:val="%6."/>
      <w:lvlJc w:val="right"/>
      <w:pPr>
        <w:pStyle w:val="639"/>
        <w:ind w:left="2520" w:hanging="420"/>
        <w:tabs>
          <w:tab w:val="num" w:pos="2520" w:leader="none"/>
        </w:tabs>
      </w:pPr>
    </w:lvl>
    <w:lvl w:ilvl="6">
      <w:start w:val="1"/>
      <w:numFmt w:val="decimal"/>
      <w:isLgl w:val="false"/>
      <w:suff w:val="tab"/>
      <w:lvlText w:val="%7."/>
      <w:lvlJc w:val="left"/>
      <w:pPr>
        <w:pStyle w:val="639"/>
        <w:ind w:left="2940" w:hanging="420"/>
        <w:tabs>
          <w:tab w:val="num" w:pos="2940" w:leader="none"/>
        </w:tabs>
      </w:pPr>
    </w:lvl>
    <w:lvl w:ilvl="7">
      <w:start w:val="1"/>
      <w:numFmt w:val="lowerLetter"/>
      <w:isLgl w:val="false"/>
      <w:suff w:val="tab"/>
      <w:lvlText w:val="%8)"/>
      <w:lvlJc w:val="left"/>
      <w:pPr>
        <w:pStyle w:val="639"/>
        <w:ind w:left="3360" w:hanging="420"/>
        <w:tabs>
          <w:tab w:val="num" w:pos="3360" w:leader="none"/>
        </w:tabs>
      </w:pPr>
    </w:lvl>
    <w:lvl w:ilvl="8">
      <w:start w:val="1"/>
      <w:numFmt w:val="lowerRoman"/>
      <w:isLgl w:val="false"/>
      <w:suff w:val="tab"/>
      <w:lvlText w:val="%9."/>
      <w:lvlJc w:val="right"/>
      <w:pPr>
        <w:pStyle w:val="639"/>
        <w:ind w:left="3780" w:hanging="420"/>
        <w:tabs>
          <w:tab w:val="num" w:pos="3780" w:leader="none"/>
        </w:tabs>
      </w:pPr>
    </w:lvl>
  </w:abstractNum>
  <w:abstractNum w:abstractNumId="2">
    <w:multiLevelType w:val="hybridMultilevel"/>
    <w:lvl w:ilvl="0">
      <w:start w:val="1"/>
      <w:numFmt w:val="bullet"/>
      <w:pStyle w:val="696"/>
      <w:isLgl w:val="false"/>
      <w:suff w:val="tab"/>
      <w:lvlText w:val=""/>
      <w:lvlJc w:val="left"/>
      <w:pPr>
        <w:pStyle w:val="639"/>
        <w:ind w:left="840" w:hanging="420"/>
        <w:tabs>
          <w:tab w:val="num" w:pos="840" w:leader="none"/>
        </w:tabs>
      </w:pPr>
      <w:rPr>
        <w:rFonts w:ascii="Wingdings" w:hAnsi="Wingdings"/>
      </w:rPr>
    </w:lvl>
    <w:lvl w:ilvl="1">
      <w:start w:val="1"/>
      <w:numFmt w:val="bullet"/>
      <w:isLgl w:val="false"/>
      <w:suff w:val="tab"/>
      <w:lvlText w:val=""/>
      <w:lvlJc w:val="left"/>
      <w:pPr>
        <w:pStyle w:val="639"/>
        <w:ind w:left="1260" w:hanging="420"/>
        <w:tabs>
          <w:tab w:val="num" w:pos="1260" w:leader="none"/>
        </w:tabs>
      </w:pPr>
      <w:rPr>
        <w:rFonts w:ascii="Wingdings" w:hAnsi="Wingdings"/>
      </w:rPr>
    </w:lvl>
    <w:lvl w:ilvl="2">
      <w:start w:val="1"/>
      <w:numFmt w:val="bullet"/>
      <w:isLgl w:val="false"/>
      <w:suff w:val="tab"/>
      <w:lvlText w:val=""/>
      <w:lvlJc w:val="left"/>
      <w:pPr>
        <w:pStyle w:val="639"/>
        <w:ind w:left="1680" w:hanging="420"/>
        <w:tabs>
          <w:tab w:val="num" w:pos="1680" w:leader="none"/>
        </w:tabs>
      </w:pPr>
      <w:rPr>
        <w:rFonts w:ascii="Wingdings" w:hAnsi="Wingdings"/>
      </w:rPr>
    </w:lvl>
    <w:lvl w:ilvl="3">
      <w:start w:val="1"/>
      <w:numFmt w:val="bullet"/>
      <w:isLgl w:val="false"/>
      <w:suff w:val="tab"/>
      <w:lvlText w:val=""/>
      <w:lvlJc w:val="left"/>
      <w:pPr>
        <w:pStyle w:val="639"/>
        <w:ind w:left="2100" w:hanging="420"/>
        <w:tabs>
          <w:tab w:val="num" w:pos="2100" w:leader="none"/>
        </w:tabs>
      </w:pPr>
      <w:rPr>
        <w:rFonts w:ascii="Wingdings" w:hAnsi="Wingdings"/>
      </w:rPr>
    </w:lvl>
    <w:lvl w:ilvl="4">
      <w:start w:val="1"/>
      <w:numFmt w:val="bullet"/>
      <w:isLgl w:val="false"/>
      <w:suff w:val="tab"/>
      <w:lvlText w:val=""/>
      <w:lvlJc w:val="left"/>
      <w:pPr>
        <w:pStyle w:val="639"/>
        <w:ind w:left="2520" w:hanging="420"/>
        <w:tabs>
          <w:tab w:val="num" w:pos="2520" w:leader="none"/>
        </w:tabs>
      </w:pPr>
      <w:rPr>
        <w:rFonts w:ascii="Wingdings" w:hAnsi="Wingdings"/>
      </w:rPr>
    </w:lvl>
    <w:lvl w:ilvl="5">
      <w:start w:val="1"/>
      <w:numFmt w:val="bullet"/>
      <w:isLgl w:val="false"/>
      <w:suff w:val="tab"/>
      <w:lvlText w:val=""/>
      <w:lvlJc w:val="left"/>
      <w:pPr>
        <w:pStyle w:val="639"/>
        <w:ind w:left="2940" w:hanging="420"/>
        <w:tabs>
          <w:tab w:val="num" w:pos="2940" w:leader="none"/>
        </w:tabs>
      </w:pPr>
      <w:rPr>
        <w:rFonts w:ascii="Wingdings" w:hAnsi="Wingdings"/>
      </w:rPr>
    </w:lvl>
    <w:lvl w:ilvl="6">
      <w:start w:val="1"/>
      <w:numFmt w:val="bullet"/>
      <w:isLgl w:val="false"/>
      <w:suff w:val="tab"/>
      <w:lvlText w:val=""/>
      <w:lvlJc w:val="left"/>
      <w:pPr>
        <w:pStyle w:val="639"/>
        <w:ind w:left="3360" w:hanging="420"/>
        <w:tabs>
          <w:tab w:val="num" w:pos="3360" w:leader="none"/>
        </w:tabs>
      </w:pPr>
      <w:rPr>
        <w:rFonts w:ascii="Wingdings" w:hAnsi="Wingdings"/>
      </w:rPr>
    </w:lvl>
    <w:lvl w:ilvl="7">
      <w:start w:val="1"/>
      <w:numFmt w:val="bullet"/>
      <w:isLgl w:val="false"/>
      <w:suff w:val="tab"/>
      <w:lvlText w:val=""/>
      <w:lvlJc w:val="left"/>
      <w:pPr>
        <w:pStyle w:val="639"/>
        <w:ind w:left="3780" w:hanging="420"/>
        <w:tabs>
          <w:tab w:val="num" w:pos="3780" w:leader="none"/>
        </w:tabs>
      </w:pPr>
      <w:rPr>
        <w:rFonts w:ascii="Wingdings" w:hAnsi="Wingdings"/>
      </w:rPr>
    </w:lvl>
    <w:lvl w:ilvl="8">
      <w:start w:val="1"/>
      <w:numFmt w:val="bullet"/>
      <w:isLgl w:val="false"/>
      <w:suff w:val="tab"/>
      <w:lvlText w:val=""/>
      <w:lvlJc w:val="left"/>
      <w:pPr>
        <w:pStyle w:val="639"/>
        <w:ind w:left="4200" w:hanging="420"/>
        <w:tabs>
          <w:tab w:val="num" w:pos="4200" w:leader="none"/>
        </w:tabs>
      </w:pPr>
      <w:rPr>
        <w:rFonts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9"/>
    <w:next w:val="63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9"/>
    <w:next w:val="63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9"/>
    <w:next w:val="63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9"/>
    <w:next w:val="63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9"/>
    <w:next w:val="6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9"/>
    <w:next w:val="6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9"/>
    <w:next w:val="6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9"/>
    <w:next w:val="6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9"/>
    <w:next w:val="6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9"/>
    <w:next w:val="63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9"/>
    <w:next w:val="63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9"/>
    <w:next w:val="639"/>
    <w:link w:val="38"/>
    <w:uiPriority w:val="29"/>
    <w:qFormat/>
    <w:pPr>
      <w:ind w:left="720" w:right="720"/>
    </w:pPr>
    <w:rPr>
      <w:i/>
    </w:rPr>
  </w:style>
  <w:style w:type="character" w:styleId="38">
    <w:name w:val="Quote Char"/>
    <w:link w:val="37"/>
    <w:uiPriority w:val="29"/>
    <w:rPr>
      <w:i/>
    </w:rPr>
  </w:style>
  <w:style w:type="paragraph" w:styleId="39">
    <w:name w:val="Intense Quote"/>
    <w:basedOn w:val="639"/>
    <w:next w:val="6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9"/>
    <w:next w:val="63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9"/>
    <w:next w:val="639"/>
    <w:uiPriority w:val="39"/>
    <w:unhideWhenUsed/>
    <w:pPr>
      <w:ind w:left="0" w:right="0" w:firstLine="0"/>
      <w:spacing w:after="57"/>
    </w:pPr>
  </w:style>
  <w:style w:type="paragraph" w:styleId="181">
    <w:name w:val="toc 2"/>
    <w:basedOn w:val="639"/>
    <w:next w:val="639"/>
    <w:uiPriority w:val="39"/>
    <w:unhideWhenUsed/>
    <w:pPr>
      <w:ind w:left="283" w:right="0" w:firstLine="0"/>
      <w:spacing w:after="57"/>
    </w:pPr>
  </w:style>
  <w:style w:type="paragraph" w:styleId="182">
    <w:name w:val="toc 3"/>
    <w:basedOn w:val="639"/>
    <w:next w:val="639"/>
    <w:uiPriority w:val="39"/>
    <w:unhideWhenUsed/>
    <w:pPr>
      <w:ind w:left="567" w:right="0" w:firstLine="0"/>
      <w:spacing w:after="57"/>
    </w:pPr>
  </w:style>
  <w:style w:type="paragraph" w:styleId="183">
    <w:name w:val="toc 4"/>
    <w:basedOn w:val="639"/>
    <w:next w:val="639"/>
    <w:uiPriority w:val="39"/>
    <w:unhideWhenUsed/>
    <w:pPr>
      <w:ind w:left="850" w:right="0" w:firstLine="0"/>
      <w:spacing w:after="57"/>
    </w:pPr>
  </w:style>
  <w:style w:type="paragraph" w:styleId="184">
    <w:name w:val="toc 5"/>
    <w:basedOn w:val="639"/>
    <w:next w:val="639"/>
    <w:uiPriority w:val="39"/>
    <w:unhideWhenUsed/>
    <w:pPr>
      <w:ind w:left="1134" w:right="0" w:firstLine="0"/>
      <w:spacing w:after="57"/>
    </w:pPr>
  </w:style>
  <w:style w:type="paragraph" w:styleId="185">
    <w:name w:val="toc 6"/>
    <w:basedOn w:val="639"/>
    <w:next w:val="639"/>
    <w:uiPriority w:val="39"/>
    <w:unhideWhenUsed/>
    <w:pPr>
      <w:ind w:left="1417" w:right="0" w:firstLine="0"/>
      <w:spacing w:after="57"/>
    </w:pPr>
  </w:style>
  <w:style w:type="paragraph" w:styleId="186">
    <w:name w:val="toc 7"/>
    <w:basedOn w:val="639"/>
    <w:next w:val="639"/>
    <w:uiPriority w:val="39"/>
    <w:unhideWhenUsed/>
    <w:pPr>
      <w:ind w:left="1701" w:right="0" w:firstLine="0"/>
      <w:spacing w:after="57"/>
    </w:pPr>
  </w:style>
  <w:style w:type="paragraph" w:styleId="187">
    <w:name w:val="toc 8"/>
    <w:basedOn w:val="639"/>
    <w:next w:val="639"/>
    <w:uiPriority w:val="39"/>
    <w:unhideWhenUsed/>
    <w:pPr>
      <w:ind w:left="1984" w:right="0" w:firstLine="0"/>
      <w:spacing w:after="57"/>
    </w:pPr>
  </w:style>
  <w:style w:type="paragraph" w:styleId="188">
    <w:name w:val="toc 9"/>
    <w:basedOn w:val="639"/>
    <w:next w:val="6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9"/>
    <w:next w:val="639"/>
    <w:uiPriority w:val="99"/>
    <w:unhideWhenUsed/>
    <w:pPr>
      <w:spacing w:after="0" w:afterAutospacing="0"/>
    </w:pPr>
  </w:style>
  <w:style w:type="paragraph" w:styleId="639" w:default="1">
    <w:name w:val="Normal"/>
    <w:next w:val="639"/>
    <w:link w:val="639"/>
    <w:qFormat/>
    <w:pPr>
      <w:jc w:val="both"/>
      <w:widowControl w:val="off"/>
    </w:pPr>
    <w:rPr>
      <w:rFonts w:ascii="Calibri" w:hAnsi="Calibri" w:eastAsia="宋体" w:cs="Times New Roman"/>
      <w:sz w:val="21"/>
      <w:szCs w:val="24"/>
      <w:lang w:val="en-US" w:eastAsia="zh-CN" w:bidi="ar-SA"/>
    </w:rPr>
  </w:style>
  <w:style w:type="paragraph" w:styleId="640">
    <w:name w:val="标题 1"/>
    <w:basedOn w:val="639"/>
    <w:next w:val="639"/>
    <w:link w:val="646"/>
    <w:qFormat/>
    <w:pPr>
      <w:jc w:val="center"/>
      <w:keepLines/>
      <w:keepNext/>
      <w:tabs>
        <w:tab w:val="left" w:pos="1134" w:leader="none"/>
      </w:tabs>
      <w:outlineLvl w:val="0"/>
    </w:pPr>
    <w:rPr>
      <w:rFonts w:ascii="宋体" w:hAnsi="宋体"/>
      <w:b/>
      <w:sz w:val="24"/>
      <w:szCs w:val="20"/>
    </w:rPr>
  </w:style>
  <w:style w:type="paragraph" w:styleId="641">
    <w:name w:val="标题 2"/>
    <w:basedOn w:val="639"/>
    <w:next w:val="639"/>
    <w:link w:val="647"/>
    <w:qFormat/>
    <w:pPr>
      <w:keepLines/>
      <w:keepNext/>
      <w:spacing w:before="260" w:after="260" w:line="416" w:lineRule="auto"/>
      <w:outlineLvl w:val="1"/>
    </w:pPr>
    <w:rPr>
      <w:rFonts w:ascii="Arial" w:hAnsi="Arial" w:eastAsia="黑体"/>
      <w:b/>
      <w:bCs/>
      <w:sz w:val="32"/>
      <w:szCs w:val="32"/>
    </w:rPr>
  </w:style>
  <w:style w:type="paragraph" w:styleId="642">
    <w:name w:val="标题 3"/>
    <w:basedOn w:val="639"/>
    <w:next w:val="639"/>
    <w:link w:val="639"/>
    <w:qFormat/>
    <w:pPr>
      <w:keepLines/>
      <w:keepNext/>
      <w:spacing w:line="360" w:lineRule="auto"/>
      <w:outlineLvl w:val="2"/>
    </w:pPr>
    <w:rPr>
      <w:b/>
      <w:bCs/>
      <w:sz w:val="26"/>
      <w:szCs w:val="26"/>
    </w:rPr>
  </w:style>
  <w:style w:type="paragraph" w:styleId="643">
    <w:name w:val="标题 6"/>
    <w:basedOn w:val="639"/>
    <w:next w:val="639"/>
    <w:link w:val="648"/>
    <w:qFormat/>
    <w:pPr>
      <w:keepLines/>
      <w:keepNext/>
      <w:spacing w:before="240" w:after="64" w:line="320" w:lineRule="auto"/>
      <w:outlineLvl w:val="5"/>
    </w:pPr>
    <w:rPr>
      <w:rFonts w:ascii="Arial" w:hAnsi="Arial" w:eastAsia="黑体"/>
      <w:b/>
      <w:bCs/>
      <w:sz w:val="24"/>
    </w:rPr>
  </w:style>
  <w:style w:type="character" w:styleId="644">
    <w:name w:val="默认段落字体"/>
    <w:next w:val="644"/>
    <w:link w:val="639"/>
    <w:uiPriority w:val="1"/>
    <w:unhideWhenUsed/>
    <w:qFormat/>
  </w:style>
  <w:style w:type="table" w:styleId="645">
    <w:name w:val="普通表格"/>
    <w:next w:val="645"/>
    <w:link w:val="639"/>
    <w:uiPriority w:val="99"/>
    <w:unhideWhenUsed/>
    <w:qFormat/>
    <w:tblPr/>
  </w:style>
  <w:style w:type="character" w:styleId="646">
    <w:name w:val="标题 1 Char"/>
    <w:next w:val="646"/>
    <w:link w:val="640"/>
    <w:qFormat/>
    <w:rPr>
      <w:rFonts w:ascii="宋体" w:hAnsi="宋体" w:eastAsia="宋体"/>
      <w:b/>
      <w:sz w:val="24"/>
      <w:lang w:val="en-US" w:eastAsia="zh-CN" w:bidi="ar-SA"/>
    </w:rPr>
  </w:style>
  <w:style w:type="character" w:styleId="647">
    <w:name w:val="标题 2 Char"/>
    <w:next w:val="647"/>
    <w:link w:val="641"/>
    <w:qFormat/>
    <w:rPr>
      <w:rFonts w:ascii="Arial" w:hAnsi="Arial" w:eastAsia="黑体"/>
      <w:b/>
      <w:bCs/>
      <w:sz w:val="32"/>
      <w:szCs w:val="32"/>
      <w:lang w:val="en-US" w:eastAsia="zh-CN" w:bidi="ar-SA"/>
    </w:rPr>
  </w:style>
  <w:style w:type="character" w:styleId="648">
    <w:name w:val="标题 6 Char"/>
    <w:next w:val="648"/>
    <w:link w:val="643"/>
    <w:qFormat/>
    <w:rPr>
      <w:rFonts w:ascii="Arial" w:hAnsi="Arial" w:eastAsia="黑体"/>
      <w:b/>
      <w:bCs/>
      <w:sz w:val="24"/>
      <w:szCs w:val="24"/>
    </w:rPr>
  </w:style>
  <w:style w:type="paragraph" w:styleId="649">
    <w:name w:val="正文缩进"/>
    <w:basedOn w:val="639"/>
    <w:next w:val="639"/>
    <w:link w:val="639"/>
    <w:qFormat/>
    <w:pPr>
      <w:ind w:firstLine="420"/>
      <w:jc w:val="left"/>
    </w:pPr>
    <w:rPr>
      <w:rFonts w:eastAsia="楷体_GB2312"/>
      <w:sz w:val="24"/>
      <w:szCs w:val="20"/>
    </w:rPr>
  </w:style>
  <w:style w:type="paragraph" w:styleId="650">
    <w:name w:val="文档结构图"/>
    <w:basedOn w:val="639"/>
    <w:next w:val="650"/>
    <w:link w:val="651"/>
    <w:qFormat/>
    <w:rPr>
      <w:rFonts w:ascii="宋体"/>
      <w:sz w:val="18"/>
      <w:szCs w:val="18"/>
    </w:rPr>
  </w:style>
  <w:style w:type="character" w:styleId="651">
    <w:name w:val="文档结构图 Char"/>
    <w:next w:val="651"/>
    <w:link w:val="650"/>
    <w:qFormat/>
    <w:rPr>
      <w:rFonts w:ascii="宋体"/>
      <w:sz w:val="18"/>
      <w:szCs w:val="18"/>
    </w:rPr>
  </w:style>
  <w:style w:type="paragraph" w:styleId="652">
    <w:name w:val="批注文字"/>
    <w:basedOn w:val="639"/>
    <w:next w:val="652"/>
    <w:link w:val="653"/>
    <w:qFormat/>
    <w:pPr>
      <w:jc w:val="left"/>
    </w:pPr>
  </w:style>
  <w:style w:type="character" w:styleId="653">
    <w:name w:val="批注文字 Char"/>
    <w:next w:val="653"/>
    <w:link w:val="652"/>
    <w:qFormat/>
    <w:rPr>
      <w:sz w:val="21"/>
      <w:szCs w:val="24"/>
    </w:rPr>
  </w:style>
  <w:style w:type="paragraph" w:styleId="654">
    <w:name w:val="正文文本"/>
    <w:basedOn w:val="639"/>
    <w:next w:val="649"/>
    <w:link w:val="639"/>
    <w:qFormat/>
    <w:pPr>
      <w:tabs>
        <w:tab w:val="left" w:pos="5250" w:leader="none"/>
      </w:tabs>
    </w:pPr>
    <w:rPr>
      <w:sz w:val="28"/>
    </w:rPr>
  </w:style>
  <w:style w:type="paragraph" w:styleId="655">
    <w:name w:val="正文文本缩进"/>
    <w:basedOn w:val="639"/>
    <w:next w:val="639"/>
    <w:link w:val="639"/>
    <w:qFormat/>
    <w:pPr>
      <w:ind w:left="570"/>
      <w:spacing w:line="520" w:lineRule="exact"/>
    </w:pPr>
    <w:rPr>
      <w:rFonts w:ascii="方正仿宋简体" w:hAnsi="创艺简仿宋" w:eastAsia="方正仿宋简体"/>
      <w:sz w:val="24"/>
      <w:szCs w:val="20"/>
    </w:rPr>
  </w:style>
  <w:style w:type="paragraph" w:styleId="656">
    <w:name w:val="列表 2"/>
    <w:basedOn w:val="639"/>
    <w:next w:val="656"/>
    <w:link w:val="639"/>
    <w:qFormat/>
    <w:pPr>
      <w:ind w:left="100" w:hanging="200"/>
    </w:pPr>
  </w:style>
  <w:style w:type="paragraph" w:styleId="657">
    <w:name w:val="纯文本"/>
    <w:basedOn w:val="639"/>
    <w:next w:val="657"/>
    <w:link w:val="658"/>
    <w:qFormat/>
    <w:rPr>
      <w:rFonts w:ascii="宋体" w:hAnsi="Courier New" w:eastAsia="楷体_GB2312"/>
      <w:sz w:val="28"/>
      <w:szCs w:val="20"/>
    </w:rPr>
  </w:style>
  <w:style w:type="character" w:styleId="658">
    <w:name w:val="纯文本 Char"/>
    <w:next w:val="658"/>
    <w:link w:val="657"/>
    <w:qFormat/>
    <w:rPr>
      <w:rFonts w:ascii="宋体" w:hAnsi="Courier New" w:eastAsia="楷体_GB2312"/>
      <w:sz w:val="28"/>
    </w:rPr>
  </w:style>
  <w:style w:type="paragraph" w:styleId="659">
    <w:name w:val="日期"/>
    <w:basedOn w:val="639"/>
    <w:next w:val="639"/>
    <w:link w:val="639"/>
    <w:qFormat/>
    <w:pPr>
      <w:ind w:left="100"/>
    </w:pPr>
    <w:rPr>
      <w:sz w:val="28"/>
    </w:rPr>
  </w:style>
  <w:style w:type="paragraph" w:styleId="660">
    <w:name w:val="正文文本缩进 2"/>
    <w:basedOn w:val="639"/>
    <w:next w:val="660"/>
    <w:link w:val="639"/>
    <w:qFormat/>
    <w:pPr>
      <w:ind w:firstLine="570"/>
      <w:spacing w:line="520" w:lineRule="exact"/>
    </w:pPr>
    <w:rPr>
      <w:rFonts w:ascii="方正仿宋简体" w:hAnsi="创艺简仿宋" w:eastAsia="方正仿宋简体"/>
      <w:bCs/>
      <w:sz w:val="24"/>
      <w:szCs w:val="20"/>
    </w:rPr>
  </w:style>
  <w:style w:type="paragraph" w:styleId="661">
    <w:name w:val="批注框文本"/>
    <w:basedOn w:val="639"/>
    <w:next w:val="661"/>
    <w:link w:val="639"/>
    <w:semiHidden/>
    <w:qFormat/>
    <w:rPr>
      <w:sz w:val="18"/>
      <w:szCs w:val="18"/>
    </w:rPr>
  </w:style>
  <w:style w:type="paragraph" w:styleId="662">
    <w:name w:val="页脚"/>
    <w:basedOn w:val="639"/>
    <w:next w:val="662"/>
    <w:link w:val="639"/>
    <w:qFormat/>
    <w:pPr>
      <w:jc w:val="left"/>
      <w:tabs>
        <w:tab w:val="center" w:pos="4153" w:leader="none"/>
        <w:tab w:val="right" w:pos="8306" w:leader="none"/>
      </w:tabs>
    </w:pPr>
    <w:rPr>
      <w:sz w:val="18"/>
      <w:szCs w:val="18"/>
    </w:rPr>
  </w:style>
  <w:style w:type="paragraph" w:styleId="663">
    <w:name w:val="寄信人地址"/>
    <w:basedOn w:val="639"/>
    <w:next w:val="663"/>
    <w:link w:val="639"/>
    <w:qFormat/>
    <w:pPr>
      <w:jc w:val="both"/>
      <w:widowControl w:val="off"/>
    </w:pPr>
    <w:rPr>
      <w:rFonts w:ascii="Arial" w:hAnsi="Arial" w:eastAsia="宋体" w:cs="Times New Roman"/>
      <w:sz w:val="21"/>
      <w:szCs w:val="24"/>
      <w:lang w:val="en-US" w:eastAsia="zh-CN" w:bidi="ar-SA"/>
    </w:rPr>
  </w:style>
  <w:style w:type="paragraph" w:styleId="664">
    <w:name w:val="页眉"/>
    <w:basedOn w:val="639"/>
    <w:next w:val="664"/>
    <w:link w:val="639"/>
    <w:qFormat/>
    <w:pPr>
      <w:jc w:val="center"/>
      <w:tabs>
        <w:tab w:val="center" w:pos="4153" w:leader="none"/>
        <w:tab w:val="right" w:pos="8306" w:leader="none"/>
      </w:tabs>
      <w:pBdr>
        <w:bottom w:val="single" w:color="000000" w:sz="6" w:space="1"/>
      </w:pBdr>
    </w:pPr>
    <w:rPr>
      <w:sz w:val="18"/>
      <w:szCs w:val="18"/>
    </w:rPr>
  </w:style>
  <w:style w:type="paragraph" w:styleId="665">
    <w:name w:val="索引标题"/>
    <w:basedOn w:val="639"/>
    <w:next w:val="666"/>
    <w:link w:val="639"/>
    <w:qFormat/>
    <w:pPr>
      <w:ind w:firstLine="0"/>
      <w:jc w:val="left"/>
      <w:spacing w:line="300" w:lineRule="exact"/>
    </w:pPr>
    <w:rPr>
      <w:rFonts w:ascii="仿宋_GB2312" w:hAnsi="仿宋_GB2312" w:cs="仿宋_GB2312"/>
      <w:sz w:val="30"/>
      <w:szCs w:val="30"/>
    </w:rPr>
  </w:style>
  <w:style w:type="paragraph" w:styleId="666">
    <w:name w:val="索引 1"/>
    <w:basedOn w:val="639"/>
    <w:next w:val="639"/>
    <w:link w:val="639"/>
    <w:qFormat/>
    <w:pPr>
      <w:spacing w:line="240" w:lineRule="exact"/>
    </w:pPr>
  </w:style>
  <w:style w:type="paragraph" w:styleId="667">
    <w:name w:val="脚注文本"/>
    <w:basedOn w:val="639"/>
    <w:next w:val="667"/>
    <w:link w:val="639"/>
    <w:qFormat/>
    <w:pPr>
      <w:jc w:val="left"/>
    </w:pPr>
    <w:rPr>
      <w:sz w:val="18"/>
      <w:szCs w:val="18"/>
    </w:rPr>
  </w:style>
  <w:style w:type="paragraph" w:styleId="668">
    <w:name w:val="正文文本缩进 3"/>
    <w:basedOn w:val="639"/>
    <w:next w:val="668"/>
    <w:link w:val="639"/>
    <w:qFormat/>
    <w:pPr>
      <w:ind w:left="420"/>
      <w:spacing w:after="120"/>
    </w:pPr>
    <w:rPr>
      <w:sz w:val="16"/>
      <w:szCs w:val="16"/>
    </w:rPr>
  </w:style>
  <w:style w:type="paragraph" w:styleId="669">
    <w:name w:val="目录 2"/>
    <w:basedOn w:val="639"/>
    <w:next w:val="639"/>
    <w:link w:val="639"/>
    <w:uiPriority w:val="39"/>
    <w:qFormat/>
    <w:pPr>
      <w:ind w:left="210"/>
      <w:jc w:val="left"/>
    </w:pPr>
    <w:rPr>
      <w:rFonts w:ascii="Times New Roman" w:hAnsi="Times New Roman"/>
      <w:smallCaps/>
      <w:sz w:val="20"/>
      <w:szCs w:val="20"/>
    </w:rPr>
  </w:style>
  <w:style w:type="paragraph" w:styleId="670">
    <w:name w:val="普通(网站)"/>
    <w:basedOn w:val="639"/>
    <w:next w:val="670"/>
    <w:link w:val="639"/>
    <w:uiPriority w:val="99"/>
    <w:unhideWhenUsed/>
    <w:qFormat/>
    <w:pPr>
      <w:jc w:val="left"/>
      <w:spacing w:before="100" w:beforeAutospacing="1" w:after="100" w:afterAutospacing="1"/>
      <w:widowControl/>
    </w:pPr>
    <w:rPr>
      <w:rFonts w:ascii="宋体" w:hAnsi="宋体" w:cs="宋体"/>
      <w:sz w:val="24"/>
    </w:rPr>
  </w:style>
  <w:style w:type="paragraph" w:styleId="671">
    <w:name w:val="标题"/>
    <w:basedOn w:val="639"/>
    <w:next w:val="639"/>
    <w:link w:val="639"/>
    <w:qFormat/>
    <w:pPr>
      <w:jc w:val="center"/>
      <w:spacing w:before="240" w:after="60"/>
      <w:outlineLvl w:val="0"/>
    </w:pPr>
    <w:rPr>
      <w:rFonts w:ascii="Arial" w:hAnsi="Arial"/>
      <w:b/>
      <w:sz w:val="32"/>
    </w:rPr>
  </w:style>
  <w:style w:type="paragraph" w:styleId="672">
    <w:name w:val="批注主题"/>
    <w:basedOn w:val="652"/>
    <w:next w:val="652"/>
    <w:link w:val="673"/>
    <w:qFormat/>
    <w:rPr>
      <w:b/>
      <w:bCs/>
    </w:rPr>
  </w:style>
  <w:style w:type="character" w:styleId="673">
    <w:name w:val="批注主题 Char"/>
    <w:next w:val="673"/>
    <w:link w:val="672"/>
    <w:qFormat/>
    <w:rPr>
      <w:b/>
      <w:bCs/>
      <w:sz w:val="21"/>
      <w:szCs w:val="24"/>
    </w:rPr>
  </w:style>
  <w:style w:type="paragraph" w:styleId="674">
    <w:name w:val="正文首行缩进"/>
    <w:basedOn w:val="654"/>
    <w:next w:val="674"/>
    <w:link w:val="639"/>
    <w:qFormat/>
    <w:pPr>
      <w:ind w:firstLine="200"/>
      <w:spacing w:line="360" w:lineRule="auto"/>
      <w:tabs>
        <w:tab w:val="left" w:pos="5250" w:leader="none"/>
      </w:tabs>
    </w:pPr>
    <w:rPr>
      <w:rFonts w:ascii="仿宋_GB2312" w:hAnsi="Arial" w:eastAsia="仿宋_GB2312"/>
      <w:sz w:val="30"/>
      <w:szCs w:val="30"/>
    </w:rPr>
  </w:style>
  <w:style w:type="paragraph" w:styleId="675">
    <w:name w:val="正文首行缩进 2"/>
    <w:basedOn w:val="655"/>
    <w:next w:val="675"/>
    <w:link w:val="639"/>
    <w:uiPriority w:val="99"/>
    <w:unhideWhenUsed/>
    <w:qFormat/>
    <w:pPr>
      <w:ind w:firstLine="420"/>
    </w:pPr>
  </w:style>
  <w:style w:type="table" w:styleId="676">
    <w:name w:val="网格型"/>
    <w:basedOn w:val="645"/>
    <w:next w:val="676"/>
    <w:link w:val="639"/>
    <w:uiPriority w:val="99"/>
    <w:unhideWhenUsed/>
    <w:qFormat/>
    <w:pPr>
      <w:jc w:val="both"/>
      <w:widowControl w:val="off"/>
    </w:pPr>
    <w:tblPr/>
  </w:style>
  <w:style w:type="character" w:styleId="677">
    <w:name w:val="要点"/>
    <w:next w:val="677"/>
    <w:link w:val="639"/>
    <w:qFormat/>
    <w:rPr>
      <w:b/>
    </w:rPr>
  </w:style>
  <w:style w:type="character" w:styleId="678">
    <w:name w:val="页码"/>
    <w:basedOn w:val="644"/>
    <w:next w:val="678"/>
    <w:link w:val="639"/>
    <w:qFormat/>
  </w:style>
  <w:style w:type="character" w:styleId="679">
    <w:name w:val="已访问的超链接"/>
    <w:next w:val="679"/>
    <w:link w:val="639"/>
    <w:qFormat/>
    <w:rPr>
      <w:color w:val="999999"/>
      <w:u w:val="none"/>
    </w:rPr>
  </w:style>
  <w:style w:type="character" w:styleId="680">
    <w:name w:val="强调"/>
    <w:next w:val="680"/>
    <w:link w:val="639"/>
    <w:qFormat/>
  </w:style>
  <w:style w:type="character" w:styleId="681">
    <w:name w:val="超链接"/>
    <w:next w:val="681"/>
    <w:link w:val="639"/>
    <w:qFormat/>
    <w:rPr>
      <w:color w:val="333333"/>
      <w:u w:val="none"/>
    </w:rPr>
  </w:style>
  <w:style w:type="character" w:styleId="682">
    <w:name w:val="批注引用"/>
    <w:next w:val="682"/>
    <w:link w:val="639"/>
    <w:qFormat/>
    <w:rPr>
      <w:sz w:val="21"/>
      <w:szCs w:val="21"/>
    </w:rPr>
  </w:style>
  <w:style w:type="character" w:styleId="683">
    <w:name w:val="脚注引用"/>
    <w:next w:val="683"/>
    <w:link w:val="639"/>
    <w:qFormat/>
    <w:rPr>
      <w:vertAlign w:val="superscript"/>
    </w:rPr>
  </w:style>
  <w:style w:type="paragraph" w:styleId="684">
    <w:name w:val="段"/>
    <w:next w:val="639"/>
    <w:link w:val="639"/>
    <w:qFormat/>
    <w:pPr>
      <w:ind w:firstLine="200"/>
      <w:jc w:val="both"/>
    </w:pPr>
    <w:rPr>
      <w:rFonts w:ascii="宋体" w:hAnsi="Calibri" w:eastAsia="宋体" w:cs="Times New Roman"/>
      <w:sz w:val="21"/>
      <w:lang w:val="en-US" w:eastAsia="zh-CN" w:bidi="ar-SA"/>
    </w:rPr>
  </w:style>
  <w:style w:type="paragraph" w:styleId="685">
    <w:name w:val="首行缩进"/>
    <w:basedOn w:val="639"/>
    <w:next w:val="685"/>
    <w:link w:val="639"/>
    <w:qFormat/>
    <w:pPr>
      <w:ind w:firstLine="200"/>
      <w:spacing w:line="500" w:lineRule="exact"/>
    </w:pPr>
  </w:style>
  <w:style w:type="paragraph" w:styleId="686">
    <w:name w:val="p18"/>
    <w:basedOn w:val="639"/>
    <w:next w:val="686"/>
    <w:link w:val="639"/>
    <w:qFormat/>
    <w:pPr>
      <w:ind w:firstLine="570"/>
      <w:spacing w:line="520" w:lineRule="atLeast"/>
      <w:widowControl/>
    </w:pPr>
    <w:rPr>
      <w:rFonts w:ascii="方正仿宋简体" w:hAnsi="方正仿宋简体" w:cs="宋体"/>
      <w:sz w:val="24"/>
    </w:rPr>
  </w:style>
  <w:style w:type="paragraph" w:styleId="687">
    <w:name w:val="正文段落"/>
    <w:basedOn w:val="639"/>
    <w:next w:val="687"/>
    <w:link w:val="639"/>
    <w:qFormat/>
    <w:pPr>
      <w:ind w:firstLine="440"/>
      <w:spacing w:line="360" w:lineRule="auto"/>
      <w:widowControl/>
    </w:pPr>
    <w:rPr>
      <w:sz w:val="22"/>
      <w:szCs w:val="22"/>
      <w:lang w:val="de-DE"/>
    </w:rPr>
  </w:style>
  <w:style w:type="paragraph" w:styleId="688">
    <w:name w:val="【正文】"/>
    <w:basedOn w:val="639"/>
    <w:next w:val="688"/>
    <w:link w:val="639"/>
    <w:qFormat/>
    <w:pPr>
      <w:ind w:firstLine="420"/>
      <w:spacing w:line="360" w:lineRule="auto"/>
    </w:pPr>
    <w:rPr>
      <w:rFonts w:cs="黑体"/>
      <w:sz w:val="24"/>
    </w:rPr>
  </w:style>
  <w:style w:type="paragraph" w:styleId="689">
    <w:name w:val="样式 (西文) 宋体 小四 首行缩进:  0.95 厘米 段前: 5 磅 段后: 5 磅 行距: 1.5 倍行距"/>
    <w:basedOn w:val="639"/>
    <w:next w:val="689"/>
    <w:link w:val="639"/>
    <w:qFormat/>
    <w:pPr>
      <w:ind w:firstLine="540"/>
      <w:jc w:val="left"/>
      <w:spacing w:before="100" w:after="100" w:line="360" w:lineRule="auto"/>
      <w:widowControl/>
    </w:pPr>
    <w:rPr>
      <w:rFonts w:ascii="宋体" w:hAnsi="宋体" w:cs="宋体"/>
      <w:sz w:val="24"/>
      <w:szCs w:val="20"/>
    </w:rPr>
  </w:style>
  <w:style w:type="paragraph" w:styleId="690">
    <w:name w:val="列表段落1"/>
    <w:basedOn w:val="639"/>
    <w:next w:val="690"/>
    <w:link w:val="639"/>
    <w:qFormat/>
    <w:pPr>
      <w:ind w:firstLine="420"/>
    </w:pPr>
  </w:style>
  <w:style w:type="paragraph" w:styleId="691">
    <w:name w:val="179"/>
    <w:basedOn w:val="639"/>
    <w:next w:val="691"/>
    <w:link w:val="639"/>
    <w:qFormat/>
    <w:pPr>
      <w:ind w:firstLine="420"/>
    </w:pPr>
    <w:rPr>
      <w:sz w:val="28"/>
      <w:szCs w:val="20"/>
    </w:rPr>
  </w:style>
  <w:style w:type="paragraph" w:styleId="692">
    <w:name w:val="_Style 12"/>
    <w:basedOn w:val="650"/>
    <w:next w:val="692"/>
    <w:link w:val="639"/>
    <w:qFormat/>
    <w:pPr>
      <w:spacing w:line="360" w:lineRule="auto"/>
      <w:shd w:val="clear" w:color="auto" w:fill="000080"/>
    </w:pPr>
    <w:rPr>
      <w:rFonts w:ascii="Times New Roman"/>
      <w:sz w:val="21"/>
      <w:szCs w:val="24"/>
    </w:rPr>
  </w:style>
  <w:style w:type="paragraph" w:styleId="693">
    <w:name w:val="List Paragraph1"/>
    <w:basedOn w:val="639"/>
    <w:next w:val="693"/>
    <w:link w:val="639"/>
    <w:uiPriority w:val="34"/>
    <w:qFormat/>
    <w:pPr>
      <w:ind w:firstLine="420"/>
    </w:pPr>
  </w:style>
  <w:style w:type="paragraph" w:styleId="694">
    <w:name w:val="正文2"/>
    <w:basedOn w:val="639"/>
    <w:next w:val="694"/>
    <w:link w:val="639"/>
    <w:qFormat/>
    <w:pPr>
      <w:ind w:firstLine="200"/>
      <w:jc w:val="left"/>
      <w:spacing w:after="160" w:line="360" w:lineRule="auto"/>
      <w:widowControl/>
    </w:pPr>
    <w:rPr>
      <w:szCs w:val="20"/>
    </w:rPr>
  </w:style>
  <w:style w:type="paragraph" w:styleId="695">
    <w:name w:val="纯文本1"/>
    <w:basedOn w:val="639"/>
    <w:next w:val="695"/>
    <w:link w:val="639"/>
    <w:qFormat/>
    <w:rPr>
      <w:rFonts w:ascii="宋体" w:hAnsi="Courier New"/>
    </w:rPr>
  </w:style>
  <w:style w:type="paragraph" w:styleId="696">
    <w:name w:val="正文文本缩进 2 + 仿宋_GB2312"/>
    <w:basedOn w:val="660"/>
    <w:next w:val="696"/>
    <w:link w:val="639"/>
    <w:qFormat/>
    <w:pPr>
      <w:numPr>
        <w:ilvl w:val="0"/>
        <w:numId w:val="1"/>
      </w:numPr>
      <w:ind w:left="-6" w:firstLine="0"/>
      <w:spacing w:line="360" w:lineRule="auto"/>
      <w:tabs>
        <w:tab w:val="left" w:pos="420" w:leader="none"/>
      </w:tabs>
    </w:pPr>
    <w:rPr>
      <w:rFonts w:ascii="仿宋_GB2312" w:hAnsi="宋体" w:eastAsia="仿宋_GB2312" w:cs="宋体"/>
      <w:bCs w:val="0"/>
      <w:color w:val="000000"/>
      <w:szCs w:val="24"/>
      <w:lang w:bidi="th-TH"/>
    </w:rPr>
  </w:style>
  <w:style w:type="paragraph" w:styleId="697">
    <w:name w:val="列表段落11"/>
    <w:basedOn w:val="639"/>
    <w:next w:val="697"/>
    <w:link w:val="639"/>
    <w:qFormat/>
    <w:pPr>
      <w:ind w:firstLine="420"/>
    </w:pPr>
    <w:rPr>
      <w:rFonts w:eastAsia="等线"/>
    </w:rPr>
  </w:style>
  <w:style w:type="paragraph" w:styleId="698">
    <w:name w:val="+正文"/>
    <w:basedOn w:val="639"/>
    <w:next w:val="698"/>
    <w:link w:val="639"/>
    <w:uiPriority w:val="99"/>
    <w:qFormat/>
    <w:pPr>
      <w:ind w:firstLine="200"/>
      <w:spacing w:line="360" w:lineRule="auto"/>
    </w:pPr>
    <w:rPr>
      <w:rFonts w:ascii="Times New Roman" w:hAnsi="Times New Roman"/>
      <w:sz w:val="24"/>
      <w:szCs w:val="28"/>
    </w:rPr>
  </w:style>
  <w:style w:type="paragraph" w:styleId="699">
    <w:name w:val="List Paragraph"/>
    <w:basedOn w:val="639"/>
    <w:next w:val="699"/>
    <w:link w:val="639"/>
    <w:uiPriority w:val="34"/>
    <w:qFormat/>
    <w:pPr>
      <w:ind w:firstLine="420"/>
    </w:pPr>
    <w:rPr>
      <w:sz w:val="28"/>
      <w:szCs w:val="20"/>
    </w:rPr>
  </w:style>
  <w:style w:type="paragraph" w:styleId="700">
    <w:name w:val="p0"/>
    <w:basedOn w:val="639"/>
    <w:next w:val="700"/>
    <w:link w:val="639"/>
    <w:qFormat/>
    <w:pPr>
      <w:widowControl/>
    </w:pPr>
    <w:rPr>
      <w:szCs w:val="21"/>
    </w:rPr>
  </w:style>
  <w:style w:type="paragraph" w:styleId="701">
    <w:name w:val="列出段落1"/>
    <w:basedOn w:val="639"/>
    <w:next w:val="701"/>
    <w:link w:val="639"/>
    <w:uiPriority w:val="34"/>
    <w:qFormat/>
    <w:pPr>
      <w:ind w:firstLine="420"/>
    </w:pPr>
    <w:rPr>
      <w:rFonts w:ascii="Times New Roman" w:hAnsi="Times New Roman"/>
    </w:rPr>
  </w:style>
  <w:style w:type="paragraph" w:styleId="702">
    <w:name w:val="Char Char Char Char Char Char Char Char Char Char Char Char Char"/>
    <w:basedOn w:val="639"/>
    <w:next w:val="702"/>
    <w:link w:val="639"/>
    <w:qFormat/>
    <w:pPr>
      <w:ind w:firstLine="480"/>
      <w:spacing w:line="360" w:lineRule="auto"/>
    </w:pPr>
    <w:rPr>
      <w:rFonts w:hAnsi="宋体"/>
      <w:color w:val="000000"/>
      <w:sz w:val="18"/>
      <w:szCs w:val="18"/>
    </w:rPr>
  </w:style>
  <w:style w:type="paragraph" w:styleId="703">
    <w:name w:val="纯文本2"/>
    <w:basedOn w:val="639"/>
    <w:next w:val="703"/>
    <w:link w:val="639"/>
    <w:qFormat/>
    <w:rPr>
      <w:rFonts w:hint="eastAsia" w:ascii="宋体" w:hAnsi="Courier New" w:eastAsia="楷体_GB2312"/>
      <w:sz w:val="28"/>
      <w:szCs w:val="20"/>
    </w:rPr>
  </w:style>
  <w:style w:type="paragraph" w:styleId="704">
    <w:name w:val="Default"/>
    <w:next w:val="704"/>
    <w:link w:val="639"/>
    <w:uiPriority w:val="99"/>
    <w:qFormat/>
    <w:pPr>
      <w:widowControl w:val="off"/>
    </w:pPr>
    <w:rPr>
      <w:rFonts w:ascii="宋体" w:hAnsi="Calibri" w:eastAsia="宋体" w:cs="宋体"/>
      <w:color w:val="000000"/>
      <w:sz w:val="24"/>
      <w:szCs w:val="24"/>
      <w:lang w:val="en-US" w:eastAsia="zh-CN" w:bidi="ar-SA"/>
    </w:rPr>
  </w:style>
  <w:style w:type="paragraph" w:styleId="705">
    <w:name w:val="正文 A"/>
    <w:next w:val="705"/>
    <w:link w:val="639"/>
    <w:qFormat/>
    <w:pPr>
      <w:jc w:val="both"/>
      <w:widowControl w:val="off"/>
      <w:framePr w:wrap="around" w:vAnchor="margin" w:hAnchor="text" w:yAlign="top"/>
    </w:pPr>
    <w:rPr>
      <w:rFonts w:ascii="Calibri" w:hAnsi="Arial Unicode MS" w:eastAsia="Arial Unicode MS" w:cs="Arial Unicode MS"/>
      <w:color w:val="000000"/>
      <w:sz w:val="21"/>
      <w:szCs w:val="21"/>
      <w:lang w:val="en-US" w:eastAsia="zh-CN" w:bidi="ar-SA"/>
    </w:rPr>
  </w:style>
  <w:style w:type="paragraph" w:styleId="706">
    <w:name w:val="dt2"/>
    <w:basedOn w:val="639"/>
    <w:next w:val="706"/>
    <w:link w:val="639"/>
    <w:qFormat/>
    <w:pPr>
      <w:jc w:val="left"/>
    </w:pPr>
  </w:style>
  <w:style w:type="paragraph" w:styleId="707">
    <w:name w:val="111111"/>
    <w:basedOn w:val="639"/>
    <w:next w:val="707"/>
    <w:link w:val="639"/>
    <w:qFormat/>
    <w:pPr>
      <w:jc w:val="center"/>
      <w:spacing w:before="120" w:after="120"/>
    </w:pPr>
    <w:rPr>
      <w:rFonts w:ascii="宋体" w:hAnsi="宋体" w:eastAsia="黑体"/>
      <w:b/>
      <w:bCs/>
      <w:szCs w:val="21"/>
    </w:rPr>
  </w:style>
  <w:style w:type="character" w:styleId="708">
    <w:name w:val="Char Char1"/>
    <w:next w:val="708"/>
    <w:link w:val="639"/>
    <w:qFormat/>
    <w:rPr>
      <w:rFonts w:ascii="宋体" w:hAnsi="Courier New"/>
      <w:szCs w:val="20"/>
    </w:rPr>
  </w:style>
  <w:style w:type="character" w:styleId="709">
    <w:name w:val="style4"/>
    <w:basedOn w:val="644"/>
    <w:next w:val="709"/>
    <w:link w:val="639"/>
    <w:qFormat/>
  </w:style>
  <w:style w:type="character" w:styleId="710">
    <w:name w:val="fontstyle01"/>
    <w:next w:val="710"/>
    <w:link w:val="639"/>
    <w:qFormat/>
    <w:rPr>
      <w:rFonts w:ascii="宋体" w:hAnsi="宋体" w:eastAsia="宋体" w:cs="宋体"/>
      <w:color w:val="000000"/>
      <w:sz w:val="24"/>
      <w:szCs w:val="24"/>
    </w:rPr>
  </w:style>
  <w:style w:type="character" w:styleId="711">
    <w:name w:val="NormalCharacter1"/>
    <w:next w:val="711"/>
    <w:link w:val="639"/>
    <w:qFormat/>
  </w:style>
  <w:style w:type="character" w:styleId="712">
    <w:name w:val="font11"/>
    <w:next w:val="712"/>
    <w:link w:val="639"/>
    <w:qFormat/>
    <w:rPr>
      <w:rFonts w:hint="eastAsia" w:ascii="宋体" w:hAnsi="宋体" w:eastAsia="宋体" w:cs="宋体"/>
      <w:color w:val="000000"/>
      <w:sz w:val="20"/>
      <w:szCs w:val="20"/>
      <w:u w:val="none"/>
    </w:rPr>
  </w:style>
  <w:style w:type="character" w:styleId="713">
    <w:name w:val="font01"/>
    <w:next w:val="713"/>
    <w:link w:val="639"/>
    <w:qFormat/>
    <w:rPr>
      <w:rFonts w:hint="eastAsia" w:ascii="宋体" w:hAnsi="宋体" w:eastAsia="宋体" w:cs="宋体"/>
      <w:b/>
      <w:color w:val="ff0000"/>
      <w:sz w:val="22"/>
      <w:szCs w:val="22"/>
      <w:u w:val="none"/>
    </w:rPr>
  </w:style>
  <w:style w:type="paragraph" w:styleId="714">
    <w:name w:val="标题 21"/>
    <w:next w:val="705"/>
    <w:link w:val="639"/>
    <w:uiPriority w:val="99"/>
    <w:qFormat/>
    <w:pPr>
      <w:jc w:val="both"/>
      <w:keepLines/>
      <w:keepNext/>
      <w:spacing w:before="260" w:after="260" w:line="413" w:lineRule="auto"/>
      <w:widowControl w:val="off"/>
      <w:framePr w:wrap="around" w:vAnchor="margin" w:hAnchor="text" w:y="1"/>
      <w:outlineLvl w:val="1"/>
    </w:pPr>
    <w:rPr>
      <w:rFonts w:ascii="Arial Unicode MS" w:hAnsi="Arial Unicode MS" w:eastAsia="Arial Unicode MS" w:cs="Arial Unicode MS"/>
      <w:color w:val="000000"/>
      <w:sz w:val="32"/>
      <w:szCs w:val="32"/>
      <w:lang w:val="en-US" w:eastAsia="zh-CN" w:bidi="ar-SA"/>
    </w:rPr>
  </w:style>
  <w:style w:type="paragraph" w:styleId="715">
    <w:name w:val="正文缩进 Char Char"/>
    <w:basedOn w:val="639"/>
    <w:next w:val="715"/>
    <w:link w:val="639"/>
    <w:qFormat/>
    <w:pPr>
      <w:ind w:firstLine="420"/>
    </w:pPr>
  </w:style>
  <w:style w:type="paragraph" w:styleId="716">
    <w:name w:val="Table Paragraph"/>
    <w:basedOn w:val="639"/>
    <w:next w:val="716"/>
    <w:link w:val="639"/>
    <w:uiPriority w:val="1"/>
    <w:qFormat/>
    <w:rPr>
      <w:sz w:val="26"/>
      <w:szCs w:val="20"/>
      <w:lang w:val="zh-CN" w:bidi="zh-CN"/>
    </w:rPr>
  </w:style>
  <w:style w:type="paragraph" w:styleId="717">
    <w:name w:val="纯文本3"/>
    <w:basedOn w:val="639"/>
    <w:next w:val="717"/>
    <w:link w:val="639"/>
    <w:qFormat/>
    <w:rPr>
      <w:rFonts w:ascii="宋体" w:hAnsi="Courier New" w:eastAsia="楷体_GB2312"/>
      <w:sz w:val="26"/>
      <w:szCs w:val="20"/>
    </w:rPr>
  </w:style>
  <w:style w:type="paragraph" w:styleId="718">
    <w:name w:val="p25"/>
    <w:basedOn w:val="639"/>
    <w:next w:val="718"/>
    <w:link w:val="639"/>
    <w:qFormat/>
    <w:rPr>
      <w:rFonts w:ascii="黑体" w:hAnsi="黑体" w:cs="黑体"/>
      <w:szCs w:val="26"/>
    </w:rPr>
  </w:style>
  <w:style w:type="paragraph" w:styleId="719">
    <w:name w:val="纯文本111"/>
    <w:basedOn w:val="639"/>
    <w:next w:val="719"/>
    <w:link w:val="639"/>
    <w:qFormat/>
    <w:rPr>
      <w:rFonts w:ascii="宋体" w:hAnsi="Courier New"/>
      <w:sz w:val="28"/>
      <w:szCs w:val="28"/>
    </w:rPr>
  </w:style>
  <w:style w:type="paragraph" w:styleId="720">
    <w:name w:val="纯文本21"/>
    <w:basedOn w:val="639"/>
    <w:next w:val="720"/>
    <w:link w:val="639"/>
    <w:qFormat/>
    <w:rPr>
      <w:rFonts w:hint="eastAsia" w:ascii="宋体" w:hAnsi="Courier New" w:eastAsia="楷体_GB2312"/>
      <w:sz w:val="28"/>
    </w:rPr>
  </w:style>
  <w:style w:type="paragraph" w:styleId="721">
    <w:name w:val="正文1"/>
    <w:next w:val="639"/>
    <w:link w:val="639"/>
    <w:qFormat/>
    <w:pPr>
      <w:jc w:val="both"/>
      <w:spacing w:line="312" w:lineRule="atLeast"/>
      <w:widowControl w:val="off"/>
    </w:pPr>
    <w:rPr>
      <w:rFonts w:ascii="宋体" w:hAnsi="Times New Roman" w:eastAsia="宋体" w:cs="Times New Roman"/>
      <w:sz w:val="34"/>
      <w:szCs w:val="22"/>
      <w:lang w:val="en-US" w:eastAsia="zh-CN" w:bidi="ar-SA"/>
    </w:rPr>
  </w:style>
  <w:style w:type="character" w:styleId="722">
    <w:name w:val="font21"/>
    <w:basedOn w:val="644"/>
    <w:next w:val="722"/>
    <w:link w:val="639"/>
    <w:qFormat/>
    <w:rPr>
      <w:rFonts w:hint="eastAsia" w:ascii="宋体" w:hAnsi="宋体" w:eastAsia="宋体" w:cs="宋体"/>
      <w:b/>
      <w:color w:val="000000"/>
      <w:sz w:val="20"/>
      <w:szCs w:val="20"/>
      <w:u w:val="none"/>
    </w:rPr>
  </w:style>
  <w:style w:type="character" w:styleId="723">
    <w:name w:val="font91"/>
    <w:next w:val="723"/>
    <w:link w:val="639"/>
    <w:qFormat/>
    <w:rPr>
      <w:rFonts w:ascii="Calibri" w:hAnsi="Calibri" w:cs="Calibri"/>
      <w:b/>
      <w:color w:val="000000"/>
      <w:sz w:val="20"/>
      <w:szCs w:val="20"/>
      <w:u w:val="none"/>
    </w:rPr>
  </w:style>
  <w:style w:type="character" w:styleId="724">
    <w:name w:val="font71"/>
    <w:next w:val="724"/>
    <w:link w:val="639"/>
    <w:qFormat/>
    <w:rPr>
      <w:rFonts w:hint="eastAsia" w:ascii="宋体" w:hAnsi="宋体" w:eastAsia="宋体" w:cs="宋体"/>
      <w:color w:val="000000"/>
      <w:sz w:val="20"/>
      <w:szCs w:val="20"/>
      <w:u w:val="none"/>
    </w:rPr>
  </w:style>
  <w:style w:type="paragraph" w:styleId="725">
    <w:name w:val="_Style 15"/>
    <w:basedOn w:val="655"/>
    <w:next w:val="675"/>
    <w:link w:val="639"/>
    <w:uiPriority w:val="99"/>
    <w:unhideWhenUsed/>
    <w:qFormat/>
    <w:pPr>
      <w:ind w:firstLine="420"/>
    </w:pPr>
  </w:style>
  <w:style w:type="character" w:styleId="726">
    <w:name w:val="font61"/>
    <w:basedOn w:val="644"/>
    <w:next w:val="726"/>
    <w:link w:val="639"/>
    <w:qFormat/>
    <w:rPr>
      <w:rFonts w:hint="eastAsia" w:ascii="仿宋_GB2312" w:eastAsia="仿宋_GB2312" w:cs="仿宋_GB2312"/>
      <w:color w:val="000000"/>
      <w:sz w:val="24"/>
      <w:szCs w:val="24"/>
      <w:u w:val="none"/>
    </w:rPr>
  </w:style>
  <w:style w:type="paragraph" w:styleId="727">
    <w:name w:val="索引 41"/>
    <w:basedOn w:val="639"/>
    <w:next w:val="639"/>
    <w:link w:val="639"/>
    <w:semiHidden/>
    <w:qFormat/>
    <w:pPr>
      <w:ind w:left="600"/>
    </w:pPr>
    <w:rPr>
      <w:rFonts w:ascii="Times New Roman" w:hAnsi="Times New Roman"/>
      <w:szCs w:val="20"/>
    </w:rPr>
  </w:style>
  <w:style w:type="character" w:styleId="85379" w:default="1">
    <w:name w:val="Default Paragraph Font"/>
    <w:uiPriority w:val="1"/>
    <w:semiHidden/>
    <w:unhideWhenUsed/>
  </w:style>
  <w:style w:type="numbering" w:styleId="85380" w:default="1">
    <w:name w:val="No List"/>
    <w:uiPriority w:val="99"/>
    <w:semiHidden/>
    <w:unhideWhenUsed/>
  </w:style>
  <w:style w:type="table" w:styleId="853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dc:title>
  <dc:creator>a</dc:creator>
  <cp:lastModifiedBy>于文婷</cp:lastModifiedBy>
  <cp:revision>3</cp:revision>
  <dcterms:created xsi:type="dcterms:W3CDTF">2021-12-28T08:23:00Z</dcterms:created>
  <dcterms:modified xsi:type="dcterms:W3CDTF">2026-07-20T12:48:38Z</dcterms:modified>
</cp:coreProperties>
</file>