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rFonts w:hint="eastAsia" w:eastAsia="宋体"/>
          <w:b/>
          <w:bCs/>
          <w:color w:val="auto"/>
          <w:sz w:val="60"/>
          <w:szCs w:val="60"/>
          <w:highlight w:val="none"/>
          <w:lang w:eastAsia="zh-CN"/>
        </w:rPr>
      </w:pPr>
      <w:r>
        <w:rPr>
          <w:rFonts w:hint="eastAsia"/>
          <w:b/>
          <w:bCs/>
          <w:color w:val="auto"/>
          <w:sz w:val="60"/>
          <w:szCs w:val="60"/>
          <w:highlight w:val="none"/>
          <w:lang w:eastAsia="zh-CN"/>
        </w:rPr>
        <w:t xml:space="preserve">大河路(G346-银孝线)改造工程</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大河路(G346-银孝线)改造工程</w:t>
      </w:r>
      <w:r>
        <w:rPr>
          <w:rFonts w:hint="eastAsia"/>
          <w:bCs/>
          <w:color w:val="auto"/>
          <w:sz w:val="36"/>
          <w:szCs w:val="36"/>
          <w:highlight w:val="none"/>
        </w:rPr>
        <w:t xml:space="preserve">（政府采购工程）（面向中小企业） </w:t>
      </w:r>
      <w:r/>
    </w:p>
    <w:p>
      <w:pPr>
        <w:ind w:left="2832" w:hanging="1900"/>
        <w:jc w:val="left"/>
        <w:spacing w:line="360" w:lineRule="auto"/>
        <w:tabs>
          <w:tab w:val="left" w:pos="5609" w:leader="none"/>
        </w:tabs>
        <w:rPr>
          <w:rFonts w:hint="eastAsia"/>
          <w:bCs/>
          <w:color w:val="auto"/>
          <w:sz w:val="36"/>
          <w:szCs w:val="36"/>
          <w:highlight w:val="none"/>
          <w:lang w:eastAsia="zh-CN"/>
        </w:rPr>
      </w:pPr>
      <w:r>
        <w:rPr>
          <w:bCs/>
          <w:color w:val="auto"/>
          <w:sz w:val="36"/>
          <w:szCs w:val="36"/>
          <w:highlight w:val="none"/>
        </w:rPr>
        <w:t xml:space="preserve">项目编号：JSZC-320411001-SYZB-C2026-0042</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常州市新北区魏村街道办事处</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江苏尚阳工程管理有限公司</w:t>
      </w:r>
      <w:r/>
    </w:p>
    <w:p>
      <w:pPr>
        <w:jc w:val="center"/>
        <w:spacing w:before="100" w:after="240" w:line="500" w:lineRule="exact"/>
        <w:rPr>
          <w:b/>
          <w:bCs/>
          <w:color w:val="auto"/>
          <w:sz w:val="44"/>
          <w:highlight w:val="none"/>
        </w:rPr>
      </w:pPr>
      <w:r>
        <w:rPr>
          <w:b/>
          <w:bCs/>
          <w:color w:val="auto"/>
          <w:sz w:val="44"/>
          <w:highlight w:val="none"/>
        </w:rPr>
        <w:br w:type="page" w:clear="all"/>
      </w:r>
      <w:bookmarkStart w:id="0" w:name="_Toc104818924"/>
      <w:r/>
      <w:r/>
    </w:p>
    <w:p>
      <w:pPr>
        <w:jc w:val="center"/>
        <w:spacing w:before="100" w:after="100" w:line="500" w:lineRule="exact"/>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录</w:t>
      </w:r>
      <w:bookmarkEnd w:id="0"/>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1011"/>
        <w:spacing w:line="360" w:lineRule="auto"/>
        <w:tabs>
          <w:tab w:val="clear" w:pos="1050" w:leader="none"/>
          <w:tab w:val="clear" w:pos="8937" w:leader="none"/>
          <w:tab w:val="right" w:pos="9072" w:leader="dot"/>
        </w:tabs>
        <w:rPr>
          <w:rFonts w:cs="宋体"/>
          <w:b w:val="0"/>
          <w:color w:val="auto"/>
          <w:sz w:val="32"/>
          <w:szCs w:val="32"/>
          <w:highlight w:val="none"/>
        </w:rPr>
      </w:pPr>
      <w:r>
        <w:rPr>
          <w:rFonts w:cs="宋体"/>
          <w:b w:val="0"/>
          <w:color w:val="auto"/>
          <w:sz w:val="32"/>
          <w:szCs w:val="32"/>
          <w:highlight w:val="none"/>
        </w:rPr>
      </w:r>
      <w:r/>
    </w:p>
    <w:p>
      <w:pPr>
        <w:pStyle w:val="1011"/>
        <w:spacing w:line="360" w:lineRule="auto"/>
        <w:tabs>
          <w:tab w:val="clear" w:pos="1050" w:leader="none"/>
          <w:tab w:val="clear" w:pos="8937" w:leader="none"/>
          <w:tab w:val="right" w:pos="9072" w:leader="dot"/>
        </w:tabs>
        <w:rPr>
          <w:color w:val="auto"/>
          <w:sz w:val="32"/>
          <w:szCs w:val="32"/>
          <w:highlight w:val="none"/>
        </w:rPr>
      </w:pPr>
      <w:r>
        <w:rPr>
          <w:rFonts w:hint="eastAsia" w:cs="宋体"/>
          <w:b w:val="0"/>
          <w:color w:val="auto"/>
          <w:sz w:val="32"/>
          <w:szCs w:val="32"/>
          <w:highlight w:val="none"/>
        </w:rPr>
        <w:fldChar w:fldCharType="begin"/>
      </w:r>
      <w:r>
        <w:rPr>
          <w:rFonts w:hint="eastAsia" w:cs="宋体"/>
          <w:b w:val="0"/>
          <w:color w:val="auto"/>
          <w:sz w:val="32"/>
          <w:szCs w:val="32"/>
          <w:highlight w:val="none"/>
        </w:rPr>
        <w:instrText xml:space="preserve"> TOC \o "1-1" \h \z \u </w:instrText>
      </w:r>
      <w:r>
        <w:rPr>
          <w:rFonts w:hint="eastAsia" w:cs="宋体"/>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"_Toc26361" </w:instrText>
      </w:r>
      <w:r>
        <w:rPr>
          <w:color w:val="auto"/>
          <w:highlight w:val="none"/>
        </w:rPr>
        <w:fldChar w:fldCharType="separate"/>
      </w:r>
      <w:r>
        <w:rPr>
          <w:color w:val="auto"/>
          <w:sz w:val="32"/>
          <w:szCs w:val="32"/>
          <w:highlight w:val="none"/>
        </w:rPr>
        <w:t xml:space="preserve">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_Toc26361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1011"/>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"_Toc6147" </w:instrText>
      </w:r>
      <w:r>
        <w:rPr>
          <w:color w:val="auto"/>
          <w:highlight w:val="none"/>
        </w:rPr>
        <w:fldChar w:fldCharType="separate"/>
      </w:r>
      <w:r>
        <w:rPr>
          <w:color w:val="auto"/>
          <w:sz w:val="32"/>
          <w:szCs w:val="32"/>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_Toc6147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1011"/>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"_Toc8164" </w:instrText>
      </w:r>
      <w:r>
        <w:rPr>
          <w:color w:val="auto"/>
          <w:highlight w:val="none"/>
        </w:rPr>
        <w:fldChar w:fldCharType="separate"/>
      </w:r>
      <w:r>
        <w:rPr>
          <w:color w:val="auto"/>
          <w:sz w:val="32"/>
          <w:szCs w:val="32"/>
          <w:highlight w:val="none"/>
        </w:rPr>
        <w:t xml:space="preserve">第三章   评审</w:t>
      </w:r>
      <w:r>
        <w:rPr>
          <w:rFonts w:hint="eastAsia"/>
          <w:color w:val="auto"/>
          <w:sz w:val="32"/>
          <w:szCs w:val="32"/>
          <w:highlight w:val="none"/>
        </w:rPr>
        <w:t xml:space="preserve">程序、评审</w:t>
      </w:r>
      <w:r>
        <w:rPr>
          <w:color w:val="auto"/>
          <w:sz w:val="32"/>
          <w:szCs w:val="32"/>
          <w:highlight w:val="none"/>
        </w:rPr>
        <w:t xml:space="preserve">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_Toc8164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1011"/>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"_Toc10818" </w:instrText>
      </w:r>
      <w:r>
        <w:rPr>
          <w:color w:val="auto"/>
          <w:highlight w:val="none"/>
        </w:rPr>
        <w:fldChar w:fldCharType="separate"/>
      </w:r>
      <w:r>
        <w:rPr>
          <w:color w:val="auto"/>
          <w:sz w:val="32"/>
          <w:szCs w:val="32"/>
          <w:highlight w:val="none"/>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_Toc10818 \h </w:instrText>
      </w:r>
      <w:r>
        <w:rPr>
          <w:color w:val="auto"/>
          <w:sz w:val="32"/>
          <w:szCs w:val="32"/>
          <w:highlight w:val="none"/>
        </w:rPr>
        <w:fldChar w:fldCharType="separate"/>
      </w:r>
      <w:r>
        <w:rPr>
          <w:color w:val="auto"/>
          <w:sz w:val="32"/>
          <w:szCs w:val="32"/>
          <w:highlight w:val="none"/>
        </w:rPr>
        <w:t xml:space="preserve">28</w:t>
      </w:r>
      <w:r>
        <w:rPr>
          <w:color w:val="auto"/>
          <w:sz w:val="32"/>
          <w:szCs w:val="32"/>
          <w:highlight w:val="none"/>
        </w:rPr>
        <w:fldChar w:fldCharType="end"/>
      </w:r>
      <w:r>
        <w:rPr>
          <w:color w:val="auto"/>
          <w:sz w:val="32"/>
          <w:szCs w:val="32"/>
          <w:highlight w:val="none"/>
        </w:rPr>
        <w:fldChar w:fldCharType="end"/>
      </w:r>
      <w:r/>
    </w:p>
    <w:p>
      <w:pPr>
        <w:pStyle w:val="1011"/>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"_Toc17556" </w:instrText>
      </w:r>
      <w:r>
        <w:rPr>
          <w:color w:val="auto"/>
          <w:highlight w:val="none"/>
        </w:rPr>
        <w:fldChar w:fldCharType="separate"/>
      </w:r>
      <w:r>
        <w:rPr>
          <w:color w:val="auto"/>
          <w:sz w:val="32"/>
          <w:szCs w:val="32"/>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_Toc17556 \h </w:instrText>
      </w:r>
      <w:r>
        <w:rPr>
          <w:color w:val="auto"/>
          <w:sz w:val="32"/>
          <w:szCs w:val="32"/>
          <w:highlight w:val="none"/>
        </w:rPr>
        <w:fldChar w:fldCharType="separate"/>
      </w:r>
      <w:r>
        <w:rPr>
          <w:color w:val="auto"/>
          <w:sz w:val="32"/>
          <w:szCs w:val="32"/>
          <w:highlight w:val="none"/>
        </w:rPr>
        <w:t xml:space="preserve">32</w:t>
      </w:r>
      <w:r>
        <w:rPr>
          <w:color w:val="auto"/>
          <w:sz w:val="32"/>
          <w:szCs w:val="32"/>
          <w:highlight w:val="none"/>
        </w:rPr>
        <w:fldChar w:fldCharType="end"/>
      </w:r>
      <w:r>
        <w:rPr>
          <w:color w:val="auto"/>
          <w:sz w:val="32"/>
          <w:szCs w:val="32"/>
          <w:highlight w:val="none"/>
        </w:rPr>
        <w:fldChar w:fldCharType="end"/>
      </w:r>
      <w:r/>
    </w:p>
    <w:p>
      <w:pPr>
        <w:pStyle w:val="1011"/>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"_Toc11016" </w:instrText>
      </w:r>
      <w:r>
        <w:rPr>
          <w:color w:val="auto"/>
          <w:highlight w:val="none"/>
        </w:rPr>
        <w:fldChar w:fldCharType="separate"/>
      </w:r>
      <w:r>
        <w:rPr>
          <w:color w:val="auto"/>
          <w:sz w:val="32"/>
          <w:szCs w:val="32"/>
          <w:highlight w:val="none"/>
        </w:rPr>
        <w:t xml:space="preserve">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_Toc11016 \h </w:instrText>
      </w:r>
      <w:r>
        <w:rPr>
          <w:color w:val="auto"/>
          <w:sz w:val="32"/>
          <w:szCs w:val="32"/>
          <w:highlight w:val="none"/>
        </w:rPr>
        <w:fldChar w:fldCharType="separate"/>
      </w:r>
      <w:r>
        <w:rPr>
          <w:color w:val="auto"/>
          <w:sz w:val="32"/>
          <w:szCs w:val="32"/>
          <w:highlight w:val="none"/>
        </w:rPr>
        <w:t xml:space="preserve">53</w:t>
      </w:r>
      <w:r>
        <w:rPr>
          <w:color w:val="auto"/>
          <w:sz w:val="32"/>
          <w:szCs w:val="32"/>
          <w:highlight w:val="none"/>
        </w:rPr>
        <w:fldChar w:fldCharType="end"/>
      </w:r>
      <w:r>
        <w:rPr>
          <w:color w:val="auto"/>
          <w:sz w:val="32"/>
          <w:szCs w:val="32"/>
          <w:highlight w:val="none"/>
        </w:rPr>
        <w:fldChar w:fldCharType="end"/>
      </w:r>
      <w:r/>
    </w:p>
    <w:p>
      <w:pPr>
        <w:pStyle w:val="1011"/>
        <w:spacing w:line="360" w:lineRule="auto"/>
        <w:rPr>
          <w:rFonts w:cs="宋体"/>
          <w:b w:val="0"/>
          <w:color w:val="auto"/>
          <w:sz w:val="32"/>
          <w:szCs w:val="32"/>
          <w:highlight w:val="none"/>
        </w:rPr>
      </w:pPr>
      <w:r>
        <w:rPr>
          <w:rFonts w:hint="eastAsia" w:cs="宋体"/>
          <w:color w:val="auto"/>
          <w:sz w:val="32"/>
          <w:szCs w:val="32"/>
          <w:highlight w:val="none"/>
        </w:rPr>
        <w:fldChar w:fldCharType="end"/>
      </w:r>
      <w:r/>
    </w:p>
    <w:p>
      <w:pPr>
        <w:pStyle w:val="1011"/>
        <w:spacing w:line="360" w:lineRule="auto"/>
        <w:rPr>
          <w:rFonts w:cs="宋体"/>
          <w:b w:val="0"/>
          <w:color w:val="auto"/>
          <w:sz w:val="32"/>
          <w:szCs w:val="32"/>
          <w:highlight w:val="none"/>
        </w:rPr>
      </w:pPr>
      <w:r>
        <w:rPr>
          <w:rFonts w:cs="宋体"/>
          <w:b w:val="0"/>
          <w:color w:val="auto"/>
          <w:sz w:val="32"/>
          <w:szCs w:val="32"/>
          <w:highlight w:val="none"/>
        </w:rPr>
      </w:r>
      <w:r/>
    </w:p>
    <w:p>
      <w:pPr>
        <w:jc w:val="center"/>
        <w:spacing w:line="360" w:lineRule="auto"/>
        <w:rPr>
          <w:rFonts w:ascii="宋体" w:hAnsi="宋体" w:cs="宋体"/>
          <w:b/>
          <w:color w:val="auto"/>
          <w:sz w:val="32"/>
          <w:szCs w:val="32"/>
          <w:highlight w:val="none"/>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b/>
          <w:color w:val="auto"/>
          <w:sz w:val="32"/>
          <w:szCs w:val="32"/>
          <w:highlight w:val="none"/>
        </w:rPr>
      </w:r>
      <w:r/>
    </w:p>
    <w:p>
      <w:pPr>
        <w:jc w:val="center"/>
        <w:spacing w:line="360" w:lineRule="auto"/>
        <w:rPr>
          <w:b/>
          <w:color w:val="auto"/>
          <w:sz w:val="36"/>
          <w:szCs w:val="36"/>
          <w:highlight w:val="none"/>
        </w:rPr>
        <w:outlineLvl w:val="0"/>
      </w:pPr>
      <w:r/>
      <w:bookmarkStart w:id="1" w:name="_Toc26361"/>
      <w:r>
        <w:rPr>
          <w:b/>
          <w:color w:val="auto"/>
          <w:sz w:val="36"/>
          <w:szCs w:val="36"/>
          <w:highlight w:val="none"/>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1.项目编号：JSZC-320411001-SYZB-C2026-0042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lang w:eastAsia="zh-CN"/>
        </w:rPr>
        <w:t xml:space="preserve">大河路(G346-银孝线)改造工程</w:t>
      </w:r>
      <w:r>
        <w:rPr>
          <w:rFonts w:hint="eastAsia" w:ascii="宋体" w:hAnsi="宋体" w:cs="宋体"/>
          <w:color w:val="auto"/>
          <w:sz w:val="24"/>
          <w:highlight w:val="none"/>
          <w:u w:val="single"/>
        </w:rPr>
        <w:t xml:space="preserve">（政府采购工程）（面向中小企业）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3.采购方式：竞争性磋商</w:t>
      </w:r>
      <w:bookmarkEnd w:id="6"/>
      <w:r/>
      <w:r/>
    </w:p>
    <w:p>
      <w:pPr>
        <w:ind w:firstLine="480"/>
        <w:spacing w:line="360" w:lineRule="auto"/>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4.项目预算金额：</w:t>
      </w:r>
      <w:r>
        <w:rPr>
          <w:rFonts w:hint="eastAsia" w:ascii="宋体" w:hAnsi="宋体" w:cs="宋体"/>
          <w:b/>
          <w:bCs/>
          <w:color w:val="auto"/>
          <w:sz w:val="24"/>
          <w:highlight w:val="none"/>
          <w:u w:val="single"/>
          <w:lang w:val="en-US" w:eastAsia="zh-CN"/>
        </w:rPr>
        <w:t xml:space="preserve">141.903062万元</w:t>
      </w:r>
      <w:r>
        <w:rPr>
          <w:rFonts w:hint="eastAsia" w:ascii="宋体" w:hAnsi="宋体" w:cs="宋体"/>
          <w:color w:val="auto"/>
          <w:sz w:val="24"/>
          <w:highlight w:val="none"/>
        </w:rPr>
        <w:t xml:space="preserve">、项目最高限价：</w:t>
      </w:r>
      <w:r>
        <w:rPr>
          <w:rFonts w:hint="eastAsia" w:ascii="宋体" w:hAnsi="宋体" w:cs="宋体"/>
          <w:b/>
          <w:bCs/>
          <w:color w:val="auto"/>
          <w:sz w:val="24"/>
          <w:highlight w:val="none"/>
          <w:u w:val="single"/>
          <w:lang w:val="en-US" w:eastAsia="zh-CN"/>
        </w:rPr>
        <w:t xml:space="preserve"> 141.903062</w:t>
      </w:r>
      <w:r>
        <w:rPr>
          <w:rFonts w:hint="eastAsia" w:ascii="宋体" w:hAnsi="宋体" w:cs="宋体"/>
          <w:b/>
          <w:bCs/>
          <w:color w:val="auto"/>
          <w:sz w:val="24"/>
          <w:highlight w:val="none"/>
          <w:u w:val="single"/>
        </w:rPr>
        <w:t xml:space="preserve">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w:t>
      </w:r>
      <w:r/>
    </w:p>
    <w:tbl>
      <w:tblPr>
        <w:tblStyle w:val="9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1649"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采购预算金额（</w:t>
            </w:r>
            <w:r>
              <w:rPr>
                <w:rFonts w:hint="eastAsia" w:ascii="宋体" w:hAnsi="宋体" w:cs="宋体"/>
                <w:color w:val="auto"/>
                <w:sz w:val="24"/>
                <w:highlight w:val="none"/>
              </w:rPr>
              <w:t xml:space="preserve">万</w:t>
            </w:r>
            <w:r>
              <w:rPr>
                <w:rFonts w:hint="eastAsia" w:ascii="宋体" w:hAnsi="宋体" w:cs="宋体"/>
                <w:bCs/>
                <w:color w:val="auto"/>
                <w:sz w:val="24"/>
                <w:highlight w:val="none"/>
              </w:rPr>
              <w:t xml:space="preserve">元）</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55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简要技术需求或服务要求</w:t>
            </w:r>
            <w:r/>
          </w:p>
        </w:tc>
      </w:tr>
      <w:tr>
        <w:trPr>
          <w:trHeight w:val="90"/>
        </w:trPr>
        <w:tc>
          <w:tcPr>
            <w:tcW w:w="1446"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大河路(G346-银孝线)改造工程</w:t>
            </w:r>
            <w:r/>
          </w:p>
        </w:tc>
        <w:tc>
          <w:tcPr>
            <w:tcW w:w="1649"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141.903062</w:t>
            </w:r>
            <w:r>
              <w:rPr>
                <w:rFonts w:ascii="宋体" w:hAnsi="宋体" w:cs="宋体"/>
                <w:bCs/>
                <w:color w:val="auto"/>
                <w:sz w:val="24"/>
                <w:highlight w:val="none"/>
              </w:rPr>
              <w:t xml:space="preserve"> </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5523" w:type="dxa"/>
            <w:vAlign w:val="center"/>
            <w:textDirection w:val="lrTb"/>
            <w:noWrap w:val="false"/>
          </w:tcPr>
          <w:p>
            <w:pPr>
              <w:jc w:val="left"/>
              <w:rPr>
                <w:rFonts w:ascii="宋体" w:hAnsi="宋体" w:cs="宋体"/>
                <w:color w:val="auto"/>
                <w:sz w:val="24"/>
                <w:highlight w:val="none"/>
              </w:rPr>
            </w:pPr>
            <w:r>
              <w:rPr>
                <w:rFonts w:hint="eastAsia" w:ascii="宋体" w:hAnsi="宋体" w:cs="宋体"/>
                <w:bCs/>
                <w:color w:val="auto"/>
                <w:sz w:val="24"/>
                <w:highlight w:val="none"/>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tc>
      </w:tr>
    </w:tbl>
    <w:p>
      <w:pPr>
        <w:ind w:firstLine="482"/>
        <w:spacing w:before="120"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6.合同履行期限：</w:t>
      </w:r>
      <w:r>
        <w:rPr>
          <w:rFonts w:hint="eastAsia" w:ascii="宋体" w:hAnsi="宋体" w:cs="宋体"/>
          <w:b/>
          <w:bCs/>
          <w:color w:val="auto"/>
          <w:sz w:val="24"/>
          <w:highlight w:val="none"/>
          <w:u w:val="single"/>
          <w:lang w:val="en-US" w:eastAsia="zh-CN"/>
        </w:rPr>
        <w:t xml:space="preserve">60</w:t>
      </w:r>
      <w:r>
        <w:rPr>
          <w:rFonts w:hint="eastAsia" w:ascii="宋体" w:hAnsi="宋体" w:cs="宋体"/>
          <w:b/>
          <w:bCs/>
          <w:color w:val="auto"/>
          <w:sz w:val="24"/>
          <w:highlight w:val="none"/>
          <w:u w:val="single"/>
        </w:rPr>
        <w:t xml:space="preserve">日历天。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7.本项目是否接受联合体：□是  ■否。</w:t>
      </w:r>
      <w:r/>
    </w:p>
    <w:p>
      <w:pPr>
        <w:spacing w:line="360" w:lineRule="auto"/>
        <w:rPr>
          <w:rFonts w:ascii="宋体" w:hAnsi="宋体"/>
          <w:b/>
          <w:bCs/>
          <w:color w:val="auto"/>
          <w:sz w:val="24"/>
          <w:highlight w:val="none"/>
        </w:rPr>
      </w:pPr>
      <w:r/>
      <w:bookmarkStart w:id="7" w:name="_Toc28359080"/>
      <w:r/>
      <w:bookmarkStart w:id="8" w:name="_Toc35393791"/>
      <w:r/>
      <w:bookmarkStart w:id="9" w:name="_Toc35393622"/>
      <w:r/>
      <w:bookmarkStart w:id="10" w:name="_Toc28359003"/>
      <w:r>
        <w:rPr>
          <w:rFonts w:hint="eastAsia" w:ascii="宋体" w:hAnsi="宋体"/>
          <w:b/>
          <w:bCs/>
          <w:color w:val="auto"/>
          <w:sz w:val="24"/>
          <w:highlight w:val="none"/>
        </w:rPr>
        <w:t xml:space="preserve">二、申请人的资格要求（须同时满足）</w:t>
      </w:r>
      <w:bookmarkEnd w:id="7"/>
      <w:r/>
      <w:bookmarkEnd w:id="8"/>
      <w:r/>
      <w:bookmarkEnd w:id="9"/>
      <w:r/>
      <w:bookmarkEnd w:id="10"/>
      <w:r/>
      <w:r/>
    </w:p>
    <w:p>
      <w:pPr>
        <w:ind w:firstLine="480"/>
        <w:spacing w:line="360" w:lineRule="auto"/>
        <w:rPr>
          <w:rFonts w:ascii="宋体" w:hAnsi="宋体" w:cs="宋体"/>
          <w:color w:val="auto"/>
          <w:sz w:val="24"/>
          <w:highlight w:val="none"/>
        </w:rPr>
      </w:pPr>
      <w:r/>
      <w:bookmarkStart w:id="11" w:name="_Toc28359081"/>
      <w:r/>
      <w:bookmarkStart w:id="12" w:name="_Toc28359004"/>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采购。即：提供的工程全部由中小企业承接（提供《中小企业声明函》）。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3.3.1供应商：</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（1）具备有效的市政公用工程施工总承包三级及以上资质，并取得有效的安全生产许可证；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3.3.2项目负责人：</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（1）具备市政公用工程二级及以上注册建造师；</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（4）具有有效的建设行政主管部门核发的安全生产考核合格证（B证）；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（5）具有社保机构出具的供应商为项目负责人缴纳社会基本养老保险的</w:t>
      </w:r>
      <w:r>
        <w:rPr>
          <w:rFonts w:hint="eastAsia"/>
          <w:b/>
          <w:bCs/>
          <w:color w:val="auto"/>
          <w:sz w:val="24"/>
          <w:szCs w:val="20"/>
          <w:highlight w:val="none"/>
        </w:rPr>
        <w:t xml:space="preserve">2026年</w:t>
      </w:r>
      <w:r>
        <w:rPr>
          <w:rFonts w:hint="eastAsia"/>
          <w:b/>
          <w:bCs/>
          <w:color w:val="auto"/>
          <w:sz w:val="24"/>
          <w:szCs w:val="20"/>
          <w:highlight w:val="none"/>
          <w:lang w:val="en-US" w:eastAsia="zh-CN"/>
        </w:rPr>
        <w:t xml:space="preserve">4</w:t>
      </w:r>
      <w:r>
        <w:rPr>
          <w:rFonts w:hint="eastAsia"/>
          <w:b/>
          <w:bCs/>
          <w:color w:val="auto"/>
          <w:sz w:val="24"/>
          <w:szCs w:val="20"/>
          <w:highlight w:val="none"/>
        </w:rPr>
        <w:t xml:space="preserve">月至2026年</w:t>
      </w:r>
      <w:r>
        <w:rPr>
          <w:rFonts w:hint="eastAsia"/>
          <w:b/>
          <w:bCs/>
          <w:color w:val="auto"/>
          <w:sz w:val="24"/>
          <w:szCs w:val="20"/>
          <w:highlight w:val="none"/>
          <w:lang w:val="en-US" w:eastAsia="zh-CN"/>
        </w:rPr>
        <w:t xml:space="preserve">6</w:t>
      </w:r>
      <w:r>
        <w:rPr>
          <w:rFonts w:hint="eastAsia"/>
          <w:b/>
          <w:bCs/>
          <w:color w:val="auto"/>
          <w:sz w:val="24"/>
          <w:szCs w:val="20"/>
          <w:highlight w:val="none"/>
        </w:rPr>
        <w:t xml:space="preserve">月</w:t>
      </w:r>
      <w:r>
        <w:rPr>
          <w:rFonts w:hint="eastAsia" w:ascii="宋体" w:hAnsi="宋体" w:cs="宋体"/>
          <w:b/>
          <w:bCs/>
          <w:color w:val="auto"/>
          <w:sz w:val="24"/>
          <w:highlight w:val="none"/>
        </w:rPr>
        <w:t xml:space="preserve">中任意一个月的缴纳凭证。</w:t>
      </w:r>
      <w:bookmarkEnd w:id="11"/>
      <w:r/>
      <w:bookmarkEnd w:id="12"/>
      <w:r/>
      <w:r/>
    </w:p>
    <w:p>
      <w:pPr>
        <w:spacing w:line="360" w:lineRule="auto"/>
        <w:rPr>
          <w:rFonts w:ascii="宋体" w:hAnsi="宋体"/>
          <w:b/>
          <w:bCs/>
          <w:color w:val="auto"/>
          <w:sz w:val="24"/>
          <w:highlight w:val="none"/>
        </w:rPr>
      </w:pPr>
      <w:r/>
      <w:bookmarkStart w:id="13" w:name="_Toc35393623"/>
      <w:r/>
      <w:bookmarkStart w:id="14" w:name="_Toc35393792"/>
      <w:r>
        <w:rPr>
          <w:rFonts w:hint="eastAsia" w:ascii="宋体" w:hAnsi="宋体"/>
          <w:b/>
          <w:bCs/>
          <w:color w:val="auto"/>
          <w:sz w:val="24"/>
          <w:highlight w:val="none"/>
        </w:rPr>
        <w:t xml:space="preserve">三、获取采购文件</w:t>
      </w:r>
      <w:bookmarkEnd w:id="13"/>
      <w:r/>
      <w:bookmarkEnd w:id="14"/>
      <w:r/>
      <w:r/>
    </w:p>
    <w:p>
      <w:pPr>
        <w:ind w:firstLine="480"/>
        <w:spacing w:line="360" w:lineRule="auto"/>
        <w:rPr>
          <w:rFonts w:ascii="宋体" w:hAnsi="宋体" w:cs="宋体"/>
          <w:color w:val="auto"/>
          <w:sz w:val="24"/>
          <w:highlight w:val="none"/>
          <w:lang w:bidi="ar"/>
        </w:rPr>
      </w:pPr>
      <w:r/>
      <w:bookmarkStart w:id="15" w:name="_Toc35393793"/>
      <w:r/>
      <w:bookmarkStart w:id="16" w:name="_Toc28359082"/>
      <w:r/>
      <w:bookmarkStart w:id="17" w:name="_Toc35393624"/>
      <w:r/>
      <w:bookmarkStart w:id="18" w:name="_Toc28359005"/>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自磋商文件公告发布之日起5个工作日</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rPr>
        <w:t xml:space="preserve">“苏采云”政府采购一体化平台。</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w:t>
      </w:r>
      <w:bookmarkEnd w:id="15"/>
      <w:r/>
      <w:bookmarkEnd w:id="16"/>
      <w:r/>
      <w:bookmarkEnd w:id="17"/>
      <w:r/>
      <w:bookmarkEnd w:id="18"/>
      <w:r>
        <w:rPr>
          <w:rFonts w:hint="eastAsia" w:ascii="宋体" w:hAnsi="宋体"/>
          <w:b/>
          <w:bCs/>
          <w:color w:val="auto"/>
          <w:sz w:val="24"/>
          <w:highlight w:val="none"/>
        </w:rPr>
        <w:t xml:space="preserve">响应文件提交</w:t>
      </w:r>
      <w:r/>
    </w:p>
    <w:p>
      <w:pPr>
        <w:ind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lang w:bidi="ar"/>
        </w:rPr>
        <w:t xml:space="preserve">截止时间：</w:t>
      </w:r>
      <w:r>
        <w:rPr>
          <w:rFonts w:hint="eastAsia" w:ascii="宋体" w:hAnsi="宋体" w:cs="宋体"/>
          <w:b/>
          <w:bCs/>
          <w:color w:val="auto"/>
          <w:sz w:val="24"/>
          <w:highlight w:val="none"/>
          <w:u w:val="none"/>
        </w:rPr>
        <w:t xml:space="preserve"> 2026 </w:t>
      </w:r>
      <w:r>
        <w:rPr>
          <w:rFonts w:hint="eastAsia" w:ascii="宋体" w:hAnsi="宋体" w:cs="宋体"/>
          <w:b/>
          <w:bCs/>
          <w:color w:val="auto"/>
          <w:sz w:val="24"/>
          <w:highlight w:val="none"/>
          <w:u w:val="none"/>
          <w:lang w:bidi="ar"/>
        </w:rPr>
        <w:t xml:space="preserve">年</w:t>
      </w:r>
      <w:r>
        <w:rPr>
          <w:rFonts w:hint="eastAsia" w:ascii="宋体" w:hAnsi="宋体" w:cs="宋体"/>
          <w:b/>
          <w:bCs/>
          <w:color w:val="auto"/>
          <w:sz w:val="24"/>
          <w:highlight w:val="none"/>
          <w:u w:val="none"/>
          <w:lang w:val="en-US" w:eastAsia="zh-CN" w:bidi="ar"/>
        </w:rPr>
        <w:t xml:space="preserve">07</w:t>
      </w:r>
      <w:r>
        <w:rPr>
          <w:rFonts w:hint="eastAsia" w:ascii="宋体" w:hAnsi="宋体" w:cs="宋体"/>
          <w:b/>
          <w:bCs/>
          <w:color w:val="auto"/>
          <w:sz w:val="24"/>
          <w:highlight w:val="none"/>
          <w:u w:val="none"/>
          <w:lang w:bidi="ar"/>
        </w:rPr>
        <w:t xml:space="preserve">月</w:t>
      </w:r>
      <w:r>
        <w:rPr>
          <w:rFonts w:hint="eastAsia" w:ascii="宋体" w:hAnsi="宋体" w:cs="宋体"/>
          <w:b/>
          <w:bCs/>
          <w:color w:val="auto"/>
          <w:sz w:val="24"/>
          <w:highlight w:val="none"/>
          <w:u w:val="none"/>
          <w:lang w:val="en-US" w:eastAsia="zh-CN" w:bidi="ar"/>
        </w:rPr>
        <w:t xml:space="preserve"> 22 </w:t>
      </w:r>
      <w:r>
        <w:rPr>
          <w:rFonts w:hint="eastAsia" w:ascii="宋体" w:hAnsi="宋体" w:cs="宋体"/>
          <w:b/>
          <w:bCs/>
          <w:color w:val="auto"/>
          <w:sz w:val="24"/>
          <w:highlight w:val="none"/>
          <w:u w:val="none"/>
          <w:lang w:bidi="ar"/>
        </w:rPr>
        <w:t xml:space="preserve">日</w:t>
      </w:r>
      <w:r>
        <w:rPr>
          <w:rFonts w:hint="eastAsia" w:ascii="宋体" w:hAnsi="宋体" w:cs="宋体"/>
          <w:b/>
          <w:bCs/>
          <w:color w:val="auto"/>
          <w:sz w:val="24"/>
          <w:highlight w:val="none"/>
          <w:u w:val="none"/>
          <w:lang w:val="en-US" w:eastAsia="zh-CN"/>
        </w:rPr>
        <w:t xml:space="preserve">09</w:t>
      </w:r>
      <w:r>
        <w:rPr>
          <w:rFonts w:hint="eastAsia" w:ascii="宋体" w:hAnsi="宋体" w:cs="宋体"/>
          <w:b/>
          <w:bCs/>
          <w:color w:val="auto"/>
          <w:sz w:val="24"/>
          <w:highlight w:val="none"/>
          <w:u w:val="none"/>
          <w:lang w:bidi="ar"/>
        </w:rPr>
        <w:t xml:space="preserve">点</w:t>
      </w:r>
      <w:r>
        <w:rPr>
          <w:rFonts w:hint="eastAsia" w:ascii="宋体" w:hAnsi="宋体" w:cs="宋体"/>
          <w:b/>
          <w:bCs/>
          <w:color w:val="auto"/>
          <w:sz w:val="24"/>
          <w:highlight w:val="none"/>
          <w:u w:val="none"/>
          <w:lang w:val="en-US" w:eastAsia="zh-CN"/>
        </w:rPr>
        <w:t xml:space="preserve">30</w:t>
      </w:r>
      <w:r>
        <w:rPr>
          <w:rFonts w:hint="eastAsia" w:ascii="宋体" w:hAnsi="宋体" w:cs="宋体"/>
          <w:b/>
          <w:bCs/>
          <w:color w:val="auto"/>
          <w:sz w:val="24"/>
          <w:highlight w:val="none"/>
          <w:u w:val="none"/>
          <w:lang w:bidi="ar"/>
        </w:rPr>
        <w:t xml:space="preserve">分</w:t>
      </w:r>
      <w:r>
        <w:rPr>
          <w:rFonts w:hint="eastAsia" w:ascii="宋体" w:hAnsi="宋体" w:cs="宋体"/>
          <w:b/>
          <w:bCs/>
          <w:color w:val="auto"/>
          <w:sz w:val="24"/>
          <w:highlight w:val="none"/>
          <w:lang w:bidi="ar"/>
        </w:rPr>
        <w:t xml:space="preserve">（北京时间）</w:t>
      </w:r>
      <w:r>
        <w:rPr>
          <w:rFonts w:hint="eastAsia" w:ascii="宋体" w:hAnsi="宋体" w:cs="宋体"/>
          <w:b/>
          <w:bCs/>
          <w:iCs/>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地点：</w:t>
      </w:r>
      <w:r>
        <w:rPr>
          <w:rFonts w:hint="eastAsia" w:ascii="宋体" w:hAnsi="宋体"/>
          <w:color w:val="auto"/>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五、开启</w:t>
      </w:r>
      <w:r/>
    </w:p>
    <w:p>
      <w:pPr>
        <w:ind w:firstLine="482"/>
        <w:spacing w:line="360" w:lineRule="auto"/>
        <w:rPr>
          <w:rFonts w:ascii="宋体" w:hAnsi="宋体" w:cs="宋体"/>
          <w:b/>
          <w:bCs/>
          <w:color w:val="auto"/>
          <w:sz w:val="24"/>
          <w:highlight w:val="none"/>
          <w:u w:val="single"/>
        </w:rPr>
      </w:pPr>
      <w:r/>
      <w:bookmarkStart w:id="19" w:name="_Toc28359007"/>
      <w:r/>
      <w:bookmarkStart w:id="20" w:name="_Toc35393625"/>
      <w:r/>
      <w:bookmarkStart w:id="21" w:name="_Toc28359084"/>
      <w:r/>
      <w:bookmarkStart w:id="22" w:name="_Toc35393794"/>
      <w:r>
        <w:rPr>
          <w:rFonts w:hint="eastAsia" w:ascii="宋体" w:hAnsi="宋体" w:cs="宋体"/>
          <w:b/>
          <w:bCs/>
          <w:color w:val="auto"/>
          <w:sz w:val="24"/>
          <w:highlight w:val="none"/>
          <w:lang w:bidi="ar"/>
        </w:rPr>
        <w:t xml:space="preserve">时间：</w:t>
      </w:r>
      <w:r>
        <w:rPr>
          <w:rFonts w:hint="eastAsia" w:ascii="宋体" w:hAnsi="宋体" w:cs="宋体"/>
          <w:b/>
          <w:bCs/>
          <w:color w:val="auto"/>
          <w:sz w:val="24"/>
          <w:highlight w:val="none"/>
          <w:u w:val="none"/>
        </w:rPr>
        <w:t xml:space="preserve"> 2026 </w:t>
      </w:r>
      <w:r>
        <w:rPr>
          <w:rFonts w:hint="eastAsia" w:ascii="宋体" w:hAnsi="宋体" w:cs="宋体"/>
          <w:b/>
          <w:bCs/>
          <w:color w:val="auto"/>
          <w:sz w:val="24"/>
          <w:highlight w:val="none"/>
          <w:u w:val="none"/>
          <w:lang w:bidi="ar"/>
        </w:rPr>
        <w:t xml:space="preserve">年</w:t>
      </w:r>
      <w:r>
        <w:rPr>
          <w:rFonts w:hint="eastAsia" w:ascii="宋体" w:hAnsi="宋体" w:cs="宋体"/>
          <w:b/>
          <w:bCs/>
          <w:color w:val="auto"/>
          <w:sz w:val="24"/>
          <w:highlight w:val="none"/>
          <w:u w:val="none"/>
          <w:lang w:val="en-US" w:eastAsia="zh-CN" w:bidi="ar"/>
        </w:rPr>
        <w:t xml:space="preserve">07</w:t>
      </w:r>
      <w:r>
        <w:rPr>
          <w:rFonts w:hint="eastAsia" w:ascii="宋体" w:hAnsi="宋体" w:cs="宋体"/>
          <w:b/>
          <w:bCs/>
          <w:color w:val="auto"/>
          <w:sz w:val="24"/>
          <w:highlight w:val="none"/>
          <w:u w:val="none"/>
          <w:lang w:bidi="ar"/>
        </w:rPr>
        <w:t xml:space="preserve">月</w:t>
      </w:r>
      <w:r>
        <w:rPr>
          <w:rFonts w:hint="eastAsia" w:ascii="宋体" w:hAnsi="宋体" w:cs="宋体"/>
          <w:b/>
          <w:bCs/>
          <w:color w:val="auto"/>
          <w:sz w:val="24"/>
          <w:highlight w:val="none"/>
          <w:u w:val="none"/>
          <w:lang w:val="en-US" w:eastAsia="zh-CN" w:bidi="ar"/>
        </w:rPr>
        <w:t xml:space="preserve"> 22 </w:t>
      </w:r>
      <w:r>
        <w:rPr>
          <w:rFonts w:hint="eastAsia" w:ascii="宋体" w:hAnsi="宋体" w:cs="宋体"/>
          <w:b/>
          <w:bCs/>
          <w:color w:val="auto"/>
          <w:sz w:val="24"/>
          <w:highlight w:val="none"/>
          <w:u w:val="none"/>
          <w:lang w:bidi="ar"/>
        </w:rPr>
        <w:t xml:space="preserve">日</w:t>
      </w:r>
      <w:r>
        <w:rPr>
          <w:rFonts w:hint="eastAsia" w:ascii="宋体" w:hAnsi="宋体" w:cs="宋体"/>
          <w:b/>
          <w:bCs/>
          <w:color w:val="auto"/>
          <w:sz w:val="24"/>
          <w:highlight w:val="none"/>
          <w:u w:val="none"/>
          <w:lang w:val="en-US" w:eastAsia="zh-CN"/>
        </w:rPr>
        <w:t xml:space="preserve">09</w:t>
      </w:r>
      <w:r>
        <w:rPr>
          <w:rFonts w:hint="eastAsia" w:ascii="宋体" w:hAnsi="宋体" w:cs="宋体"/>
          <w:b/>
          <w:bCs/>
          <w:color w:val="auto"/>
          <w:sz w:val="24"/>
          <w:highlight w:val="none"/>
          <w:u w:val="none"/>
          <w:lang w:bidi="ar"/>
        </w:rPr>
        <w:t xml:space="preserve">点</w:t>
      </w:r>
      <w:r>
        <w:rPr>
          <w:rFonts w:hint="eastAsia" w:ascii="宋体" w:hAnsi="宋体" w:cs="宋体"/>
          <w:b/>
          <w:bCs/>
          <w:color w:val="auto"/>
          <w:sz w:val="24"/>
          <w:highlight w:val="none"/>
          <w:u w:val="none"/>
          <w:lang w:val="en-US" w:eastAsia="zh-CN"/>
        </w:rPr>
        <w:t xml:space="preserve">30</w:t>
      </w:r>
      <w:r>
        <w:rPr>
          <w:rFonts w:hint="eastAsia" w:ascii="宋体" w:hAnsi="宋体" w:cs="宋体"/>
          <w:b/>
          <w:bCs/>
          <w:color w:val="auto"/>
          <w:sz w:val="24"/>
          <w:highlight w:val="none"/>
          <w:u w:val="none"/>
          <w:lang w:bidi="ar"/>
        </w:rPr>
        <w:t xml:space="preserve">分</w:t>
      </w:r>
      <w:r>
        <w:rPr>
          <w:rFonts w:hint="eastAsia" w:ascii="宋体" w:hAnsi="宋体" w:cs="宋体"/>
          <w:b/>
          <w:bCs/>
          <w:color w:val="auto"/>
          <w:sz w:val="24"/>
          <w:highlight w:val="none"/>
          <w:lang w:bidi="ar"/>
        </w:rPr>
        <w:t xml:space="preserve">（北京时间）</w:t>
      </w:r>
      <w:r>
        <w:rPr>
          <w:rFonts w:hint="eastAsia" w:ascii="宋体" w:hAnsi="宋体" w:cs="宋体"/>
          <w:b/>
          <w:bCs/>
          <w:iCs/>
          <w:color w:val="auto"/>
          <w:sz w:val="24"/>
          <w:highlight w:val="none"/>
          <w:lang w:bidi="ar"/>
        </w:rPr>
        <w:t xml:space="preserve">。</w:t>
      </w:r>
      <w:r/>
    </w:p>
    <w:p>
      <w:pPr>
        <w:ind w:firstLine="48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地点：“苏采云”政府采购交易系统网上开标大厅。</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六、公告期限</w:t>
      </w:r>
      <w:bookmarkEnd w:id="19"/>
      <w:r/>
      <w:bookmarkEnd w:id="20"/>
      <w:r/>
      <w:bookmarkEnd w:id="21"/>
      <w:r/>
      <w:bookmarkEnd w:id="22"/>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自本公告发布之日起3个工作日。</w:t>
      </w:r>
      <w:r/>
    </w:p>
    <w:p>
      <w:pPr>
        <w:spacing w:line="360" w:lineRule="auto"/>
        <w:rPr>
          <w:rFonts w:ascii="宋体" w:hAnsi="宋体"/>
          <w:b/>
          <w:bCs/>
          <w:color w:val="auto"/>
          <w:sz w:val="24"/>
          <w:highlight w:val="none"/>
        </w:rPr>
      </w:pPr>
      <w:r/>
      <w:bookmarkStart w:id="23" w:name="_Toc35393795"/>
      <w:r/>
      <w:bookmarkStart w:id="24" w:name="_Toc35393626"/>
      <w:r>
        <w:rPr>
          <w:rFonts w:hint="eastAsia" w:ascii="宋体" w:hAnsi="宋体"/>
          <w:b/>
          <w:bCs/>
          <w:color w:val="auto"/>
          <w:sz w:val="24"/>
          <w:highlight w:val="none"/>
        </w:rPr>
        <w:t xml:space="preserve">七、其他补充事宜</w:t>
      </w:r>
      <w:bookmarkEnd w:id="23"/>
      <w:r/>
      <w:bookmarkEnd w:id="2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bookmarkStart w:id="25" w:name="_Toc28359085"/>
      <w:r/>
      <w:bookmarkStart w:id="26" w:name="_Toc28359008"/>
      <w:r/>
      <w:bookmarkStart w:id="27" w:name="_Toc35393627"/>
      <w:r/>
      <w:bookmarkStart w:id="28" w:name="_Toc35393796"/>
      <w:r>
        <w:rPr>
          <w:rFonts w:hint="eastAsia" w:ascii="宋体" w:hAnsi="宋体" w:cs="宋体"/>
          <w:color w:val="auto"/>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4.有关本次磋商的事项若存在变动或修改，敬请及时关注“江苏政府采购网”、“常州市政府采购网”发布的更正公告。</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5.本次磋商不收取磋商保证金。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9.如潜在供应商未按上述要求操作，将自行承担所产生的风险。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10.关于常州市中小企业政府采购信用融资：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11.关于深入开展常州市政府采购线上合同信用融资：</w:t>
      </w:r>
      <w:r/>
    </w:p>
    <w:p>
      <w:pPr>
        <w:ind w:firstLine="480"/>
        <w:jc w:val="left"/>
        <w:spacing w:line="360" w:lineRule="auto"/>
        <w:widowControl/>
        <w:rPr>
          <w:color w:val="auto"/>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八、对本项目提出询问，请按以下方式联系。</w:t>
      </w:r>
      <w:bookmarkEnd w:id="25"/>
      <w:r/>
      <w:bookmarkEnd w:id="26"/>
      <w:r/>
      <w:bookmarkEnd w:id="27"/>
      <w:r/>
      <w:bookmarkEnd w:id="28"/>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eastAsia="zh-CN" w:bidi="ar"/>
        </w:rPr>
        <w:t xml:space="preserve">常州市新北区魏村街道办事处</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val="zh-TW" w:bidi="ar"/>
        </w:rPr>
      </w:pPr>
      <w:r>
        <w:rPr>
          <w:rFonts w:hint="eastAsia" w:ascii="宋体" w:hAnsi="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江苏省常州市新北区魏安路199号</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戚工</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zh-TW" w:bidi="ar"/>
        </w:rPr>
        <w:t xml:space="preserve">0519-81591682</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val="zh-TW"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常州市新北区嵩山路1-301号</w:t>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0519-88818</w:t>
      </w:r>
      <w:r>
        <w:rPr>
          <w:rFonts w:hint="eastAsia" w:ascii="宋体" w:hAnsi="宋体" w:cs="宋体"/>
          <w:color w:val="auto"/>
          <w:sz w:val="24"/>
          <w:highlight w:val="none"/>
          <w:u w:val="single"/>
          <w:lang w:val="en-US" w:eastAsia="zh-CN" w:bidi="ar"/>
        </w:rPr>
        <w:t xml:space="preserve">291</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 xml:space="preserve">项目联系人：</w:t>
      </w:r>
      <w:r>
        <w:rPr>
          <w:rFonts w:hint="eastAsia" w:ascii="宋体" w:hAnsi="宋体" w:cs="宋体"/>
          <w:color w:val="auto"/>
          <w:sz w:val="24"/>
          <w:highlight w:val="none"/>
          <w:u w:val="single"/>
          <w:lang w:val="en-US" w:eastAsia="zh-CN" w:bidi="ar"/>
        </w:rPr>
        <w:t xml:space="preserve">李雯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bidi="ar"/>
        </w:rPr>
        <w:t xml:space="preserve">0519-</w:t>
      </w:r>
      <w:r>
        <w:rPr>
          <w:rFonts w:hint="eastAsia" w:ascii="宋体" w:hAnsi="宋体" w:cs="宋体"/>
          <w:color w:val="auto"/>
          <w:sz w:val="24"/>
          <w:highlight w:val="none"/>
          <w:u w:val="single"/>
          <w:lang w:val="en-US" w:eastAsia="zh-CN" w:bidi="ar"/>
        </w:rPr>
        <w:t xml:space="preserve">88818291</w:t>
      </w:r>
      <w:r>
        <w:rPr>
          <w:rFonts w:hint="eastAsia" w:ascii="宋体" w:hAnsi="宋体" w:cs="宋体"/>
          <w:color w:val="auto"/>
          <w:sz w:val="24"/>
          <w:highlight w:val="none"/>
          <w:u w:val="single"/>
          <w:lang w:bidi="ar"/>
        </w:rPr>
        <w:t xml:space="preserve"> </w:t>
      </w:r>
      <w:r/>
    </w:p>
    <w:p>
      <w:pPr>
        <w:jc w:val="center"/>
        <w:spacing w:line="360" w:lineRule="auto"/>
        <w:rPr>
          <w:rFonts w:ascii="宋体" w:hAnsi="宋体" w:cs="宋体"/>
          <w:color w:val="auto"/>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29" w:name="_Toc264969275"/>
      <w:r/>
      <w:bookmarkStart w:id="30" w:name="_Toc195842950"/>
      <w:r/>
      <w:bookmarkStart w:id="31" w:name="_Toc353825548"/>
      <w:r/>
      <w:bookmarkStart w:id="32" w:name="_Toc265228423"/>
      <w:r/>
      <w:bookmarkStart w:id="33" w:name="_Toc6147"/>
      <w:r/>
      <w:bookmarkStart w:id="34" w:name="_Toc150774783"/>
      <w:r/>
      <w:bookmarkStart w:id="35" w:name="_Toc512937850"/>
      <w:r/>
      <w:bookmarkStart w:id="36" w:name="_Toc305158928"/>
      <w:r/>
      <w:bookmarkStart w:id="37" w:name="_Toc127161488"/>
      <w:r/>
      <w:bookmarkStart w:id="38" w:name="_Toc226965856"/>
      <w:r/>
      <w:bookmarkStart w:id="39" w:name="_Toc127151777"/>
      <w:r/>
      <w:bookmarkStart w:id="40" w:name="_Toc305158854"/>
      <w:r/>
      <w:bookmarkStart w:id="41" w:name="_Toc353873938"/>
      <w:r>
        <w:rPr>
          <w:b/>
          <w:color w:val="auto"/>
          <w:sz w:val="36"/>
          <w:szCs w:val="36"/>
          <w:highlight w:val="none"/>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spacing w:line="360" w:lineRule="auto"/>
        <w:rPr>
          <w:rFonts w:ascii="宋体" w:hAnsi="宋体"/>
          <w:b/>
          <w:bCs/>
          <w:color w:val="auto"/>
          <w:sz w:val="28"/>
          <w:szCs w:val="28"/>
          <w:highlight w:val="none"/>
        </w:rPr>
      </w:pPr>
      <w:r/>
      <w:bookmarkStart w:id="42" w:name="_Toc150774619"/>
      <w:r/>
      <w:bookmarkStart w:id="43" w:name="_Toc150480757"/>
      <w:r/>
      <w:bookmarkStart w:id="44" w:name="_Toc164229214"/>
      <w:r/>
      <w:bookmarkStart w:id="45" w:name="_Toc151193761"/>
      <w:r/>
      <w:bookmarkStart w:id="46" w:name="_Toc127151720"/>
      <w:r/>
      <w:bookmarkStart w:id="47" w:name="_Toc164608788"/>
      <w:r/>
      <w:bookmarkStart w:id="48" w:name="_Toc195842884"/>
      <w:r/>
      <w:bookmarkStart w:id="49" w:name="_Toc150509270"/>
      <w:r/>
      <w:bookmarkStart w:id="50" w:name="_Toc164608633"/>
      <w:r/>
      <w:bookmarkStart w:id="51" w:name="_Toc520356144"/>
      <w:r/>
      <w:bookmarkStart w:id="52" w:name="_Toc164229360"/>
      <w:r/>
      <w:bookmarkStart w:id="53" w:name="_Toc164351613"/>
      <w:r/>
      <w:bookmarkStart w:id="54" w:name="_Toc226337215"/>
      <w:r/>
      <w:bookmarkStart w:id="55" w:name="_Toc151193833"/>
      <w:r/>
      <w:bookmarkStart w:id="56" w:name="_Toc151193689"/>
      <w:r/>
      <w:bookmarkStart w:id="57" w:name="_Toc127161433"/>
      <w:r/>
      <w:bookmarkStart w:id="58" w:name="_Toc142311021"/>
      <w:r/>
      <w:bookmarkStart w:id="59" w:name="_Toc149720812"/>
      <w:r/>
      <w:bookmarkStart w:id="60" w:name="_Toc226965792"/>
      <w:r/>
      <w:bookmarkStart w:id="61" w:name="_Toc151193617"/>
      <w:r/>
      <w:bookmarkStart w:id="62" w:name="_Toc226965709"/>
      <w:r/>
      <w:bookmarkStart w:id="63" w:name="_Toc150774724"/>
      <w:r/>
      <w:bookmarkStart w:id="64" w:name="_Toc226309763"/>
      <w:r/>
      <w:bookmarkStart w:id="65" w:name="_Toc151193907"/>
      <w:r/>
      <w:bookmarkStart w:id="66" w:name="_Toc151190146"/>
      <w:r/>
      <w:bookmarkStart w:id="67" w:name="_Toc127151519"/>
      <w:r>
        <w:rPr>
          <w:rFonts w:hint="eastAsia" w:ascii="宋体" w:hAnsi="宋体"/>
          <w:b/>
          <w:bCs/>
          <w:color w:val="auto"/>
          <w:sz w:val="28"/>
          <w:szCs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25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vMerge w:val="restart"/>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1007"/>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007"/>
              <w:jc w:val="center"/>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7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4.2.5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 建筑业 </w:t>
            </w:r>
            <w:r/>
          </w:p>
        </w:tc>
      </w:tr>
      <w:tr>
        <w:trPr>
          <w:jc w:val="center"/>
          <w:trHeight w:val="89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10.2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u w:val="none"/>
              </w:rPr>
              <w:t xml:space="preserve">■有，具体情形： </w:t>
            </w:r>
            <w:r>
              <w:rPr>
                <w:rFonts w:hint="eastAsia" w:ascii="宋体" w:hAnsi="宋体" w:cs="宋体"/>
                <w:color w:val="auto"/>
                <w:sz w:val="24"/>
                <w:highlight w:val="none"/>
                <w:u w:val="single"/>
              </w:rPr>
              <w:t xml:space="preserve">本项目采用二轮报价，电子响应文件中的书面报价为首轮报价，第二轮报价为最后报价(通过系统在线报价)。最后报价不得超过预算、最高限价及首轮报价，否则其响应将被视为无效。</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11.1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316"/>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12.1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自提交响应文件的截止之日起算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23.5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24.1.1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b/>
                <w:bCs/>
                <w:color w:val="auto"/>
                <w:sz w:val="24"/>
                <w:highlight w:val="none"/>
                <w:u w:val="single"/>
              </w:rPr>
              <w:t xml:space="preserve"> 于2026 年</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u w:val="single"/>
              </w:rPr>
              <w:t xml:space="preserve">月</w:t>
            </w:r>
            <w:r>
              <w:rPr>
                <w:rFonts w:hint="eastAsia" w:ascii="宋体" w:hAnsi="宋体" w:cs="宋体"/>
                <w:b/>
                <w:bCs/>
                <w:color w:val="auto"/>
                <w:sz w:val="24"/>
                <w:highlight w:val="none"/>
                <w:u w:val="single"/>
                <w:lang w:val="en-US" w:eastAsia="zh-CN"/>
              </w:rPr>
              <w:t xml:space="preserve"> 15 </w:t>
            </w:r>
            <w:r>
              <w:rPr>
                <w:rFonts w:hint="eastAsia" w:ascii="宋体" w:hAnsi="宋体" w:cs="宋体"/>
                <w:b/>
                <w:bCs/>
                <w:color w:val="auto"/>
                <w:sz w:val="24"/>
                <w:highlight w:val="none"/>
                <w:u w:val="single"/>
              </w:rPr>
              <w:t xml:space="preserve">日11:00（北京时间）</w:t>
            </w:r>
            <w:r>
              <w:rPr>
                <w:rFonts w:hint="eastAsia" w:ascii="宋体" w:hAnsi="宋体" w:cs="宋体"/>
                <w:color w:val="auto"/>
                <w:sz w:val="24"/>
                <w:highlight w:val="none"/>
                <w:u w:val="single"/>
              </w:rPr>
              <w:t xml:space="preserve">前以书面形式递交至江苏尚阳工程管理有限公司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24.3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bidi="ar"/>
              </w:rPr>
              <w:t xml:space="preserve">李雯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0519-</w:t>
            </w:r>
            <w:r>
              <w:rPr>
                <w:rFonts w:hint="eastAsia" w:ascii="宋体" w:hAnsi="宋体" w:cs="宋体"/>
                <w:color w:val="auto"/>
                <w:sz w:val="24"/>
                <w:highlight w:val="none"/>
                <w:u w:val="single"/>
                <w:lang w:val="en-US" w:eastAsia="zh-CN"/>
              </w:rPr>
              <w:t xml:space="preserve">88818291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ascii="宋体" w:hAnsi="宋体" w:cs="宋体"/>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w:t>
            </w:r>
            <w:r/>
          </w:p>
        </w:tc>
      </w:tr>
      <w:tr>
        <w:trPr>
          <w:jc w:val="center"/>
          <w:trHeight w:val="20"/>
        </w:trPr>
        <w:tc>
          <w:tcPr>
            <w:tcW w:w="988" w:type="dxa"/>
            <w:vAlign w:val="center"/>
            <w:textDirection w:val="lrTb"/>
            <w:noWrap w:val="false"/>
          </w:tcPr>
          <w:p>
            <w:pPr>
              <w:pStyle w:val="1007"/>
              <w:jc w:val="center"/>
              <w:rPr>
                <w:rFonts w:hint="default" w:hAnsi="宋体" w:cs="宋体"/>
                <w:color w:val="auto"/>
                <w:sz w:val="24"/>
                <w:szCs w:val="24"/>
                <w:highlight w:val="none"/>
              </w:rPr>
            </w:pPr>
            <w:r>
              <w:rPr>
                <w:rFonts w:hAnsi="宋体" w:cs="宋体"/>
                <w:color w:val="auto"/>
                <w:sz w:val="24"/>
                <w:szCs w:val="24"/>
                <w:highlight w:val="none"/>
              </w:rPr>
              <w:t xml:space="preserve">26</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电子系统意外情况处理条款</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为确保本项目电子化采购活动顺利进行，防范化解采购风险，特制定相关情形处置举措。所有潜在供应商及参与各方均应知悉并遵守以下规定：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ascii="宋体" w:hAnsi="宋体" w:cs="宋体"/>
                <w:color w:val="auto"/>
                <w:sz w:val="24"/>
                <w:highlight w:val="none"/>
              </w:rPr>
            </w:pPr>
            <w:r>
              <w:rPr>
                <w:rFonts w:hint="eastAsia" w:ascii="宋体" w:hAnsi="宋体" w:cs="宋体"/>
                <w:color w:val="auto"/>
                <w:sz w:val="24"/>
                <w:highlight w:val="none"/>
              </w:rPr>
              <w:t xml:space="preserve">2.开标前环节故障处置：在供应商报名、响应文件上传、响应文件解密及唱标环节等开标活动开始前的任何环节出现系统无法访问的情形，采购代理机构将按照以下原则处置：</w:t>
            </w:r>
            <w:r/>
          </w:p>
          <w:p>
            <w:pPr>
              <w:jc w:val="left"/>
              <w:rPr>
                <w:rFonts w:ascii="宋体" w:hAnsi="宋体" w:cs="宋体"/>
                <w:color w:val="auto"/>
                <w:sz w:val="24"/>
                <w:highlight w:val="none"/>
              </w:rPr>
            </w:pPr>
            <w:r>
              <w:rPr>
                <w:rFonts w:hint="eastAsia" w:ascii="宋体" w:hAnsi="宋体" w:cs="宋体"/>
                <w:color w:val="auto"/>
                <w:sz w:val="24"/>
                <w:highlight w:val="none"/>
              </w:rPr>
              <w:t xml:space="preserve">（一）若故障可在短时间内排除，采购代理机构将等待系统修复后，继续开展采购活动。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（二）若故障无法在预定开标时间前排除，或故障情况严重影响公平竞争，采购代理机构将通过发布更正公告推迟开标。</w:t>
            </w:r>
            <w:r/>
          </w:p>
          <w:p>
            <w:pPr>
              <w:jc w:val="left"/>
              <w:rPr>
                <w:rFonts w:ascii="宋体" w:hAnsi="宋体" w:cs="宋体"/>
                <w:color w:val="auto"/>
                <w:sz w:val="24"/>
                <w:highlight w:val="none"/>
              </w:rPr>
            </w:pPr>
            <w:r>
              <w:rPr>
                <w:rFonts w:hint="eastAsia" w:ascii="宋体" w:hAnsi="宋体" w:cs="宋体"/>
                <w:color w:val="auto"/>
                <w:sz w:val="24"/>
                <w:highlight w:val="none"/>
              </w:rPr>
              <w:t xml:space="preserve">（三）若因故障导致有效供应商不足法定家数或出现其他法定废标情形，采购代理机构将发布废标（终止）公告，重新开展采购活动。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特别说明：本项目响应文件递交方式以招标文件载明为准。在电子系统发生故障时，采购代理机构仅依据上述程序处理，不接受任何现场提交的纸质、U盘等非招标文件规定的响应文件。</w:t>
            </w:r>
            <w:r/>
          </w:p>
          <w:p>
            <w:pPr>
              <w:jc w:val="left"/>
              <w:rPr>
                <w:rFonts w:ascii="宋体" w:hAnsi="宋体" w:cs="宋体"/>
                <w:color w:val="auto"/>
                <w:sz w:val="24"/>
                <w:highlight w:val="none"/>
              </w:rPr>
            </w:pPr>
            <w:r>
              <w:rPr>
                <w:rFonts w:hint="eastAsia" w:ascii="宋体" w:hAnsi="宋体" w:cs="宋体"/>
                <w:color w:val="auto"/>
                <w:sz w:val="24"/>
                <w:highlight w:val="none"/>
              </w:rPr>
              <w:t xml:space="preserve">3.评审过程中故障处置：在评审委员会组建后至评审报告出具前的评审过程中出现系统无法访问的情形，采购代理机构将按照以下原则处置：</w:t>
            </w:r>
            <w:r/>
          </w:p>
          <w:p>
            <w:pPr>
              <w:jc w:val="left"/>
              <w:rPr>
                <w:rFonts w:ascii="宋体" w:hAnsi="宋体" w:cs="宋体"/>
                <w:color w:val="auto"/>
                <w:sz w:val="24"/>
                <w:highlight w:val="none"/>
              </w:rPr>
            </w:pPr>
            <w:r>
              <w:rPr>
                <w:rFonts w:hint="eastAsia" w:ascii="宋体" w:hAnsi="宋体" w:cs="宋体"/>
                <w:color w:val="auto"/>
                <w:sz w:val="24"/>
                <w:highlight w:val="none"/>
              </w:rPr>
              <w:t xml:space="preserve">（一）立即暂停评审：采购代理机构将立即宣布暂停评审活动，并采取必要措施封存所有响应文件及评审记录。</w:t>
            </w:r>
            <w:r/>
          </w:p>
          <w:p>
            <w:pPr>
              <w:jc w:val="left"/>
              <w:rPr>
                <w:rFonts w:ascii="宋体" w:hAnsi="宋体" w:cs="宋体"/>
                <w:color w:val="auto"/>
                <w:sz w:val="24"/>
                <w:highlight w:val="none"/>
              </w:rPr>
            </w:pPr>
            <w:r>
              <w:rPr>
                <w:rFonts w:hint="eastAsia" w:ascii="宋体" w:hAnsi="宋体" w:cs="宋体"/>
                <w:color w:val="auto"/>
                <w:sz w:val="24"/>
                <w:highlight w:val="none"/>
              </w:rPr>
              <w:t xml:space="preserve">（二）处置方案：视故障排除情况，采购代理机构将选择：</w:t>
            </w:r>
            <w:r/>
          </w:p>
          <w:p>
            <w:pPr>
              <w:jc w:val="left"/>
              <w:rPr>
                <w:rFonts w:ascii="宋体" w:hAnsi="宋体" w:cs="宋体"/>
                <w:color w:val="auto"/>
                <w:sz w:val="24"/>
                <w:highlight w:val="none"/>
              </w:rPr>
            </w:pPr>
            <w:r>
              <w:rPr>
                <w:rFonts w:hint="eastAsia" w:ascii="宋体" w:hAnsi="宋体" w:cs="宋体"/>
                <w:color w:val="auto"/>
                <w:sz w:val="24"/>
                <w:highlight w:val="none"/>
              </w:rPr>
              <w:t xml:space="preserve">1.若故障可在短时间内排除，采购代理机构将等待系统修复后，由原评审委员会继续完成评审；</w:t>
            </w:r>
            <w:r/>
          </w:p>
          <w:p>
            <w:pPr>
              <w:jc w:val="left"/>
              <w:rPr>
                <w:rFonts w:ascii="宋体" w:hAnsi="宋体" w:cs="宋体"/>
                <w:color w:val="auto"/>
                <w:sz w:val="24"/>
                <w:highlight w:val="none"/>
              </w:rPr>
            </w:pPr>
            <w:r>
              <w:rPr>
                <w:rFonts w:hint="eastAsia" w:ascii="宋体" w:hAnsi="宋体" w:cs="宋体"/>
                <w:color w:val="auto"/>
                <w:sz w:val="24"/>
                <w:highlight w:val="none"/>
              </w:rPr>
              <w:t xml:space="preserve">2. 若故障无法在当日排除，或故障导致评审无法公正进行，将发布废标（终止）公告，重新开展采购活动；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3.若需在第二日继续评审，采购代理机构将重新从政府采购评审专家库中抽取专家，组建新的评审委员会，在系统修复后继续评审活动。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供应商须知</w:t>
      </w:r>
      <w:r/>
    </w:p>
    <w:p>
      <w:pPr>
        <w:jc w:val="center"/>
        <w:spacing w:line="360" w:lineRule="auto"/>
        <w:rPr>
          <w:rFonts w:ascii="宋体" w:hAnsi="宋体"/>
          <w:b/>
          <w:bCs/>
          <w:color w:val="auto"/>
          <w:sz w:val="28"/>
          <w:szCs w:val="28"/>
          <w:highlight w:val="none"/>
        </w:rPr>
      </w:pPr>
      <w:r/>
      <w:bookmarkStart w:id="68" w:name="_Toc151190145"/>
      <w:r/>
      <w:bookmarkStart w:id="69" w:name="_Toc151193760"/>
      <w:r/>
      <w:bookmarkStart w:id="70" w:name="_Toc226965791"/>
      <w:r/>
      <w:bookmarkStart w:id="71" w:name="_Toc150774723"/>
      <w:r/>
      <w:bookmarkStart w:id="72" w:name="_Toc265228356"/>
      <w:r/>
      <w:bookmarkStart w:id="73" w:name="_Toc305158860"/>
      <w:r/>
      <w:bookmarkStart w:id="74" w:name="_Toc150509269"/>
      <w:r/>
      <w:bookmarkStart w:id="75" w:name="_Toc150774618"/>
      <w:r/>
      <w:bookmarkStart w:id="76" w:name="_Toc142311020"/>
      <w:r/>
      <w:bookmarkStart w:id="77" w:name="_Toc226337214"/>
      <w:r/>
      <w:bookmarkStart w:id="78" w:name="_Toc195842883"/>
      <w:r/>
      <w:bookmarkStart w:id="79" w:name="_Toc151193832"/>
      <w:r/>
      <w:bookmarkStart w:id="80" w:name="_Toc264969208"/>
      <w:r/>
      <w:bookmarkStart w:id="81" w:name="_Toc151193616"/>
      <w:r/>
      <w:bookmarkStart w:id="82" w:name="_Toc226309762"/>
      <w:r/>
      <w:bookmarkStart w:id="83" w:name="_Toc151193688"/>
      <w:r/>
      <w:bookmarkStart w:id="84" w:name="_Toc305158786"/>
      <w:r/>
      <w:bookmarkStart w:id="85" w:name="_Toc520356143"/>
      <w:r/>
      <w:bookmarkStart w:id="86" w:name="_Toc127151518"/>
      <w:r/>
      <w:bookmarkStart w:id="87" w:name="_Toc151193906"/>
      <w:r/>
      <w:bookmarkStart w:id="88" w:name="_Toc226965708"/>
      <w:r/>
      <w:bookmarkStart w:id="89" w:name="_Toc150480756"/>
      <w:r>
        <w:rPr>
          <w:rFonts w:hint="eastAsia" w:ascii="宋体" w:hAnsi="宋体"/>
          <w:b/>
          <w:bCs/>
          <w:color w:val="auto"/>
          <w:sz w:val="28"/>
          <w:szCs w:val="28"/>
          <w:highlight w:val="none"/>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left="357" w:hanging="357"/>
        <w:spacing w:line="360" w:lineRule="auto"/>
        <w:tabs>
          <w:tab w:val="left" w:pos="360" w:leader="none"/>
        </w:tabs>
        <w:rPr>
          <w:rFonts w:ascii="宋体" w:hAnsi="宋体" w:cs="宋体"/>
          <w:color w:val="auto"/>
          <w:sz w:val="24"/>
          <w:highlight w:val="none"/>
        </w:rPr>
        <w:outlineLvl w:val="1"/>
      </w:pPr>
      <w:r/>
      <w:bookmarkStart w:id="90" w:name="_Toc305158787"/>
      <w:r/>
      <w:bookmarkStart w:id="91" w:name="_Toc305158861"/>
      <w:r/>
      <w:bookmarkStart w:id="92" w:name="_Toc265228357"/>
      <w:r/>
      <w:bookmarkStart w:id="93" w:name="_Toc264969209"/>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highlight w:val="none"/>
        </w:rPr>
        <w:t xml:space="preserve">采购人、采购代理机构、供应商</w:t>
      </w:r>
      <w:bookmarkEnd w:id="90"/>
      <w:r/>
      <w:bookmarkEnd w:id="91"/>
      <w:r/>
      <w:bookmarkEnd w:id="92"/>
      <w:r/>
      <w:bookmarkEnd w:id="93"/>
      <w:r>
        <w:rPr>
          <w:rFonts w:hint="eastAsia" w:ascii="宋体" w:hAnsi="宋体" w:cs="宋体"/>
          <w:color w:val="auto"/>
          <w:sz w:val="24"/>
          <w:highlight w:val="none"/>
        </w:rPr>
        <w:t xml:space="preserve">、联合体</w:t>
      </w:r>
      <w:r/>
    </w:p>
    <w:p>
      <w:p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1.1</w:t>
      </w: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1.2</w:t>
      </w:r>
      <w:r>
        <w:rPr>
          <w:rFonts w:hint="eastAsia" w:ascii="宋体" w:hAnsi="宋体" w:cs="宋体"/>
          <w:color w:val="auto"/>
          <w:sz w:val="24"/>
          <w:highlight w:val="none"/>
        </w:rPr>
        <w:t xml:space="preserve">供应商（也称“申请人”）：指向采购人提供货物、工程或者服务的法人、其他组织或者自然人。</w:t>
      </w:r>
      <w:r/>
    </w:p>
    <w:p>
      <w:p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1.3</w:t>
      </w: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rFonts w:ascii="宋体" w:hAnsi="宋体" w:cs="宋体"/>
          <w:color w:val="auto"/>
          <w:sz w:val="24"/>
          <w:highlight w:val="none"/>
        </w:rPr>
        <w:outlineLvl w:val="1"/>
      </w:pPr>
      <w:r/>
      <w:bookmarkStart w:id="94" w:name="_Toc151193618"/>
      <w:r/>
      <w:bookmarkStart w:id="95" w:name="_Toc151193762"/>
      <w:r/>
      <w:bookmarkStart w:id="96" w:name="_Toc150774725"/>
      <w:r/>
      <w:bookmarkStart w:id="97" w:name="_Toc164229215"/>
      <w:r/>
      <w:bookmarkStart w:id="98" w:name="_Toc149720813"/>
      <w:r/>
      <w:bookmarkStart w:id="99" w:name="_Toc195842885"/>
      <w:r/>
      <w:bookmarkStart w:id="100" w:name="_Toc164608789"/>
      <w:r/>
      <w:bookmarkStart w:id="101" w:name="_Toc127151520"/>
      <w:r/>
      <w:bookmarkStart w:id="102" w:name="_Toc150774620"/>
      <w:r/>
      <w:bookmarkStart w:id="103" w:name="_Toc264969210"/>
      <w:r/>
      <w:bookmarkStart w:id="104" w:name="_Toc150509271"/>
      <w:r/>
      <w:bookmarkStart w:id="105" w:name="_Toc127161434"/>
      <w:r/>
      <w:bookmarkStart w:id="106" w:name="_Toc164229361"/>
      <w:r/>
      <w:bookmarkStart w:id="107" w:name="_Toc142311022"/>
      <w:r/>
      <w:bookmarkStart w:id="108" w:name="_Toc164608634"/>
      <w:r/>
      <w:bookmarkStart w:id="109" w:name="_Toc305158862"/>
      <w:r/>
      <w:bookmarkStart w:id="110" w:name="_Toc265228358"/>
      <w:r/>
      <w:bookmarkStart w:id="111" w:name="_Toc164351614"/>
      <w:r/>
      <w:bookmarkStart w:id="112" w:name="_Toc305158788"/>
      <w:r/>
      <w:bookmarkStart w:id="113" w:name="_Toc226965793"/>
      <w:r/>
      <w:bookmarkStart w:id="114" w:name="_Toc150480758"/>
      <w:r/>
      <w:bookmarkStart w:id="115" w:name="_Toc226337216"/>
      <w:r/>
      <w:bookmarkStart w:id="116" w:name="_Toc127151721"/>
      <w:r/>
      <w:bookmarkStart w:id="117" w:name="_Toc151193908"/>
      <w:r/>
      <w:bookmarkStart w:id="118" w:name="_Toc151193690"/>
      <w:r/>
      <w:bookmarkStart w:id="119" w:name="_Toc151193834"/>
      <w:r/>
      <w:bookmarkStart w:id="120" w:name="_Toc226309764"/>
      <w:r/>
      <w:bookmarkStart w:id="121" w:name="_Toc151190147"/>
      <w:r/>
      <w:bookmarkStart w:id="122" w:name="_Toc226965710"/>
      <w:r>
        <w:rPr>
          <w:rFonts w:hint="eastAsia" w:ascii="宋体" w:hAnsi="宋体" w:eastAsia="宋体" w:cs="宋体"/>
          <w:color w:val="auto"/>
          <w:sz w:val="24"/>
          <w:szCs w:val="24"/>
          <w:lang w:val="en-US" w:eastAsia="zh-CN" w:bidi="ar-SA"/>
        </w:rPr>
        <w:t xml:space="preserve">2</w:t>
      </w:r>
      <w:r>
        <w:rPr>
          <w:rFonts w:hint="eastAsia" w:ascii="宋体" w:hAnsi="宋体" w:cs="宋体"/>
          <w:color w:val="auto"/>
          <w:sz w:val="24"/>
          <w:highlight w:val="none"/>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color w:val="auto"/>
          <w:sz w:val="24"/>
          <w:highlight w:val="none"/>
        </w:rPr>
        <w:t xml:space="preserve">、项目属性、科研仪器设备采购</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2.1</w:t>
      </w:r>
      <w:r>
        <w:rPr>
          <w:rFonts w:hint="eastAsia" w:ascii="宋体" w:hAnsi="宋体" w:cs="宋体"/>
          <w:color w:val="auto"/>
          <w:sz w:val="24"/>
          <w:highlight w:val="none"/>
        </w:rPr>
        <w:t xml:space="preserve">资金来源为财政性资金和/或本项目采购中无法与财政性资金分割的非财政性资金。</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2.2</w:t>
      </w:r>
      <w:r>
        <w:rPr>
          <w:rFonts w:hint="eastAsia" w:ascii="宋体" w:hAnsi="宋体" w:cs="宋体"/>
          <w:color w:val="auto"/>
          <w:sz w:val="24"/>
          <w:highlight w:val="none"/>
        </w:rPr>
        <w:t xml:space="preserve">项目属性见《供应商须知资料表》。</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2.3</w:t>
      </w:r>
      <w:r>
        <w:rPr>
          <w:rFonts w:hint="eastAsia" w:ascii="宋体" w:hAnsi="宋体" w:cs="宋体"/>
          <w:color w:val="auto"/>
          <w:sz w:val="24"/>
          <w:highlight w:val="none"/>
        </w:rPr>
        <w:t xml:space="preserve">是否属于科研仪器设备采购见《供应商须知资料表》。</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3</w:t>
      </w:r>
      <w:r>
        <w:rPr>
          <w:rFonts w:hint="eastAsia" w:ascii="宋体" w:hAnsi="宋体" w:cs="宋体"/>
          <w:color w:val="auto"/>
          <w:sz w:val="24"/>
          <w:highlight w:val="none"/>
        </w:rPr>
        <w:t xml:space="preserve">现场考察、磋商前答疑会</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3.1</w:t>
      </w: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123" w:name="_Toc151193910"/>
      <w:r/>
      <w:bookmarkStart w:id="124" w:name="_Toc265228360"/>
      <w:r/>
      <w:bookmarkStart w:id="125" w:name="_Toc226965795"/>
      <w:r/>
      <w:bookmarkStart w:id="126" w:name="_Toc226309766"/>
      <w:r/>
      <w:bookmarkStart w:id="127" w:name="_Toc264969212"/>
      <w:r/>
      <w:bookmarkStart w:id="128" w:name="_Toc150509273"/>
      <w:r/>
      <w:bookmarkStart w:id="129" w:name="_Toc226337218"/>
      <w:r/>
      <w:bookmarkStart w:id="130" w:name="_Toc151193764"/>
      <w:r/>
      <w:bookmarkStart w:id="131" w:name="_Toc150480760"/>
      <w:r/>
      <w:bookmarkStart w:id="132" w:name="_Toc520356146"/>
      <w:r/>
      <w:bookmarkStart w:id="133" w:name="_Toc226965712"/>
      <w:r/>
      <w:bookmarkStart w:id="134" w:name="_Toc142311024"/>
      <w:r/>
      <w:bookmarkStart w:id="135" w:name="_Toc195842887"/>
      <w:r/>
      <w:bookmarkStart w:id="136" w:name="_Toc150774622"/>
      <w:r/>
      <w:bookmarkStart w:id="137" w:name="_Toc151193620"/>
      <w:r/>
      <w:bookmarkStart w:id="138" w:name="_Toc151193836"/>
      <w:r/>
      <w:bookmarkStart w:id="139" w:name="_Toc151190149"/>
      <w:r/>
      <w:bookmarkStart w:id="140" w:name="_Toc127151522"/>
      <w:r/>
      <w:bookmarkStart w:id="141" w:name="_Toc150774727"/>
      <w:r/>
      <w:bookmarkStart w:id="142" w:name="_Toc305158790"/>
      <w:r/>
      <w:bookmarkStart w:id="143" w:name="_Toc151193692"/>
      <w:r/>
      <w:bookmarkStart w:id="144" w:name="_Toc305158864"/>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3.2</w:t>
      </w: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4</w:t>
      </w:r>
      <w:r>
        <w:rPr>
          <w:rFonts w:hint="eastAsia" w:ascii="宋体" w:hAnsi="宋体" w:cs="宋体"/>
          <w:color w:val="auto"/>
          <w:sz w:val="24"/>
          <w:highlight w:val="none"/>
        </w:rPr>
        <w:t xml:space="preserve">政府采购政策（包括但不限于下列具体政策要求）</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4.1</w:t>
      </w:r>
      <w:r>
        <w:rPr>
          <w:rFonts w:hint="eastAsia" w:ascii="宋体" w:hAnsi="宋体" w:cs="宋体"/>
          <w:color w:val="auto"/>
          <w:sz w:val="24"/>
          <w:highlight w:val="none"/>
        </w:rPr>
        <w:t xml:space="preserve">进口产品（本项目不涉及）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4.1.1</w:t>
      </w: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4.2</w:t>
      </w:r>
      <w:r>
        <w:rPr>
          <w:rFonts w:hint="eastAsia" w:ascii="宋体" w:hAnsi="宋体" w:cs="宋体"/>
          <w:color w:val="auto"/>
          <w:sz w:val="24"/>
          <w:highlight w:val="none"/>
        </w:rPr>
        <w:t xml:space="preserve">中小企业、监狱企业及残疾人福利性单位</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4.2.1</w:t>
      </w:r>
      <w:r>
        <w:rPr>
          <w:rFonts w:hint="eastAsia" w:ascii="宋体" w:hAnsi="宋体" w:cs="宋体"/>
          <w:color w:val="auto"/>
          <w:sz w:val="24"/>
          <w:highlight w:val="none"/>
        </w:rPr>
        <w:t xml:space="preserve">中小企业定义：</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4.2.1.1</w:t>
      </w: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4.2.1.2</w:t>
      </w: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4.2.1.3</w:t>
      </w: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4.2.1.4</w:t>
      </w: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4.2.2</w:t>
      </w: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w:t>
      </w:r>
      <w:r>
        <w:rPr>
          <w:rFonts w:hint="eastAsia" w:ascii="宋体" w:hAnsi="宋体" w:cs="宋体"/>
          <w:color w:val="auto"/>
          <w:sz w:val="24"/>
          <w:highlight w:val="none"/>
        </w:rPr>
        <w:t xml:space="preserve">残疾人福利单位定义：享受政府采购支持政策的残疾人福利性单位应当同时满足以下条件：</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4.2.3.1</w:t>
      </w: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4.2.3.2</w:t>
      </w:r>
      <w:r>
        <w:rPr>
          <w:rFonts w:hint="eastAsia" w:ascii="宋体" w:hAnsi="宋体" w:cs="宋体"/>
          <w:color w:val="auto"/>
          <w:sz w:val="24"/>
          <w:highlight w:val="none"/>
        </w:rPr>
        <w:t xml:space="preserve">依法与安置的每位残疾人签订了一年以上（含一年）的劳动合同或服务协议；</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4.2.3.3</w:t>
      </w: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4.2.3.4</w:t>
      </w: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4.2.3.5</w:t>
      </w: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4.2.3.6</w:t>
      </w: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4.2.4</w:t>
      </w:r>
      <w:r>
        <w:rPr>
          <w:rFonts w:hint="eastAsia" w:ascii="宋体" w:hAnsi="宋体" w:cs="宋体"/>
          <w:color w:val="auto"/>
          <w:sz w:val="24"/>
          <w:highlight w:val="none"/>
        </w:rPr>
        <w:t xml:space="preserve">本项目是否专门面向中小企业预留采购份额见第一章《采购邀请》。</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4.2.5</w:t>
      </w:r>
      <w:r>
        <w:rPr>
          <w:rFonts w:hint="eastAsia" w:ascii="宋体" w:hAnsi="宋体" w:cs="宋体"/>
          <w:color w:val="auto"/>
          <w:sz w:val="24"/>
          <w:highlight w:val="none"/>
        </w:rPr>
        <w:t xml:space="preserve">采购标的对应的中小企业划分标准所属行业见《供应商须知资料表》。</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4.2.6</w:t>
      </w:r>
      <w:r>
        <w:rPr>
          <w:rFonts w:hint="eastAsia" w:ascii="宋体" w:hAnsi="宋体" w:cs="宋体"/>
          <w:color w:val="auto"/>
          <w:sz w:val="24"/>
          <w:highlight w:val="none"/>
        </w:rPr>
        <w:t xml:space="preserve">小微企业价格评审优惠的政策调整：见第三章《评审方法和评审标准》。</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4.3</w:t>
      </w:r>
      <w:r>
        <w:rPr>
          <w:rFonts w:hint="eastAsia" w:ascii="宋体" w:hAnsi="宋体" w:cs="宋体"/>
          <w:color w:val="auto"/>
          <w:sz w:val="24"/>
          <w:highlight w:val="none"/>
        </w:rPr>
        <w:t xml:space="preserve">政府采购节能产品、环境标志产品（本项目不涉及）</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4.3.1</w:t>
      </w: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4.3.2</w:t>
      </w: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4.3.3</w:t>
      </w: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4.3.4</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4.3.5</w:t>
      </w: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4.4</w:t>
      </w:r>
      <w:r>
        <w:rPr>
          <w:rFonts w:hint="eastAsia" w:ascii="宋体" w:hAnsi="宋体" w:cs="宋体"/>
          <w:color w:val="auto"/>
          <w:sz w:val="24"/>
          <w:highlight w:val="none"/>
        </w:rPr>
        <w:t xml:space="preserve">支持乡村产业振兴管理（本项目不涉及）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4.4.1</w:t>
      </w: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4.5</w:t>
      </w:r>
      <w:r>
        <w:rPr>
          <w:rFonts w:hint="eastAsia" w:ascii="宋体" w:hAnsi="宋体" w:cs="宋体"/>
          <w:color w:val="auto"/>
          <w:sz w:val="24"/>
          <w:highlight w:val="none"/>
        </w:rPr>
        <w:t xml:space="preserve">正版软件（本项目不涉及）</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4.5.1</w:t>
      </w: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4.5.2</w:t>
      </w: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4.6</w:t>
      </w:r>
      <w:r>
        <w:rPr>
          <w:rFonts w:hint="eastAsia" w:ascii="宋体" w:hAnsi="宋体" w:cs="宋体"/>
          <w:color w:val="auto"/>
          <w:sz w:val="24"/>
          <w:highlight w:val="none"/>
        </w:rPr>
        <w:t xml:space="preserve">政府采购创新产品政策（本项目不涉及）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4.6.1</w:t>
      </w: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4.7</w:t>
      </w:r>
      <w:r>
        <w:rPr>
          <w:rFonts w:hint="eastAsia" w:ascii="宋体" w:hAnsi="宋体" w:cs="宋体"/>
          <w:color w:val="auto"/>
          <w:sz w:val="24"/>
          <w:highlight w:val="none"/>
        </w:rPr>
        <w:t xml:space="preserve">绿色采购政策</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4.7.1</w:t>
      </w: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4.7.2</w:t>
      </w: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4.7.3</w:t>
      </w: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5</w:t>
      </w:r>
      <w:r>
        <w:rPr>
          <w:rFonts w:hint="eastAsia" w:ascii="宋体" w:hAnsi="宋体" w:cs="宋体"/>
          <w:color w:val="auto"/>
          <w:sz w:val="24"/>
          <w:highlight w:val="none"/>
        </w:rPr>
        <w:t xml:space="preserve">响应费用</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5.1</w:t>
      </w: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45" w:name="_1.8_计量单位"/>
      <w:r/>
      <w:bookmarkEnd w:id="145"/>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竞争性磋商文件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left="357" w:hanging="357"/>
        <w:spacing w:line="360" w:lineRule="auto"/>
        <w:tabs>
          <w:tab w:val="left" w:pos="360" w:leader="none"/>
        </w:tabs>
        <w:rPr>
          <w:rFonts w:ascii="宋体" w:hAnsi="宋体" w:cs="宋体"/>
          <w:color w:val="auto"/>
          <w:sz w:val="24"/>
          <w:highlight w:val="none"/>
        </w:rPr>
        <w:outlineLvl w:val="1"/>
      </w:pPr>
      <w:r/>
      <w:bookmarkStart w:id="146" w:name="_Toc265228361"/>
      <w:r/>
      <w:bookmarkStart w:id="147" w:name="_Toc520356147"/>
      <w:r/>
      <w:bookmarkStart w:id="148" w:name="_Toc226309767"/>
      <w:r/>
      <w:bookmarkStart w:id="149" w:name="_Toc264969213"/>
      <w:r/>
      <w:bookmarkStart w:id="150" w:name="_Toc164351617"/>
      <w:r/>
      <w:bookmarkStart w:id="151" w:name="_Toc151193837"/>
      <w:r/>
      <w:bookmarkStart w:id="152" w:name="_Toc151193911"/>
      <w:r/>
      <w:bookmarkStart w:id="153" w:name="_Toc150774623"/>
      <w:r/>
      <w:bookmarkStart w:id="154" w:name="_Toc164229218"/>
      <w:r/>
      <w:bookmarkStart w:id="155" w:name="_Toc151190150"/>
      <w:r/>
      <w:bookmarkStart w:id="156" w:name="_Toc164608637"/>
      <w:r/>
      <w:bookmarkStart w:id="157" w:name="_Toc127151724"/>
      <w:r/>
      <w:bookmarkStart w:id="158" w:name="_Toc149720816"/>
      <w:r/>
      <w:bookmarkStart w:id="159" w:name="_Toc142311025"/>
      <w:r/>
      <w:bookmarkStart w:id="160" w:name="_Toc226965796"/>
      <w:r/>
      <w:bookmarkStart w:id="161" w:name="_Toc151193693"/>
      <w:r/>
      <w:bookmarkStart w:id="162" w:name="_Toc151193765"/>
      <w:r/>
      <w:bookmarkStart w:id="163" w:name="_Toc150480761"/>
      <w:r/>
      <w:bookmarkStart w:id="164" w:name="_Toc305158865"/>
      <w:r/>
      <w:bookmarkStart w:id="165" w:name="_Toc150774728"/>
      <w:r/>
      <w:bookmarkStart w:id="166" w:name="_Toc195842888"/>
      <w:r/>
      <w:bookmarkStart w:id="167" w:name="_Toc127161437"/>
      <w:r/>
      <w:bookmarkStart w:id="168" w:name="_Toc226337219"/>
      <w:r/>
      <w:bookmarkStart w:id="169" w:name="_Toc164608792"/>
      <w:r/>
      <w:bookmarkStart w:id="170" w:name="_Toc151193621"/>
      <w:r/>
      <w:bookmarkStart w:id="171" w:name="_Toc150509274"/>
      <w:r/>
      <w:bookmarkStart w:id="172" w:name="_Toc164229364"/>
      <w:r/>
      <w:bookmarkStart w:id="173" w:name="_Toc226965713"/>
      <w:r/>
      <w:bookmarkStart w:id="174" w:name="_Toc127151523"/>
      <w:r/>
      <w:bookmarkStart w:id="175" w:name="_Toc305158791"/>
      <w:r>
        <w:rPr>
          <w:rFonts w:hint="eastAsia" w:ascii="宋体" w:hAnsi="宋体" w:eastAsia="宋体" w:cs="宋体"/>
          <w:color w:val="auto"/>
          <w:sz w:val="24"/>
          <w:szCs w:val="24"/>
          <w:lang w:val="en-US" w:eastAsia="zh-CN" w:bidi="ar-SA"/>
        </w:rPr>
        <w:t xml:space="preserve">6</w:t>
      </w:r>
      <w:r>
        <w:rPr>
          <w:rFonts w:hint="eastAsia" w:ascii="宋体" w:hAnsi="宋体" w:cs="宋体"/>
          <w:color w:val="auto"/>
          <w:sz w:val="24"/>
          <w:highlight w:val="none"/>
        </w:rPr>
        <w:t xml:space="preserve">竞争性磋商文件构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auto"/>
          <w:sz w:val="24"/>
          <w:highlight w:val="none"/>
        </w:rPr>
        <w:t xml:space="preserve">成</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6.1</w:t>
      </w:r>
      <w:r>
        <w:rPr>
          <w:rFonts w:hint="eastAsia" w:ascii="宋体" w:hAnsi="宋体" w:cs="宋体"/>
          <w:color w:val="auto"/>
          <w:sz w:val="24"/>
          <w:highlight w:val="none"/>
        </w:rPr>
        <w:t xml:space="preserve">竞争性磋商文件包括以下部分：</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第一章</w:t>
      </w:r>
      <w:r>
        <w:rPr>
          <w:rFonts w:hint="eastAsia" w:ascii="宋体" w:hAnsi="宋体" w:cs="宋体"/>
          <w:color w:val="auto"/>
          <w:sz w:val="24"/>
          <w:highlight w:val="none"/>
        </w:rPr>
        <w:t xml:space="preserve">采购邀请</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第二章</w:t>
      </w:r>
      <w:r>
        <w:rPr>
          <w:rFonts w:hint="eastAsia" w:ascii="宋体" w:hAnsi="宋体" w:cs="宋体"/>
          <w:color w:val="auto"/>
          <w:sz w:val="24"/>
          <w:highlight w:val="none"/>
        </w:rPr>
        <w:t xml:space="preserve">供应商须知</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第三章</w:t>
      </w:r>
      <w:r>
        <w:rPr>
          <w:rFonts w:hint="eastAsia" w:ascii="宋体" w:hAnsi="宋体" w:cs="宋体"/>
          <w:color w:val="auto"/>
          <w:sz w:val="24"/>
          <w:highlight w:val="none"/>
        </w:rPr>
        <w:t xml:space="preserve">评审程序、评审方法和评审标准</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第四章</w:t>
      </w:r>
      <w:r>
        <w:rPr>
          <w:rFonts w:hint="eastAsia" w:ascii="宋体" w:hAnsi="宋体" w:cs="宋体"/>
          <w:color w:val="auto"/>
          <w:sz w:val="24"/>
          <w:highlight w:val="none"/>
        </w:rPr>
        <w:t xml:space="preserve">采购需求</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第五章</w:t>
      </w:r>
      <w:r>
        <w:rPr>
          <w:rFonts w:hint="eastAsia" w:ascii="宋体" w:hAnsi="宋体" w:cs="宋体"/>
          <w:color w:val="auto"/>
          <w:sz w:val="24"/>
          <w:highlight w:val="none"/>
        </w:rPr>
        <w:t xml:space="preserve">合同草案条款</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第六章</w:t>
      </w:r>
      <w:r>
        <w:rPr>
          <w:rFonts w:hint="eastAsia" w:ascii="宋体" w:hAnsi="宋体" w:cs="宋体"/>
          <w:color w:val="auto"/>
          <w:sz w:val="24"/>
          <w:highlight w:val="none"/>
        </w:rPr>
        <w:t xml:space="preserve">响应文件格式</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6.2</w:t>
      </w: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7</w:t>
      </w:r>
      <w:r>
        <w:rPr>
          <w:rFonts w:hint="eastAsia" w:ascii="宋体" w:hAnsi="宋体" w:cs="宋体"/>
          <w:color w:val="auto"/>
          <w:sz w:val="24"/>
          <w:highlight w:val="none"/>
        </w:rPr>
        <w:t xml:space="preserve">对竞争性磋商文件的澄清或修改</w:t>
      </w:r>
      <w:r/>
    </w:p>
    <w:p>
      <w:p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7.1</w:t>
      </w: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7.2</w:t>
      </w: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ascii="宋体" w:hAnsi="宋体"/>
          <w:b/>
          <w:bCs/>
          <w:color w:val="auto"/>
          <w:sz w:val="28"/>
          <w:szCs w:val="28"/>
          <w:highlight w:val="none"/>
        </w:rPr>
      </w:pPr>
      <w:r/>
      <w:bookmarkStart w:id="176" w:name="_Toc516367020"/>
      <w:r/>
      <w:bookmarkStart w:id="177" w:name="_Toc150509277"/>
      <w:r/>
      <w:bookmarkStart w:id="178" w:name="_Toc151193696"/>
      <w:r/>
      <w:bookmarkStart w:id="179" w:name="_Toc520356150"/>
      <w:r/>
      <w:bookmarkStart w:id="180" w:name="_Toc226965716"/>
      <w:r/>
      <w:bookmarkStart w:id="181" w:name="_Toc150480764"/>
      <w:r/>
      <w:bookmarkStart w:id="182" w:name="_Toc226337222"/>
      <w:r/>
      <w:bookmarkStart w:id="183" w:name="_Toc150774626"/>
      <w:r/>
      <w:bookmarkStart w:id="184" w:name="_Toc305158868"/>
      <w:r/>
      <w:bookmarkStart w:id="185" w:name="_Toc142311028"/>
      <w:r/>
      <w:bookmarkStart w:id="186" w:name="_Toc127151526"/>
      <w:r/>
      <w:bookmarkStart w:id="187" w:name="_Toc151193768"/>
      <w:r/>
      <w:bookmarkStart w:id="188" w:name="_Toc150774731"/>
      <w:r/>
      <w:bookmarkStart w:id="189" w:name="_Toc226309770"/>
      <w:r/>
      <w:bookmarkStart w:id="190" w:name="_Toc264969216"/>
      <w:r/>
      <w:bookmarkStart w:id="191" w:name="_Toc151193624"/>
      <w:r/>
      <w:bookmarkStart w:id="192" w:name="_Toc195842891"/>
      <w:r/>
      <w:bookmarkStart w:id="193" w:name="_Toc151193840"/>
      <w:r/>
      <w:bookmarkStart w:id="194" w:name="_Toc151190153"/>
      <w:r/>
      <w:bookmarkStart w:id="195" w:name="_Toc151193914"/>
      <w:r/>
      <w:bookmarkStart w:id="196" w:name="_Toc265228364"/>
      <w:r/>
      <w:bookmarkStart w:id="197" w:name="_Toc226965799"/>
      <w:r/>
      <w:bookmarkStart w:id="198" w:name="_Toc305158794"/>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响应文件</w:t>
      </w:r>
      <w:bookmarkEnd w:id="176"/>
      <w:r>
        <w:rPr>
          <w:rFonts w:hint="eastAsia" w:ascii="宋体" w:hAnsi="宋体"/>
          <w:b/>
          <w:bCs/>
          <w:color w:val="auto"/>
          <w:sz w:val="28"/>
          <w:szCs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left="357" w:hanging="357"/>
        <w:spacing w:line="360" w:lineRule="auto"/>
        <w:tabs>
          <w:tab w:val="left" w:pos="360" w:leader="none"/>
        </w:tabs>
        <w:rPr>
          <w:rFonts w:ascii="宋体" w:hAnsi="宋体" w:cs="宋体"/>
          <w:color w:val="auto"/>
          <w:sz w:val="24"/>
          <w:highlight w:val="none"/>
        </w:rPr>
        <w:outlineLvl w:val="1"/>
      </w:pPr>
      <w:r/>
      <w:bookmarkStart w:id="199" w:name="_Toc127151527"/>
      <w:r/>
      <w:bookmarkStart w:id="200" w:name="_Toc164608796"/>
      <w:r/>
      <w:bookmarkStart w:id="201" w:name="_Toc127161441"/>
      <w:r/>
      <w:bookmarkStart w:id="202" w:name="_Toc520356151"/>
      <w:r/>
      <w:bookmarkStart w:id="203" w:name="_Toc305158869"/>
      <w:r/>
      <w:bookmarkStart w:id="204" w:name="_Toc226337223"/>
      <w:r/>
      <w:bookmarkStart w:id="205" w:name="_Toc265228365"/>
      <w:r/>
      <w:bookmarkStart w:id="206" w:name="_Toc226965717"/>
      <w:r/>
      <w:bookmarkStart w:id="207" w:name="_Toc164351621"/>
      <w:r/>
      <w:bookmarkStart w:id="208" w:name="_Toc226965800"/>
      <w:r/>
      <w:bookmarkStart w:id="209" w:name="_Toc151190154"/>
      <w:r/>
      <w:bookmarkStart w:id="210" w:name="_Toc151193697"/>
      <w:r/>
      <w:bookmarkStart w:id="211" w:name="_Toc149720820"/>
      <w:r/>
      <w:bookmarkStart w:id="212" w:name="_Toc516367021"/>
      <w:r/>
      <w:bookmarkStart w:id="213" w:name="_Toc264969217"/>
      <w:r/>
      <w:bookmarkStart w:id="214" w:name="_Toc195842892"/>
      <w:r/>
      <w:bookmarkStart w:id="215" w:name="_Toc164229368"/>
      <w:r/>
      <w:bookmarkStart w:id="216" w:name="_Toc151193769"/>
      <w:r/>
      <w:bookmarkStart w:id="217" w:name="_Toc150774627"/>
      <w:r/>
      <w:bookmarkStart w:id="218" w:name="_Toc151193915"/>
      <w:r/>
      <w:bookmarkStart w:id="219" w:name="_Toc164229222"/>
      <w:r/>
      <w:bookmarkStart w:id="220" w:name="_Toc150774732"/>
      <w:r/>
      <w:bookmarkStart w:id="221" w:name="_Toc150480765"/>
      <w:r/>
      <w:bookmarkStart w:id="222" w:name="_Toc150509278"/>
      <w:r/>
      <w:bookmarkStart w:id="223" w:name="_Toc127151728"/>
      <w:r/>
      <w:bookmarkStart w:id="224" w:name="_Toc226309771"/>
      <w:r/>
      <w:bookmarkStart w:id="225" w:name="_Toc164608641"/>
      <w:r/>
      <w:bookmarkStart w:id="226" w:name="_Toc305158795"/>
      <w:r/>
      <w:bookmarkStart w:id="227" w:name="_Toc151193841"/>
      <w:r/>
      <w:bookmarkStart w:id="228" w:name="_Toc151193625"/>
      <w:r/>
      <w:bookmarkStart w:id="229" w:name="_Toc142311029"/>
      <w:r>
        <w:rPr>
          <w:rFonts w:hint="eastAsia" w:ascii="宋体" w:hAnsi="宋体" w:eastAsia="宋体" w:cs="宋体"/>
          <w:color w:val="auto"/>
          <w:sz w:val="24"/>
          <w:szCs w:val="24"/>
          <w:lang w:val="en-US" w:eastAsia="zh-CN" w:bidi="ar-SA"/>
        </w:rPr>
        <w:t xml:space="preserve">8</w:t>
      </w:r>
      <w:r>
        <w:rPr>
          <w:rFonts w:hint="eastAsia" w:ascii="宋体" w:hAnsi="宋体" w:cs="宋体"/>
          <w:color w:val="auto"/>
          <w:sz w:val="24"/>
          <w:highlight w:val="none"/>
        </w:rPr>
        <w:t xml:space="preserve">响应范围、竞争性磋商文件中计量单位的使用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cs="宋体"/>
          <w:color w:val="auto"/>
          <w:sz w:val="24"/>
          <w:highlight w:val="none"/>
        </w:rPr>
        <w:t xml:space="preserve">及磋商语言</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8.1</w:t>
      </w: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8.2</w:t>
      </w: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8.3</w:t>
      </w: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357" w:hanging="357"/>
        <w:spacing w:line="360" w:lineRule="auto"/>
        <w:tabs>
          <w:tab w:val="left" w:pos="360" w:leader="none"/>
        </w:tabs>
        <w:rPr>
          <w:rFonts w:ascii="宋体" w:hAnsi="宋体" w:cs="宋体"/>
          <w:color w:val="auto"/>
          <w:sz w:val="24"/>
          <w:highlight w:val="none"/>
        </w:rPr>
        <w:outlineLvl w:val="1"/>
      </w:pPr>
      <w:r/>
      <w:bookmarkStart w:id="230" w:name="_Toc516367022"/>
      <w:r/>
      <w:bookmarkStart w:id="231" w:name="_Ref467306195"/>
      <w:r/>
      <w:bookmarkStart w:id="232" w:name="_Ref467306676"/>
      <w:r/>
      <w:bookmarkStart w:id="233" w:name="_Toc151193770"/>
      <w:r/>
      <w:bookmarkStart w:id="234" w:name="_Toc226337224"/>
      <w:r/>
      <w:bookmarkStart w:id="235" w:name="_Toc142311030"/>
      <w:r/>
      <w:bookmarkStart w:id="236" w:name="_Toc305158796"/>
      <w:r/>
      <w:bookmarkStart w:id="237" w:name="_Toc164229369"/>
      <w:r/>
      <w:bookmarkStart w:id="238" w:name="_Toc151193842"/>
      <w:r/>
      <w:bookmarkStart w:id="239" w:name="_Toc150774628"/>
      <w:r/>
      <w:bookmarkStart w:id="240" w:name="_Toc150774733"/>
      <w:r/>
      <w:bookmarkStart w:id="241" w:name="_Toc164351622"/>
      <w:r/>
      <w:bookmarkStart w:id="242" w:name="_Toc195842893"/>
      <w:r/>
      <w:bookmarkStart w:id="243" w:name="_Toc127151528"/>
      <w:r/>
      <w:bookmarkStart w:id="244" w:name="_Toc264969218"/>
      <w:r/>
      <w:bookmarkStart w:id="245" w:name="_Toc151193698"/>
      <w:r/>
      <w:bookmarkStart w:id="246" w:name="_Toc150509279"/>
      <w:r/>
      <w:bookmarkStart w:id="247" w:name="_Toc226309772"/>
      <w:r/>
      <w:bookmarkStart w:id="248" w:name="_Toc226965718"/>
      <w:r/>
      <w:bookmarkStart w:id="249" w:name="_Toc150480766"/>
      <w:r/>
      <w:bookmarkStart w:id="250" w:name="_Toc151193916"/>
      <w:r/>
      <w:bookmarkStart w:id="251" w:name="_Toc265228366"/>
      <w:r/>
      <w:bookmarkStart w:id="252" w:name="_Toc164608797"/>
      <w:r/>
      <w:bookmarkStart w:id="253" w:name="_Toc164229223"/>
      <w:r/>
      <w:bookmarkStart w:id="254" w:name="_Toc151193626"/>
      <w:r/>
      <w:bookmarkStart w:id="255" w:name="_Toc520356152"/>
      <w:r/>
      <w:bookmarkStart w:id="256" w:name="_Toc149720821"/>
      <w:r/>
      <w:bookmarkStart w:id="257" w:name="_Toc305158870"/>
      <w:r/>
      <w:bookmarkStart w:id="258" w:name="_Toc127151729"/>
      <w:r/>
      <w:bookmarkStart w:id="259" w:name="_Toc164608642"/>
      <w:r/>
      <w:bookmarkStart w:id="260" w:name="_Toc226965801"/>
      <w:r/>
      <w:bookmarkStart w:id="261" w:name="_Toc151190155"/>
      <w:r/>
      <w:bookmarkStart w:id="262" w:name="_Toc127161442"/>
      <w:r>
        <w:rPr>
          <w:rFonts w:hint="eastAsia" w:ascii="宋体" w:hAnsi="宋体" w:eastAsia="宋体" w:cs="宋体"/>
          <w:color w:val="auto"/>
          <w:sz w:val="24"/>
          <w:szCs w:val="24"/>
          <w:lang w:val="en-US" w:eastAsia="zh-CN" w:bidi="ar-SA"/>
        </w:rPr>
        <w:t xml:space="preserve">9</w:t>
      </w:r>
      <w:r>
        <w:rPr>
          <w:rFonts w:hint="eastAsia" w:ascii="宋体" w:hAnsi="宋体" w:cs="宋体"/>
          <w:color w:val="auto"/>
          <w:sz w:val="24"/>
          <w:highlight w:val="none"/>
        </w:rPr>
        <w:t xml:space="preserve">响应文件</w:t>
      </w:r>
      <w:bookmarkEnd w:id="230"/>
      <w:r/>
      <w:bookmarkEnd w:id="231"/>
      <w:r/>
      <w:bookmarkEnd w:id="232"/>
      <w:r>
        <w:rPr>
          <w:rFonts w:hint="eastAsia" w:ascii="宋体" w:hAnsi="宋体" w:cs="宋体"/>
          <w:color w:val="auto"/>
          <w:sz w:val="24"/>
          <w:highlight w:val="none"/>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left="1077" w:hanging="720"/>
        <w:spacing w:line="360" w:lineRule="auto"/>
        <w:tabs>
          <w:tab w:val="left" w:pos="1080" w:leader="none"/>
          <w:tab w:val="left" w:pos="2014" w:leader="none"/>
        </w:tabs>
        <w:rPr>
          <w:rFonts w:ascii="宋体" w:hAnsi="宋体" w:cs="宋体"/>
          <w:color w:val="auto"/>
          <w:sz w:val="24"/>
          <w:highlight w:val="none"/>
        </w:rPr>
      </w:pPr>
      <w:r/>
      <w:bookmarkStart w:id="263" w:name="_Ref467052588"/>
      <w:r>
        <w:rPr>
          <w:rFonts w:hint="default" w:ascii="Times New Roman" w:hAnsi="Times New Roman" w:eastAsia="宋体" w:cs="Times New Roman"/>
          <w:color w:val="auto"/>
          <w:sz w:val="24"/>
          <w:szCs w:val="24"/>
          <w:lang w:val="en-US" w:eastAsia="zh-CN" w:bidi="ar-SA"/>
        </w:rPr>
        <w:t xml:space="preserve">9.1</w:t>
      </w:r>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9.2</w:t>
      </w: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9.3</w:t>
      </w:r>
      <w:r>
        <w:rPr>
          <w:rFonts w:hint="eastAsia" w:ascii="宋体" w:hAnsi="宋体" w:cs="宋体"/>
          <w:color w:val="auto"/>
          <w:sz w:val="24"/>
          <w:highlight w:val="none"/>
        </w:rPr>
        <w:t xml:space="preserve">第三章《评审方法和评审标准》中涉及的证明文件。</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9.4</w:t>
      </w: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9.5</w:t>
      </w:r>
      <w:r>
        <w:rPr>
          <w:rFonts w:hint="eastAsia" w:ascii="宋体" w:hAnsi="宋体" w:cs="宋体"/>
          <w:color w:val="auto"/>
          <w:sz w:val="24"/>
          <w:highlight w:val="none"/>
        </w:rPr>
        <w:t xml:space="preserve">供应商认为应附的其他材料。</w:t>
      </w:r>
      <w:bookmarkEnd w:id="263"/>
      <w:r/>
      <w:r/>
    </w:p>
    <w:p>
      <w:pPr>
        <w:ind w:left="357" w:hanging="357"/>
        <w:spacing w:line="360" w:lineRule="auto"/>
        <w:tabs>
          <w:tab w:val="left" w:pos="360" w:leader="none"/>
        </w:tabs>
        <w:rPr>
          <w:rFonts w:ascii="宋体" w:hAnsi="宋体" w:cs="宋体"/>
          <w:color w:val="auto"/>
          <w:sz w:val="24"/>
          <w:highlight w:val="none"/>
        </w:rPr>
        <w:outlineLvl w:val="1"/>
      </w:pPr>
      <w:r/>
      <w:bookmarkStart w:id="264" w:name="_Toc150509281"/>
      <w:r/>
      <w:bookmarkStart w:id="265" w:name="_Toc151193772"/>
      <w:r/>
      <w:bookmarkStart w:id="266" w:name="_Toc150480768"/>
      <w:r/>
      <w:bookmarkStart w:id="267" w:name="_Toc164608644"/>
      <w:r/>
      <w:bookmarkStart w:id="268" w:name="_Toc520356155"/>
      <w:r/>
      <w:bookmarkStart w:id="269" w:name="_Toc164351624"/>
      <w:r/>
      <w:bookmarkStart w:id="270" w:name="_Toc127151530"/>
      <w:r/>
      <w:bookmarkStart w:id="271" w:name="_Toc149720823"/>
      <w:r/>
      <w:bookmarkStart w:id="272" w:name="_Toc150774735"/>
      <w:r/>
      <w:bookmarkStart w:id="273" w:name="_Toc142311032"/>
      <w:r/>
      <w:bookmarkStart w:id="274" w:name="_Toc164229225"/>
      <w:r/>
      <w:bookmarkStart w:id="275" w:name="_Toc151193700"/>
      <w:r/>
      <w:bookmarkStart w:id="276" w:name="_Toc195842895"/>
      <w:r/>
      <w:bookmarkStart w:id="277" w:name="_Toc127151731"/>
      <w:r/>
      <w:bookmarkStart w:id="278" w:name="_Toc151190157"/>
      <w:r/>
      <w:bookmarkStart w:id="279" w:name="_Toc151193918"/>
      <w:r/>
      <w:bookmarkStart w:id="280" w:name="_Toc151193844"/>
      <w:r/>
      <w:bookmarkStart w:id="281" w:name="_Toc151193628"/>
      <w:r/>
      <w:bookmarkStart w:id="282" w:name="_Toc150774630"/>
      <w:r/>
      <w:bookmarkStart w:id="283" w:name="_Toc164608799"/>
      <w:r/>
      <w:bookmarkStart w:id="284" w:name="_Toc127161444"/>
      <w:r/>
      <w:bookmarkStart w:id="285" w:name="_Toc164229371"/>
      <w:r>
        <w:rPr>
          <w:rFonts w:hint="eastAsia" w:ascii="宋体" w:hAnsi="宋体" w:eastAsia="宋体" w:cs="宋体"/>
          <w:color w:val="auto"/>
          <w:sz w:val="24"/>
          <w:szCs w:val="24"/>
          <w:lang w:val="en-US" w:eastAsia="zh-CN" w:bidi="ar-SA"/>
        </w:rPr>
        <w:t xml:space="preserve">10</w:t>
      </w:r>
      <w:r>
        <w:rPr>
          <w:rFonts w:hint="eastAsia" w:ascii="宋体" w:hAnsi="宋体" w:cs="宋体"/>
          <w:color w:val="auto"/>
          <w:sz w:val="24"/>
          <w:highlight w:val="none"/>
        </w:rPr>
        <w:t xml:space="preserve">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10.1</w:t>
      </w:r>
      <w:r>
        <w:rPr>
          <w:rFonts w:hint="eastAsia" w:ascii="宋体" w:hAnsi="宋体" w:cs="宋体"/>
          <w:color w:val="auto"/>
          <w:sz w:val="24"/>
          <w:highlight w:val="none"/>
        </w:rPr>
        <w:t xml:space="preserve">所有响应均以人民币报价。</w:t>
      </w:r>
      <w:r/>
    </w:p>
    <w:p>
      <w:p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10.2</w:t>
      </w: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10.2.1</w:t>
      </w:r>
      <w:r>
        <w:rPr>
          <w:rFonts w:hint="eastAsia" w:ascii="宋体" w:hAnsi="宋体" w:cs="宋体"/>
          <w:color w:val="auto"/>
          <w:sz w:val="24"/>
          <w:highlight w:val="none"/>
        </w:rPr>
        <w:t xml:space="preserve">按照竞争性磋商文件要求完成本项目的全部相关工程费用。</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10.3</w:t>
      </w:r>
      <w:r>
        <w:rPr>
          <w:rFonts w:hint="eastAsia" w:ascii="宋体" w:hAnsi="宋体" w:cs="宋体"/>
          <w:color w:val="auto"/>
          <w:sz w:val="24"/>
          <w:highlight w:val="none"/>
        </w:rPr>
        <w:t xml:space="preserve">采购人不得向供应商索要或者接受其给予的赠品、回扣或者与采购无关的其他商品、服务。</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10.4</w:t>
      </w: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11</w:t>
      </w:r>
      <w:r>
        <w:rPr>
          <w:rFonts w:hint="eastAsia" w:ascii="宋体" w:hAnsi="宋体" w:cs="宋体"/>
          <w:color w:val="auto"/>
          <w:sz w:val="24"/>
          <w:highlight w:val="none"/>
        </w:rPr>
        <w:t xml:space="preserve">磋商保证金</w:t>
      </w:r>
      <w:r/>
    </w:p>
    <w:p>
      <w:pPr>
        <w:ind w:firstLine="361"/>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根据江苏省和常州市的相关文件规定，免收保证金。</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12</w:t>
      </w:r>
      <w:r>
        <w:rPr>
          <w:rFonts w:hint="eastAsia" w:ascii="宋体" w:hAnsi="宋体" w:cs="宋体"/>
          <w:color w:val="auto"/>
          <w:sz w:val="24"/>
          <w:highlight w:val="none"/>
        </w:rPr>
        <w:t xml:space="preserve">响应有效期</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12.1</w:t>
      </w: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13</w:t>
      </w:r>
      <w:r>
        <w:rPr>
          <w:rFonts w:hint="eastAsia" w:ascii="宋体" w:hAnsi="宋体" w:cs="宋体"/>
          <w:color w:val="auto"/>
          <w:sz w:val="24"/>
          <w:highlight w:val="none"/>
        </w:rPr>
        <w:t xml:space="preserve">响应文件的签署、盖章</w:t>
      </w:r>
      <w:r/>
    </w:p>
    <w:p>
      <w:pPr>
        <w:ind w:left="1980" w:hanging="900"/>
        <w:spacing w:line="360" w:lineRule="auto"/>
        <w:rPr>
          <w:rFonts w:hint="eastAsia" w:ascii="宋体" w:hAnsi="宋体" w:cs="宋体"/>
          <w:color w:val="auto"/>
          <w:sz w:val="24"/>
          <w:highlight w:val="none"/>
        </w:rPr>
      </w:pPr>
      <w:r/>
      <w:bookmarkStart w:id="286" w:name="_Toc226965807"/>
      <w:r/>
      <w:bookmarkStart w:id="287" w:name="_Toc151193922"/>
      <w:r/>
      <w:bookmarkStart w:id="288" w:name="_Toc226309778"/>
      <w:r/>
      <w:bookmarkStart w:id="289" w:name="_Toc265228372"/>
      <w:r/>
      <w:bookmarkStart w:id="290" w:name="_Toc151193848"/>
      <w:r/>
      <w:bookmarkStart w:id="291" w:name="_Toc150774634"/>
      <w:r/>
      <w:bookmarkStart w:id="292" w:name="_Toc142311036"/>
      <w:r/>
      <w:bookmarkStart w:id="293" w:name="_Toc151193776"/>
      <w:r/>
      <w:bookmarkStart w:id="294" w:name="_Toc150774739"/>
      <w:r/>
      <w:bookmarkStart w:id="295" w:name="_Toc226337230"/>
      <w:r/>
      <w:bookmarkStart w:id="296" w:name="_Toc150509285"/>
      <w:r/>
      <w:bookmarkStart w:id="297" w:name="_Toc151190161"/>
      <w:r/>
      <w:bookmarkStart w:id="298" w:name="_Toc195842899"/>
      <w:r/>
      <w:bookmarkStart w:id="299" w:name="_Toc226965724"/>
      <w:r/>
      <w:bookmarkStart w:id="300" w:name="_Toc305158802"/>
      <w:r/>
      <w:bookmarkStart w:id="301" w:name="_Toc305158876"/>
      <w:r/>
      <w:bookmarkStart w:id="302" w:name="_Toc150480772"/>
      <w:r/>
      <w:bookmarkStart w:id="303" w:name="_Toc127151534"/>
      <w:r/>
      <w:bookmarkStart w:id="304" w:name="_Toc151193704"/>
      <w:r/>
      <w:bookmarkStart w:id="305" w:name="_Toc520356159"/>
      <w:r/>
      <w:bookmarkStart w:id="306" w:name="_Toc151193632"/>
      <w:r/>
      <w:bookmarkStart w:id="307" w:name="_Toc264969224"/>
      <w:r>
        <w:rPr>
          <w:rFonts w:hint="eastAsia" w:ascii="宋体" w:hAnsi="宋体" w:eastAsia="宋体" w:cs="宋体"/>
          <w:color w:val="auto"/>
          <w:sz w:val="24"/>
          <w:szCs w:val="24"/>
          <w:lang w:val="en-US" w:eastAsia="zh-CN" w:bidi="ar-SA"/>
        </w:rPr>
        <w:t xml:space="preserve">13.1.1</w:t>
      </w:r>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13.2</w:t>
      </w:r>
      <w:r>
        <w:rPr>
          <w:rFonts w:hint="eastAsia" w:ascii="宋体" w:hAnsi="宋体" w:cs="宋体"/>
          <w:color w:val="auto"/>
          <w:sz w:val="24"/>
          <w:highlight w:val="none"/>
        </w:rPr>
        <w:t xml:space="preserve">竞争性磋商文件要求盖章的内容，一般通过磋商响应文件编制工具加盖电子签章。</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四   响应文件的提交</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left="357" w:hanging="357"/>
        <w:spacing w:line="360" w:lineRule="auto"/>
        <w:tabs>
          <w:tab w:val="left" w:pos="360" w:leader="none"/>
        </w:tabs>
        <w:rPr>
          <w:rFonts w:ascii="宋体" w:hAnsi="宋体" w:cs="宋体"/>
          <w:color w:val="auto"/>
          <w:sz w:val="24"/>
          <w:highlight w:val="none"/>
        </w:rPr>
        <w:outlineLvl w:val="1"/>
      </w:pPr>
      <w:r/>
      <w:bookmarkStart w:id="308" w:name="_Toc226309779"/>
      <w:r/>
      <w:bookmarkStart w:id="309" w:name="_Toc226337231"/>
      <w:r/>
      <w:bookmarkStart w:id="310" w:name="_Toc195842900"/>
      <w:r/>
      <w:bookmarkStart w:id="311" w:name="_Toc164229376"/>
      <w:r/>
      <w:bookmarkStart w:id="312" w:name="_Toc151193705"/>
      <w:r/>
      <w:bookmarkStart w:id="313" w:name="_Toc127161449"/>
      <w:r/>
      <w:bookmarkStart w:id="314" w:name="_Toc264969225"/>
      <w:r/>
      <w:bookmarkStart w:id="315" w:name="_Toc164229230"/>
      <w:r/>
      <w:bookmarkStart w:id="316" w:name="_Toc305158877"/>
      <w:r/>
      <w:bookmarkStart w:id="317" w:name="_Toc164608804"/>
      <w:r/>
      <w:bookmarkStart w:id="318" w:name="_Toc142311037"/>
      <w:r/>
      <w:bookmarkStart w:id="319" w:name="_Toc151193923"/>
      <w:r/>
      <w:bookmarkStart w:id="320" w:name="_Toc164351629"/>
      <w:r/>
      <w:bookmarkStart w:id="321" w:name="_Toc164608649"/>
      <w:r/>
      <w:bookmarkStart w:id="322" w:name="_Toc226965725"/>
      <w:r/>
      <w:bookmarkStart w:id="323" w:name="_Toc150774740"/>
      <w:r/>
      <w:bookmarkStart w:id="324" w:name="_Toc151193633"/>
      <w:r/>
      <w:bookmarkStart w:id="325" w:name="_Toc151193849"/>
      <w:r/>
      <w:bookmarkStart w:id="326" w:name="_Toc150480773"/>
      <w:r/>
      <w:bookmarkStart w:id="327" w:name="_Toc265228373"/>
      <w:r/>
      <w:bookmarkStart w:id="328" w:name="_Toc150509286"/>
      <w:r/>
      <w:bookmarkStart w:id="329" w:name="_Toc151193777"/>
      <w:r/>
      <w:bookmarkStart w:id="330" w:name="_Toc151190162"/>
      <w:r/>
      <w:bookmarkStart w:id="331" w:name="_Toc150774635"/>
      <w:r/>
      <w:bookmarkStart w:id="332" w:name="_Toc127151535"/>
      <w:r/>
      <w:bookmarkStart w:id="333" w:name="_Toc305158803"/>
      <w:r/>
      <w:bookmarkStart w:id="334" w:name="_Toc149720828"/>
      <w:r/>
      <w:bookmarkStart w:id="335" w:name="_Toc226965808"/>
      <w:r/>
      <w:bookmarkStart w:id="336" w:name="_Toc520356160"/>
      <w:r/>
      <w:bookmarkStart w:id="337" w:name="_Toc127151736"/>
      <w:r>
        <w:rPr>
          <w:rFonts w:hint="eastAsia" w:ascii="宋体" w:hAnsi="宋体" w:eastAsia="宋体" w:cs="宋体"/>
          <w:color w:val="auto"/>
          <w:sz w:val="24"/>
          <w:szCs w:val="24"/>
          <w:lang w:val="en-US" w:eastAsia="zh-CN" w:bidi="ar-SA"/>
        </w:rPr>
        <w:t xml:space="preserve">14</w:t>
      </w:r>
      <w:r>
        <w:rPr>
          <w:rFonts w:hint="eastAsia" w:ascii="宋体" w:hAnsi="宋体" w:cs="宋体"/>
          <w:color w:val="auto"/>
          <w:sz w:val="24"/>
          <w:highlight w:val="none"/>
        </w:rPr>
        <w:t xml:space="preserve">响应文件的</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color w:val="auto"/>
          <w:sz w:val="24"/>
          <w:highlight w:val="none"/>
        </w:rPr>
        <w:t xml:space="preserve">提交</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14.1</w:t>
      </w:r>
      <w:r>
        <w:rPr>
          <w:rFonts w:hint="eastAsia" w:ascii="宋体" w:hAnsi="宋体" w:cs="宋体"/>
          <w:color w:val="auto"/>
          <w:sz w:val="24"/>
          <w:highlight w:val="none"/>
        </w:rPr>
        <w:t xml:space="preserve">本项目使用“苏采云”政府采购一体化平台。供应商根据竞争性磋商文件及“苏采云”政府采购一体化平台供应商操作手册要求编制、生成并提交电子响应文件。</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14.2</w:t>
      </w:r>
      <w:r>
        <w:rPr>
          <w:rFonts w:hint="eastAsia" w:ascii="宋体" w:hAnsi="宋体" w:cs="宋体"/>
          <w:color w:val="auto"/>
          <w:sz w:val="24"/>
          <w:highlight w:val="none"/>
        </w:rPr>
        <w:t xml:space="preserve">采购人及采购代理机构拒绝接受通过电子交易平台以外任何形式提交的响应文件。</w:t>
      </w:r>
      <w:r/>
    </w:p>
    <w:p>
      <w:pPr>
        <w:ind w:left="357" w:hanging="357"/>
        <w:spacing w:line="360" w:lineRule="auto"/>
        <w:tabs>
          <w:tab w:val="left" w:pos="360" w:leader="none"/>
        </w:tabs>
        <w:rPr>
          <w:rFonts w:ascii="宋体" w:hAnsi="宋体" w:cs="宋体"/>
          <w:color w:val="auto"/>
          <w:sz w:val="24"/>
          <w:highlight w:val="none"/>
        </w:rPr>
        <w:outlineLvl w:val="1"/>
      </w:pPr>
      <w:r/>
      <w:bookmarkStart w:id="338" w:name="_Toc151193634"/>
      <w:r/>
      <w:bookmarkStart w:id="339" w:name="_Toc150774636"/>
      <w:r/>
      <w:bookmarkStart w:id="340" w:name="_Toc520356161"/>
      <w:r/>
      <w:bookmarkStart w:id="341" w:name="_Toc226337232"/>
      <w:r/>
      <w:bookmarkStart w:id="342" w:name="_Toc151193706"/>
      <w:r/>
      <w:bookmarkStart w:id="343" w:name="_Toc164229377"/>
      <w:r/>
      <w:bookmarkStart w:id="344" w:name="_Toc151193850"/>
      <w:r/>
      <w:bookmarkStart w:id="345" w:name="_Toc264969226"/>
      <w:r/>
      <w:bookmarkStart w:id="346" w:name="_Toc151193778"/>
      <w:r/>
      <w:bookmarkStart w:id="347" w:name="_Toc150509287"/>
      <w:r/>
      <w:bookmarkStart w:id="348" w:name="_Toc305158878"/>
      <w:r/>
      <w:bookmarkStart w:id="349" w:name="_Toc127161450"/>
      <w:r/>
      <w:bookmarkStart w:id="350" w:name="_Toc195842901"/>
      <w:r/>
      <w:bookmarkStart w:id="351" w:name="_Toc164229231"/>
      <w:r/>
      <w:bookmarkStart w:id="352" w:name="_Toc151190163"/>
      <w:r/>
      <w:bookmarkStart w:id="353" w:name="_Toc226309780"/>
      <w:r/>
      <w:bookmarkStart w:id="354" w:name="_Toc265228374"/>
      <w:r/>
      <w:bookmarkStart w:id="355" w:name="_Toc142311038"/>
      <w:r/>
      <w:bookmarkStart w:id="356" w:name="_Toc164351630"/>
      <w:r/>
      <w:bookmarkStart w:id="357" w:name="_Toc150774741"/>
      <w:r/>
      <w:bookmarkStart w:id="358" w:name="_Toc305158804"/>
      <w:r/>
      <w:bookmarkStart w:id="359" w:name="_Toc150480774"/>
      <w:r/>
      <w:bookmarkStart w:id="360" w:name="_Toc164608650"/>
      <w:r/>
      <w:bookmarkStart w:id="361" w:name="_Toc127151737"/>
      <w:r/>
      <w:bookmarkStart w:id="362" w:name="_Toc149720829"/>
      <w:r/>
      <w:bookmarkStart w:id="363" w:name="_Toc226965726"/>
      <w:r/>
      <w:bookmarkStart w:id="364" w:name="_Toc164608805"/>
      <w:r/>
      <w:bookmarkStart w:id="365" w:name="_Toc151193924"/>
      <w:r/>
      <w:bookmarkStart w:id="366" w:name="_Toc127151536"/>
      <w:r/>
      <w:bookmarkStart w:id="367" w:name="_Toc226965809"/>
      <w:r>
        <w:rPr>
          <w:rFonts w:hint="eastAsia" w:ascii="宋体" w:hAnsi="宋体" w:eastAsia="宋体" w:cs="宋体"/>
          <w:color w:val="auto"/>
          <w:sz w:val="24"/>
          <w:szCs w:val="24"/>
          <w:lang w:val="en-US" w:eastAsia="zh-CN" w:bidi="ar-SA"/>
        </w:rPr>
        <w:t xml:space="preserve">15</w:t>
      </w:r>
      <w:r>
        <w:rPr>
          <w:rFonts w:hint="eastAsia" w:ascii="宋体" w:hAnsi="宋体" w:cs="宋体"/>
          <w:color w:val="auto"/>
          <w:sz w:val="24"/>
          <w:highlight w:val="none"/>
        </w:rPr>
        <w:t xml:space="preserve">响应文件截止</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color w:val="auto"/>
          <w:sz w:val="24"/>
          <w:highlight w:val="none"/>
        </w:rPr>
        <w:t xml:space="preserve">时间</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15.1</w:t>
      </w:r>
      <w:r>
        <w:rPr>
          <w:rFonts w:hint="eastAsia" w:ascii="宋体" w:hAnsi="宋体" w:cs="宋体"/>
          <w:color w:val="auto"/>
          <w:sz w:val="24"/>
          <w:highlight w:val="none"/>
        </w:rPr>
        <w:t xml:space="preserve">供应商应在竞争性磋商文件要求提交响应文件截止时间前，将电子响应文件提交至“苏采云”政府采购一体化平台。</w:t>
      </w:r>
      <w:r/>
    </w:p>
    <w:p>
      <w:pPr>
        <w:ind w:left="357" w:hanging="357"/>
        <w:spacing w:line="360" w:lineRule="auto"/>
        <w:tabs>
          <w:tab w:val="left" w:pos="360" w:leader="none"/>
        </w:tabs>
        <w:rPr>
          <w:rFonts w:ascii="宋体" w:hAnsi="宋体" w:cs="宋体"/>
          <w:color w:val="auto"/>
          <w:sz w:val="24"/>
          <w:highlight w:val="none"/>
        </w:rPr>
        <w:outlineLvl w:val="1"/>
      </w:pPr>
      <w:r/>
      <w:bookmarkStart w:id="368" w:name="_Toc151193851"/>
      <w:r/>
      <w:bookmarkStart w:id="369" w:name="_Toc226337233"/>
      <w:r/>
      <w:bookmarkStart w:id="370" w:name="_Toc142311039"/>
      <w:r/>
      <w:bookmarkStart w:id="371" w:name="_Toc150774742"/>
      <w:r/>
      <w:bookmarkStart w:id="372" w:name="_Toc164608651"/>
      <w:r/>
      <w:bookmarkStart w:id="373" w:name="_Toc149720830"/>
      <w:r/>
      <w:bookmarkStart w:id="374" w:name="_Toc151190164"/>
      <w:r/>
      <w:bookmarkStart w:id="375" w:name="_Toc226965727"/>
      <w:r/>
      <w:bookmarkStart w:id="376" w:name="_Toc226965810"/>
      <w:r/>
      <w:bookmarkStart w:id="377" w:name="_Toc265228375"/>
      <w:r/>
      <w:bookmarkStart w:id="378" w:name="_Toc127151738"/>
      <w:r/>
      <w:bookmarkStart w:id="379" w:name="_Toc226309781"/>
      <w:r/>
      <w:bookmarkStart w:id="380" w:name="_Toc151193635"/>
      <w:r/>
      <w:bookmarkStart w:id="381" w:name="_Toc164608806"/>
      <w:r/>
      <w:bookmarkStart w:id="382" w:name="_Toc127151537"/>
      <w:r/>
      <w:bookmarkStart w:id="383" w:name="_Toc151193707"/>
      <w:r/>
      <w:bookmarkStart w:id="384" w:name="_Toc520356162"/>
      <w:r/>
      <w:bookmarkStart w:id="385" w:name="_Toc127161451"/>
      <w:r/>
      <w:bookmarkStart w:id="386" w:name="_Toc150774637"/>
      <w:r/>
      <w:bookmarkStart w:id="387" w:name="_Toc305158805"/>
      <w:r/>
      <w:bookmarkStart w:id="388" w:name="_Toc151193925"/>
      <w:r/>
      <w:bookmarkStart w:id="389" w:name="_Toc150480775"/>
      <w:r/>
      <w:bookmarkStart w:id="390" w:name="_Toc164229232"/>
      <w:r/>
      <w:bookmarkStart w:id="391" w:name="_Toc150509288"/>
      <w:r/>
      <w:bookmarkStart w:id="392" w:name="_Toc305158879"/>
      <w:r/>
      <w:bookmarkStart w:id="393" w:name="_Toc264969227"/>
      <w:r/>
      <w:bookmarkStart w:id="394" w:name="_Toc151193779"/>
      <w:r/>
      <w:bookmarkStart w:id="395" w:name="_Toc164351631"/>
      <w:r/>
      <w:bookmarkStart w:id="396" w:name="_Toc195842902"/>
      <w:r/>
      <w:bookmarkStart w:id="397" w:name="_Toc164229378"/>
      <w:r>
        <w:rPr>
          <w:rFonts w:hint="eastAsia" w:ascii="宋体" w:hAnsi="宋体" w:eastAsia="宋体" w:cs="宋体"/>
          <w:color w:val="auto"/>
          <w:sz w:val="24"/>
          <w:szCs w:val="24"/>
          <w:lang w:val="en-US" w:eastAsia="zh-CN" w:bidi="ar-SA"/>
        </w:rPr>
        <w:t xml:space="preserve">16</w:t>
      </w:r>
      <w:r>
        <w:rPr>
          <w:rFonts w:hint="eastAsia" w:ascii="宋体" w:hAnsi="宋体" w:cs="宋体"/>
          <w:color w:val="auto"/>
          <w:sz w:val="24"/>
          <w:highlight w:val="none"/>
        </w:rPr>
        <w:t xml:space="preserve">响应文件的修改与撤回</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16.1</w:t>
      </w:r>
      <w:r>
        <w:rPr>
          <w:rFonts w:hint="eastAsia" w:ascii="宋体" w:hAnsi="宋体" w:cs="宋体"/>
          <w:color w:val="auto"/>
          <w:sz w:val="24"/>
          <w:highlight w:val="none"/>
        </w:rPr>
        <w:t xml:space="preserve">提交响应文件截止时间前，供应商可以通过电子交易平台对所提交的响应文件进行补充、修改或者撤回。</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16.2</w:t>
      </w: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398" w:name="_Toc127151538"/>
      <w:r/>
      <w:bookmarkStart w:id="399" w:name="_Toc520356163"/>
      <w:r/>
      <w:bookmarkStart w:id="400" w:name="_Toc151193852"/>
      <w:r/>
      <w:bookmarkStart w:id="401" w:name="_Toc151193926"/>
      <w:r/>
      <w:bookmarkStart w:id="402" w:name="_Toc151193780"/>
      <w:r/>
      <w:bookmarkStart w:id="403" w:name="_Toc265228376"/>
      <w:r/>
      <w:bookmarkStart w:id="404" w:name="_Toc305158880"/>
      <w:r/>
      <w:bookmarkStart w:id="405" w:name="_Toc151193636"/>
      <w:r/>
      <w:bookmarkStart w:id="406" w:name="_Toc142311040"/>
      <w:r/>
      <w:bookmarkStart w:id="407" w:name="_Toc150774743"/>
      <w:r/>
      <w:bookmarkStart w:id="408" w:name="_Toc151190165"/>
      <w:r/>
      <w:bookmarkStart w:id="409" w:name="_Toc150774638"/>
      <w:r/>
      <w:bookmarkStart w:id="410" w:name="_Toc150480776"/>
      <w:r/>
      <w:bookmarkStart w:id="411" w:name="_Toc226337234"/>
      <w:r/>
      <w:bookmarkStart w:id="412" w:name="_Toc264969228"/>
      <w:r/>
      <w:bookmarkStart w:id="413" w:name="_Toc151193708"/>
      <w:r/>
      <w:bookmarkStart w:id="414" w:name="_Toc150509289"/>
      <w:r/>
      <w:bookmarkStart w:id="415" w:name="_Toc226965728"/>
      <w:r/>
      <w:bookmarkStart w:id="416" w:name="_Toc226965811"/>
      <w:r/>
      <w:bookmarkStart w:id="417" w:name="_Toc226309782"/>
      <w:r/>
      <w:bookmarkStart w:id="418" w:name="_Toc195842903"/>
      <w:r/>
      <w:bookmarkStart w:id="419" w:name="_Toc305158806"/>
      <w:r>
        <w:rPr>
          <w:rFonts w:hint="eastAsia" w:ascii="宋体" w:hAnsi="宋体"/>
          <w:b/>
          <w:bCs/>
          <w:color w:val="auto"/>
          <w:sz w:val="28"/>
          <w:szCs w:val="28"/>
          <w:highlight w:val="none"/>
        </w:rPr>
        <w:t xml:space="preserve">五   </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b/>
          <w:bCs/>
          <w:color w:val="auto"/>
          <w:sz w:val="28"/>
          <w:szCs w:val="28"/>
          <w:highlight w:val="none"/>
        </w:rPr>
        <w:t xml:space="preserve">评审</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17</w:t>
      </w: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17.1</w:t>
      </w:r>
      <w:r>
        <w:rPr>
          <w:color w:val="auto"/>
          <w:sz w:val="24"/>
          <w:highlight w:val="none"/>
        </w:rPr>
        <w:t xml:space="preserve">采购人或采购代理机构将按竞争性磋商文件的规定，在响应文件提交截止时间的同一时间和竞争性磋商文件预先确定的地点开启响应文件。</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17.2</w:t>
      </w: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17.3</w:t>
      </w:r>
      <w:r>
        <w:rPr>
          <w:color w:val="auto"/>
          <w:sz w:val="24"/>
          <w:highlight w:val="none"/>
        </w:rPr>
        <w:t xml:space="preserve">供应商不足3家的，不予解密。</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17.4</w:t>
      </w:r>
      <w:r>
        <w:rPr>
          <w:color w:val="auto"/>
          <w:sz w:val="24"/>
          <w:highlight w:val="none"/>
        </w:rPr>
        <w:t xml:space="preserve">本项目不公开报价。</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17.5</w:t>
      </w: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17.6</w:t>
      </w: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lang w:val="en-US" w:eastAsia="zh-CN" w:bidi="ar-SA"/>
        </w:rPr>
        <w:t xml:space="preserve">17.7</w:t>
      </w: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357" w:firstLine="480"/>
        <w:spacing w:line="360" w:lineRule="auto"/>
        <w:tabs>
          <w:tab w:val="left" w:pos="1080" w:leader="none"/>
          <w:tab w:val="left" w:pos="2014" w:leader="none"/>
        </w:tabs>
        <w:rPr>
          <w:rFonts w:ascii="宋体" w:hAnsi="宋体" w:cs="宋体"/>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18</w:t>
      </w:r>
      <w:r>
        <w:rPr>
          <w:rFonts w:hint="eastAsia" w:ascii="宋体" w:hAnsi="宋体" w:cs="宋体"/>
          <w:color w:val="auto"/>
          <w:sz w:val="24"/>
          <w:highlight w:val="none"/>
        </w:rPr>
        <w:t xml:space="preserve">磋商小组</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18.1</w:t>
      </w: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420" w:name="_Toc520356166"/>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18.2</w:t>
      </w: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20"/>
      <w:r/>
      <w:bookmarkStart w:id="421" w:name="_Toc520356169"/>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19</w:t>
      </w:r>
      <w:r>
        <w:rPr>
          <w:rFonts w:hint="eastAsia" w:ascii="宋体" w:hAnsi="宋体" w:cs="宋体"/>
          <w:color w:val="auto"/>
          <w:sz w:val="24"/>
          <w:highlight w:val="none"/>
        </w:rPr>
        <w:t xml:space="preserve">评审方法和评审标准</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19.1</w:t>
      </w:r>
      <w:r>
        <w:rPr>
          <w:rFonts w:hint="eastAsia" w:ascii="宋体" w:hAnsi="宋体" w:cs="宋体"/>
          <w:color w:val="auto"/>
          <w:sz w:val="24"/>
          <w:highlight w:val="none"/>
        </w:rPr>
        <w:t xml:space="preserve">见第三章《评审方法和评审标准》。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422" w:name="_Toc226337241"/>
      <w:r/>
      <w:bookmarkStart w:id="423" w:name="_Toc195842910"/>
      <w:r/>
      <w:bookmarkStart w:id="424" w:name="_Toc150480783"/>
      <w:r/>
      <w:bookmarkStart w:id="425" w:name="_Toc151193787"/>
      <w:r/>
      <w:bookmarkStart w:id="426" w:name="_Toc151190172"/>
      <w:r/>
      <w:bookmarkStart w:id="427" w:name="_Toc142311047"/>
      <w:r/>
      <w:bookmarkStart w:id="428" w:name="_Toc150509296"/>
      <w:r/>
      <w:bookmarkStart w:id="429" w:name="_Toc305158813"/>
      <w:r/>
      <w:bookmarkStart w:id="430" w:name="_Toc151193643"/>
      <w:r/>
      <w:bookmarkStart w:id="431" w:name="_Toc305158887"/>
      <w:r/>
      <w:bookmarkStart w:id="432" w:name="_Toc150774645"/>
      <w:r/>
      <w:bookmarkStart w:id="433" w:name="_Toc150774750"/>
      <w:r/>
      <w:bookmarkStart w:id="434" w:name="_Toc264969235"/>
      <w:r/>
      <w:bookmarkStart w:id="435" w:name="_Toc151193715"/>
      <w:r/>
      <w:bookmarkStart w:id="436" w:name="_Toc226309789"/>
      <w:r/>
      <w:bookmarkStart w:id="437" w:name="_Toc151193859"/>
      <w:r/>
      <w:bookmarkStart w:id="438" w:name="_Toc226965818"/>
      <w:r/>
      <w:bookmarkStart w:id="439" w:name="_Toc151193933"/>
      <w:r/>
      <w:bookmarkStart w:id="440" w:name="_Toc226965735"/>
      <w:r/>
      <w:bookmarkStart w:id="441" w:name="_Toc127151545"/>
      <w:r/>
      <w:bookmarkStart w:id="442" w:name="_Toc265228383"/>
      <w:r>
        <w:rPr>
          <w:rFonts w:hint="eastAsia" w:ascii="宋体" w:hAnsi="宋体"/>
          <w:b/>
          <w:bCs/>
          <w:color w:val="auto"/>
          <w:sz w:val="28"/>
          <w:szCs w:val="28"/>
          <w:highlight w:val="none"/>
        </w:rPr>
        <w:t xml:space="preserve">六   </w:t>
      </w:r>
      <w:bookmarkEnd w:id="421"/>
      <w:r>
        <w:rPr>
          <w:rFonts w:hint="eastAsia" w:ascii="宋体" w:hAnsi="宋体"/>
          <w:b/>
          <w:bCs/>
          <w:color w:val="auto"/>
          <w:sz w:val="28"/>
          <w:szCs w:val="28"/>
          <w:highlight w:val="none"/>
        </w:rPr>
        <w:t xml:space="preserve">确定</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b/>
          <w:bCs/>
          <w:color w:val="auto"/>
          <w:sz w:val="28"/>
          <w:szCs w:val="28"/>
          <w:highlight w:val="none"/>
        </w:rPr>
        <w:t xml:space="preserve">成交</w:t>
      </w:r>
      <w:r/>
    </w:p>
    <w:p>
      <w:pPr>
        <w:ind w:left="357" w:hanging="357"/>
        <w:spacing w:line="360" w:lineRule="auto"/>
        <w:tabs>
          <w:tab w:val="left" w:pos="360" w:leader="none"/>
        </w:tabs>
        <w:rPr>
          <w:rFonts w:ascii="宋体" w:hAnsi="宋体" w:cs="宋体"/>
          <w:color w:val="auto"/>
          <w:sz w:val="24"/>
          <w:highlight w:val="none"/>
        </w:rPr>
        <w:outlineLvl w:val="1"/>
      </w:pPr>
      <w:r/>
      <w:bookmarkStart w:id="443" w:name="_Toc226965737"/>
      <w:r/>
      <w:bookmarkStart w:id="444" w:name="_Toc226309791"/>
      <w:r/>
      <w:bookmarkStart w:id="445" w:name="_Toc164351641"/>
      <w:r/>
      <w:bookmarkStart w:id="446" w:name="_Toc127151547"/>
      <w:r/>
      <w:bookmarkStart w:id="447" w:name="_Toc150480785"/>
      <w:r/>
      <w:bookmarkStart w:id="448" w:name="_Toc151190174"/>
      <w:r/>
      <w:bookmarkStart w:id="449" w:name="_Toc151193935"/>
      <w:r/>
      <w:bookmarkStart w:id="450" w:name="_Toc305158889"/>
      <w:r/>
      <w:bookmarkStart w:id="451" w:name="_Toc151193789"/>
      <w:r/>
      <w:bookmarkStart w:id="452" w:name="_Toc164608816"/>
      <w:r/>
      <w:bookmarkStart w:id="453" w:name="_Toc150774647"/>
      <w:r/>
      <w:bookmarkStart w:id="454" w:name="_Toc151193717"/>
      <w:r/>
      <w:bookmarkStart w:id="455" w:name="_Toc226337243"/>
      <w:r/>
      <w:bookmarkStart w:id="456" w:name="_Toc150774752"/>
      <w:r/>
      <w:bookmarkStart w:id="457" w:name="_Toc265228385"/>
      <w:r/>
      <w:bookmarkStart w:id="458" w:name="_Toc151193645"/>
      <w:r/>
      <w:bookmarkStart w:id="459" w:name="_Toc305158815"/>
      <w:r/>
      <w:bookmarkStart w:id="460" w:name="_Toc164608661"/>
      <w:r/>
      <w:bookmarkStart w:id="461" w:name="_Toc164229388"/>
      <w:r/>
      <w:bookmarkStart w:id="462" w:name="_Toc150509298"/>
      <w:r/>
      <w:bookmarkStart w:id="463" w:name="_Toc264969237"/>
      <w:r/>
      <w:bookmarkStart w:id="464" w:name="_Toc151193861"/>
      <w:r/>
      <w:bookmarkStart w:id="465" w:name="_Toc195842912"/>
      <w:r/>
      <w:bookmarkStart w:id="466" w:name="_Toc164229242"/>
      <w:r/>
      <w:bookmarkStart w:id="467" w:name="_Toc142311049"/>
      <w:r/>
      <w:bookmarkStart w:id="468" w:name="_Toc127151748"/>
      <w:r/>
      <w:bookmarkStart w:id="469" w:name="_Toc149720840"/>
      <w:r/>
      <w:bookmarkStart w:id="470" w:name="_Toc226965820"/>
      <w:r/>
      <w:bookmarkStart w:id="471" w:name="_Toc127161461"/>
      <w:r>
        <w:rPr>
          <w:rFonts w:hint="eastAsia" w:ascii="宋体" w:hAnsi="宋体" w:eastAsia="宋体" w:cs="宋体"/>
          <w:color w:val="auto"/>
          <w:sz w:val="24"/>
          <w:szCs w:val="24"/>
          <w:lang w:val="en-US" w:eastAsia="zh-CN" w:bidi="ar-SA"/>
        </w:rPr>
        <w:t xml:space="preserve">20</w:t>
      </w:r>
      <w:r>
        <w:rPr>
          <w:rFonts w:hint="eastAsia" w:ascii="宋体" w:hAnsi="宋体" w:cs="宋体"/>
          <w:color w:val="auto"/>
          <w:sz w:val="24"/>
          <w:highlight w:val="none"/>
        </w:rPr>
        <w:t xml:space="preserve">确定成交供应商</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20.1</w:t>
      </w: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ind w:left="357" w:hanging="357"/>
        <w:spacing w:line="360" w:lineRule="auto"/>
        <w:tabs>
          <w:tab w:val="left" w:pos="360" w:leader="none"/>
        </w:tabs>
        <w:rPr>
          <w:rFonts w:ascii="宋体" w:hAnsi="宋体" w:cs="宋体"/>
          <w:color w:val="auto"/>
          <w:sz w:val="24"/>
          <w:highlight w:val="none"/>
        </w:rPr>
        <w:outlineLvl w:val="1"/>
      </w:pPr>
      <w:r/>
      <w:bookmarkStart w:id="472" w:name="_Toc305158891"/>
      <w:r/>
      <w:bookmarkStart w:id="473" w:name="_Toc305158817"/>
      <w:r/>
      <w:bookmarkStart w:id="474" w:name="_Toc150509300"/>
      <w:r/>
      <w:bookmarkStart w:id="475" w:name="_Toc151193863"/>
      <w:r/>
      <w:bookmarkStart w:id="476" w:name="_Toc150774754"/>
      <w:r/>
      <w:bookmarkStart w:id="477" w:name="_Toc164608663"/>
      <w:r/>
      <w:bookmarkStart w:id="478" w:name="_Toc127161463"/>
      <w:r/>
      <w:bookmarkStart w:id="479" w:name="_Toc195842914"/>
      <w:r/>
      <w:bookmarkStart w:id="480" w:name="_Toc127151750"/>
      <w:r/>
      <w:bookmarkStart w:id="481" w:name="_Toc265228387"/>
      <w:r/>
      <w:bookmarkStart w:id="482" w:name="_Toc226337245"/>
      <w:r/>
      <w:bookmarkStart w:id="483" w:name="_Toc150480787"/>
      <w:r/>
      <w:bookmarkStart w:id="484" w:name="_Toc226965822"/>
      <w:r/>
      <w:bookmarkStart w:id="485" w:name="_Toc151193647"/>
      <w:r/>
      <w:bookmarkStart w:id="486" w:name="_Toc164229390"/>
      <w:r/>
      <w:bookmarkStart w:id="487" w:name="_Toc264969239"/>
      <w:r/>
      <w:bookmarkStart w:id="488" w:name="_Toc151193937"/>
      <w:r/>
      <w:bookmarkStart w:id="489" w:name="_Toc164351643"/>
      <w:r/>
      <w:bookmarkStart w:id="490" w:name="_Toc164608818"/>
      <w:r/>
      <w:bookmarkStart w:id="491" w:name="_Toc142311051"/>
      <w:r/>
      <w:bookmarkStart w:id="492" w:name="_Toc150774649"/>
      <w:r/>
      <w:bookmarkStart w:id="493" w:name="_Toc164229244"/>
      <w:r/>
      <w:bookmarkStart w:id="494" w:name="_Toc151190176"/>
      <w:r/>
      <w:bookmarkStart w:id="495" w:name="_Toc226309793"/>
      <w:r/>
      <w:bookmarkStart w:id="496" w:name="_Toc127151549"/>
      <w:r/>
      <w:bookmarkStart w:id="497" w:name="_Toc151193719"/>
      <w:r/>
      <w:bookmarkStart w:id="498" w:name="_Toc226965739"/>
      <w:r/>
      <w:bookmarkStart w:id="499" w:name="_Toc151193791"/>
      <w:r/>
      <w:bookmarkStart w:id="500" w:name="_Toc149720842"/>
      <w:r/>
      <w:bookmarkStart w:id="501" w:name="_Ref467307090"/>
      <w:r/>
      <w:bookmarkStart w:id="502" w:name="_Toc520356176"/>
      <w:r/>
      <w:bookmarkStart w:id="503" w:name="_Ref467306425"/>
      <w:r>
        <w:rPr>
          <w:rFonts w:hint="eastAsia" w:ascii="宋体" w:hAnsi="宋体" w:eastAsia="宋体" w:cs="宋体"/>
          <w:color w:val="auto"/>
          <w:sz w:val="24"/>
          <w:szCs w:val="24"/>
          <w:lang w:val="en-US" w:eastAsia="zh-CN" w:bidi="ar-SA"/>
        </w:rPr>
        <w:t xml:space="preserve">21</w:t>
      </w:r>
      <w:r>
        <w:rPr>
          <w:rFonts w:hint="eastAsia" w:ascii="宋体" w:hAnsi="宋体" w:cs="宋体"/>
          <w:color w:val="auto"/>
          <w:sz w:val="24"/>
          <w:highlight w:val="none"/>
        </w:rPr>
        <w:t xml:space="preserve">成交公告与成交通知书</w:t>
      </w:r>
      <w:bookmarkEnd w:id="472"/>
      <w:r/>
      <w:bookmarkEnd w:id="473"/>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21.1</w:t>
      </w: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江苏政府采购网、常州市政府采购网和江苏尚阳工程管理有限公司网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21.2</w:t>
      </w: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22</w:t>
      </w:r>
      <w:r>
        <w:rPr>
          <w:rFonts w:hint="eastAsia" w:ascii="宋体" w:hAnsi="宋体" w:cs="宋体"/>
          <w:color w:val="auto"/>
          <w:sz w:val="24"/>
          <w:highlight w:val="none"/>
        </w:rPr>
        <w:t xml:space="preserve">终止</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22.1</w:t>
      </w: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22.1.1</w:t>
      </w:r>
      <w:r>
        <w:rPr>
          <w:rFonts w:hint="eastAsia" w:ascii="宋体" w:hAnsi="宋体" w:cs="宋体"/>
          <w:color w:val="auto"/>
          <w:sz w:val="24"/>
          <w:highlight w:val="none"/>
        </w:rPr>
        <w:t xml:space="preserve">因情况变化，不再符合规定的竞争性磋商采购方式适用情形的；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22.1.2</w:t>
      </w:r>
      <w:r>
        <w:rPr>
          <w:rFonts w:hint="eastAsia" w:ascii="宋体" w:hAnsi="宋体" w:cs="宋体"/>
          <w:color w:val="auto"/>
          <w:sz w:val="24"/>
          <w:highlight w:val="none"/>
        </w:rPr>
        <w:t xml:space="preserve">出现影响采购公正的违法、违规行为的；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22.1.3</w:t>
      </w: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22.1.4</w:t>
      </w: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left="357" w:hanging="357"/>
        <w:spacing w:line="360" w:lineRule="auto"/>
        <w:tabs>
          <w:tab w:val="left" w:pos="360" w:leader="none"/>
        </w:tabs>
        <w:rPr>
          <w:rFonts w:ascii="宋体" w:hAnsi="宋体" w:cs="宋体"/>
          <w:color w:val="auto"/>
          <w:sz w:val="24"/>
          <w:highlight w:val="none"/>
        </w:rPr>
        <w:outlineLvl w:val="1"/>
      </w:pPr>
      <w:r/>
      <w:bookmarkStart w:id="504" w:name="_Toc264969240"/>
      <w:r/>
      <w:bookmarkStart w:id="505" w:name="_Toc151193938"/>
      <w:r/>
      <w:bookmarkStart w:id="506" w:name="_Toc164608819"/>
      <w:r/>
      <w:bookmarkStart w:id="507" w:name="_Toc150509301"/>
      <w:r/>
      <w:bookmarkStart w:id="508" w:name="_Toc164351644"/>
      <w:r/>
      <w:bookmarkStart w:id="509" w:name="_Ref467306978"/>
      <w:r/>
      <w:bookmarkStart w:id="510" w:name="_Toc150774650"/>
      <w:r/>
      <w:bookmarkStart w:id="511" w:name="_Toc127151751"/>
      <w:r/>
      <w:bookmarkStart w:id="512" w:name="_Ref467306377"/>
      <w:r/>
      <w:bookmarkStart w:id="513" w:name="_Toc151193720"/>
      <w:r/>
      <w:bookmarkStart w:id="514" w:name="_Toc226309794"/>
      <w:r/>
      <w:bookmarkStart w:id="515" w:name="_Toc127151550"/>
      <w:r/>
      <w:bookmarkStart w:id="516" w:name="_Toc151193648"/>
      <w:r/>
      <w:bookmarkStart w:id="517" w:name="_Toc164229245"/>
      <w:r/>
      <w:bookmarkStart w:id="518" w:name="_Toc127161464"/>
      <w:r/>
      <w:bookmarkStart w:id="519" w:name="_Toc151190177"/>
      <w:r/>
      <w:bookmarkStart w:id="520" w:name="_Toc164229391"/>
      <w:r/>
      <w:bookmarkStart w:id="521" w:name="_Ref467307204"/>
      <w:r/>
      <w:bookmarkStart w:id="522" w:name="_Toc226337246"/>
      <w:r/>
      <w:bookmarkStart w:id="523" w:name="_Toc150480788"/>
      <w:r/>
      <w:bookmarkStart w:id="524" w:name="_Toc305158818"/>
      <w:r/>
      <w:bookmarkStart w:id="525" w:name="_Toc520356175"/>
      <w:r/>
      <w:bookmarkStart w:id="526" w:name="_Toc226965740"/>
      <w:r/>
      <w:bookmarkStart w:id="527" w:name="_Toc149720843"/>
      <w:r/>
      <w:bookmarkStart w:id="528" w:name="_Toc151193864"/>
      <w:r/>
      <w:bookmarkStart w:id="529" w:name="_Ref467307062"/>
      <w:r/>
      <w:bookmarkStart w:id="530" w:name="_Toc164608664"/>
      <w:r/>
      <w:bookmarkStart w:id="531" w:name="_Toc305158892"/>
      <w:r/>
      <w:bookmarkStart w:id="532" w:name="_Toc151193792"/>
      <w:r/>
      <w:bookmarkStart w:id="533" w:name="_Toc226965823"/>
      <w:r/>
      <w:bookmarkStart w:id="534" w:name="_Toc195842915"/>
      <w:r/>
      <w:bookmarkStart w:id="535" w:name="_Toc265228388"/>
      <w:r/>
      <w:bookmarkStart w:id="536" w:name="_Toc142311052"/>
      <w:r/>
      <w:bookmarkStart w:id="537" w:name="_Toc150774755"/>
      <w:r>
        <w:rPr>
          <w:rFonts w:hint="eastAsia" w:ascii="宋体" w:hAnsi="宋体" w:eastAsia="宋体" w:cs="宋体"/>
          <w:color w:val="auto"/>
          <w:sz w:val="24"/>
          <w:szCs w:val="24"/>
          <w:lang w:val="en-US" w:eastAsia="zh-CN" w:bidi="ar-SA"/>
        </w:rPr>
        <w:t xml:space="preserve">23</w:t>
      </w:r>
      <w:r>
        <w:rPr>
          <w:rFonts w:hint="eastAsia" w:ascii="宋体" w:hAnsi="宋体" w:cs="宋体"/>
          <w:color w:val="auto"/>
          <w:sz w:val="24"/>
          <w:highlight w:val="none"/>
        </w:rPr>
        <w:t xml:space="preserve">签订合同</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23.1</w:t>
      </w:r>
      <w:r>
        <w:rPr>
          <w:rFonts w:hint="eastAsia" w:ascii="宋体" w:hAnsi="宋体" w:cs="宋体"/>
          <w:color w:val="auto"/>
          <w:sz w:val="24"/>
          <w:highlight w:val="none"/>
        </w:rPr>
        <w:t xml:space="preserve">采购人与成交供应商将在成交通知书发出之日起30日内，按照磋商文件确定的合同文本以及采购标的、采购金额、采购数量、技术和服务要求等事项签订政府采购合同。</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23.2</w:t>
      </w: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23.3</w:t>
      </w: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23.4</w:t>
      </w:r>
      <w:r>
        <w:rPr>
          <w:rFonts w:hint="eastAsia" w:ascii="宋体" w:hAnsi="宋体" w:cs="宋体"/>
          <w:color w:val="auto"/>
          <w:sz w:val="24"/>
          <w:highlight w:val="none"/>
        </w:rPr>
        <w:t xml:space="preserve">政府采购合同不能转包。</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23.5</w:t>
      </w:r>
      <w:r>
        <w:rPr>
          <w:rFonts w:hint="eastAsia" w:ascii="宋体" w:hAnsi="宋体" w:cs="宋体"/>
          <w:color w:val="auto"/>
          <w:sz w:val="24"/>
          <w:highlight w:val="none"/>
        </w:rPr>
        <w:t xml:space="preserve">本项目是否允许分包，见《供应商须知资料表》。</w:t>
      </w:r>
      <w:bookmarkEnd w:id="501"/>
      <w:r/>
      <w:bookmarkEnd w:id="502"/>
      <w:r/>
      <w:bookmarkEnd w:id="503"/>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24</w:t>
      </w:r>
      <w:r>
        <w:rPr>
          <w:rFonts w:hint="eastAsia" w:ascii="宋体" w:hAnsi="宋体" w:cs="宋体"/>
          <w:color w:val="auto"/>
          <w:sz w:val="24"/>
          <w:highlight w:val="none"/>
        </w:rPr>
        <w:t xml:space="preserve">询问与质疑</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24.1</w:t>
      </w:r>
      <w:r>
        <w:rPr>
          <w:rFonts w:hint="eastAsia" w:ascii="宋体" w:hAnsi="宋体" w:cs="宋体"/>
          <w:color w:val="auto"/>
          <w:sz w:val="24"/>
          <w:highlight w:val="none"/>
        </w:rPr>
        <w:t xml:space="preserve">询问</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24.1.1</w:t>
      </w: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24.1.2</w:t>
      </w: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24.2</w:t>
      </w:r>
      <w:r>
        <w:rPr>
          <w:rFonts w:hint="eastAsia" w:ascii="宋体" w:hAnsi="宋体" w:cs="宋体"/>
          <w:color w:val="auto"/>
          <w:sz w:val="24"/>
          <w:highlight w:val="none"/>
        </w:rPr>
        <w:t xml:space="preserve">质疑</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24.2.1</w:t>
      </w: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24.2.3</w:t>
      </w: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16"/>
          <w:rFonts w:hint="eastAsia" w:ascii="宋体" w:hAnsi="宋体" w:cs="宋体"/>
          <w:color w:val="auto"/>
          <w:sz w:val="24"/>
          <w:highlight w:val="none"/>
        </w:rPr>
        <w:t xml:space="preserve">http://gk</w:t>
      </w:r>
      <w:bookmarkStart w:id="538" w:name="_Hlt100654014"/>
      <w:r>
        <w:rPr>
          <w:rStyle w:val="1016"/>
          <w:rFonts w:hint="eastAsia" w:ascii="宋体" w:hAnsi="宋体" w:cs="宋体"/>
          <w:color w:val="auto"/>
          <w:sz w:val="24"/>
          <w:highlight w:val="none"/>
        </w:rPr>
        <w:t xml:space="preserve">s</w:t>
      </w:r>
      <w:bookmarkEnd w:id="538"/>
      <w:r>
        <w:rPr>
          <w:rStyle w:val="1016"/>
          <w:rFonts w:hint="eastAsia" w:ascii="宋体" w:hAnsi="宋体" w:cs="宋体"/>
          <w:color w:val="auto"/>
          <w:sz w:val="24"/>
          <w:highlight w:val="none"/>
        </w:rPr>
        <w:t xml:space="preserve">.m</w:t>
      </w:r>
      <w:bookmarkStart w:id="539" w:name="_Hlt100653994"/>
      <w:r/>
      <w:bookmarkStart w:id="540" w:name="_Hlt100653993"/>
      <w:r>
        <w:rPr>
          <w:rStyle w:val="1016"/>
          <w:rFonts w:hint="eastAsia" w:ascii="宋体" w:hAnsi="宋体" w:cs="宋体"/>
          <w:color w:val="auto"/>
          <w:sz w:val="24"/>
          <w:highlight w:val="none"/>
        </w:rPr>
        <w:t xml:space="preserve">o</w:t>
      </w:r>
      <w:bookmarkEnd w:id="539"/>
      <w:r/>
      <w:bookmarkEnd w:id="540"/>
      <w:r/>
      <w:bookmarkStart w:id="541" w:name="_Hlt101169156"/>
      <w:r>
        <w:rPr>
          <w:rStyle w:val="1016"/>
          <w:rFonts w:hint="eastAsia" w:ascii="宋体" w:hAnsi="宋体" w:cs="宋体"/>
          <w:color w:val="auto"/>
          <w:sz w:val="24"/>
          <w:highlight w:val="none"/>
        </w:rPr>
        <w:t xml:space="preserve">f</w:t>
      </w:r>
      <w:bookmarkEnd w:id="541"/>
      <w:r>
        <w:rPr>
          <w:rStyle w:val="1016"/>
          <w:rFonts w:hint="eastAsia" w:ascii="宋体" w:hAnsi="宋体" w:cs="宋体"/>
          <w:color w:val="auto"/>
          <w:sz w:val="24"/>
          <w:highlight w:val="none"/>
        </w:rPr>
        <w:t xml:space="preserve">.gov.cn/ztztz/zhengfucaigouguanli/201802/t20180201_2804589.htm</w:t>
      </w:r>
      <w:r>
        <w:rPr>
          <w:rStyle w:val="1016"/>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24.2.4</w:t>
      </w: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24.2.5</w:t>
      </w: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24.3</w:t>
      </w:r>
      <w:r>
        <w:rPr>
          <w:rFonts w:hint="eastAsia" w:ascii="宋体" w:hAnsi="宋体" w:cs="宋体"/>
          <w:color w:val="auto"/>
          <w:sz w:val="24"/>
          <w:highlight w:val="none"/>
        </w:rPr>
        <w:t xml:space="preserve">接收询问和质疑的联系部门、联系电话和通讯地址见《供应商须知资料表》。</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25</w:t>
      </w:r>
      <w:r>
        <w:rPr>
          <w:rFonts w:hint="eastAsia" w:ascii="宋体" w:hAnsi="宋体" w:cs="宋体"/>
          <w:color w:val="auto"/>
          <w:sz w:val="24"/>
          <w:highlight w:val="none"/>
        </w:rPr>
        <w:t xml:space="preserve">代理费</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lang w:val="en-US" w:eastAsia="zh-CN" w:bidi="ar-SA"/>
        </w:rPr>
        <w:t xml:space="preserve">25.1</w:t>
      </w: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ind w:left="357"/>
        <w:spacing w:line="360" w:lineRule="auto"/>
        <w:tabs>
          <w:tab w:val="left" w:pos="1080" w:leader="none"/>
          <w:tab w:val="left" w:pos="2014" w:leader="none"/>
        </w:tabs>
        <w:rPr>
          <w:rFonts w:ascii="宋体" w:hAnsi="宋体" w:cs="宋体"/>
          <w:color w:val="auto"/>
          <w:sz w:val="24"/>
          <w:highlight w:val="none"/>
        </w:rPr>
      </w:pPr>
      <w:r/>
      <w:bookmarkStart w:id="542" w:name="_Toc226337250"/>
      <w:r/>
      <w:bookmarkStart w:id="543" w:name="_Toc265228392"/>
      <w:r/>
      <w:bookmarkStart w:id="544" w:name="_Toc226965827"/>
      <w:r/>
      <w:bookmarkStart w:id="545" w:name="_Toc353873664"/>
      <w:r/>
      <w:bookmarkStart w:id="546" w:name="_Toc305158896"/>
      <w:r/>
      <w:bookmarkStart w:id="547" w:name="_Toc150774759"/>
      <w:r/>
      <w:bookmarkStart w:id="548" w:name="_Toc353873934"/>
      <w:r/>
      <w:bookmarkStart w:id="549" w:name="_Toc305158822"/>
      <w:r/>
      <w:bookmarkStart w:id="550" w:name="_Toc142311056"/>
      <w:r/>
      <w:bookmarkStart w:id="551" w:name="_Toc264969244"/>
      <w:r/>
      <w:bookmarkStart w:id="552" w:name="_Toc353825544"/>
      <w:r/>
      <w:bookmarkStart w:id="553" w:name="_Toc150480792"/>
      <w:r/>
      <w:bookmarkStart w:id="554" w:name="_Toc127151554"/>
      <w:r/>
      <w:r/>
    </w:p>
    <w:p>
      <w:p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555" w:name="_Toc8164"/>
      <w:r>
        <w:rPr>
          <w:b/>
          <w:color w:val="auto"/>
          <w:sz w:val="36"/>
          <w:szCs w:val="36"/>
          <w:highlight w:val="none"/>
        </w:rPr>
        <w:t xml:space="preserve">第三章   </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55"/>
      <w:r/>
      <w:bookmarkStart w:id="556" w:name="_Toc487900382"/>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一、评审程序</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556"/>
      <w:r/>
      <w:r/>
    </w:p>
    <w:p>
      <w:pPr>
        <w:ind w:left="900" w:hanging="900"/>
        <w:spacing w:line="360" w:lineRule="auto"/>
        <w:tabs>
          <w:tab w:val="left" w:pos="360" w:leader="none"/>
        </w:tabs>
        <w:rPr>
          <w:rFonts w:ascii="宋体" w:hAnsi="宋体" w:cs="宋体"/>
          <w:color w:val="auto"/>
          <w:sz w:val="24"/>
          <w:highlight w:val="none"/>
        </w:rPr>
        <w:outlineLvl w:val="1"/>
      </w:pPr>
      <w:r/>
      <w:bookmarkStart w:id="557" w:name="_Toc150480779"/>
      <w:r/>
      <w:bookmarkStart w:id="558" w:name="_Toc226965814"/>
      <w:r/>
      <w:bookmarkStart w:id="559" w:name="_Toc142311043"/>
      <w:r/>
      <w:bookmarkStart w:id="560" w:name="_Toc226337237"/>
      <w:r/>
      <w:bookmarkStart w:id="561" w:name="_Toc164608655"/>
      <w:r/>
      <w:bookmarkStart w:id="562" w:name="_Toc164229382"/>
      <w:r/>
      <w:bookmarkStart w:id="563" w:name="_Toc164608810"/>
      <w:r/>
      <w:bookmarkStart w:id="564" w:name="_Toc226965731"/>
      <w:r/>
      <w:bookmarkStart w:id="565" w:name="_Toc265228379"/>
      <w:r/>
      <w:bookmarkStart w:id="566" w:name="_Toc151190168"/>
      <w:r/>
      <w:bookmarkStart w:id="567" w:name="_Toc150774641"/>
      <w:r/>
      <w:bookmarkStart w:id="568" w:name="_Toc151193639"/>
      <w:r/>
      <w:bookmarkStart w:id="569" w:name="_Toc151193711"/>
      <w:r/>
      <w:bookmarkStart w:id="570" w:name="_Toc164351635"/>
      <w:r/>
      <w:bookmarkStart w:id="571" w:name="_Toc164229236"/>
      <w:r/>
      <w:bookmarkStart w:id="572" w:name="_Toc151193783"/>
      <w:r/>
      <w:bookmarkStart w:id="573" w:name="_Toc127151742"/>
      <w:r/>
      <w:bookmarkStart w:id="574" w:name="_Toc149720834"/>
      <w:r/>
      <w:bookmarkStart w:id="575" w:name="_Toc305158883"/>
      <w:r/>
      <w:bookmarkStart w:id="576" w:name="_Toc151193855"/>
      <w:r/>
      <w:bookmarkStart w:id="577" w:name="_Toc305158809"/>
      <w:r/>
      <w:bookmarkStart w:id="578" w:name="_Toc151193929"/>
      <w:r/>
      <w:bookmarkStart w:id="579" w:name="_Toc264969231"/>
      <w:r/>
      <w:bookmarkStart w:id="580" w:name="_Toc195842906"/>
      <w:r/>
      <w:bookmarkStart w:id="581" w:name="_Toc150774746"/>
      <w:r/>
      <w:bookmarkStart w:id="582" w:name="_Toc127151541"/>
      <w:r/>
      <w:bookmarkStart w:id="583" w:name="_Toc150509292"/>
      <w:r/>
      <w:bookmarkStart w:id="584" w:name="_Toc127161455"/>
      <w:r/>
      <w:bookmarkStart w:id="585" w:name="_Toc226309785"/>
      <w:r/>
      <w:bookmarkStart w:id="586" w:name="_Toc353873941"/>
      <w:r/>
      <w:bookmarkStart w:id="587" w:name="_Toc353825551"/>
      <w:r/>
      <w:bookmarkStart w:id="588" w:name="_Toc264969245"/>
      <w:r/>
      <w:bookmarkStart w:id="589" w:name="_Toc353825545"/>
      <w:r/>
      <w:bookmarkStart w:id="590" w:name="_Toc226337251"/>
      <w:r/>
      <w:bookmarkStart w:id="591" w:name="_Toc353873665"/>
      <w:r/>
      <w:bookmarkStart w:id="592" w:name="_Toc226965828"/>
      <w:r/>
      <w:bookmarkStart w:id="593" w:name="_Toc353873935"/>
      <w:r/>
      <w:bookmarkStart w:id="594" w:name="_Toc265228393"/>
      <w:r/>
      <w:bookmarkStart w:id="595" w:name="_Toc127151555"/>
      <w:r/>
      <w:bookmarkStart w:id="596" w:name="_Toc150480793"/>
      <w:r/>
      <w:bookmarkStart w:id="597" w:name="_Toc142311057"/>
      <w:r/>
      <w:bookmarkStart w:id="598" w:name="_Toc195842920"/>
      <w:r/>
      <w:bookmarkStart w:id="599" w:name="_Toc305158897"/>
      <w:r/>
      <w:bookmarkStart w:id="600" w:name="_Toc150774760"/>
      <w:r/>
      <w:bookmarkStart w:id="601" w:name="_Toc305158823"/>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highlight w:val="none"/>
        </w:rPr>
        <w:t xml:space="preserve">响应文件的</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s="宋体"/>
          <w:color w:val="auto"/>
          <w:sz w:val="24"/>
          <w:highlight w:val="none"/>
        </w:rPr>
        <w:t xml:space="preserve">资格性检查和符合性审查</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1.1</w:t>
      </w: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1.2</w:t>
      </w:r>
      <w:r>
        <w:rPr>
          <w:rFonts w:hint="eastAsia" w:ascii="宋体" w:hAnsi="宋体" w:cs="宋体"/>
          <w:color w:val="auto"/>
          <w:sz w:val="24"/>
          <w:highlight w:val="none"/>
        </w:rPr>
        <w:t xml:space="preserve">《资格性检查要求》中对格式有要求的，除竞争性磋商文件另有规定外，均为“实质性格式”文件。</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1.3</w:t>
      </w:r>
      <w:r>
        <w:rPr>
          <w:rFonts w:hint="eastAsia" w:ascii="宋体" w:hAnsi="宋体" w:cs="宋体"/>
          <w:color w:val="auto"/>
          <w:sz w:val="24"/>
          <w:highlight w:val="none"/>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资格性检查要求</w:t>
      </w:r>
      <w:r/>
    </w:p>
    <w:tbl>
      <w:tblPr>
        <w:tblStyle w:val="9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auto"/>
                <w:sz w:val="24"/>
                <w:highlight w:val="none"/>
              </w:rPr>
            </w:pPr>
            <w:r/>
            <w:bookmarkStart w:id="602" w:name="_Hlt487972895"/>
            <w:r/>
            <w:bookmarkEnd w:id="602"/>
            <w:r>
              <w:rPr>
                <w:rFonts w:hint="eastAsia" w:ascii="宋体" w:hAnsi="宋体" w:cs="宋体"/>
                <w:b/>
                <w:color w:val="auto"/>
                <w:sz w:val="24"/>
                <w:highlight w:val="none"/>
              </w:rPr>
              <w:t xml:space="preserve">序号</w:t>
            </w:r>
            <w:r/>
          </w:p>
        </w:tc>
        <w:tc>
          <w:tcPr>
            <w:tcW w:w="1728"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494"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660"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640"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4494"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shd w:val="clear" w:color="auto" w:fill="auto"/>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shd w:val="clear" w:color="auto" w:fill="auto"/>
            <w:tcW w:w="4494" w:type="dxa"/>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color w:val="auto"/>
                <w:sz w:val="24"/>
                <w:highlight w:val="none"/>
              </w:rPr>
            </w:pPr>
            <w:r>
              <w:rPr>
                <w:rFonts w:hint="eastAsia" w:ascii="宋体" w:hAnsi="宋体" w:cs="宋体"/>
                <w:bCs/>
                <w:color w:val="auto"/>
                <w:sz w:val="24"/>
                <w:highlight w:val="none"/>
              </w:rPr>
              <w:t xml:space="preserve">注2：残疾人福利性单位须按磋商文件要求提供《残疾人福利性单位声明函》。</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172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shd w:val="clear" w:color="auto" w:fill="auto"/>
            <w:tcW w:w="172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b/>
                <w:bCs/>
                <w:color w:val="auto"/>
                <w:sz w:val="24"/>
                <w:highlight w:val="none"/>
              </w:rPr>
              <w:t xml:space="preserve">提供证书的电子件或电子证照，及无在建承诺及缴纳凭证</w:t>
            </w:r>
            <w:r/>
          </w:p>
        </w:tc>
      </w:tr>
    </w:tbl>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1.4</w:t>
      </w:r>
      <w:r>
        <w:rPr>
          <w:rFonts w:hint="eastAsia" w:ascii="宋体" w:hAnsi="宋体" w:cs="宋体"/>
          <w:color w:val="auto"/>
          <w:sz w:val="24"/>
          <w:highlight w:val="none"/>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符合性审查要求</w:t>
      </w:r>
      <w:r/>
    </w:p>
    <w:tbl>
      <w:tblPr>
        <w:tblStyle w:val="99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59"/>
        <w:gridCol w:w="6288"/>
      </w:tblGrid>
      <w:tr>
        <w:trPr>
          <w:jc w:val="center"/>
          <w:trHeight w:val="454"/>
        </w:trPr>
        <w:tc>
          <w:tcPr>
            <w:tcW w:w="453"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56"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90"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响应函、法定代表人资格证明书和政府采购供应商信用承诺书</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按磋商文件要求提供响应函、法定代表人资格证明书和政府采购供应商信用承诺书；</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未将一个采购项目中的内容拆开响应；</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shd w:val="clear" w:color="auto" w:fill="auto"/>
            <w:tcW w:w="856" w:type="pct"/>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★号条款响应</w:t>
            </w:r>
            <w:r/>
          </w:p>
        </w:tc>
        <w:tc>
          <w:tcPr>
            <w:shd w:val="clear" w:color="auto" w:fill="auto"/>
            <w:tcW w:w="3690" w:type="pct"/>
            <w:vAlign w:val="center"/>
            <w:textDirection w:val="lrTb"/>
            <w:noWrap w:val="false"/>
          </w:tcPr>
          <w:p>
            <w:pPr>
              <w:jc w:val="lef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响应文件满足磋商文件第四章《采购需求》中★号条款要求的；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9</w:t>
            </w:r>
            <w:r/>
          </w:p>
        </w:tc>
        <w:tc>
          <w:tcPr>
            <w:shd w:val="clear" w:color="auto" w:fill="auto"/>
            <w:tcW w:w="856"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报价的修正</w:t>
            </w:r>
            <w:r/>
          </w:p>
        </w:tc>
        <w:tc>
          <w:tcPr>
            <w:shd w:val="clear" w:color="auto" w:fill="auto"/>
            <w:tcW w:w="3690"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响应文件报价出现前后不一致时，供应商对修正后的报价予以确认。</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56"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9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按照财库〔2026〕2号《关于推动解决政府采购异常低价问题的通知》要求：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（一）政府采购评审中出现下列情形之一的，评审委员会应当启动异常低价响应审查程序：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1.响应报价低于全部通过符合性审查供应商响应报价平均值50%的，即响应报价&lt;全部通过符合性审查供应商响应报价平均值×50%；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2.响应报价低于通过符合性审查的次低报价供应商响应报价50%的，即响应报价&lt;通过符合性审查的次低报价供应商响应报价×50%；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3.响应报价低于采购项目最高限价45%的，即响应报价&lt;采购项目最高限价×45%；</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shd w:val="clear" w:color="auto" w:fill="auto"/>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shd w:val="clear" w:color="auto" w:fill="auto"/>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（一）不同供应商的响应文件由同一单位或者个人编制（包含使用同一MAC地址的计算机制作电子响应文件的情形）；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（二）不同供应商委托同一单位或者个人办理响应事宜（包含使用同一MAC地址的计算机提交或者解密电子响应文件的情形）；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（三）不同供应商的响应文件载明的项目管理成员或者联系人员为同一人；</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2</w:t>
      </w:r>
      <w:r>
        <w:rPr>
          <w:rFonts w:hint="eastAsia" w:ascii="宋体" w:hAnsi="宋体" w:cs="宋体"/>
          <w:color w:val="auto"/>
          <w:sz w:val="24"/>
          <w:highlight w:val="none"/>
        </w:rPr>
        <w:t xml:space="preserve">磋商、响应文件有关事项的澄清、说明或者更正和最终报价</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2.1</w:t>
      </w: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2.2</w:t>
      </w: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2.3</w:t>
      </w: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通过“苏采云”政府采购一体化平台系统</w:t>
      </w:r>
      <w:r>
        <w:rPr>
          <w:color w:val="auto"/>
          <w:sz w:val="24"/>
          <w:highlight w:val="none"/>
        </w:rPr>
        <w:t xml:space="preserve">以书面形式同时通知所有参加磋商的供应商。</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2.4</w:t>
      </w: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2.5</w:t>
      </w:r>
      <w:r>
        <w:rPr>
          <w:rFonts w:hint="eastAsia" w:ascii="宋体" w:hAnsi="宋体" w:cs="宋体"/>
          <w:color w:val="auto"/>
          <w:sz w:val="24"/>
          <w:highlight w:val="none"/>
        </w:rPr>
        <w:t xml:space="preserve">响应文件的澄清、说明或者更正：</w:t>
      </w:r>
      <w:r/>
    </w:p>
    <w:p>
      <w:pPr>
        <w:ind w:left="1080"/>
        <w:spacing w:line="360" w:lineRule="auto"/>
        <w:tabs>
          <w:tab w:val="left" w:pos="1980" w:leader="none"/>
        </w:tabs>
        <w:rPr>
          <w:rFonts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通过“苏采云”政府采购一体化平台系统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ind w:left="1077" w:hanging="720"/>
        <w:spacing w:line="360" w:lineRule="auto"/>
        <w:tabs>
          <w:tab w:val="left" w:pos="1080" w:leader="none"/>
          <w:tab w:val="left" w:pos="1872" w:leader="none"/>
        </w:tabs>
        <w:rPr>
          <w:rFonts w:ascii="宋体" w:hAnsi="宋体" w:cs="宋体"/>
          <w:b/>
          <w:color w:val="auto"/>
          <w:sz w:val="24"/>
          <w:highlight w:val="none"/>
        </w:rPr>
      </w:pPr>
      <w:r>
        <w:rPr>
          <w:rFonts w:hint="default" w:ascii="Times New Roman" w:hAnsi="Times New Roman" w:eastAsia="宋体" w:cs="Times New Roman"/>
          <w:b w:val="0"/>
          <w:color w:val="auto"/>
          <w:sz w:val="24"/>
          <w:szCs w:val="24"/>
          <w:lang w:val="en-US" w:eastAsia="zh-CN" w:bidi="ar-SA"/>
        </w:rPr>
        <w:t xml:space="preserve">2.6</w:t>
      </w: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通过“苏采云”政府采购一体化平台系统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ascii="宋体" w:hAnsi="宋体" w:cs="宋体"/>
          <w:b/>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2.7</w:t>
      </w:r>
      <w:r>
        <w:rPr>
          <w:rFonts w:hint="eastAsia" w:ascii="宋体" w:hAnsi="宋体" w:cs="宋体"/>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2.8</w:t>
      </w:r>
      <w:r>
        <w:rPr>
          <w:rFonts w:hint="eastAsia" w:ascii="宋体" w:hAnsi="宋体" w:cs="宋体"/>
          <w:color w:val="auto"/>
          <w:sz w:val="24"/>
          <w:highlight w:val="none"/>
        </w:rPr>
        <w:t xml:space="preserve">最终报价是供应商响应文件的有效组成部分。</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2.9</w:t>
      </w:r>
      <w:r>
        <w:rPr>
          <w:rFonts w:hint="eastAsia" w:ascii="宋体" w:hAnsi="宋体" w:cs="宋体"/>
          <w:color w:val="auto"/>
          <w:sz w:val="24"/>
          <w:highlight w:val="none"/>
        </w:rPr>
        <w:t xml:space="preserve">已提交响应文件的供应商，在提交最终报价之前，可以根据磋商情况退出磋商。</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3</w:t>
      </w:r>
      <w:r>
        <w:rPr>
          <w:rFonts w:hint="eastAsia" w:ascii="宋体" w:hAnsi="宋体" w:cs="宋体"/>
          <w:color w:val="auto"/>
          <w:sz w:val="24"/>
          <w:highlight w:val="none"/>
        </w:rPr>
        <w:t xml:space="preserve">最终报价的算术修正及政策调整</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3.1</w:t>
      </w: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3.2</w:t>
      </w:r>
      <w:r>
        <w:rPr>
          <w:rFonts w:hint="eastAsia" w:ascii="宋体" w:hAnsi="宋体" w:cs="宋体"/>
          <w:color w:val="auto"/>
          <w:sz w:val="24"/>
          <w:highlight w:val="none"/>
        </w:rPr>
        <w:t xml:space="preserve">最终报价出现前后不一致的，按照下列规定修正：</w:t>
      </w:r>
      <w:r/>
    </w:p>
    <w:p>
      <w:pPr>
        <w:ind w:left="2035" w:hanging="90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3.2.1</w:t>
      </w:r>
      <w:r>
        <w:rPr>
          <w:rFonts w:hint="eastAsia" w:ascii="宋体" w:hAnsi="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ind w:left="2035" w:hanging="90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3.2.2</w:t>
      </w:r>
      <w:r>
        <w:rPr>
          <w:rFonts w:hint="eastAsia" w:ascii="宋体" w:hAnsi="宋体" w:cs="宋体"/>
          <w:color w:val="auto"/>
          <w:sz w:val="24"/>
          <w:highlight w:val="none"/>
        </w:rPr>
        <w:t xml:space="preserve">大写金额和小写金额不一致的，以大写金额为准；</w:t>
      </w:r>
      <w:r/>
    </w:p>
    <w:p>
      <w:pPr>
        <w:ind w:left="2035" w:hanging="90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3.2.3</w:t>
      </w:r>
      <w:r>
        <w:rPr>
          <w:rFonts w:hint="eastAsia" w:ascii="宋体" w:hAnsi="宋体" w:cs="宋体"/>
          <w:color w:val="auto"/>
          <w:sz w:val="24"/>
          <w:highlight w:val="none"/>
        </w:rPr>
        <w:t xml:space="preserve">单价金额小数点或者百分比有明显错位的，以最终报价一览表的总价为准，并修改单价；</w:t>
      </w:r>
      <w:r/>
    </w:p>
    <w:p>
      <w:pPr>
        <w:ind w:left="2035" w:hanging="90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3.2.4</w:t>
      </w:r>
      <w:r>
        <w:rPr>
          <w:rFonts w:hint="eastAsia" w:ascii="宋体" w:hAnsi="宋体" w:cs="宋体"/>
          <w:color w:val="auto"/>
          <w:sz w:val="24"/>
          <w:highlight w:val="none"/>
        </w:rPr>
        <w:t xml:space="preserve">总价金额与按单价汇总金额不一致的，以单价金额计算结果为准。</w:t>
      </w:r>
      <w:r/>
    </w:p>
    <w:p>
      <w:pPr>
        <w:ind w:left="2035" w:hanging="90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eastAsia="宋体" w:cs="宋体"/>
          <w:color w:val="auto"/>
          <w:sz w:val="24"/>
          <w:szCs w:val="24"/>
          <w:lang w:val="en-US" w:eastAsia="zh-CN" w:bidi="ar-SA"/>
        </w:rPr>
        <w:t xml:space="preserve">3.2.5</w:t>
      </w: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3.3</w:t>
      </w:r>
      <w:r>
        <w:rPr>
          <w:rFonts w:hint="eastAsia" w:ascii="宋体" w:hAnsi="宋体" w:cs="宋体"/>
          <w:color w:val="auto"/>
          <w:sz w:val="24"/>
          <w:highlight w:val="none"/>
        </w:rPr>
        <w:t xml:space="preserve">落实政府采购政策的价格调整：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4</w:t>
      </w:r>
      <w:r>
        <w:rPr>
          <w:rFonts w:hint="eastAsia" w:ascii="宋体" w:hAnsi="宋体" w:cs="宋体"/>
          <w:color w:val="auto"/>
          <w:sz w:val="24"/>
          <w:highlight w:val="none"/>
        </w:rPr>
        <w:t xml:space="preserve">磋商环节及提交最终报价后如出现以下情况的，供应商的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4.1</w:t>
      </w:r>
      <w:r>
        <w:rPr>
          <w:rFonts w:hint="eastAsia" w:ascii="宋体" w:hAnsi="宋体" w:cs="宋体"/>
          <w:color w:val="auto"/>
          <w:sz w:val="24"/>
          <w:highlight w:val="none"/>
        </w:rPr>
        <w:t xml:space="preserve">供应商对实质性变动不予确认的；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4.2</w:t>
      </w:r>
      <w:r>
        <w:rPr>
          <w:rFonts w:hint="eastAsia" w:ascii="宋体" w:hAnsi="宋体" w:cs="宋体"/>
          <w:color w:val="auto"/>
          <w:sz w:val="24"/>
          <w:highlight w:val="none"/>
        </w:rPr>
        <w:t xml:space="preserve">未按照磋商小组规定的时间、逾期提交最终报价的；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4.3</w:t>
      </w:r>
      <w:r>
        <w:rPr>
          <w:rFonts w:hint="eastAsia" w:ascii="宋体" w:hAnsi="宋体" w:cs="宋体"/>
          <w:color w:val="auto"/>
          <w:sz w:val="24"/>
          <w:highlight w:val="none"/>
        </w:rPr>
        <w:t xml:space="preserve">如供应商的最终报价超过竞争性磋商文件中规定的项目预算金额或者项目最高限价的；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4.4</w:t>
      </w:r>
      <w:r>
        <w:rPr>
          <w:rFonts w:hint="eastAsia" w:ascii="宋体" w:hAnsi="宋体" w:cs="宋体"/>
          <w:color w:val="auto"/>
          <w:sz w:val="24"/>
          <w:highlight w:val="none"/>
        </w:rPr>
        <w:t xml:space="preserve">响应文件中出现可选择性或可调整的报价的（竞争性磋商文件另有规定的除外）；</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4.5</w:t>
      </w:r>
      <w:r>
        <w:rPr>
          <w:rFonts w:hint="eastAsia" w:ascii="宋体" w:hAnsi="宋体" w:cs="宋体"/>
          <w:color w:val="auto"/>
          <w:sz w:val="24"/>
          <w:highlight w:val="none"/>
        </w:rPr>
        <w:t xml:space="preserve">最终报价出现前后不一致，供应商对修正后的报价不予确认的；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4.6</w:t>
      </w:r>
      <w:r>
        <w:rPr>
          <w:rFonts w:hint="eastAsia" w:ascii="宋体" w:hAnsi="宋体" w:cs="宋体"/>
          <w:color w:val="auto"/>
          <w:sz w:val="24"/>
          <w:highlight w:val="none"/>
        </w:rPr>
        <w:t xml:space="preserve">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586"/>
      <w:r/>
      <w:bookmarkEnd w:id="587"/>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5</w:t>
      </w:r>
      <w:r>
        <w:rPr>
          <w:rFonts w:hint="eastAsia" w:ascii="宋体" w:hAnsi="宋体" w:cs="宋体"/>
          <w:color w:val="auto"/>
          <w:sz w:val="24"/>
          <w:highlight w:val="none"/>
        </w:rPr>
        <w:t xml:space="preserve">评审方法和评审标准</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5.1</w:t>
      </w: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5.2</w:t>
      </w:r>
      <w:r>
        <w:rPr>
          <w:rFonts w:hint="eastAsia" w:ascii="宋体" w:hAnsi="宋体" w:cs="宋体"/>
          <w:color w:val="auto"/>
          <w:sz w:val="24"/>
          <w:highlight w:val="none"/>
        </w:rPr>
        <w:t xml:space="preserve">竞争性磋商文件中没有规定的评审标准不得作为评审依据。</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5.3</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5.4</w:t>
      </w: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6</w:t>
      </w:r>
      <w:r>
        <w:rPr>
          <w:rFonts w:hint="eastAsia" w:ascii="宋体" w:hAnsi="宋体" w:cs="宋体"/>
          <w:color w:val="auto"/>
          <w:sz w:val="24"/>
          <w:highlight w:val="none"/>
        </w:rPr>
        <w:t xml:space="preserve">确定</w:t>
      </w:r>
      <w:bookmarkStart w:id="603" w:name="_Toc305158888"/>
      <w:r/>
      <w:bookmarkStart w:id="604" w:name="_Toc151193860"/>
      <w:r/>
      <w:bookmarkStart w:id="605" w:name="_Toc226337242"/>
      <w:r/>
      <w:bookmarkStart w:id="606" w:name="_Toc226965819"/>
      <w:r/>
      <w:bookmarkStart w:id="607" w:name="_Ref467307010"/>
      <w:r/>
      <w:bookmarkStart w:id="608" w:name="_Toc142311048"/>
      <w:r/>
      <w:bookmarkStart w:id="609" w:name="_Toc127151747"/>
      <w:r/>
      <w:bookmarkStart w:id="610" w:name="_Toc151190173"/>
      <w:r/>
      <w:bookmarkStart w:id="611" w:name="_Toc151193716"/>
      <w:r/>
      <w:bookmarkStart w:id="612" w:name="_Toc195842911"/>
      <w:r/>
      <w:bookmarkStart w:id="613" w:name="_Toc164608815"/>
      <w:r/>
      <w:bookmarkStart w:id="614" w:name="_Toc265228384"/>
      <w:r/>
      <w:bookmarkStart w:id="615" w:name="_Toc164351640"/>
      <w:r/>
      <w:bookmarkStart w:id="616" w:name="_Toc164608660"/>
      <w:r/>
      <w:bookmarkStart w:id="617" w:name="_Toc149720839"/>
      <w:r/>
      <w:bookmarkStart w:id="618" w:name="_Toc264969236"/>
      <w:r/>
      <w:bookmarkStart w:id="619" w:name="_Toc127151546"/>
      <w:r/>
      <w:bookmarkStart w:id="620" w:name="_Toc150480784"/>
      <w:r/>
      <w:bookmarkStart w:id="621" w:name="_Toc151193644"/>
      <w:r/>
      <w:bookmarkStart w:id="622" w:name="_Toc226965736"/>
      <w:r/>
      <w:bookmarkStart w:id="623" w:name="_Toc150774751"/>
      <w:r/>
      <w:bookmarkStart w:id="624" w:name="_Toc150509297"/>
      <w:r/>
      <w:bookmarkStart w:id="625" w:name="_Toc151193934"/>
      <w:r/>
      <w:bookmarkStart w:id="626" w:name="_Toc226309790"/>
      <w:r/>
      <w:bookmarkStart w:id="627" w:name="_Toc127161460"/>
      <w:r/>
      <w:bookmarkStart w:id="628" w:name="_Toc520356170"/>
      <w:r/>
      <w:bookmarkStart w:id="629" w:name="_Toc164229241"/>
      <w:r/>
      <w:bookmarkStart w:id="630" w:name="_Toc305158814"/>
      <w:r/>
      <w:bookmarkStart w:id="631" w:name="_Toc150774646"/>
      <w:r/>
      <w:bookmarkStart w:id="632" w:name="_Toc151193788"/>
      <w:r/>
      <w:bookmarkStart w:id="633" w:name="_Toc164229387"/>
      <w:r>
        <w:rPr>
          <w:rFonts w:hint="eastAsia" w:ascii="宋体" w:hAnsi="宋体" w:cs="宋体"/>
          <w:color w:val="auto"/>
          <w:sz w:val="24"/>
          <w:highlight w:val="none"/>
        </w:rPr>
        <w:t xml:space="preserve">成交候选人名单</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6.1</w:t>
      </w: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6.2</w:t>
      </w: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lang w:val="en-US" w:eastAsia="zh-CN" w:bidi="ar-SA"/>
        </w:rPr>
        <w:t xml:space="preserve">6.3</w:t>
      </w: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lang w:val="en-US" w:eastAsia="zh-CN" w:bidi="ar-SA"/>
        </w:rPr>
        <w:t xml:space="preserve">7</w:t>
      </w:r>
      <w:r>
        <w:rPr>
          <w:rFonts w:hint="eastAsia" w:ascii="宋体" w:hAnsi="宋体" w:cs="宋体"/>
          <w:color w:val="auto"/>
          <w:sz w:val="24"/>
          <w:highlight w:val="none"/>
        </w:rPr>
        <w:t xml:space="preserve">报告违法行为</w:t>
      </w:r>
      <w:r/>
    </w:p>
    <w:p>
      <w:pPr>
        <w:jc w:val="center"/>
        <w:spacing w:line="360" w:lineRule="auto"/>
        <w:rPr>
          <w:rFonts w:ascii="宋体" w:hAnsi="宋体"/>
          <w:b/>
          <w:bCs/>
          <w:color w:val="auto"/>
          <w:sz w:val="28"/>
          <w:szCs w:val="28"/>
          <w:highlight w:val="none"/>
        </w:rPr>
      </w:pPr>
      <w:r>
        <w:rPr>
          <w:rFonts w:hint="eastAsia" w:ascii="宋体" w:hAnsi="宋体" w:cs="宋体"/>
          <w:color w:val="auto"/>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auto"/>
          <w:sz w:val="24"/>
          <w:highlight w:val="none"/>
        </w:rPr>
        <w:br w:type="page" w:clear="all"/>
      </w:r>
      <w:r>
        <w:rPr>
          <w:rFonts w:hint="eastAsia" w:ascii="宋体" w:hAnsi="宋体"/>
          <w:b/>
          <w:bCs/>
          <w:color w:val="auto"/>
          <w:sz w:val="28"/>
          <w:szCs w:val="28"/>
          <w:highlight w:val="none"/>
        </w:rPr>
        <w:t xml:space="preserve">二、评审标准</w:t>
      </w:r>
      <w:r/>
    </w:p>
    <w:tbl>
      <w:tblPr>
        <w:tblStyle w:val="999"/>
        <w:tblW w:w="5383" w:type="pct"/>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09"/>
        <w:gridCol w:w="1349"/>
        <w:gridCol w:w="6013"/>
        <w:gridCol w:w="804"/>
      </w:tblGrid>
      <w:tr>
        <w:trPr>
          <w:trHeight w:val="503"/>
        </w:trPr>
        <w:tc>
          <w:tcPr>
            <w:tcMar>
              <w:left w:w="108" w:type="dxa"/>
              <w:top w:w="0" w:type="dxa"/>
              <w:right w:w="108" w:type="dxa"/>
              <w:bottom w:w="0" w:type="dxa"/>
            </w:tcMar>
            <w:tcW w:w="550"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评分因素</w:t>
            </w:r>
            <w:r/>
          </w:p>
        </w:tc>
        <w:tc>
          <w:tcPr>
            <w:tcMar>
              <w:left w:w="108" w:type="dxa"/>
              <w:top w:w="0" w:type="dxa"/>
              <w:right w:w="108" w:type="dxa"/>
              <w:bottom w:w="0" w:type="dxa"/>
            </w:tcMar>
            <w:tcW w:w="3277"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评分标准</w:t>
            </w:r>
            <w:r/>
          </w:p>
        </w:tc>
        <w:tc>
          <w:tcPr>
            <w:tcMar>
              <w:left w:w="108" w:type="dxa"/>
              <w:top w:w="0" w:type="dxa"/>
              <w:right w:w="108" w:type="dxa"/>
              <w:bottom w:w="0" w:type="dxa"/>
            </w:tcMar>
            <w:tcW w:w="437"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color w:val="auto"/>
                <w:sz w:val="24"/>
                <w:highlight w:val="none"/>
              </w:rPr>
            </w:pPr>
            <w:r>
              <w:rPr>
                <w:rFonts w:hint="eastAsia" w:ascii="宋体" w:hAnsi="宋体" w:cs="宋体"/>
                <w:b/>
                <w:color w:val="auto"/>
                <w:sz w:val="24"/>
                <w:highlight w:val="none"/>
              </w:rPr>
              <w:t xml:space="preserve">一、报价（</w:t>
            </w:r>
            <w:r>
              <w:rPr>
                <w:rFonts w:hint="eastAsia" w:ascii="宋体" w:hAnsi="宋体" w:cs="宋体"/>
                <w:b/>
                <w:color w:val="auto"/>
                <w:sz w:val="24"/>
                <w:highlight w:val="none"/>
                <w:lang w:val="en-US" w:eastAsia="zh-CN"/>
              </w:rPr>
              <w:t xml:space="preserve">85</w:t>
            </w:r>
            <w:r>
              <w:rPr>
                <w:rFonts w:hint="eastAsia" w:ascii="宋体" w:hAnsi="宋体" w:cs="宋体"/>
                <w:b/>
                <w:color w:val="auto"/>
                <w:sz w:val="24"/>
                <w:highlight w:val="none"/>
              </w:rPr>
              <w:t xml:space="preserve">分）</w:t>
            </w:r>
            <w:r/>
          </w:p>
        </w:tc>
      </w:tr>
      <w:tr>
        <w:trPr>
          <w:trHeight w:val="283"/>
        </w:trPr>
        <w:tc>
          <w:tcPr>
            <w:tcMar>
              <w:left w:w="108" w:type="dxa"/>
              <w:top w:w="0" w:type="dxa"/>
              <w:right w:w="108" w:type="dxa"/>
              <w:bottom w:w="0" w:type="dxa"/>
            </w:tcMar>
            <w:tcW w:w="550"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价格</w:t>
            </w:r>
            <w:r/>
          </w:p>
        </w:tc>
        <w:tc>
          <w:tcPr>
            <w:tcMar>
              <w:left w:w="108" w:type="dxa"/>
              <w:top w:w="0" w:type="dxa"/>
              <w:right w:w="108" w:type="dxa"/>
              <w:bottom w:w="0" w:type="dxa"/>
            </w:tcMar>
            <w:tcW w:w="3277" w:type="pct"/>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满足磋商文件要求且最终报价最低的报价为评标基准价，其价格分为满分。其他供应商的价格分统一按照下列公式计算：价格分得分＝（评标基准价/最终报价）×分值。</w:t>
            </w:r>
            <w:r/>
          </w:p>
          <w:p>
            <w:pPr>
              <w:spacing w:line="240" w:lineRule="auto"/>
              <w:rPr>
                <w:rFonts w:ascii="宋体" w:hAnsi="宋体" w:cs="宋体"/>
                <w:color w:val="auto"/>
                <w:sz w:val="24"/>
                <w:highlight w:val="none"/>
              </w:rPr>
            </w:pPr>
            <w:r>
              <w:rPr>
                <w:rFonts w:hint="eastAsia" w:ascii="宋体" w:hAnsi="宋体" w:cs="宋体"/>
                <w:b/>
                <w:bCs/>
                <w:color w:val="auto"/>
                <w:sz w:val="24"/>
                <w:highlight w:val="none"/>
              </w:rPr>
              <w:t xml:space="preserve">注：此处最终报价指经过报价修正后的最终报价。</w:t>
            </w:r>
            <w:r/>
          </w:p>
        </w:tc>
        <w:tc>
          <w:tcPr>
            <w:tcMar>
              <w:left w:w="108" w:type="dxa"/>
              <w:top w:w="0" w:type="dxa"/>
              <w:right w:w="108" w:type="dxa"/>
              <w:bottom w:w="0" w:type="dxa"/>
            </w:tcMar>
            <w:tcW w:w="437"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85</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、客观分（</w:t>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分）</w:t>
            </w:r>
            <w:r/>
          </w:p>
        </w:tc>
      </w:tr>
      <w:tr>
        <w:trPr>
          <w:trHeight w:val="463"/>
        </w:trPr>
        <w:tc>
          <w:tcPr>
            <w:tcMar>
              <w:left w:w="108" w:type="dxa"/>
              <w:top w:w="0" w:type="dxa"/>
              <w:right w:w="108" w:type="dxa"/>
              <w:bottom w:w="0" w:type="dxa"/>
            </w:tcMar>
            <w:tcW w:w="550"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企业</w:t>
            </w:r>
            <w:r>
              <w:rPr>
                <w:rFonts w:hint="eastAsia" w:ascii="宋体" w:hAnsi="宋体" w:cs="宋体"/>
                <w:color w:val="auto"/>
                <w:sz w:val="24"/>
                <w:highlight w:val="none"/>
              </w:rPr>
              <w:t xml:space="preserve">业绩</w:t>
            </w:r>
            <w:r/>
          </w:p>
        </w:tc>
        <w:tc>
          <w:tcPr>
            <w:shd w:val="clear" w:color="auto" w:fill="auto"/>
            <w:tcMar>
              <w:left w:w="108" w:type="dxa"/>
              <w:top w:w="0" w:type="dxa"/>
              <w:right w:w="108" w:type="dxa"/>
              <w:bottom w:w="0" w:type="dxa"/>
            </w:tcMar>
            <w:tcW w:w="3277" w:type="pct"/>
            <w:vAlign w:val="center"/>
            <w:textDirection w:val="lrTb"/>
            <w:noWrap w:val="false"/>
          </w:tcPr>
          <w:p>
            <w:pPr>
              <w:spacing w:line="24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供应商自2023年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月1日以来（</w:t>
            </w:r>
            <w:r>
              <w:rPr>
                <w:rFonts w:hint="eastAsia" w:ascii="宋体" w:hAnsi="宋体" w:cs="宋体"/>
                <w:color w:val="auto"/>
                <w:sz w:val="24"/>
                <w:highlight w:val="none"/>
                <w:lang w:val="en-US" w:eastAsia="zh-CN"/>
              </w:rPr>
              <w:t xml:space="preserve">时间</w:t>
            </w:r>
            <w:r>
              <w:rPr>
                <w:rFonts w:hint="eastAsia" w:ascii="宋体" w:hAnsi="宋体" w:cs="宋体"/>
                <w:color w:val="auto"/>
                <w:sz w:val="24"/>
                <w:highlight w:val="none"/>
              </w:rPr>
              <w:t xml:space="preserve">以合同签订日期为准）承担</w:t>
            </w:r>
            <w:r>
              <w:rPr>
                <w:rFonts w:hint="eastAsia" w:ascii="宋体" w:hAnsi="宋体" w:eastAsia="宋体" w:cs="宋体"/>
                <w:color w:val="auto"/>
                <w:sz w:val="24"/>
                <w:highlight w:val="none"/>
                <w:lang w:val="en-US" w:eastAsia="zh-CN"/>
              </w:rPr>
              <w:t xml:space="preserve">过与本项目</w:t>
            </w:r>
            <w:r>
              <w:rPr>
                <w:rFonts w:hint="eastAsia" w:ascii="宋体" w:hAnsi="宋体" w:eastAsia="宋体" w:cs="宋体"/>
                <w:color w:val="auto"/>
                <w:sz w:val="24"/>
                <w:highlight w:val="none"/>
              </w:rPr>
              <w:t xml:space="preserve">类似</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工程</w:t>
            </w:r>
            <w:r>
              <w:rPr>
                <w:rFonts w:hint="eastAsia" w:ascii="宋体" w:hAnsi="宋体" w:eastAsia="宋体" w:cs="宋体"/>
                <w:color w:val="auto"/>
                <w:sz w:val="24"/>
                <w:highlight w:val="none"/>
                <w:lang w:val="en-US" w:eastAsia="zh-CN"/>
              </w:rPr>
              <w:t xml:space="preserve">施工</w:t>
            </w:r>
            <w:r>
              <w:rPr>
                <w:rFonts w:hint="eastAsia" w:ascii="宋体" w:hAnsi="宋体" w:eastAsia="宋体" w:cs="宋体"/>
                <w:color w:val="auto"/>
                <w:sz w:val="24"/>
                <w:highlight w:val="none"/>
              </w:rPr>
              <w:t xml:space="preserve">业绩，</w:t>
            </w:r>
            <w:r>
              <w:rPr>
                <w:rFonts w:hint="eastAsia" w:ascii="宋体" w:hAnsi="宋体" w:cs="宋体"/>
                <w:color w:val="auto"/>
                <w:sz w:val="24"/>
                <w:highlight w:val="none"/>
              </w:rPr>
              <w:t xml:space="preserve">有一个得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p>
            <w:pPr>
              <w:spacing w:line="240" w:lineRule="auto"/>
              <w:tabs>
                <w:tab w:val="left" w:pos="426" w:leader="none"/>
              </w:tabs>
              <w:rPr>
                <w:rFonts w:ascii="宋体" w:hAnsi="宋体" w:cs="宋体"/>
                <w:color w:val="auto"/>
                <w:sz w:val="24"/>
                <w:highlight w:val="none"/>
              </w:rPr>
            </w:pPr>
            <w:r>
              <w:rPr>
                <w:rFonts w:hint="eastAsia" w:ascii="宋体" w:hAnsi="宋体" w:cs="宋体"/>
                <w:b/>
                <w:bCs/>
                <w:color w:val="auto"/>
                <w:sz w:val="24"/>
                <w:highlight w:val="none"/>
              </w:rPr>
              <w:t xml:space="preserve">注：磋商响应文件中提供</w:t>
            </w:r>
            <w:r>
              <w:rPr>
                <w:rFonts w:hint="eastAsia" w:ascii="宋体" w:hAnsi="宋体" w:eastAsia="宋体" w:cs="宋体"/>
                <w:b/>
                <w:color w:val="auto"/>
                <w:sz w:val="24"/>
                <w:szCs w:val="24"/>
                <w:highlight w:val="none"/>
              </w:rPr>
              <w:t xml:space="preserve">合同原件扫描件</w:t>
            </w:r>
            <w:r>
              <w:rPr>
                <w:rFonts w:hint="eastAsia" w:ascii="宋体" w:hAnsi="宋体" w:eastAsia="宋体" w:cs="宋体"/>
                <w:b/>
                <w:color w:val="auto"/>
                <w:sz w:val="24"/>
                <w:szCs w:val="24"/>
                <w:highlight w:val="none"/>
                <w:lang w:val="zh-CN" w:eastAsia="zh-CN"/>
              </w:rPr>
              <w:t xml:space="preserve">并加盖供应商公章</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未提供或提供不全均不得分。</w:t>
            </w:r>
            <w:r/>
          </w:p>
        </w:tc>
        <w:tc>
          <w:tcPr>
            <w:tcMar>
              <w:left w:w="108" w:type="dxa"/>
              <w:top w:w="0" w:type="dxa"/>
              <w:right w:w="108" w:type="dxa"/>
              <w:bottom w:w="0" w:type="dxa"/>
            </w:tcMar>
            <w:tcW w:w="437" w:type="pct"/>
            <w:vAlign w:val="center"/>
            <w:textDirection w:val="lrTb"/>
            <w:noWrap w:val="false"/>
          </w:tcPr>
          <w:p>
            <w:pPr>
              <w:jc w:val="center"/>
              <w:spacing w:line="360" w:lineRule="auto"/>
              <w:tabs>
                <w:tab w:val="left" w:pos="42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r>
      <w:tr>
        <w:trPr>
          <w:trHeight w:val="463"/>
        </w:trPr>
        <w:tc>
          <w:tcPr>
            <w:tcMar>
              <w:left w:w="108" w:type="dxa"/>
              <w:top w:w="0" w:type="dxa"/>
              <w:right w:w="108" w:type="dxa"/>
              <w:bottom w:w="0" w:type="dxa"/>
            </w:tcMar>
            <w:tcW w:w="550" w:type="pct"/>
            <w:vAlign w:val="center"/>
            <w:textDirection w:val="lrTb"/>
            <w:noWrap w:val="false"/>
          </w:tcPr>
          <w:p>
            <w:pPr>
              <w:jc w:val="center"/>
              <w:spacing w:line="360" w:lineRule="auto"/>
              <w:tabs>
                <w:tab w:val="left" w:pos="426"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shd w:val="clear" w:color="auto" w:fill="auto"/>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shd w:val="clear" w:color="auto" w:fill="ffffff"/>
              </w:rPr>
              <w:t xml:space="preserve">项目负责人</w:t>
            </w:r>
            <w:r/>
          </w:p>
        </w:tc>
        <w:tc>
          <w:tcPr>
            <w:shd w:val="clear" w:color="auto" w:fill="auto"/>
            <w:tcMar>
              <w:left w:w="108" w:type="dxa"/>
              <w:top w:w="0" w:type="dxa"/>
              <w:right w:w="108" w:type="dxa"/>
              <w:bottom w:w="0" w:type="dxa"/>
            </w:tcMar>
            <w:tcW w:w="3277" w:type="pct"/>
            <w:vAlign w:val="center"/>
            <w:textDirection w:val="lrTb"/>
            <w:noWrap w:val="false"/>
          </w:tcPr>
          <w:p>
            <w:pPr>
              <w:spacing w:line="24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拟投入本项目的项目负责人具有</w:t>
            </w:r>
            <w:r>
              <w:rPr>
                <w:rFonts w:hint="eastAsia" w:ascii="宋体" w:hAnsi="宋体" w:eastAsia="宋体" w:cs="宋体"/>
                <w:b w:val="0"/>
                <w:bCs w:val="0"/>
                <w:color w:val="auto"/>
                <w:sz w:val="24"/>
                <w:highlight w:val="none"/>
                <w:lang w:val="en-US" w:eastAsia="zh-CN"/>
              </w:rPr>
              <w:t xml:space="preserve">建设工程类</w:t>
            </w:r>
            <w:r>
              <w:rPr>
                <w:rFonts w:hint="eastAsia" w:ascii="宋体" w:hAnsi="宋体" w:eastAsia="宋体" w:cs="宋体"/>
                <w:b w:val="0"/>
                <w:bCs w:val="0"/>
                <w:color w:val="auto"/>
                <w:sz w:val="24"/>
                <w:highlight w:val="none"/>
              </w:rPr>
              <w:t xml:space="preserve">中级及以上职称的，得</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分</w:t>
            </w:r>
            <w:r>
              <w:rPr>
                <w:rFonts w:hint="eastAsia" w:ascii="宋体" w:hAnsi="宋体" w:cs="宋体"/>
                <w:b w:val="0"/>
                <w:bCs w:val="0"/>
                <w:color w:val="auto"/>
                <w:sz w:val="24"/>
                <w:highlight w:val="none"/>
                <w:lang w:eastAsia="zh-CN"/>
              </w:rPr>
              <w:t xml:space="preserve">。</w:t>
            </w:r>
            <w:r/>
          </w:p>
          <w:p>
            <w:pPr>
              <w:spacing w:line="24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注：磋商响应文件中提供相关</w:t>
            </w:r>
            <w:r>
              <w:rPr>
                <w:rFonts w:hint="eastAsia" w:ascii="宋体" w:hAnsi="宋体" w:cs="宋体"/>
                <w:b/>
                <w:bCs/>
                <w:color w:val="auto"/>
                <w:sz w:val="24"/>
                <w:highlight w:val="none"/>
                <w:lang w:val="en-US" w:eastAsia="zh-CN"/>
              </w:rPr>
              <w:t xml:space="preserve">职称</w:t>
            </w:r>
            <w:r>
              <w:rPr>
                <w:rFonts w:hint="eastAsia" w:ascii="宋体" w:hAnsi="宋体" w:eastAsia="宋体" w:cs="宋体"/>
                <w:b/>
                <w:bCs/>
                <w:color w:val="auto"/>
                <w:sz w:val="24"/>
                <w:highlight w:val="none"/>
              </w:rPr>
              <w:t xml:space="preserve">证书及2026年</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月-2026年</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月中任意一个月供应商为</w:t>
            </w:r>
            <w:r>
              <w:rPr>
                <w:rFonts w:hint="eastAsia" w:ascii="宋体" w:hAnsi="宋体" w:cs="宋体"/>
                <w:b/>
                <w:bCs/>
                <w:color w:val="auto"/>
                <w:sz w:val="24"/>
                <w:highlight w:val="none"/>
                <w:lang w:val="en-US" w:eastAsia="zh-CN"/>
              </w:rPr>
              <w:t xml:space="preserve">项目负责人</w:t>
            </w:r>
            <w:r>
              <w:rPr>
                <w:rFonts w:hint="eastAsia" w:ascii="宋体" w:hAnsi="宋体" w:eastAsia="宋体" w:cs="宋体"/>
                <w:b/>
                <w:bCs/>
                <w:color w:val="auto"/>
                <w:sz w:val="24"/>
                <w:highlight w:val="none"/>
              </w:rPr>
              <w:t xml:space="preserve">缴纳的社保证明材料，并加盖供应商公章，</w:t>
            </w:r>
            <w:r>
              <w:rPr>
                <w:rFonts w:hint="eastAsia" w:ascii="宋体" w:hAnsi="宋体" w:eastAsia="宋体" w:cs="宋体"/>
                <w:b/>
                <w:color w:val="auto"/>
                <w:sz w:val="24"/>
                <w:szCs w:val="24"/>
                <w:highlight w:val="none"/>
              </w:rPr>
              <w:t xml:space="preserve">未提供或提供不全均不得分。</w:t>
            </w:r>
            <w:r/>
          </w:p>
        </w:tc>
        <w:tc>
          <w:tcPr>
            <w:tcMar>
              <w:left w:w="108" w:type="dxa"/>
              <w:top w:w="0" w:type="dxa"/>
              <w:right w:w="108" w:type="dxa"/>
              <w:bottom w:w="0" w:type="dxa"/>
            </w:tcMar>
            <w:tcW w:w="437" w:type="pct"/>
            <w:vAlign w:val="center"/>
            <w:textDirection w:val="lrTb"/>
            <w:noWrap w:val="false"/>
          </w:tcPr>
          <w:p>
            <w:pPr>
              <w:jc w:val="center"/>
              <w:spacing w:line="360" w:lineRule="auto"/>
              <w:tabs>
                <w:tab w:val="left" w:pos="42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r>
      <w:tr>
        <w:trPr>
          <w:trHeight w:val="463"/>
        </w:trPr>
        <w:tc>
          <w:tcPr>
            <w:tcMar>
              <w:left w:w="108" w:type="dxa"/>
              <w:top w:w="0" w:type="dxa"/>
              <w:right w:w="108" w:type="dxa"/>
              <w:bottom w:w="0" w:type="dxa"/>
            </w:tcMar>
            <w:tcW w:w="550" w:type="pct"/>
            <w:vAlign w:val="center"/>
            <w:textDirection w:val="lrTb"/>
            <w:noWrap w:val="false"/>
          </w:tcPr>
          <w:p>
            <w:pPr>
              <w:jc w:val="center"/>
              <w:spacing w:line="360" w:lineRule="auto"/>
              <w:tabs>
                <w:tab w:val="left" w:pos="42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shd w:val="clear" w:color="auto" w:fill="auto"/>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拟投入项目人员</w:t>
            </w:r>
            <w:r/>
          </w:p>
        </w:tc>
        <w:tc>
          <w:tcPr>
            <w:shd w:val="clear" w:color="auto" w:fill="auto"/>
            <w:tcMar>
              <w:left w:w="108" w:type="dxa"/>
              <w:top w:w="0" w:type="dxa"/>
              <w:right w:w="108" w:type="dxa"/>
              <w:bottom w:w="0" w:type="dxa"/>
            </w:tcMar>
            <w:tcW w:w="3277" w:type="pct"/>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rPr>
              <w:t xml:space="preserve">拟投入本项目人员</w:t>
            </w:r>
            <w:r>
              <w:rPr>
                <w:rFonts w:hint="eastAsia" w:ascii="宋体" w:hAnsi="宋体" w:eastAsia="宋体" w:cs="宋体"/>
                <w:b/>
                <w:bCs/>
                <w:color w:val="auto"/>
                <w:sz w:val="24"/>
                <w:szCs w:val="24"/>
                <w:highlight w:val="none"/>
                <w:lang w:val="en-US" w:eastAsia="zh-CN"/>
              </w:rPr>
              <w:t xml:space="preserve">（不含项目负责人）</w:t>
            </w:r>
            <w:r>
              <w:rPr>
                <w:rFonts w:hint="eastAsia" w:ascii="宋体" w:hAnsi="宋体" w:eastAsia="宋体" w:cs="宋体"/>
                <w:color w:val="auto"/>
                <w:sz w:val="24"/>
                <w:szCs w:val="24"/>
                <w:highlight w:val="none"/>
                <w:lang w:val="en-US" w:eastAsia="zh-CN"/>
              </w:rPr>
              <w:t xml:space="preserve">具有市政公用工程二级及以上注册建造师证书的，</w:t>
            </w:r>
            <w:r>
              <w:rPr>
                <w:rFonts w:hint="eastAsia" w:ascii="宋体" w:hAnsi="宋体" w:cs="宋体"/>
                <w:color w:val="auto"/>
                <w:sz w:val="24"/>
                <w:highlight w:val="none"/>
              </w:rPr>
              <w:t xml:space="preserve">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w:t>
            </w:r>
            <w:r>
              <w:rPr>
                <w:rFonts w:hint="eastAsia" w:ascii="宋体" w:hAnsi="宋体" w:cs="宋体"/>
                <w:color w:val="auto"/>
                <w:sz w:val="24"/>
                <w:szCs w:val="24"/>
                <w:highlight w:val="none"/>
                <w:lang w:val="en-US" w:eastAsia="zh-CN"/>
              </w:rPr>
              <w:t xml:space="preserve">累计</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2.拟投入本项目人员</w:t>
            </w:r>
            <w:r>
              <w:rPr>
                <w:rFonts w:hint="eastAsia" w:ascii="宋体" w:hAnsi="宋体" w:eastAsia="宋体" w:cs="宋体"/>
                <w:b/>
                <w:bCs/>
                <w:color w:val="auto"/>
                <w:sz w:val="24"/>
                <w:szCs w:val="24"/>
                <w:highlight w:val="none"/>
                <w:lang w:val="en-US" w:eastAsia="zh-CN"/>
              </w:rPr>
              <w:t xml:space="preserve">（不含项目负责人）</w:t>
            </w:r>
            <w:r>
              <w:rPr>
                <w:rFonts w:hint="eastAsia" w:ascii="宋体" w:hAnsi="宋体" w:eastAsia="宋体" w:cs="宋体"/>
                <w:color w:val="auto"/>
                <w:sz w:val="24"/>
                <w:szCs w:val="24"/>
                <w:highlight w:val="none"/>
                <w:lang w:val="en-US" w:eastAsia="zh-CN"/>
              </w:rPr>
              <w:t xml:space="preserve">具有具备建设主管部门颁发的安全员</w:t>
            </w:r>
            <w:r>
              <w:rPr>
                <w:rFonts w:hint="eastAsia" w:ascii="宋体" w:hAnsi="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lang w:val="en-US" w:eastAsia="zh-CN"/>
              </w:rPr>
              <w:t xml:space="preserve">证的，</w:t>
            </w:r>
            <w:r>
              <w:rPr>
                <w:rFonts w:hint="eastAsia" w:ascii="宋体" w:hAnsi="宋体" w:cs="宋体"/>
                <w:color w:val="auto"/>
                <w:sz w:val="24"/>
                <w:highlight w:val="none"/>
              </w:rPr>
              <w:t xml:space="preserve">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w:t>
            </w:r>
            <w:r>
              <w:rPr>
                <w:rFonts w:hint="eastAsia" w:ascii="宋体" w:hAnsi="宋体" w:cs="宋体"/>
                <w:color w:val="auto"/>
                <w:sz w:val="24"/>
                <w:szCs w:val="24"/>
                <w:highlight w:val="none"/>
                <w:lang w:val="en-US" w:eastAsia="zh-CN"/>
              </w:rPr>
              <w:t xml:space="preserve">累计</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240" w:lineRule="auto"/>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（1）每位人员仅可提交1本符合要求的上述证书参与评分，同一人员同时持有多本不同类别/不同等级证书的，仅按对应分值最高的1本证书计取得分，所有证书分值不重复累加。</w:t>
            </w:r>
            <w:r/>
          </w:p>
          <w:p>
            <w:pPr>
              <w:spacing w:line="24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磋商响应文件中提供相关证书及2026年</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月-2026年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月中任意一个月供应商为上述人员缴纳的社保证明材料，并加盖供应商公章，</w:t>
            </w:r>
            <w:r>
              <w:rPr>
                <w:rFonts w:hint="eastAsia" w:ascii="宋体" w:hAnsi="宋体" w:eastAsia="宋体" w:cs="宋体"/>
                <w:b/>
                <w:color w:val="auto"/>
                <w:sz w:val="24"/>
                <w:szCs w:val="24"/>
                <w:highlight w:val="none"/>
              </w:rPr>
              <w:t xml:space="preserve">未提供或提供不全均不得分</w:t>
            </w:r>
            <w:r>
              <w:rPr>
                <w:rFonts w:hint="eastAsia" w:ascii="宋体" w:hAnsi="宋体" w:cs="宋体"/>
                <w:b/>
                <w:bCs/>
                <w:color w:val="auto"/>
                <w:sz w:val="24"/>
                <w:highlight w:val="none"/>
              </w:rPr>
              <w:t xml:space="preserve">。</w:t>
            </w:r>
            <w:r/>
          </w:p>
        </w:tc>
        <w:tc>
          <w:tcPr>
            <w:shd w:val="clear" w:color="auto" w:fill="auto"/>
            <w:tcMar>
              <w:left w:w="108" w:type="dxa"/>
              <w:top w:w="0" w:type="dxa"/>
              <w:right w:w="108" w:type="dxa"/>
              <w:bottom w:w="0" w:type="dxa"/>
            </w:tcMar>
            <w:tcW w:w="437"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r>
    </w:tbl>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注：1.评分细则中要求提供的证明文件及资料等在响应文件中提供并加盖公章，否则不得分。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634" w:name="_Toc10818"/>
      <w:r>
        <w:rPr>
          <w:b/>
          <w:color w:val="auto"/>
          <w:sz w:val="36"/>
          <w:szCs w:val="36"/>
          <w:highlight w:val="none"/>
        </w:rPr>
        <w:t xml:space="preserve">第四章   采购需求</w:t>
      </w:r>
      <w:bookmarkEnd w:id="634"/>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一、采购标的</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大河路(G346-银孝线)改造工程</w:t>
      </w:r>
      <w:r>
        <w:rPr>
          <w:rFonts w:hint="eastAsia" w:ascii="宋体" w:hAnsi="宋体" w:cs="宋体"/>
          <w:bCs/>
          <w:color w:val="auto"/>
          <w:sz w:val="24"/>
          <w:highlight w:val="none"/>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1.项目预算金额：</w:t>
      </w:r>
      <w:r>
        <w:rPr>
          <w:rFonts w:hint="eastAsia" w:ascii="宋体" w:hAnsi="宋体" w:cs="宋体"/>
          <w:bCs/>
          <w:color w:val="auto"/>
          <w:sz w:val="24"/>
          <w:highlight w:val="none"/>
          <w:lang w:val="en-US" w:eastAsia="zh-CN"/>
        </w:rPr>
        <w:t xml:space="preserve">141.903062</w:t>
      </w:r>
      <w:r>
        <w:rPr>
          <w:rFonts w:hint="eastAsia" w:ascii="宋体" w:hAnsi="宋体" w:cs="宋体"/>
          <w:bCs/>
          <w:color w:val="auto"/>
          <w:sz w:val="24"/>
          <w:highlight w:val="none"/>
        </w:rPr>
        <w:t xml:space="preserve">万元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2.项目最高限价：</w:t>
      </w:r>
      <w:r>
        <w:rPr>
          <w:rFonts w:hint="eastAsia" w:ascii="宋体" w:hAnsi="宋体" w:cs="宋体"/>
          <w:bCs/>
          <w:color w:val="auto"/>
          <w:sz w:val="24"/>
          <w:highlight w:val="none"/>
          <w:lang w:val="en-US" w:eastAsia="zh-CN"/>
        </w:rPr>
        <w:t xml:space="preserve">141.903062</w:t>
      </w:r>
      <w:r>
        <w:rPr>
          <w:rFonts w:hint="eastAsia" w:ascii="宋体" w:hAnsi="宋体" w:cs="宋体"/>
          <w:bCs/>
          <w:color w:val="auto"/>
          <w:sz w:val="24"/>
          <w:highlight w:val="none"/>
        </w:rPr>
        <w:t xml:space="preserve">万元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3.工程地点：</w:t>
      </w:r>
      <w:r>
        <w:rPr>
          <w:rFonts w:hint="eastAsia" w:ascii="宋体" w:hAnsi="宋体" w:cs="宋体"/>
          <w:bCs/>
          <w:color w:val="auto"/>
          <w:sz w:val="24"/>
          <w:highlight w:val="none"/>
          <w:lang w:val="en-US" w:eastAsia="zh-CN"/>
        </w:rPr>
        <w:t xml:space="preserve">常州市新北区魏村街道</w:t>
      </w:r>
      <w:r>
        <w:rPr>
          <w:rFonts w:hint="eastAsia" w:ascii="宋体" w:hAnsi="宋体" w:cs="宋体"/>
          <w:bCs/>
          <w:color w:val="auto"/>
          <w:sz w:val="24"/>
          <w:highlight w:val="none"/>
        </w:rPr>
        <w:t xml:space="preserve">。</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4.质量等级要求：合格。</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5.本次采购范围：工程量清单范围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含编制说明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的全部工程</w:t>
      </w:r>
      <w:r/>
    </w:p>
    <w:p>
      <w:pPr>
        <w:keepLines w:val="0"/>
        <w:keepNext w:val="0"/>
        <w:pageBreakBefore w:val="0"/>
        <w:spacing w:line="312" w:lineRule="auto"/>
        <w:widowControl w:val="off"/>
        <w:rPr>
          <w:rFonts w:ascii="宋体" w:hAnsi="宋体"/>
          <w:b/>
          <w:bCs/>
          <w:color w:val="auto"/>
          <w:sz w:val="24"/>
          <w:highlight w:val="none"/>
        </w:rPr>
      </w:pPr>
      <w:r>
        <w:rPr>
          <w:rFonts w:hint="eastAsia" w:ascii="宋体" w:hAnsi="宋体"/>
          <w:b/>
          <w:bCs/>
          <w:color w:val="auto"/>
          <w:sz w:val="24"/>
          <w:highlight w:val="none"/>
        </w:rPr>
        <w:t xml:space="preserve">二、商务要求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60</w:t>
      </w:r>
      <w:r>
        <w:rPr>
          <w:rFonts w:hint="eastAsia" w:ascii="宋体" w:hAnsi="宋体" w:cs="宋体"/>
          <w:bCs/>
          <w:color w:val="auto"/>
          <w:sz w:val="24"/>
          <w:highlight w:val="none"/>
        </w:rPr>
        <w:t xml:space="preserve">日历天。</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双方约定的工程款（进度款）支付的方式和时间：</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(1)合同签订后30日内甲方支付合同价款的10%作为预付工程款;</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(2)工程竣工验收合格后30天内，进度款支付至实际已完工程核定产值的80%;</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(3)工程竣工结算经甲方、审计审定后付至审定总价的97%，余款在审计结束满2年30天内向乙方一次性付清。</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注：</w:t>
      </w:r>
      <w:r>
        <w:rPr>
          <w:rFonts w:hint="eastAsia" w:ascii="宋体" w:hAnsi="宋体" w:eastAsia="宋体" w:cs="宋体"/>
          <w:bCs/>
          <w:color w:val="auto"/>
          <w:sz w:val="24"/>
          <w:highlight w:val="none"/>
          <w:lang w:eastAsia="zh-CN"/>
        </w:rPr>
        <w:t xml:space="preserve">每次付款前，乙方必须提交符合国家财税规定的正规发票。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）工程审计由建设方委托，审计模式由委托方确定。</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3.质保期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质保期2年（自验收合格之日起，开始进入质保期）。成交供应商对质保期内所发生的一切费用负责。</w:t>
      </w:r>
      <w:r/>
    </w:p>
    <w:p>
      <w:pPr>
        <w:contextualSpacing/>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1.工程量清单、编制说明下载地址：</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链接: https://pan.baidu.com/s/1ZICYxAV6V7SSvBtAj8vxKg </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提取码: cf55 </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2.其他要求</w:t>
      </w:r>
      <w:r/>
    </w:p>
    <w:p>
      <w:pPr>
        <w:pStyle w:val="1018"/>
        <w:contextualSpacing/>
        <w:ind w:firstLine="480"/>
        <w:jc w:val="left"/>
        <w:keepLines w:val="0"/>
        <w:keepNext w:val="0"/>
        <w:pageBreakBefore w:val="0"/>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 xml:space="preserve">%。</w:t>
      </w:r>
      <w:r/>
    </w:p>
    <w:p>
      <w:pPr>
        <w:keepLines w:val="0"/>
        <w:keepNext w:val="0"/>
        <w:pageBreakBefore w:val="0"/>
        <w:spacing w:line="312"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四、磋商报价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1.本工程磋商报价采用工程量清单报价。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2.本项目磋商报价为</w:t>
      </w:r>
      <w:r>
        <w:rPr>
          <w:rFonts w:hint="eastAsia" w:ascii="宋体" w:hAnsi="宋体" w:cs="宋体"/>
          <w:b/>
          <w:color w:val="auto"/>
          <w:sz w:val="24"/>
          <w:highlight w:val="none"/>
        </w:rPr>
        <w:t xml:space="preserve">固定综合单价</w:t>
      </w:r>
      <w:r>
        <w:rPr>
          <w:rFonts w:hint="eastAsia" w:ascii="宋体" w:hAnsi="宋体" w:cs="宋体"/>
          <w:bCs/>
          <w:color w:val="auto"/>
          <w:sz w:val="24"/>
          <w:highlight w:val="none"/>
        </w:rPr>
        <w:t xml:space="preserve">，磋商报价为供应商在磋商响应文件中提出的各项支付金额的总和。</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.因设计变更引起工程项目、工程量变化的，变更合同价款详见合同条款。</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本项目</w:t>
      </w:r>
      <w:r>
        <w:rPr>
          <w:rFonts w:hint="eastAsia" w:ascii="宋体" w:hAnsi="宋体" w:cs="宋体"/>
          <w:bCs/>
          <w:color w:val="auto"/>
          <w:sz w:val="24"/>
          <w:highlight w:val="none"/>
        </w:rPr>
        <w:t xml:space="preserve">反对盲目压低报价。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.磋商报价的编制要求：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的合计金额一致。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keepLines w:val="0"/>
        <w:keepNext w:val="0"/>
        <w:pageBreakBefore w:val="0"/>
        <w:spacing w:line="312" w:lineRule="auto"/>
        <w:widowControl w:val="off"/>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（4）工程量清单是按采购人提供的</w:t>
      </w:r>
      <w:r>
        <w:rPr>
          <w:rFonts w:hint="eastAsia" w:ascii="宋体" w:hAnsi="宋体" w:eastAsia="宋体" w:cs="宋体"/>
          <w:bCs/>
          <w:color w:val="auto"/>
          <w:sz w:val="24"/>
          <w:highlight w:val="none"/>
          <w:lang w:val="en-US" w:eastAsia="zh-CN"/>
        </w:rPr>
        <w:t xml:space="preserve">招标工程量清单</w:t>
      </w:r>
      <w:r>
        <w:rPr>
          <w:rFonts w:hint="eastAsia" w:ascii="宋体" w:hAnsi="宋体" w:eastAsia="宋体" w:cs="宋体"/>
          <w:bCs/>
          <w:color w:val="auto"/>
          <w:sz w:val="24"/>
          <w:highlight w:val="none"/>
        </w:rPr>
        <w:t xml:space="preserve">、答疑等相关说明；GB/T50500-2024《建设工程工程量清单计价标准》、GB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房屋建筑与装饰工程工程量计算标准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T50858-2024</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园林绿化工程工程量计算标准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通用安装工程工程量计算标准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、GB/T50857-2024《市政工程工程量计算标准》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控制价人工工资按照苏建函价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2026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27</w:t>
      </w:r>
      <w:r>
        <w:rPr>
          <w:rFonts w:hint="eastAsia" w:ascii="宋体" w:hAnsi="宋体" w:eastAsia="宋体" w:cs="宋体"/>
          <w:bCs/>
          <w:color w:val="auto"/>
          <w:sz w:val="24"/>
          <w:highlight w:val="none"/>
        </w:rPr>
        <w:t xml:space="preserve">号文；</w:t>
      </w:r>
      <w:r>
        <w:rPr>
          <w:rFonts w:hint="eastAsia" w:ascii="宋体" w:hAnsi="宋体" w:eastAsia="宋体" w:cs="宋体"/>
          <w:bCs/>
          <w:color w:val="auto"/>
          <w:sz w:val="24"/>
          <w:highlight w:val="none"/>
          <w:lang w:val="en-US" w:eastAsia="zh-CN"/>
        </w:rPr>
        <w:t xml:space="preserve">《企业安全生产费用提取和使用管理办法》</w:t>
      </w:r>
      <w:r>
        <w:rPr>
          <w:rFonts w:hint="default" w:ascii="宋体" w:hAnsi="宋体" w:eastAsia="宋体" w:cs="宋体"/>
          <w:bCs/>
          <w:color w:val="auto"/>
          <w:sz w:val="24"/>
          <w:highlight w:val="none"/>
          <w:lang w:val="en-US" w:eastAsia="zh-CN"/>
        </w:rPr>
        <w:t xml:space="preserve">(财资(2022)136 号)及有关文件规定、江苏省建设工程费用参考（2026）、江苏省建设工程施工机具台班费用、江苏省建筑与装饰消耗量（2026）、江苏省市政工程消耗量（2026）、常住建〔2026〕60 号</w:t>
      </w:r>
      <w:r>
        <w:rPr>
          <w:rFonts w:hint="eastAsia" w:ascii="宋体" w:hAnsi="宋体" w:eastAsia="宋体" w:cs="宋体"/>
          <w:bCs/>
          <w:color w:val="auto"/>
          <w:sz w:val="24"/>
          <w:highlight w:val="none"/>
          <w:lang w:val="en-US" w:eastAsia="zh-CN"/>
        </w:rPr>
        <w:t xml:space="preserve">等文编制。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（5）不可竞争费的计取按现行文件规定和清单、纪要的规定执行，具体为</w:t>
      </w:r>
      <w:r>
        <w:rPr>
          <w:rFonts w:hint="eastAsia" w:ascii="宋体" w:hAnsi="宋体" w:cs="宋体"/>
          <w:bCs/>
          <w:color w:val="auto"/>
          <w:sz w:val="24"/>
          <w:highlight w:val="none"/>
          <w:lang w:val="en-US" w:eastAsia="zh-CN"/>
        </w:rPr>
        <w:t xml:space="preserve">措施项目中的安全生产费费率</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增值税费率</w:t>
      </w:r>
      <w:r>
        <w:rPr>
          <w:rFonts w:hint="eastAsia" w:ascii="宋体" w:hAnsi="宋体" w:cs="宋体"/>
          <w:bCs/>
          <w:color w:val="auto"/>
          <w:sz w:val="24"/>
          <w:highlight w:val="none"/>
        </w:rPr>
        <w:t xml:space="preserve">、暂列金额、暂估价，不得更改。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（9）分部分项工程量清单中项目特征描述及工作内容的描述未尽之处请详见技术规范要求；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.供应商的最后报价作为评分依据，如最后报价与第一次报价不一致，则签订合同时单价</w:t>
      </w:r>
      <w:r>
        <w:rPr>
          <w:rFonts w:hint="eastAsia" w:ascii="宋体" w:hAnsi="宋体" w:cs="宋体"/>
          <w:b/>
          <w:color w:val="auto"/>
          <w:sz w:val="24"/>
          <w:highlight w:val="none"/>
          <w:lang w:val="en-US" w:eastAsia="zh-CN"/>
        </w:rPr>
        <w:t xml:space="preserve">按下浮率</w:t>
      </w:r>
      <w:r>
        <w:rPr>
          <w:rFonts w:hint="eastAsia" w:ascii="宋体" w:hAnsi="宋体" w:cs="宋体"/>
          <w:b/>
          <w:color w:val="auto"/>
          <w:sz w:val="24"/>
          <w:highlight w:val="none"/>
        </w:rPr>
        <w:t xml:space="preserve">同比例下浮</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keepLines w:val="0"/>
        <w:keepNext w:val="0"/>
        <w:pageBreakBefore w:val="0"/>
        <w:spacing w:line="312" w:lineRule="auto"/>
        <w:widowControl w:val="off"/>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（2）本项目中的单价包括分部分项中的综合单价及措施项目费中的专业措施项目。</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.其中</w:t>
      </w:r>
      <w:r>
        <w:rPr>
          <w:rFonts w:hint="eastAsia" w:ascii="宋体" w:hAnsi="宋体" w:eastAsia="宋体" w:cs="宋体"/>
          <w:b/>
          <w:color w:val="auto"/>
          <w:sz w:val="24"/>
          <w:highlight w:val="none"/>
          <w:lang w:val="en-US" w:eastAsia="zh-CN"/>
        </w:rPr>
        <w:t xml:space="preserve">措施项目清单构成明细分析表中</w:t>
      </w:r>
      <w:r>
        <w:rPr>
          <w:rFonts w:hint="eastAsia" w:ascii="宋体" w:hAnsi="宋体" w:eastAsia="宋体" w:cs="宋体"/>
          <w:b/>
          <w:color w:val="auto"/>
          <w:sz w:val="24"/>
          <w:highlight w:val="none"/>
        </w:rPr>
        <w:t xml:space="preserve">安全生产费率</w:t>
      </w:r>
      <w:r>
        <w:rPr>
          <w:rFonts w:hint="eastAsia" w:ascii="宋体" w:hAnsi="宋体" w:cs="宋体"/>
          <w:b/>
          <w:color w:val="auto"/>
          <w:sz w:val="24"/>
          <w:highlight w:val="none"/>
        </w:rPr>
        <w:t xml:space="preserve">与工程量清单费率一致，否则其响应将被视为无效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暂列金额</w:t>
      </w:r>
      <w:r>
        <w:rPr>
          <w:rFonts w:hint="eastAsia" w:ascii="宋体" w:hAnsi="宋体" w:cs="宋体"/>
          <w:b/>
          <w:color w:val="auto"/>
          <w:sz w:val="24"/>
          <w:highlight w:val="none"/>
          <w:lang w:val="en-US" w:eastAsia="zh-CN"/>
        </w:rPr>
        <w:t xml:space="preserve">（如有）</w:t>
      </w:r>
      <w:r>
        <w:rPr>
          <w:rFonts w:hint="eastAsia" w:ascii="宋体" w:hAnsi="宋体" w:eastAsia="宋体" w:cs="宋体"/>
          <w:b/>
          <w:color w:val="auto"/>
          <w:sz w:val="24"/>
          <w:highlight w:val="none"/>
          <w:lang w:val="en-US" w:eastAsia="zh-CN"/>
        </w:rPr>
        <w:t xml:space="preserve">、暂估价</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rPr>
        <w:t xml:space="preserve">应按工程量清单中列出的金额填写，否则其响应将被视为无效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增值税</w:t>
      </w:r>
      <w:r>
        <w:rPr>
          <w:rFonts w:hint="eastAsia" w:ascii="宋体" w:hAnsi="宋体" w:cs="宋体"/>
          <w:b/>
          <w:color w:val="auto"/>
          <w:sz w:val="24"/>
          <w:highlight w:val="none"/>
        </w:rPr>
        <w:t xml:space="preserve">费率必须与工程量清单一致，否则其响应将被视为无效。</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★12.本项目采用二轮报价，电子响应文件中的书面报价为首轮报价，第二轮报价为最后报价(通过系统在线报价)。最后报价不得超过预算、最高限价及首轮报价，</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val="en-US"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contextualSpacing/>
        <w:jc w:val="center"/>
        <w:spacing w:line="360" w:lineRule="auto"/>
        <w:rPr>
          <w:b/>
          <w:color w:val="auto"/>
          <w:sz w:val="36"/>
          <w:szCs w:val="36"/>
          <w:highlight w:val="none"/>
        </w:rPr>
      </w:pPr>
      <w:r/>
      <w:bookmarkStart w:id="635" w:name="_Toc17556"/>
      <w:r>
        <w:rPr>
          <w:b/>
          <w:color w:val="auto"/>
          <w:sz w:val="36"/>
          <w:szCs w:val="36"/>
          <w:highlight w:val="none"/>
        </w:rPr>
        <w:t xml:space="preserve">第五章   合同草案条款</w:t>
      </w:r>
      <w:bookmarkEnd w:id="635"/>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1024"/>
        <w:ind w:left="871" w:hanging="241"/>
        <w:jc w:val="center"/>
        <w:spacing w:before="0" w:after="0" w:line="240" w:lineRule="auto"/>
        <w:rPr>
          <w:rFonts w:ascii="Times New Roman" w:hAnsi="Times New Roman" w:eastAsia="华文中宋" w:cs="Times New Roman"/>
          <w:b w:val="0"/>
          <w:color w:val="auto"/>
          <w:sz w:val="32"/>
          <w:szCs w:val="32"/>
          <w:highlight w:val="none"/>
        </w:rPr>
        <w:outlineLvl w:val="0"/>
      </w:pPr>
      <w:r/>
      <w:bookmarkStart w:id="636" w:name="_Toc296890982"/>
      <w:r/>
      <w:bookmarkStart w:id="637" w:name="_Toc351203480"/>
      <w:r/>
      <w:bookmarkStart w:id="638" w:name="_Toc296503025"/>
      <w:r>
        <w:rPr>
          <w:rFonts w:ascii="华文中宋" w:hAnsi="华文中宋" w:eastAsia="华文中宋" w:cs="Times New Roman"/>
          <w:color w:val="auto"/>
          <w:sz w:val="32"/>
          <w:szCs w:val="32"/>
          <w:highlight w:val="none"/>
        </w:rPr>
        <w:t xml:space="preserve">第一部分 合同协议书</w:t>
      </w:r>
      <w:bookmarkEnd w:id="636"/>
      <w:r/>
      <w:bookmarkEnd w:id="637"/>
      <w:r/>
      <w:bookmarkEnd w:id="638"/>
      <w:r/>
      <w:r/>
    </w:p>
    <w:p>
      <w:pPr>
        <w:pageBreakBefore w:val="0"/>
        <w:spacing w:line="312"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1"/>
          <w:szCs w:val="21"/>
          <w:highlight w:val="none"/>
          <w:u w:val="single"/>
          <w:lang w:eastAsia="zh-CN"/>
        </w:rPr>
        <w:t xml:space="preserve">大河路(G346-银孝线)改造工程</w:t>
      </w:r>
      <w:r>
        <w:rPr>
          <w:rFonts w:hint="eastAsia" w:ascii="宋体" w:hAnsi="宋体" w:eastAsia="宋体" w:cs="宋体"/>
          <w:color w:val="auto"/>
          <w:sz w:val="21"/>
          <w:szCs w:val="21"/>
          <w:highlight w:val="none"/>
        </w:rPr>
        <w:t xml:space="preserve">施工及有关事项协商一致，共同达成如下协议：</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39" w:name="_Toc351203481"/>
      <w:r>
        <w:rPr>
          <w:rFonts w:hint="eastAsia" w:ascii="宋体" w:hAnsi="宋体" w:eastAsia="宋体" w:cs="宋体"/>
          <w:b w:val="0"/>
          <w:color w:val="auto"/>
          <w:sz w:val="21"/>
          <w:szCs w:val="21"/>
          <w:highlight w:val="none"/>
        </w:rPr>
        <w:t xml:space="preserve">一、工程概况</w:t>
      </w:r>
      <w:bookmarkEnd w:id="639"/>
      <w:r/>
      <w:r/>
    </w:p>
    <w:p>
      <w:pPr>
        <w:ind w:firstLine="41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大河路(G346-银孝线)改造工程</w:t>
      </w:r>
      <w:r>
        <w:rPr>
          <w:rFonts w:hint="eastAsia" w:ascii="宋体" w:hAnsi="宋体" w:eastAsia="宋体" w:cs="宋体"/>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财政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详见工程量清单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施工图及工程量清单范围内所有工程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640" w:name="_Toc351203482"/>
      <w:r>
        <w:rPr>
          <w:rFonts w:hint="eastAsia" w:ascii="宋体" w:hAnsi="宋体" w:eastAsia="宋体" w:cs="宋体"/>
          <w:b w:val="0"/>
          <w:color w:val="auto"/>
          <w:sz w:val="21"/>
          <w:szCs w:val="21"/>
          <w:highlight w:val="none"/>
        </w:rPr>
        <w:t xml:space="preserve">二、合同工期</w:t>
      </w:r>
      <w:bookmarkEnd w:id="640"/>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41" w:name="_Toc351203483"/>
      <w:r>
        <w:rPr>
          <w:rFonts w:hint="eastAsia" w:ascii="宋体" w:hAnsi="宋体" w:eastAsia="宋体" w:cs="宋体"/>
          <w:b w:val="0"/>
          <w:color w:val="auto"/>
          <w:sz w:val="21"/>
          <w:szCs w:val="21"/>
          <w:highlight w:val="none"/>
        </w:rPr>
        <w:t xml:space="preserve">三、质量标准</w:t>
      </w:r>
      <w:bookmarkEnd w:id="641"/>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2" w:name="_Toc351203484"/>
      <w:r>
        <w:rPr>
          <w:rFonts w:hint="eastAsia" w:ascii="宋体" w:hAnsi="宋体" w:eastAsia="宋体" w:cs="宋体"/>
          <w:b w:val="0"/>
          <w:color w:val="auto"/>
          <w:sz w:val="21"/>
          <w:szCs w:val="21"/>
          <w:highlight w:val="none"/>
        </w:rPr>
        <w:t xml:space="preserve">四、签约合同价与合同价格形式</w:t>
      </w:r>
      <w:bookmarkEnd w:id="642"/>
      <w:r>
        <w:rPr>
          <w:rFonts w:hint="eastAsia" w:ascii="宋体" w:hAnsi="宋体" w:eastAsia="宋体" w:cs="宋体"/>
          <w:b w:val="0"/>
          <w:color w:val="auto"/>
          <w:sz w:val="21"/>
          <w:szCs w:val="21"/>
          <w:highlight w:val="none"/>
        </w:rPr>
        <w:tab/>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RMB￥：              元</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643" w:name="EB5fa1952043684bd89a94e139dce61c60"/>
      <w:r/>
      <w:bookmarkEnd w:id="643"/>
      <w:r>
        <w:rPr>
          <w:rFonts w:hint="eastAsia" w:ascii="宋体" w:hAnsi="宋体" w:eastAsia="宋体" w:cs="宋体"/>
          <w:color w:val="auto"/>
          <w:sz w:val="21"/>
          <w:szCs w:val="21"/>
          <w:highlight w:val="none"/>
        </w:rPr>
        <w:t xml:space="preserve">(¥</w:t>
      </w:r>
      <w:bookmarkStart w:id="644" w:name="EBb2fbe2721e664485a397da84f7b39543"/>
      <w:r/>
      <w:bookmarkEnd w:id="644"/>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固定（综合）单价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5" w:name="_Toc351203485"/>
      <w:r>
        <w:rPr>
          <w:rFonts w:hint="eastAsia" w:ascii="宋体" w:hAnsi="宋体" w:eastAsia="宋体" w:cs="宋体"/>
          <w:b w:val="0"/>
          <w:color w:val="auto"/>
          <w:sz w:val="21"/>
          <w:szCs w:val="21"/>
          <w:highlight w:val="none"/>
        </w:rPr>
        <w:t xml:space="preserve">五、</w:t>
      </w:r>
      <w:bookmarkEnd w:id="645"/>
      <w:r>
        <w:rPr>
          <w:rFonts w:hint="eastAsia" w:ascii="宋体" w:hAnsi="宋体" w:eastAsia="宋体" w:cs="宋体"/>
          <w:b w:val="0"/>
          <w:color w:val="auto"/>
          <w:sz w:val="21"/>
          <w:szCs w:val="21"/>
          <w:highlight w:val="none"/>
        </w:rPr>
        <w:t xml:space="preserve">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6" w:name="_Toc351203486"/>
      <w:r>
        <w:rPr>
          <w:rFonts w:hint="eastAsia" w:ascii="宋体" w:hAnsi="宋体" w:eastAsia="宋体" w:cs="宋体"/>
          <w:b w:val="0"/>
          <w:color w:val="auto"/>
          <w:sz w:val="21"/>
          <w:szCs w:val="21"/>
          <w:highlight w:val="none"/>
        </w:rPr>
        <w:t xml:space="preserve">六、合同文件构成</w:t>
      </w:r>
      <w:bookmarkEnd w:id="646"/>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97"/>
        <w:pageBreakBefore w:val="0"/>
        <w:spacing w:before="0" w:after="0" w:line="312"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7" w:name="_Toc351203487"/>
      <w:r>
        <w:rPr>
          <w:rFonts w:hint="eastAsia" w:ascii="宋体" w:hAnsi="宋体" w:eastAsia="宋体" w:cs="宋体"/>
          <w:b w:val="0"/>
          <w:color w:val="auto"/>
          <w:sz w:val="21"/>
          <w:szCs w:val="21"/>
          <w:highlight w:val="none"/>
        </w:rPr>
        <w:t xml:space="preserve">七、承诺</w:t>
      </w:r>
      <w:bookmarkEnd w:id="647"/>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ageBreakBefore w:val="0"/>
        <w:spacing w:line="312" w:lineRule="auto"/>
        <w:widowControl w:val="off"/>
        <w:rPr>
          <w:rFonts w:hint="eastAsia" w:ascii="宋体" w:hAnsi="宋体" w:eastAsia="宋体" w:cs="宋体"/>
          <w:bCs/>
          <w:color w:val="auto"/>
          <w:sz w:val="21"/>
          <w:szCs w:val="21"/>
          <w:highlight w:val="none"/>
        </w:rPr>
      </w:pPr>
      <w:r/>
      <w:bookmarkStart w:id="648" w:name="_Toc351203488"/>
      <w:r>
        <w:rPr>
          <w:rFonts w:hint="eastAsia" w:ascii="宋体" w:hAnsi="宋体" w:eastAsia="宋体" w:cs="宋体"/>
          <w:b/>
          <w:color w:val="auto"/>
          <w:sz w:val="21"/>
          <w:szCs w:val="21"/>
          <w:highlight w:val="none"/>
        </w:rPr>
        <w:t xml:space="preserve">    八、词语含义</w:t>
      </w:r>
      <w:bookmarkEnd w:id="648"/>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9" w:name="_Toc351203489"/>
      <w:r>
        <w:rPr>
          <w:rFonts w:hint="eastAsia" w:ascii="宋体" w:hAnsi="宋体" w:eastAsia="宋体" w:cs="宋体"/>
          <w:b w:val="0"/>
          <w:color w:val="auto"/>
          <w:sz w:val="21"/>
          <w:szCs w:val="21"/>
          <w:highlight w:val="none"/>
        </w:rPr>
        <w:t xml:space="preserve">九、签订时间</w:t>
      </w:r>
      <w:bookmarkEnd w:id="649"/>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0" w:name="_Toc351203490"/>
      <w:r>
        <w:rPr>
          <w:rFonts w:hint="eastAsia" w:ascii="宋体" w:hAnsi="宋体" w:eastAsia="宋体" w:cs="宋体"/>
          <w:b w:val="0"/>
          <w:color w:val="auto"/>
          <w:sz w:val="21"/>
          <w:szCs w:val="21"/>
          <w:highlight w:val="none"/>
        </w:rPr>
        <w:t xml:space="preserve">十、签订地点</w:t>
      </w:r>
      <w:bookmarkEnd w:id="650"/>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1" w:name="_Toc351203491"/>
      <w:r>
        <w:rPr>
          <w:rFonts w:hint="eastAsia" w:ascii="宋体" w:hAnsi="宋体" w:eastAsia="宋体" w:cs="宋体"/>
          <w:b w:val="0"/>
          <w:color w:val="auto"/>
          <w:sz w:val="21"/>
          <w:szCs w:val="21"/>
          <w:highlight w:val="none"/>
        </w:rPr>
        <w:t xml:space="preserve">十一、补充协议</w:t>
      </w:r>
      <w:bookmarkEnd w:id="651"/>
      <w:r/>
      <w:r/>
    </w:p>
    <w:p>
      <w:pPr>
        <w:ind w:firstLine="42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2" w:name="_Toc351203492"/>
      <w:r>
        <w:rPr>
          <w:rFonts w:hint="eastAsia" w:ascii="宋体" w:hAnsi="宋体" w:eastAsia="宋体" w:cs="宋体"/>
          <w:b w:val="0"/>
          <w:color w:val="auto"/>
          <w:sz w:val="21"/>
          <w:szCs w:val="21"/>
          <w:highlight w:val="none"/>
        </w:rPr>
        <w:t xml:space="preserve">十二、合同生效</w:t>
      </w:r>
      <w:bookmarkEnd w:id="652"/>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签字、盖章   </w:t>
      </w:r>
      <w:r>
        <w:rPr>
          <w:rFonts w:hint="eastAsia" w:ascii="宋体" w:hAnsi="宋体" w:eastAsia="宋体" w:cs="宋体"/>
          <w:bCs/>
          <w:color w:val="auto"/>
          <w:sz w:val="21"/>
          <w:szCs w:val="21"/>
          <w:highlight w:val="none"/>
        </w:rPr>
        <w:t xml:space="preserve">生效。</w:t>
      </w:r>
      <w:r/>
    </w:p>
    <w:p>
      <w:pPr>
        <w:pStyle w:val="997"/>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3" w:name="_Toc351203493"/>
      <w:r>
        <w:rPr>
          <w:rFonts w:hint="eastAsia" w:ascii="宋体" w:hAnsi="宋体" w:eastAsia="宋体" w:cs="宋体"/>
          <w:b w:val="0"/>
          <w:color w:val="auto"/>
          <w:sz w:val="21"/>
          <w:szCs w:val="21"/>
          <w:highlight w:val="none"/>
        </w:rPr>
        <w:t xml:space="preserve">十三、合同份数</w:t>
      </w:r>
      <w:bookmarkEnd w:id="653"/>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8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ageBreakBefore w:val="0"/>
        <w:spacing w:line="312" w:lineRule="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jc w:val="center"/>
        <w:keepLines/>
        <w:keepNext/>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br w:type="page" w:clear="all"/>
      </w:r>
      <w:bookmarkStart w:id="654" w:name="_Toc351203494"/>
      <w:r>
        <w:rPr>
          <w:rFonts w:hint="eastAsia" w:ascii="宋体" w:hAnsi="宋体" w:eastAsia="宋体" w:cs="宋体"/>
          <w:b/>
          <w:color w:val="auto"/>
          <w:sz w:val="21"/>
          <w:szCs w:val="21"/>
          <w:highlight w:val="none"/>
          <w:lang w:val="en-US" w:eastAsia="zh-CN" w:bidi="ar-SA"/>
        </w:rPr>
        <w:t xml:space="preserve">第二部分 通用合同条款</w:t>
      </w:r>
      <w:bookmarkEnd w:id="65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此部分采用《建设工程施工合同》范本</w:t>
      </w:r>
      <w:bookmarkStart w:id="655" w:name="_Toc351203632"/>
      <w:r>
        <w:rPr>
          <w:rFonts w:hint="eastAsia" w:ascii="宋体" w:hAnsi="宋体" w:eastAsia="宋体" w:cs="宋体"/>
          <w:color w:val="auto"/>
          <w:sz w:val="21"/>
          <w:szCs w:val="21"/>
          <w:highlight w:val="none"/>
        </w:rPr>
        <w:t xml:space="preserve">（GF—2017—0201）中《第二部分 通用合同条款》内容。</w:t>
      </w:r>
      <w:r/>
    </w:p>
    <w:p>
      <w:pPr>
        <w:jc w:val="center"/>
        <w:keepLines/>
        <w:keepNext/>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t xml:space="preserve">第三部分 专用合同条款</w:t>
      </w:r>
      <w:bookmarkEnd w:id="655"/>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656" w:name="_Toc351203633"/>
      <w:r>
        <w:rPr>
          <w:rFonts w:hint="eastAsia" w:ascii="宋体" w:hAnsi="宋体" w:eastAsia="宋体" w:cs="宋体"/>
          <w:b w:val="0"/>
          <w:color w:val="auto"/>
          <w:sz w:val="21"/>
          <w:szCs w:val="21"/>
          <w:highlight w:val="none"/>
        </w:rPr>
        <w:t xml:space="preserve">1</w:t>
      </w:r>
      <w:bookmarkStart w:id="657" w:name="_Toc296503156"/>
      <w:r/>
      <w:bookmarkStart w:id="658" w:name="_Toc296891196"/>
      <w:r/>
      <w:bookmarkStart w:id="659" w:name="_Toc297048342"/>
      <w:r/>
      <w:bookmarkStart w:id="660" w:name="_Toc296346657"/>
      <w:r/>
      <w:bookmarkStart w:id="661" w:name="_Toc297120456"/>
      <w:r/>
      <w:bookmarkStart w:id="662" w:name="_Toc296890984"/>
      <w:r/>
      <w:bookmarkStart w:id="663" w:name="_Toc292559866"/>
      <w:r/>
      <w:bookmarkStart w:id="664" w:name="_Toc292559361"/>
      <w:r/>
      <w:bookmarkStart w:id="665" w:name="_Toc296347155"/>
      <w:r/>
      <w:bookmarkStart w:id="666" w:name="_Toc296944495"/>
      <w:r>
        <w:rPr>
          <w:rFonts w:hint="eastAsia" w:ascii="宋体" w:hAnsi="宋体" w:eastAsia="宋体" w:cs="宋体"/>
          <w:b w:val="0"/>
          <w:color w:val="auto"/>
          <w:sz w:val="21"/>
          <w:szCs w:val="21"/>
          <w:highlight w:val="none"/>
        </w:rPr>
        <w:t xml:space="preserve">. 一般约定</w:t>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bookmarkStart w:id="667" w:name="EBa59562710c1342639fea6e701a6a4cbe"/>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bookmarkEnd w:id="667"/>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合同协议书；（2）中标通知书（如果有）；（3）投标函及其附录（如果有）；（4）专用合同条款及其附件；（5）通用合同条款；（6）技术标准和要求；（7）图纸（如果有）；（8）已标价工程量清单或预算书；（9）其他合同文件</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lang w:val="en-US" w:eastAsia="zh-CN"/>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包含但不限于发包人和监理人要求的各类报表、验收资料及竣工资料等</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竣工验收前</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一式肆份</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纸质和电子文件</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bookmarkStart w:id="668" w:name="EB5534a68665764e60a671cd5b215eafef"/>
      <w:r>
        <w:rPr>
          <w:rFonts w:hint="eastAsia" w:ascii="宋体" w:hAnsi="宋体" w:eastAsia="宋体" w:cs="宋体"/>
          <w:color w:val="auto"/>
          <w:sz w:val="21"/>
          <w:szCs w:val="21"/>
          <w:highlight w:val="none"/>
          <w:u w:val="single"/>
        </w:rPr>
        <w:t xml:space="preserve">承包人提供相应文件后7天内</w:t>
      </w:r>
      <w:bookmarkEnd w:id="668"/>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1 </w:t>
      </w:r>
      <w:r>
        <w:rPr>
          <w:rFonts w:hint="eastAsia" w:ascii="宋体" w:hAnsi="宋体" w:eastAsia="宋体" w:cs="宋体"/>
          <w:color w:val="auto"/>
          <w:sz w:val="21"/>
          <w:szCs w:val="21"/>
          <w:highlight w:val="none"/>
        </w:rPr>
        <w:t xml:space="preserve">天内将与合同有关的通知、批准、证明、证书、要求、请求、同意、意见、确定和决定等书面函件送达对方当事人。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总监理工程师或其授权代表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69" w:name="_Toc300934943"/>
      <w:r/>
      <w:bookmarkStart w:id="670" w:name="_Toc318581155"/>
      <w:r/>
      <w:bookmarkStart w:id="671" w:name="_Toc304295521"/>
      <w:r/>
      <w:bookmarkStart w:id="672" w:name="_Toc303539100"/>
      <w:r/>
      <w:bookmarkStart w:id="673" w:name="_Toc312677986"/>
      <w:r>
        <w:rPr>
          <w:rFonts w:hint="eastAsia" w:ascii="宋体" w:hAnsi="宋体" w:eastAsia="宋体" w:cs="宋体"/>
          <w:color w:val="auto"/>
          <w:sz w:val="21"/>
          <w:szCs w:val="21"/>
          <w:highlight w:val="none"/>
        </w:rPr>
        <w:t xml:space="preserve">.10.1 出入现场的权利</w:t>
      </w:r>
      <w:r/>
    </w:p>
    <w:p>
      <w:pPr>
        <w:ind w:lef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bookmarkEnd w:id="669"/>
      <w:r/>
      <w:bookmarkEnd w:id="670"/>
      <w:r/>
      <w:bookmarkEnd w:id="671"/>
      <w:r/>
      <w:bookmarkEnd w:id="672"/>
      <w:r/>
      <w:bookmarkEnd w:id="673"/>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74" w:name="_Toc304295522"/>
      <w:r/>
      <w:bookmarkStart w:id="675" w:name="_Toc318581156"/>
      <w:r/>
      <w:bookmarkStart w:id="676" w:name="_Toc303539101"/>
      <w:r/>
      <w:bookmarkStart w:id="677" w:name="_Toc300934944"/>
      <w:r/>
      <w:bookmarkStart w:id="678" w:name="_Toc312677987"/>
      <w:r>
        <w:rPr>
          <w:rFonts w:hint="eastAsia" w:ascii="宋体" w:hAnsi="宋体" w:eastAsia="宋体" w:cs="宋体"/>
          <w:color w:val="auto"/>
          <w:sz w:val="21"/>
          <w:szCs w:val="21"/>
          <w:highlight w:val="none"/>
        </w:rPr>
        <w:t xml:space="preserve">.10.3 场内交通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bookmarkEnd w:id="674"/>
      <w:r/>
      <w:bookmarkEnd w:id="675"/>
      <w:r/>
      <w:bookmarkEnd w:id="676"/>
      <w:r/>
      <w:bookmarkEnd w:id="677"/>
      <w:r/>
      <w:bookmarkEnd w:id="678"/>
      <w:r>
        <w:rPr>
          <w:rFonts w:hint="eastAsia" w:ascii="宋体" w:hAnsi="宋体" w:eastAsia="宋体" w:cs="宋体"/>
          <w:color w:val="auto"/>
          <w:sz w:val="21"/>
          <w:szCs w:val="21"/>
          <w:highlight w:val="none"/>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sz w:val="21"/>
          <w:szCs w:val="21"/>
          <w:highlight w:val="none"/>
        </w:rPr>
        <w:t xml:space="preserve">。  </w:t>
      </w:r>
      <w:bookmarkStart w:id="679" w:name="_Toc31858115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bookmarkEnd w:id="679"/>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执行通用条款。</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680" w:name="_Toc351203634"/>
      <w:r>
        <w:rPr>
          <w:rFonts w:hint="eastAsia" w:ascii="宋体" w:hAnsi="宋体" w:eastAsia="宋体" w:cs="宋体"/>
          <w:b w:val="0"/>
          <w:color w:val="auto"/>
          <w:sz w:val="21"/>
          <w:szCs w:val="21"/>
          <w:highlight w:val="none"/>
        </w:rPr>
        <w:t xml:space="preserve">2</w:t>
      </w:r>
      <w:bookmarkStart w:id="681" w:name="_Toc296346658"/>
      <w:r/>
      <w:bookmarkStart w:id="682" w:name="_Toc297048343"/>
      <w:r/>
      <w:bookmarkStart w:id="683" w:name="_Toc292559362"/>
      <w:r/>
      <w:bookmarkStart w:id="684" w:name="_Toc292559867"/>
      <w:r/>
      <w:bookmarkStart w:id="685" w:name="_Toc296890985"/>
      <w:r/>
      <w:bookmarkStart w:id="686" w:name="_Toc296891197"/>
      <w:r/>
      <w:bookmarkStart w:id="687" w:name="_Toc296944496"/>
      <w:r/>
      <w:bookmarkStart w:id="688" w:name="_Toc296503157"/>
      <w:r/>
      <w:bookmarkStart w:id="689" w:name="_Toc297120457"/>
      <w:r/>
      <w:bookmarkStart w:id="690" w:name="_Toc296347156"/>
      <w:r>
        <w:rPr>
          <w:rFonts w:hint="eastAsia" w:ascii="宋体" w:hAnsi="宋体" w:eastAsia="宋体" w:cs="宋体"/>
          <w:b w:val="0"/>
          <w:color w:val="auto"/>
          <w:sz w:val="21"/>
          <w:szCs w:val="21"/>
          <w:highlight w:val="none"/>
        </w:rPr>
        <w:t xml:space="preserve">. 发包人</w:t>
      </w:r>
      <w:bookmarkEnd w:id="680"/>
      <w:r/>
      <w:bookmarkEnd w:id="681"/>
      <w:r/>
      <w:bookmarkEnd w:id="682"/>
      <w:r/>
      <w:bookmarkEnd w:id="683"/>
      <w:r/>
      <w:bookmarkEnd w:id="684"/>
      <w:r/>
      <w:bookmarkEnd w:id="685"/>
      <w:r/>
      <w:bookmarkEnd w:id="686"/>
      <w:r/>
      <w:bookmarkEnd w:id="687"/>
      <w:r/>
      <w:bookmarkEnd w:id="688"/>
      <w:r/>
      <w:bookmarkEnd w:id="689"/>
      <w:r/>
      <w:bookmarkEnd w:id="690"/>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开工前提供，施工现场具备开工条件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691" w:name="_Toc351203635"/>
      <w:r>
        <w:rPr>
          <w:rFonts w:hint="eastAsia" w:ascii="宋体" w:hAnsi="宋体" w:eastAsia="宋体" w:cs="宋体"/>
          <w:b w:val="0"/>
          <w:color w:val="auto"/>
          <w:sz w:val="21"/>
          <w:szCs w:val="21"/>
          <w:highlight w:val="none"/>
        </w:rPr>
        <w:t xml:space="preserve">3</w:t>
      </w:r>
      <w:bookmarkStart w:id="692" w:name="_Toc296503158"/>
      <w:r/>
      <w:bookmarkStart w:id="693" w:name="_Toc292559868"/>
      <w:r/>
      <w:bookmarkStart w:id="694" w:name="_Toc296346659"/>
      <w:r/>
      <w:bookmarkStart w:id="695" w:name="_Toc296944497"/>
      <w:r/>
      <w:bookmarkStart w:id="696" w:name="_Toc297120458"/>
      <w:r/>
      <w:bookmarkStart w:id="697" w:name="_Toc292559363"/>
      <w:r/>
      <w:bookmarkStart w:id="698" w:name="_Toc297048344"/>
      <w:r/>
      <w:bookmarkStart w:id="699" w:name="_Toc296347157"/>
      <w:r/>
      <w:bookmarkStart w:id="700" w:name="_Toc296891198"/>
      <w:r/>
      <w:bookmarkStart w:id="701" w:name="_Toc296890986"/>
      <w:r>
        <w:rPr>
          <w:rFonts w:hint="eastAsia" w:ascii="宋体" w:hAnsi="宋体" w:eastAsia="宋体" w:cs="宋体"/>
          <w:b w:val="0"/>
          <w:color w:val="auto"/>
          <w:sz w:val="21"/>
          <w:szCs w:val="21"/>
          <w:highlight w:val="none"/>
        </w:rPr>
        <w:t xml:space="preserve">. 承包人</w:t>
      </w:r>
      <w:bookmarkEnd w:id="691"/>
      <w:r/>
      <w:bookmarkEnd w:id="692"/>
      <w:r/>
      <w:bookmarkEnd w:id="693"/>
      <w:r/>
      <w:bookmarkEnd w:id="694"/>
      <w:r/>
      <w:bookmarkEnd w:id="695"/>
      <w:r/>
      <w:bookmarkEnd w:id="696"/>
      <w:r/>
      <w:bookmarkEnd w:id="697"/>
      <w:r/>
      <w:bookmarkEnd w:id="698"/>
      <w:r/>
      <w:bookmarkEnd w:id="699"/>
      <w:r/>
      <w:bookmarkEnd w:id="700"/>
      <w:r/>
      <w:bookmarkEnd w:id="701"/>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承包人提交的竣工资料的内容：</w:t>
      </w:r>
      <w:bookmarkStart w:id="702" w:name="EB24f010a9250545559a40b307368337ca"/>
      <w:r>
        <w:rPr>
          <w:rFonts w:hint="eastAsia" w:ascii="宋体" w:hAnsi="宋体" w:eastAsia="宋体" w:cs="宋体"/>
          <w:color w:val="auto"/>
          <w:sz w:val="21"/>
          <w:szCs w:val="21"/>
          <w:highlight w:val="none"/>
          <w:u w:val="single"/>
        </w:rPr>
        <w:t xml:space="preserve">所有书面和电子竣工资料</w:t>
      </w:r>
      <w:bookmarkEnd w:id="702"/>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bookmarkStart w:id="703" w:name="EBd003d1b505a84249bb0a5b3aa148e89c"/>
      <w:r>
        <w:rPr>
          <w:rFonts w:hint="eastAsia" w:ascii="宋体" w:hAnsi="宋体" w:eastAsia="宋体" w:cs="宋体"/>
          <w:color w:val="auto"/>
          <w:sz w:val="21"/>
          <w:szCs w:val="21"/>
          <w:highlight w:val="none"/>
          <w:u w:val="single"/>
        </w:rPr>
        <w:t xml:space="preserve">满足发包人档案编制要求</w:t>
      </w:r>
      <w:bookmarkEnd w:id="703"/>
      <w:r>
        <w:rPr>
          <w:rFonts w:hint="eastAsia" w:ascii="宋体" w:hAnsi="宋体" w:eastAsia="宋体" w:cs="宋体"/>
          <w:color w:val="auto"/>
          <w:sz w:val="21"/>
          <w:szCs w:val="21"/>
          <w:highlight w:val="none"/>
        </w:rPr>
        <w:t xml:space="preserve">。</w:t>
      </w:r>
      <w:r/>
    </w:p>
    <w:p>
      <w:pPr>
        <w:ind w:left="638"/>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由承包人自行承担</w:t>
      </w:r>
      <w:r>
        <w:rPr>
          <w:rFonts w:hint="eastAsia" w:ascii="宋体" w:hAnsi="宋体" w:eastAsia="宋体" w:cs="宋体"/>
          <w:color w:val="auto"/>
          <w:sz w:val="21"/>
          <w:szCs w:val="21"/>
          <w:highlight w:val="none"/>
        </w:rPr>
        <w:t xml:space="preserve">。</w:t>
      </w:r>
      <w:r/>
    </w:p>
    <w:p>
      <w:pPr>
        <w:ind w:left="638"/>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竣工验收前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纸质和电子文件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代表承包人行使合同约定的权利和义务，履行合同约定的各项职责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   5000元/次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开工前7天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3.3.4承包人主要施工管理人员离开施工现场的批准要求：</w:t>
      </w:r>
      <w:r>
        <w:rPr>
          <w:rFonts w:hint="eastAsia" w:ascii="宋体" w:hAnsi="宋体" w:eastAsia="宋体" w:cs="宋体"/>
          <w:color w:val="auto"/>
          <w:sz w:val="21"/>
          <w:szCs w:val="21"/>
          <w:highlight w:val="none"/>
          <w:u w:val="single"/>
        </w:rPr>
        <w:t xml:space="preserve">须征得发包人书面同意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704" w:name="_Toc296891199"/>
      <w:r/>
      <w:bookmarkStart w:id="705" w:name="_Toc297120459"/>
      <w:r/>
      <w:bookmarkStart w:id="706" w:name="_Toc296347158"/>
      <w:r/>
      <w:bookmarkStart w:id="707" w:name="_Toc304295523"/>
      <w:r/>
      <w:bookmarkStart w:id="708" w:name="_Toc297123492"/>
      <w:r/>
      <w:bookmarkStart w:id="709" w:name="_Toc292559364"/>
      <w:r/>
      <w:bookmarkStart w:id="710" w:name="_Toc297216151"/>
      <w:r/>
      <w:bookmarkStart w:id="711" w:name="_Toc292559869"/>
      <w:r/>
      <w:bookmarkStart w:id="712" w:name="_Toc303539102"/>
      <w:r/>
      <w:bookmarkStart w:id="713" w:name="_Toc296346660"/>
      <w:r/>
      <w:bookmarkStart w:id="714" w:name="_Toc300934945"/>
      <w:r/>
      <w:bookmarkStart w:id="715" w:name="_Toc297048345"/>
      <w:r/>
      <w:bookmarkStart w:id="716" w:name="_Toc296890987"/>
      <w:r/>
      <w:bookmarkStart w:id="717" w:name="_Toc312677988"/>
      <w:r/>
      <w:bookmarkStart w:id="718" w:name="_Toc296944498"/>
      <w:r/>
      <w:bookmarkStart w:id="719" w:name="_Toc296503159"/>
      <w:r>
        <w:rPr>
          <w:rFonts w:hint="eastAsia" w:ascii="宋体" w:hAnsi="宋体" w:eastAsia="宋体" w:cs="宋体"/>
          <w:color w:val="auto"/>
          <w:sz w:val="21"/>
          <w:szCs w:val="21"/>
          <w:highlight w:val="none"/>
        </w:rPr>
        <w:t xml:space="preserve">.5 分包</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720" w:name="_Toc297123493"/>
      <w:r/>
      <w:bookmarkStart w:id="721" w:name="_Toc297120460"/>
      <w:r/>
      <w:bookmarkStart w:id="722" w:name="_Toc297048346"/>
      <w:r/>
      <w:bookmarkStart w:id="723" w:name="_Toc296503160"/>
      <w:r/>
      <w:bookmarkStart w:id="724" w:name="_Toc292559870"/>
      <w:r/>
      <w:bookmarkStart w:id="725" w:name="_Toc296346661"/>
      <w:r/>
      <w:bookmarkStart w:id="726" w:name="_Toc303539103"/>
      <w:r/>
      <w:bookmarkStart w:id="727" w:name="_Toc296890988"/>
      <w:r/>
      <w:bookmarkStart w:id="728" w:name="_Toc292559365"/>
      <w:r/>
      <w:bookmarkStart w:id="729" w:name="_Toc296944499"/>
      <w:r/>
      <w:bookmarkStart w:id="730" w:name="_Toc304295524"/>
      <w:r/>
      <w:bookmarkStart w:id="731" w:name="_Toc296891200"/>
      <w:r/>
      <w:bookmarkStart w:id="732" w:name="_Toc296347159"/>
      <w:r/>
      <w:bookmarkStart w:id="733" w:name="_Toc300934946"/>
      <w:r/>
      <w:bookmarkStart w:id="734" w:name="_Toc297216152"/>
      <w:r/>
      <w:bookmarkStart w:id="735" w:name="_Toc318581158"/>
      <w:r/>
      <w:bookmarkStart w:id="736" w:name="_Toc312677989"/>
      <w:r>
        <w:rPr>
          <w:rFonts w:hint="eastAsia" w:ascii="宋体" w:hAnsi="宋体" w:eastAsia="宋体" w:cs="宋体"/>
          <w:color w:val="auto"/>
          <w:sz w:val="21"/>
          <w:szCs w:val="21"/>
          <w:highlight w:val="none"/>
        </w:rPr>
        <w:t xml:space="preserve">.5.1 分包的一般约定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Start w:id="737" w:name="_Toc296891201"/>
      <w:r/>
      <w:bookmarkStart w:id="738" w:name="_Toc300934947"/>
      <w:r/>
      <w:bookmarkStart w:id="739" w:name="_Toc297120461"/>
      <w:r/>
      <w:bookmarkStart w:id="740" w:name="_Toc297216153"/>
      <w:r/>
      <w:bookmarkStart w:id="741" w:name="_Toc296346662"/>
      <w:r/>
      <w:bookmarkStart w:id="742" w:name="_Toc303539104"/>
      <w:r/>
      <w:bookmarkStart w:id="743" w:name="_Toc304295525"/>
      <w:r/>
      <w:bookmarkStart w:id="744" w:name="_Toc297048347"/>
      <w:r/>
      <w:bookmarkStart w:id="745" w:name="_Toc296503161"/>
      <w:r/>
      <w:bookmarkStart w:id="746" w:name="_Toc296944500"/>
      <w:r/>
      <w:bookmarkStart w:id="747" w:name="_Toc297123494"/>
      <w:r/>
      <w:bookmarkStart w:id="748" w:name="_Toc296890989"/>
      <w:r/>
      <w:bookmarkStart w:id="749" w:name="_Toc296347160"/>
      <w:r>
        <w:rPr>
          <w:rFonts w:hint="eastAsia" w:ascii="宋体" w:hAnsi="宋体" w:eastAsia="宋体" w:cs="宋体"/>
          <w:color w:val="auto"/>
          <w:sz w:val="21"/>
          <w:szCs w:val="21"/>
          <w:highlight w:val="none"/>
          <w:u w:val="single"/>
        </w:rPr>
        <w:t xml:space="preserve">本工程严禁转包，一经发现，即中止合同，并赔偿由此造成的一切损失。专业工程分包需符合相关规定，并报监理人和发包人批准</w:t>
      </w:r>
      <w:r>
        <w:rPr>
          <w:rFonts w:hint="eastAsia" w:ascii="宋体" w:hAnsi="宋体" w:eastAsia="宋体" w:cs="宋体"/>
          <w:color w:val="auto"/>
          <w:sz w:val="21"/>
          <w:szCs w:val="21"/>
          <w:highlight w:val="none"/>
        </w:rPr>
        <w:t xml:space="preserve">。</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750" w:name="_Toc312677990"/>
      <w:r/>
      <w:bookmarkStart w:id="751" w:name="_Toc318581159"/>
      <w:r>
        <w:rPr>
          <w:rFonts w:hint="eastAsia" w:ascii="宋体" w:hAnsi="宋体" w:eastAsia="宋体" w:cs="宋体"/>
          <w:color w:val="auto"/>
          <w:sz w:val="21"/>
          <w:szCs w:val="21"/>
          <w:highlight w:val="none"/>
        </w:rPr>
        <w:t xml:space="preserve">.5.2分包的确定</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750"/>
      <w:r/>
      <w:bookmarkEnd w:id="751"/>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需提供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（1）中标人应在合同签订前向采购人提供合同金额的5%的履约保证金。中标人应当以支票、汇票、本票或者金融机构、担保机构出具的履约保函（保险）等非现金形式提交。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（2）如果中标人未能履行合同规定的任何义务，采购人有权从履约保证金中取得补偿。</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（3）履约保证金或履约保函将在合同履行完毕后退回（无息）。</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752" w:name="_Toc351203636"/>
      <w:r>
        <w:rPr>
          <w:rFonts w:hint="eastAsia" w:ascii="宋体" w:hAnsi="宋体" w:eastAsia="宋体" w:cs="宋体"/>
          <w:b w:val="0"/>
          <w:color w:val="auto"/>
          <w:sz w:val="21"/>
          <w:szCs w:val="21"/>
          <w:highlight w:val="none"/>
        </w:rPr>
        <w:t xml:space="preserve">4</w:t>
      </w:r>
      <w:bookmarkStart w:id="753" w:name="_Toc296891202"/>
      <w:r/>
      <w:bookmarkStart w:id="754" w:name="_Toc296944501"/>
      <w:r/>
      <w:bookmarkStart w:id="755" w:name="_Toc296346663"/>
      <w:r/>
      <w:bookmarkStart w:id="756" w:name="_Toc296347161"/>
      <w:r/>
      <w:bookmarkStart w:id="757" w:name="_Toc297120462"/>
      <w:r/>
      <w:bookmarkStart w:id="758" w:name="_Toc292559871"/>
      <w:r/>
      <w:bookmarkStart w:id="759" w:name="_Toc297048348"/>
      <w:r/>
      <w:bookmarkStart w:id="760" w:name="_Toc296890990"/>
      <w:r/>
      <w:bookmarkStart w:id="761" w:name="_Toc292559366"/>
      <w:r/>
      <w:bookmarkStart w:id="762" w:name="_Toc296503162"/>
      <w:r/>
      <w:bookmarkStart w:id="763" w:name="_Toc267251413"/>
      <w:r>
        <w:rPr>
          <w:rFonts w:hint="eastAsia" w:ascii="宋体" w:hAnsi="宋体" w:eastAsia="宋体" w:cs="宋体"/>
          <w:b w:val="0"/>
          <w:color w:val="auto"/>
          <w:sz w:val="21"/>
          <w:szCs w:val="21"/>
          <w:highlight w:val="none"/>
        </w:rPr>
        <w:t xml:space="preserve">. 监</w:t>
      </w:r>
      <w:bookmarkEnd w:id="753"/>
      <w:r/>
      <w:bookmarkEnd w:id="754"/>
      <w:r/>
      <w:bookmarkEnd w:id="755"/>
      <w:r/>
      <w:bookmarkEnd w:id="756"/>
      <w:r/>
      <w:bookmarkEnd w:id="757"/>
      <w:r/>
      <w:bookmarkEnd w:id="758"/>
      <w:r/>
      <w:bookmarkEnd w:id="759"/>
      <w:r/>
      <w:bookmarkEnd w:id="760"/>
      <w:r/>
      <w:bookmarkEnd w:id="761"/>
      <w:r/>
      <w:bookmarkEnd w:id="762"/>
      <w:r/>
      <w:bookmarkEnd w:id="763"/>
      <w:r>
        <w:rPr>
          <w:rFonts w:hint="eastAsia" w:ascii="宋体" w:hAnsi="宋体" w:eastAsia="宋体" w:cs="宋体"/>
          <w:b w:val="0"/>
          <w:color w:val="auto"/>
          <w:sz w:val="21"/>
          <w:szCs w:val="21"/>
          <w:highlight w:val="none"/>
        </w:rPr>
        <w:t xml:space="preserve">理人</w:t>
      </w:r>
      <w:bookmarkEnd w:id="752"/>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按监理合同执行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按监理合同执行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764" w:name="_Toc267251418"/>
      <w:r/>
      <w:bookmarkStart w:id="765" w:name="_Toc351203637"/>
      <w:r>
        <w:rPr>
          <w:rFonts w:hint="eastAsia" w:ascii="宋体" w:hAnsi="宋体" w:eastAsia="宋体" w:cs="宋体"/>
          <w:b w:val="0"/>
          <w:color w:val="auto"/>
          <w:sz w:val="21"/>
          <w:szCs w:val="21"/>
          <w:highlight w:val="none"/>
        </w:rPr>
        <w:t xml:space="preserve">5</w:t>
      </w:r>
      <w:bookmarkEnd w:id="764"/>
      <w:r/>
      <w:bookmarkStart w:id="766" w:name="_Toc292559872"/>
      <w:r/>
      <w:bookmarkStart w:id="767" w:name="_Toc296891203"/>
      <w:r/>
      <w:bookmarkStart w:id="768" w:name="_Toc296346664"/>
      <w:r/>
      <w:bookmarkStart w:id="769" w:name="_Toc296347162"/>
      <w:r/>
      <w:bookmarkStart w:id="770" w:name="_Toc296503163"/>
      <w:r/>
      <w:bookmarkStart w:id="771" w:name="_Toc296944502"/>
      <w:r/>
      <w:bookmarkStart w:id="772" w:name="_Toc292559367"/>
      <w:r/>
      <w:bookmarkStart w:id="773" w:name="_Toc296890991"/>
      <w:r/>
      <w:bookmarkStart w:id="774" w:name="_Toc297048349"/>
      <w:r/>
      <w:bookmarkStart w:id="775" w:name="_Toc297120463"/>
      <w:r>
        <w:rPr>
          <w:rFonts w:hint="eastAsia" w:ascii="宋体" w:hAnsi="宋体" w:eastAsia="宋体" w:cs="宋体"/>
          <w:b w:val="0"/>
          <w:color w:val="auto"/>
          <w:sz w:val="21"/>
          <w:szCs w:val="21"/>
          <w:highlight w:val="none"/>
        </w:rPr>
        <w:t xml:space="preserve">. 工程质量</w:t>
      </w:r>
      <w:bookmarkEnd w:id="765"/>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776" w:name="_Toc297123496"/>
      <w:r/>
      <w:bookmarkStart w:id="777" w:name="_Toc304295527"/>
      <w:r/>
      <w:bookmarkStart w:id="778" w:name="_Toc303539106"/>
      <w:r/>
      <w:bookmarkStart w:id="779" w:name="_Toc318581164"/>
      <w:r/>
      <w:bookmarkStart w:id="780" w:name="_Toc297216155"/>
      <w:r/>
      <w:bookmarkStart w:id="781" w:name="_Toc300934949"/>
      <w:r/>
      <w:bookmarkStart w:id="782" w:name="_Toc31267799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工程未达到合格，承包人除返工合格外，还需承担（分部分项工程费-</w:t>
      </w:r>
      <w:r>
        <w:rPr>
          <w:rFonts w:hint="eastAsia" w:ascii="宋体" w:hAnsi="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工程设备费）的1%违约金，由于承包人原因引起的验收不合格而引起的工期延误及其他返工等相应经济损失由承包人承担。</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24小时</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 xml:space="preserve">小时。</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783" w:name="_Toc351203638"/>
      <w:r>
        <w:rPr>
          <w:rFonts w:hint="eastAsia" w:ascii="宋体" w:hAnsi="宋体" w:eastAsia="宋体" w:cs="宋体"/>
          <w:b w:val="0"/>
          <w:color w:val="auto"/>
          <w:sz w:val="21"/>
          <w:szCs w:val="21"/>
          <w:highlight w:val="none"/>
        </w:rPr>
        <w:t xml:space="preserve">6. 安全文明施工与环境保护</w:t>
      </w:r>
      <w:bookmarkEnd w:id="783"/>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保证安全生产，文明施工，减少扰民降低环境污染和噪音的措施</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现场安全文明施工措施费按规定核定后计取</w:t>
      </w:r>
      <w:r>
        <w:rPr>
          <w:rFonts w:hint="eastAsia" w:ascii="宋体" w:hAnsi="宋体" w:eastAsia="宋体" w:cs="宋体"/>
          <w:color w:val="auto"/>
          <w:sz w:val="21"/>
          <w:szCs w:val="21"/>
          <w:highlight w:val="none"/>
        </w:rPr>
        <w:t xml:space="preserve">。</w:t>
      </w:r>
      <w:bookmarkEnd w:id="776"/>
      <w:r/>
      <w:bookmarkEnd w:id="777"/>
      <w:r/>
      <w:bookmarkEnd w:id="778"/>
      <w:r/>
      <w:bookmarkEnd w:id="779"/>
      <w:r/>
      <w:bookmarkEnd w:id="780"/>
      <w:r/>
      <w:bookmarkEnd w:id="781"/>
      <w:r/>
      <w:bookmarkEnd w:id="782"/>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784" w:name="_Toc351203639"/>
      <w:r>
        <w:rPr>
          <w:rFonts w:hint="eastAsia" w:ascii="宋体" w:hAnsi="宋体" w:eastAsia="宋体" w:cs="宋体"/>
          <w:b w:val="0"/>
          <w:color w:val="auto"/>
          <w:sz w:val="21"/>
          <w:szCs w:val="21"/>
          <w:highlight w:val="none"/>
        </w:rPr>
        <w:t xml:space="preserve">7. 工期和进度</w:t>
      </w:r>
      <w:bookmarkEnd w:id="784"/>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(1)承包人应当在收到监理人开工通知后7天内，编制详细的施工进度计划和施工方案说明并报送监理人。承包人编制施工进度计划和施工方案说明的内容：</w:t>
      </w:r>
      <w:bookmarkStart w:id="785" w:name="EBaae328afc4494697a729723be59a3e28"/>
      <w:r>
        <w:rPr>
          <w:rFonts w:hint="eastAsia" w:ascii="宋体" w:hAnsi="宋体" w:eastAsia="宋体" w:cs="宋体"/>
          <w:color w:val="auto"/>
          <w:sz w:val="21"/>
          <w:szCs w:val="21"/>
          <w:highlight w:val="none"/>
          <w:u w:val="single"/>
        </w:rPr>
        <w:t xml:space="preserve">网络总进度计划、年度施工进度计划、阶段性施工进度计划</w:t>
      </w:r>
      <w:bookmarkEnd w:id="785"/>
      <w:r/>
      <w:bookmarkStart w:id="786" w:name="EBe474b5ccca2043c79eed2c688347fe38"/>
      <w:r/>
      <w:bookmarkEnd w:id="786"/>
      <w:r>
        <w:rPr>
          <w:rFonts w:hint="eastAsia" w:ascii="宋体" w:hAnsi="宋体" w:eastAsia="宋体" w:cs="宋体"/>
          <w:color w:val="auto"/>
          <w:sz w:val="21"/>
          <w:szCs w:val="21"/>
          <w:highlight w:val="none"/>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87" w:name="EBd8a6fb6a94a846f4a8ee01f9b26db30c"/>
      <w:r>
        <w:rPr>
          <w:rFonts w:hint="eastAsia" w:ascii="宋体" w:hAnsi="宋体" w:eastAsia="宋体" w:cs="宋体"/>
          <w:color w:val="auto"/>
          <w:sz w:val="21"/>
          <w:szCs w:val="21"/>
          <w:highlight w:val="none"/>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87"/>
      <w:r>
        <w:rPr>
          <w:rFonts w:hint="eastAsia" w:ascii="宋体" w:hAnsi="宋体" w:eastAsia="宋体" w:cs="宋体"/>
          <w:color w:val="auto"/>
          <w:sz w:val="21"/>
          <w:szCs w:val="21"/>
          <w:highlight w:val="none"/>
          <w:u w:val="single"/>
        </w:rPr>
        <w:t xml:space="preserve">。(4)承包人报送分阶段或分项施工进度计划和施工方案说明的期限</w:t>
      </w:r>
      <w:bookmarkStart w:id="788" w:name="EBc5c0552316a74fe8b9bfdc89d95dd02b"/>
      <w:r>
        <w:rPr>
          <w:rFonts w:hint="eastAsia" w:ascii="宋体" w:hAnsi="宋体" w:eastAsia="宋体" w:cs="宋体"/>
          <w:color w:val="auto"/>
          <w:sz w:val="21"/>
          <w:szCs w:val="21"/>
          <w:highlight w:val="none"/>
          <w:u w:val="single"/>
        </w:rPr>
        <w:t xml:space="preserve">:如有需要，另行商定</w:t>
      </w:r>
      <w:bookmarkEnd w:id="788"/>
      <w:r>
        <w:rPr>
          <w:rFonts w:hint="eastAsia" w:ascii="宋体" w:hAnsi="宋体" w:eastAsia="宋体" w:cs="宋体"/>
          <w:color w:val="auto"/>
          <w:sz w:val="21"/>
          <w:szCs w:val="21"/>
          <w:highlight w:val="none"/>
          <w:u w:val="singl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89" w:name="_Toc297216173"/>
      <w:r/>
      <w:bookmarkStart w:id="790" w:name="_Toc300934966"/>
      <w:r/>
      <w:bookmarkStart w:id="791" w:name="_Toc312678005"/>
      <w:r/>
      <w:bookmarkStart w:id="792" w:name="_Toc303539123"/>
      <w:r/>
      <w:bookmarkStart w:id="793" w:name="_Toc297123514"/>
      <w:r/>
      <w:bookmarkStart w:id="794" w:name="_Toc304295541"/>
      <w:r/>
      <w:bookmarkStart w:id="795" w:name="_Toc312677479"/>
      <w:r>
        <w:rPr>
          <w:rFonts w:hint="eastAsia" w:ascii="宋体" w:hAnsi="宋体" w:eastAsia="宋体" w:cs="宋体"/>
          <w:color w:val="auto"/>
          <w:sz w:val="21"/>
          <w:szCs w:val="21"/>
          <w:highlight w:val="none"/>
        </w:rPr>
        <w:t xml:space="preserve">.2 施工进度计划</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在工程准备工作完成后，计划开工日期前7天提交开工报审表</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789"/>
      <w:r/>
      <w:bookmarkEnd w:id="790"/>
      <w:r/>
      <w:bookmarkEnd w:id="791"/>
      <w:r/>
      <w:bookmarkEnd w:id="792"/>
      <w:r/>
      <w:bookmarkEnd w:id="793"/>
      <w:r/>
      <w:bookmarkEnd w:id="794"/>
      <w:r/>
      <w:bookmarkEnd w:id="795"/>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承包人进驻施工现场后7天内</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96" w:name="_Toc304295546"/>
      <w:r/>
      <w:bookmarkStart w:id="797" w:name="_Toc297123516"/>
      <w:r/>
      <w:bookmarkStart w:id="798" w:name="_Toc312677484"/>
      <w:r/>
      <w:bookmarkStart w:id="799" w:name="_Toc303539125"/>
      <w:r/>
      <w:bookmarkStart w:id="800" w:name="_Toc297216175"/>
      <w:r/>
      <w:bookmarkStart w:id="801" w:name="_Toc312678010"/>
      <w:r/>
      <w:bookmarkStart w:id="802" w:name="_Toc300934968"/>
      <w:r>
        <w:rPr>
          <w:rFonts w:hint="eastAsia" w:ascii="宋体" w:hAnsi="宋体" w:eastAsia="宋体" w:cs="宋体"/>
          <w:color w:val="auto"/>
          <w:sz w:val="21"/>
          <w:szCs w:val="21"/>
          <w:highlight w:val="none"/>
        </w:rPr>
        <w:t xml:space="preserve">.5 工期延误</w:t>
      </w:r>
      <w:bookmarkEnd w:id="796"/>
      <w:r/>
      <w:bookmarkEnd w:id="797"/>
      <w:r/>
      <w:bookmarkEnd w:id="798"/>
      <w:r/>
      <w:bookmarkEnd w:id="799"/>
      <w:r/>
      <w:bookmarkEnd w:id="800"/>
      <w:r/>
      <w:bookmarkEnd w:id="801"/>
      <w:r/>
      <w:bookmarkEnd w:id="802"/>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bookmarkStart w:id="803" w:name="EBe97a249140f944629a6c9bc13dd70b07"/>
      <w:r>
        <w:rPr>
          <w:rFonts w:hint="eastAsia" w:ascii="宋体" w:hAnsi="宋体" w:eastAsia="宋体" w:cs="宋体"/>
          <w:color w:val="auto"/>
          <w:sz w:val="21"/>
          <w:szCs w:val="21"/>
          <w:highlight w:val="none"/>
          <w:u w:val="single"/>
        </w:rPr>
        <w:t xml:space="preserve">不可抗力因素、造成工期严重影响（延误10天以上）的设计变更、因地质情况引起的地基基础处理</w:t>
      </w:r>
      <w:bookmarkEnd w:id="803"/>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04" w:name="_Toc318581169"/>
      <w:r/>
      <w:bookmarkStart w:id="805" w:name="_Toc312678012"/>
      <w:r/>
      <w:bookmarkStart w:id="806" w:name="_Toc312677486"/>
      <w:r/>
      <w:bookmarkStart w:id="807" w:name="_Toc303539127"/>
      <w:r/>
      <w:bookmarkStart w:id="808" w:name="_Toc297216177"/>
      <w:r/>
      <w:bookmarkStart w:id="809" w:name="_Toc304295548"/>
      <w:r/>
      <w:bookmarkStart w:id="810" w:name="_Toc300934970"/>
      <w:r/>
      <w:bookmarkStart w:id="811" w:name="_Toc297123518"/>
      <w:r>
        <w:rPr>
          <w:rFonts w:hint="eastAsia" w:ascii="宋体" w:hAnsi="宋体" w:eastAsia="宋体" w:cs="宋体"/>
          <w:color w:val="auto"/>
          <w:sz w:val="21"/>
          <w:szCs w:val="21"/>
          <w:highlight w:val="none"/>
        </w:rPr>
        <w:t xml:space="preserve">.5.2 因承包人原因导致工期延误</w:t>
      </w:r>
      <w:bookmarkEnd w:id="804"/>
      <w:r/>
      <w:bookmarkEnd w:id="805"/>
      <w:r/>
      <w:bookmarkEnd w:id="806"/>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w:t>
      </w:r>
      <w:bookmarkStart w:id="812" w:name="_Toc312678013"/>
      <w:r/>
      <w:bookmarkStart w:id="813" w:name="_Toc312677487"/>
      <w:r/>
      <w:bookmarkStart w:id="814"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承包人因自身原因未能在承诺工期内完成招标范围内的全部工程内容，则按延误合同工期的天数承担（分部分项工程费-</w:t>
      </w:r>
      <w:r>
        <w:rPr>
          <w:rFonts w:hint="eastAsia" w:ascii="宋体" w:hAnsi="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工程设备费）的0.2‰/天的逾期竣工违约金</w:t>
      </w:r>
      <w:bookmarkEnd w:id="807"/>
      <w:r/>
      <w:bookmarkEnd w:id="808"/>
      <w:r/>
      <w:bookmarkEnd w:id="809"/>
      <w:r/>
      <w:bookmarkEnd w:id="810"/>
      <w:r/>
      <w:bookmarkEnd w:id="811"/>
      <w:r/>
      <w:bookmarkEnd w:id="812"/>
      <w:r/>
      <w:bookmarkEnd w:id="813"/>
      <w:r>
        <w:rPr>
          <w:rFonts w:hint="eastAsia" w:ascii="宋体" w:hAnsi="宋体" w:eastAsia="宋体" w:cs="宋体"/>
          <w:color w:val="auto"/>
          <w:sz w:val="21"/>
          <w:szCs w:val="21"/>
          <w:highlight w:val="none"/>
        </w:rPr>
        <w:t xml:space="preserve"> 。</w:t>
      </w:r>
      <w:bookmarkEnd w:id="81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815" w:name="_Toc312678014"/>
      <w:r/>
      <w:bookmarkStart w:id="816"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815"/>
      <w:r/>
      <w:bookmarkEnd w:id="816"/>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17" w:name="_Toc300934971"/>
      <w:r/>
      <w:bookmarkStart w:id="818" w:name="_Toc304295549"/>
      <w:r/>
      <w:bookmarkStart w:id="819" w:name="_Toc312678015"/>
      <w:r/>
      <w:bookmarkStart w:id="820" w:name="_Toc297216178"/>
      <w:r/>
      <w:bookmarkStart w:id="821" w:name="_Toc297123519"/>
      <w:r/>
      <w:bookmarkStart w:id="822" w:name="_Toc303539128"/>
      <w:r>
        <w:rPr>
          <w:rFonts w:hint="eastAsia" w:ascii="宋体" w:hAnsi="宋体" w:eastAsia="宋体" w:cs="宋体"/>
          <w:color w:val="auto"/>
          <w:sz w:val="21"/>
          <w:szCs w:val="21"/>
          <w:highlight w:val="none"/>
        </w:rPr>
        <w:t xml:space="preserve">.6 不</w:t>
      </w:r>
      <w:bookmarkEnd w:id="817"/>
      <w:r/>
      <w:bookmarkEnd w:id="818"/>
      <w:r/>
      <w:bookmarkEnd w:id="819"/>
      <w:r/>
      <w:bookmarkEnd w:id="820"/>
      <w:r/>
      <w:bookmarkEnd w:id="821"/>
      <w:r/>
      <w:bookmarkEnd w:id="822"/>
      <w:r>
        <w:rPr>
          <w:rFonts w:hint="eastAsia" w:ascii="宋体" w:hAnsi="宋体" w:eastAsia="宋体" w:cs="宋体"/>
          <w:color w:val="auto"/>
          <w:sz w:val="21"/>
          <w:szCs w:val="21"/>
          <w:highlight w:val="none"/>
        </w:rPr>
        <w:t xml:space="preserve">利物质条件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823" w:name="_Toc303539129"/>
      <w:r/>
      <w:bookmarkStart w:id="824" w:name="_Toc312678016"/>
      <w:r/>
      <w:bookmarkStart w:id="825" w:name="_Toc318581172"/>
      <w:r/>
      <w:bookmarkStart w:id="826" w:name="_Toc297216179"/>
      <w:r/>
      <w:bookmarkStart w:id="827" w:name="_Toc300934972"/>
      <w:r/>
      <w:bookmarkStart w:id="828" w:name="_Toc304295550"/>
      <w:r/>
      <w:bookmarkStart w:id="829"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bookmarkEnd w:id="823"/>
      <w:r/>
      <w:bookmarkEnd w:id="824"/>
      <w:r/>
      <w:bookmarkEnd w:id="825"/>
      <w:r/>
      <w:bookmarkEnd w:id="826"/>
      <w:r/>
      <w:bookmarkEnd w:id="827"/>
      <w:r/>
      <w:bookmarkEnd w:id="828"/>
      <w:r/>
      <w:bookmarkEnd w:id="829"/>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30" w:name="_Toc304295551"/>
      <w:r/>
      <w:bookmarkStart w:id="831" w:name="_Toc303539130"/>
      <w:r/>
      <w:bookmarkStart w:id="832" w:name="_Toc297216180"/>
      <w:r/>
      <w:bookmarkStart w:id="833" w:name="_Toc297123521"/>
      <w:r/>
      <w:bookmarkStart w:id="834" w:name="_Toc300934973"/>
      <w:r/>
      <w:bookmarkStart w:id="835" w:name="_Toc312678017"/>
      <w:r>
        <w:rPr>
          <w:rFonts w:hint="eastAsia" w:ascii="宋体" w:hAnsi="宋体" w:eastAsia="宋体" w:cs="宋体"/>
          <w:color w:val="auto"/>
          <w:sz w:val="21"/>
          <w:szCs w:val="21"/>
          <w:highlight w:val="none"/>
        </w:rPr>
        <w:t xml:space="preserve">.7异常恶劣的气候条件</w:t>
      </w:r>
      <w:bookmarkEnd w:id="830"/>
      <w:r/>
      <w:bookmarkEnd w:id="831"/>
      <w:r/>
      <w:bookmarkEnd w:id="832"/>
      <w:r/>
      <w:bookmarkEnd w:id="833"/>
      <w:r/>
      <w:bookmarkEnd w:id="834"/>
      <w:r/>
      <w:bookmarkEnd w:id="835"/>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836" w:name="_Toc351203640"/>
      <w:r>
        <w:rPr>
          <w:rFonts w:hint="eastAsia" w:ascii="宋体" w:hAnsi="宋体" w:eastAsia="宋体" w:cs="宋体"/>
          <w:b w:val="0"/>
          <w:color w:val="auto"/>
          <w:sz w:val="21"/>
          <w:szCs w:val="21"/>
          <w:highlight w:val="none"/>
        </w:rPr>
        <w:t xml:space="preserve">8. 材料与设备</w:t>
      </w:r>
      <w:bookmarkEnd w:id="836"/>
      <w:r/>
      <w:bookmarkEnd w:id="766"/>
      <w:r/>
      <w:bookmarkEnd w:id="767"/>
      <w:r/>
      <w:bookmarkEnd w:id="768"/>
      <w:r/>
      <w:bookmarkEnd w:id="769"/>
      <w:r/>
      <w:bookmarkEnd w:id="770"/>
      <w:r/>
      <w:bookmarkEnd w:id="771"/>
      <w:r/>
      <w:bookmarkEnd w:id="772"/>
      <w:r/>
      <w:bookmarkEnd w:id="773"/>
      <w:r/>
      <w:bookmarkEnd w:id="774"/>
      <w:r/>
      <w:bookmarkEnd w:id="775"/>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37" w:name="_Toc296347166"/>
      <w:r/>
      <w:bookmarkStart w:id="838" w:name="_Toc297048353"/>
      <w:r/>
      <w:bookmarkStart w:id="839" w:name="_Toc297216186"/>
      <w:r/>
      <w:bookmarkStart w:id="840" w:name="_Toc303539136"/>
      <w:r/>
      <w:bookmarkStart w:id="841" w:name="_Toc292559372"/>
      <w:r/>
      <w:bookmarkStart w:id="842" w:name="_Toc280868654"/>
      <w:r/>
      <w:bookmarkStart w:id="843" w:name="_Toc292559877"/>
      <w:r/>
      <w:bookmarkStart w:id="844" w:name="_Toc300934979"/>
      <w:r/>
      <w:bookmarkStart w:id="845" w:name="_Toc296346668"/>
      <w:r/>
      <w:bookmarkStart w:id="846" w:name="_Toc296891207"/>
      <w:r/>
      <w:bookmarkStart w:id="847" w:name="_Toc312677493"/>
      <w:r/>
      <w:bookmarkStart w:id="848" w:name="_Toc297123527"/>
      <w:r/>
      <w:bookmarkStart w:id="849" w:name="_Toc297120467"/>
      <w:r/>
      <w:bookmarkStart w:id="850" w:name="_Toc304295556"/>
      <w:r/>
      <w:bookmarkStart w:id="851" w:name="_Toc296944506"/>
      <w:r/>
      <w:bookmarkStart w:id="852" w:name="_Toc296503167"/>
      <w:r/>
      <w:bookmarkStart w:id="853" w:name="_Toc296890995"/>
      <w:r/>
      <w:bookmarkStart w:id="854" w:name="_Toc312678019"/>
      <w:r/>
      <w:bookmarkStart w:id="855" w:name="_Toc267251424"/>
      <w:r/>
      <w:bookmarkStart w:id="856" w:name="_Toc280868655"/>
      <w:r/>
      <w:bookmarkStart w:id="857" w:name="_Toc280868656"/>
      <w:r>
        <w:rPr>
          <w:rFonts w:hint="eastAsia" w:ascii="宋体" w:hAnsi="宋体" w:eastAsia="宋体" w:cs="宋体"/>
          <w:color w:val="auto"/>
          <w:sz w:val="21"/>
          <w:szCs w:val="21"/>
          <w:highlight w:val="none"/>
        </w:rPr>
        <w:t xml:space="preserve">.4材料与工程设备的保管与使用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58" w:name="_Toc292559878"/>
      <w:r/>
      <w:bookmarkStart w:id="859" w:name="_Toc292559373"/>
      <w:r/>
      <w:bookmarkStart w:id="860" w:name="_Toc297123528"/>
      <w:r/>
      <w:bookmarkStart w:id="861" w:name="_Toc303539137"/>
      <w:r/>
      <w:bookmarkStart w:id="862" w:name="_Toc300934980"/>
      <w:r/>
      <w:bookmarkStart w:id="863" w:name="_Toc296347167"/>
      <w:r/>
      <w:bookmarkStart w:id="864" w:name="_Toc312678020"/>
      <w:r/>
      <w:bookmarkStart w:id="865" w:name="_Toc296890996"/>
      <w:r/>
      <w:bookmarkStart w:id="866" w:name="_Toc318581173"/>
      <w:r/>
      <w:bookmarkStart w:id="867" w:name="_Toc312677494"/>
      <w:r/>
      <w:bookmarkStart w:id="868" w:name="_Toc296503168"/>
      <w:r/>
      <w:bookmarkStart w:id="869" w:name="_Toc296346669"/>
      <w:r/>
      <w:bookmarkStart w:id="870" w:name="_Toc297048354"/>
      <w:r/>
      <w:bookmarkStart w:id="871" w:name="_Toc296944507"/>
      <w:r/>
      <w:bookmarkStart w:id="872" w:name="_Toc297216187"/>
      <w:r/>
      <w:bookmarkStart w:id="873" w:name="_Toc297120468"/>
      <w:r/>
      <w:bookmarkStart w:id="874" w:name="_Toc304295557"/>
      <w:r/>
      <w:bookmarkStart w:id="875" w:name="_Toc296891208"/>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另行协商</w:t>
      </w:r>
      <w:r>
        <w:rPr>
          <w:rFonts w:hint="eastAsia" w:ascii="宋体" w:hAnsi="宋体" w:eastAsia="宋体" w:cs="宋体"/>
          <w:color w:val="auto"/>
          <w:sz w:val="21"/>
          <w:szCs w:val="21"/>
          <w:highlight w:val="none"/>
        </w:rPr>
        <w:t xml:space="preserve">。</w:t>
      </w:r>
      <w:bookmarkEnd w:id="858"/>
      <w:r/>
      <w:bookmarkEnd w:id="859"/>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bookmarkStart w:id="876" w:name="EB689ded171f10418da62405f60d9ed548"/>
      <w:r>
        <w:rPr>
          <w:rFonts w:hint="eastAsia" w:ascii="宋体" w:hAnsi="宋体" w:eastAsia="宋体" w:cs="宋体"/>
          <w:color w:val="auto"/>
          <w:sz w:val="21"/>
          <w:szCs w:val="21"/>
          <w:highlight w:val="none"/>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76"/>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bookmarkStart w:id="877" w:name="EBcf6cb69e3ee84f48b5935e4553620b81"/>
      <w:r>
        <w:rPr>
          <w:rFonts w:hint="eastAsia" w:ascii="宋体" w:hAnsi="宋体" w:eastAsia="宋体" w:cs="宋体"/>
          <w:color w:val="auto"/>
          <w:sz w:val="21"/>
          <w:szCs w:val="21"/>
          <w:highlight w:val="none"/>
          <w:u w:val="single"/>
        </w:rPr>
        <w:t xml:space="preserve">1)需要发包人办理申请手续和承担相关费用的临时占地：均由承包人负责，已包含在投标报价的临时设施费用中</w:t>
      </w:r>
      <w:bookmarkEnd w:id="877"/>
      <w:r>
        <w:rPr>
          <w:rFonts w:hint="eastAsia" w:ascii="宋体" w:hAnsi="宋体" w:eastAsia="宋体" w:cs="宋体"/>
          <w:color w:val="auto"/>
          <w:sz w:val="21"/>
          <w:szCs w:val="21"/>
          <w:highlight w:val="none"/>
          <w:u w:val="single"/>
        </w:rPr>
        <w:t xml:space="preserve">;2)发包人提供的施工设备和临时设施的运行、维护、拆除、清运费用的承担人：</w:t>
      </w:r>
      <w:bookmarkStart w:id="878" w:name="EBac5c9033341d4cc99749a207c4b9cbde"/>
      <w:r>
        <w:rPr>
          <w:rFonts w:hint="eastAsia" w:ascii="宋体" w:hAnsi="宋体" w:eastAsia="宋体" w:cs="宋体"/>
          <w:color w:val="auto"/>
          <w:sz w:val="21"/>
          <w:szCs w:val="21"/>
          <w:highlight w:val="none"/>
          <w:u w:val="single"/>
        </w:rPr>
        <w:t xml:space="preserve">承包人负责接计量柜及水表，并负责使用期间的保养、维护，承担相应费用，费用已包含在总报价中</w:t>
      </w:r>
      <w:bookmarkEnd w:id="878"/>
      <w:r>
        <w:rPr>
          <w:rFonts w:hint="eastAsia" w:ascii="宋体" w:hAnsi="宋体" w:eastAsia="宋体" w:cs="宋体"/>
          <w:color w:val="auto"/>
          <w:sz w:val="21"/>
          <w:szCs w:val="21"/>
          <w:highlight w:val="none"/>
        </w:rPr>
        <w:t xml:space="preserve">。</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879" w:name="_Toc351203641"/>
      <w:r>
        <w:rPr>
          <w:rFonts w:hint="eastAsia" w:ascii="宋体" w:hAnsi="宋体" w:eastAsia="宋体" w:cs="宋体"/>
          <w:b w:val="0"/>
          <w:color w:val="auto"/>
          <w:sz w:val="21"/>
          <w:szCs w:val="21"/>
          <w:highlight w:val="none"/>
        </w:rPr>
        <w:t xml:space="preserve">9</w:t>
      </w:r>
      <w:bookmarkEnd w:id="855"/>
      <w:r/>
      <w:bookmarkEnd w:id="856"/>
      <w:r/>
      <w:bookmarkEnd w:id="857"/>
      <w:r/>
      <w:bookmarkStart w:id="880" w:name="_Toc312677495"/>
      <w:r/>
      <w:bookmarkStart w:id="881" w:name="_Toc312678021"/>
      <w:r/>
      <w:bookmarkStart w:id="882" w:name="_Toc297216192"/>
      <w:r/>
      <w:bookmarkStart w:id="883" w:name="_Toc303539139"/>
      <w:r/>
      <w:bookmarkStart w:id="884" w:name="_Toc300934982"/>
      <w:r/>
      <w:bookmarkStart w:id="885" w:name="_Toc304295559"/>
      <w:r/>
      <w:bookmarkStart w:id="886" w:name="_Toc297123533"/>
      <w:r/>
      <w:bookmarkStart w:id="887" w:name="_Toc267251428"/>
      <w:r/>
      <w:bookmarkStart w:id="888" w:name="_Toc296891213"/>
      <w:r/>
      <w:bookmarkStart w:id="889" w:name="_Toc296346674"/>
      <w:r/>
      <w:bookmarkStart w:id="890" w:name="_Toc296944512"/>
      <w:r/>
      <w:bookmarkStart w:id="891" w:name="_Toc297048359"/>
      <w:r/>
      <w:bookmarkStart w:id="892" w:name="_Toc296891001"/>
      <w:r/>
      <w:bookmarkStart w:id="893" w:name="_Toc292559378"/>
      <w:r/>
      <w:bookmarkStart w:id="894" w:name="_Toc292559883"/>
      <w:r/>
      <w:bookmarkStart w:id="895" w:name="_Toc296503173"/>
      <w:r/>
      <w:bookmarkStart w:id="896" w:name="_Toc296347172"/>
      <w:r/>
      <w:bookmarkStart w:id="897" w:name="_Toc267251427"/>
      <w:r/>
      <w:bookmarkStart w:id="898" w:name="_Toc297120473"/>
      <w:r>
        <w:rPr>
          <w:rFonts w:hint="eastAsia" w:ascii="宋体" w:hAnsi="宋体" w:eastAsia="宋体" w:cs="宋体"/>
          <w:b w:val="0"/>
          <w:color w:val="auto"/>
          <w:sz w:val="21"/>
          <w:szCs w:val="21"/>
          <w:highlight w:val="none"/>
        </w:rPr>
        <w:t xml:space="preserve">. 试验与检验</w:t>
      </w:r>
      <w:bookmarkEnd w:id="879"/>
      <w:r/>
      <w:bookmarkEnd w:id="880"/>
      <w:r/>
      <w:bookmarkEnd w:id="881"/>
      <w:r/>
      <w:bookmarkEnd w:id="882"/>
      <w:r/>
      <w:bookmarkEnd w:id="883"/>
      <w:r/>
      <w:bookmarkEnd w:id="884"/>
      <w:r/>
      <w:bookmarkEnd w:id="885"/>
      <w:r/>
      <w:bookmarkEnd w:id="886"/>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899" w:name="_Toc297123534"/>
      <w:r/>
      <w:bookmarkStart w:id="900" w:name="_Toc304295560"/>
      <w:r/>
      <w:bookmarkStart w:id="901" w:name="_Toc300934983"/>
      <w:r/>
      <w:bookmarkStart w:id="902" w:name="_Toc312678022"/>
      <w:r/>
      <w:bookmarkStart w:id="903" w:name="_Toc312677496"/>
      <w:r/>
      <w:bookmarkStart w:id="904" w:name="_Toc303539140"/>
      <w:r/>
      <w:bookmarkStart w:id="905" w:name="_Toc297216193"/>
      <w:r>
        <w:rPr>
          <w:rFonts w:hint="eastAsia" w:ascii="宋体" w:hAnsi="宋体" w:eastAsia="宋体" w:cs="宋体"/>
          <w:color w:val="auto"/>
          <w:sz w:val="21"/>
          <w:szCs w:val="21"/>
          <w:highlight w:val="none"/>
        </w:rPr>
        <w:t xml:space="preserve">.1试验设备与试验人员</w:t>
      </w:r>
      <w:bookmarkEnd w:id="899"/>
      <w:r/>
      <w:bookmarkEnd w:id="900"/>
      <w:r/>
      <w:bookmarkEnd w:id="901"/>
      <w:r/>
      <w:bookmarkEnd w:id="902"/>
      <w:r/>
      <w:bookmarkEnd w:id="903"/>
      <w:r/>
      <w:bookmarkEnd w:id="904"/>
      <w:r/>
      <w:bookmarkEnd w:id="905"/>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906" w:name="_Toc297123535"/>
      <w:r/>
      <w:bookmarkStart w:id="907" w:name="_Toc297216194"/>
      <w:r/>
      <w:bookmarkStart w:id="908" w:name="_Toc304295561"/>
      <w:r/>
      <w:bookmarkStart w:id="909" w:name="_Toc300934984"/>
      <w:r/>
      <w:bookmarkStart w:id="910" w:name="_Toc312678023"/>
      <w:r/>
      <w:bookmarkStart w:id="911" w:name="_Toc303539141"/>
      <w:r/>
      <w:bookmarkStart w:id="912" w:name="_Toc312677497"/>
      <w:r/>
      <w:bookmarkStart w:id="913"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906"/>
      <w:r/>
      <w:bookmarkEnd w:id="907"/>
      <w:r/>
      <w:bookmarkEnd w:id="908"/>
      <w:r/>
      <w:bookmarkEnd w:id="909"/>
      <w:r/>
      <w:bookmarkEnd w:id="910"/>
      <w:r/>
      <w:bookmarkEnd w:id="911"/>
      <w:r/>
      <w:bookmarkEnd w:id="912"/>
      <w:r/>
      <w:bookmarkStart w:id="914" w:name="_Toc297123536"/>
      <w:r/>
      <w:bookmarkStart w:id="915" w:name="_Toc303539142"/>
      <w:r/>
      <w:bookmarkStart w:id="916" w:name="_Toc312677498"/>
      <w:r/>
      <w:bookmarkStart w:id="917" w:name="_Toc300934985"/>
      <w:r/>
      <w:bookmarkStart w:id="918" w:name="_Toc312678024"/>
      <w:r/>
      <w:bookmarkStart w:id="919" w:name="_Toc304295562"/>
      <w:r/>
      <w:bookmarkStart w:id="920" w:name="_Toc297216195"/>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承包人应按合同约定或监理人</w:t>
      </w:r>
      <w:r>
        <w:rPr>
          <w:rFonts w:hint="eastAsia" w:ascii="宋体" w:hAnsi="宋体" w:eastAsia="宋体" w:cs="宋体"/>
          <w:color w:val="auto"/>
          <w:sz w:val="21"/>
          <w:szCs w:val="21"/>
          <w:highlight w:val="none"/>
          <w:u w:val="single"/>
          <w:lang w:val="en-US" w:eastAsia="zh-CN"/>
        </w:rPr>
        <w:t xml:space="preserve">要求</w:t>
      </w:r>
      <w:r>
        <w:rPr>
          <w:rFonts w:hint="eastAsia" w:ascii="宋体" w:hAnsi="宋体" w:eastAsia="宋体" w:cs="宋体"/>
          <w:color w:val="auto"/>
          <w:sz w:val="21"/>
          <w:szCs w:val="21"/>
          <w:highlight w:val="none"/>
          <w:u w:val="single"/>
        </w:rPr>
        <w:t xml:space="preserve">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1"/>
          <w:szCs w:val="21"/>
          <w:highlight w:val="none"/>
        </w:rPr>
        <w:t xml:space="preserve">。</w:t>
      </w:r>
      <w:bookmarkEnd w:id="913"/>
      <w:r/>
      <w:bookmarkEnd w:id="914"/>
      <w:r/>
      <w:bookmarkEnd w:id="915"/>
      <w:r/>
      <w:bookmarkEnd w:id="916"/>
      <w:r/>
      <w:bookmarkEnd w:id="917"/>
      <w:r/>
      <w:bookmarkEnd w:id="918"/>
      <w:r/>
      <w:bookmarkEnd w:id="919"/>
      <w:r/>
      <w:bookmarkEnd w:id="920"/>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921" w:name="_Toc351203642"/>
      <w:r>
        <w:rPr>
          <w:rFonts w:hint="eastAsia" w:ascii="宋体" w:hAnsi="宋体" w:eastAsia="宋体" w:cs="宋体"/>
          <w:b w:val="0"/>
          <w:color w:val="auto"/>
          <w:sz w:val="21"/>
          <w:szCs w:val="21"/>
          <w:highlight w:val="none"/>
        </w:rPr>
        <w:t xml:space="preserve">1</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Start w:id="922" w:name="_Toc292559398"/>
      <w:r/>
      <w:bookmarkStart w:id="923" w:name="_Toc297120493"/>
      <w:r/>
      <w:bookmarkStart w:id="924" w:name="_Toc297123540"/>
      <w:r/>
      <w:bookmarkStart w:id="925" w:name="_Toc304295566"/>
      <w:r/>
      <w:bookmarkStart w:id="926" w:name="_Toc292559903"/>
      <w:r/>
      <w:bookmarkStart w:id="927" w:name="_Toc296891021"/>
      <w:r/>
      <w:bookmarkStart w:id="928" w:name="_Toc297216199"/>
      <w:r/>
      <w:bookmarkStart w:id="929" w:name="_Toc303539146"/>
      <w:r/>
      <w:bookmarkStart w:id="930" w:name="_Toc297048379"/>
      <w:r/>
      <w:bookmarkStart w:id="931" w:name="_Toc296944532"/>
      <w:r/>
      <w:bookmarkStart w:id="932" w:name="_Toc296347192"/>
      <w:r/>
      <w:bookmarkStart w:id="933" w:name="_Toc296346694"/>
      <w:r/>
      <w:bookmarkStart w:id="934" w:name="_Toc296891233"/>
      <w:r/>
      <w:bookmarkStart w:id="935" w:name="_Toc296503193"/>
      <w:r/>
      <w:bookmarkStart w:id="936" w:name="_Toc300934989"/>
      <w:r/>
      <w:bookmarkStart w:id="937" w:name="_Toc312677499"/>
      <w:r/>
      <w:bookmarkStart w:id="938" w:name="_Toc312678025"/>
      <w:r/>
      <w:bookmarkStart w:id="939" w:name="_Toc267251435"/>
      <w:r/>
      <w:bookmarkStart w:id="940" w:name="_Toc267251439"/>
      <w:r/>
      <w:bookmarkStart w:id="941" w:name="_Toc267251433"/>
      <w:r/>
      <w:bookmarkStart w:id="942" w:name="_Toc267251440"/>
      <w:r/>
      <w:bookmarkStart w:id="943" w:name="_Toc267251441"/>
      <w:r/>
      <w:bookmarkStart w:id="944" w:name="_Toc267251437"/>
      <w:r/>
      <w:bookmarkStart w:id="945" w:name="_Toc267251442"/>
      <w:r>
        <w:rPr>
          <w:rFonts w:hint="eastAsia" w:ascii="宋体" w:hAnsi="宋体" w:eastAsia="宋体" w:cs="宋体"/>
          <w:b w:val="0"/>
          <w:color w:val="auto"/>
          <w:sz w:val="21"/>
          <w:szCs w:val="21"/>
          <w:highlight w:val="none"/>
        </w:rPr>
        <w:t xml:space="preserve">0. 变更</w:t>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946" w:name="_Toc297216200"/>
      <w:r/>
      <w:bookmarkStart w:id="947" w:name="_Toc303539147"/>
      <w:r/>
      <w:bookmarkStart w:id="948" w:name="_Toc297120494"/>
      <w:r/>
      <w:bookmarkStart w:id="949" w:name="_Toc304295567"/>
      <w:r/>
      <w:bookmarkStart w:id="950" w:name="_Toc300934990"/>
      <w:r/>
      <w:bookmarkStart w:id="951" w:name="_Toc297123541"/>
      <w:r/>
      <w:bookmarkStart w:id="952" w:name="_Toc297048380"/>
      <w:r/>
      <w:bookmarkStart w:id="953" w:name="_Toc292559904"/>
      <w:r/>
      <w:bookmarkStart w:id="954" w:name="_Toc296891022"/>
      <w:r/>
      <w:bookmarkStart w:id="955" w:name="_Toc312678026"/>
      <w:r/>
      <w:bookmarkStart w:id="956" w:name="_Toc296347193"/>
      <w:r/>
      <w:bookmarkStart w:id="957" w:name="_Toc292559399"/>
      <w:r/>
      <w:bookmarkStart w:id="958" w:name="_Toc296503194"/>
      <w:r/>
      <w:bookmarkStart w:id="959" w:name="_Toc296944533"/>
      <w:r/>
      <w:bookmarkStart w:id="960" w:name="_Toc296891234"/>
      <w:r/>
      <w:bookmarkStart w:id="961" w:name="_Toc312677500"/>
      <w:r/>
      <w:bookmarkStart w:id="962" w:name="_Toc296346695"/>
      <w:r>
        <w:rPr>
          <w:rFonts w:hint="eastAsia" w:ascii="宋体" w:hAnsi="宋体" w:eastAsia="宋体" w:cs="宋体"/>
          <w:color w:val="auto"/>
          <w:sz w:val="21"/>
          <w:szCs w:val="21"/>
          <w:highlight w:val="none"/>
        </w:rPr>
        <w:t xml:space="preserve">0.1变更的范围</w:t>
      </w:r>
      <w:r/>
    </w:p>
    <w:p>
      <w:pPr>
        <w:ind w:firstLine="60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pStyle w:val="1025"/>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p>
    <w:p>
      <w:pPr>
        <w:pStyle w:val="1025"/>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（1）变更项目工程量结算方法：由承包人提出，按监理人、发包人和跟踪审计审定后的数量进行结算。</w:t>
      </w:r>
      <w:r/>
    </w:p>
    <w:p>
      <w:pPr>
        <w:pStyle w:val="1025"/>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06</w:t>
      </w:r>
      <w:r>
        <w:rPr>
          <w:rFonts w:hint="eastAsia" w:ascii="宋体" w:hAnsi="宋体" w:eastAsia="宋体" w:cs="宋体"/>
          <w:color w:val="auto"/>
          <w:sz w:val="21"/>
          <w:szCs w:val="21"/>
          <w:highlight w:val="none"/>
          <w:u w:val="single"/>
        </w:rPr>
        <w:t xml:space="preserve">月《常州工程造价信息》中的除税信息价，信息指导价中没有的材料价格确定按照暂定价材料价格的确定方式确定），经监理人、跟踪审计、发包人审定后执行。</w:t>
      </w:r>
      <w:r/>
    </w:p>
    <w:p>
      <w:pPr>
        <w:pStyle w:val="1025"/>
        <w:pageBreakBefore w:val="0"/>
        <w:spacing w:line="312"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rPr>
        <w:t xml:space="preserve">（3）优惠让利幅度：       。 </w:t>
      </w:r>
      <w:r>
        <w:rPr>
          <w:rFonts w:hint="eastAsia" w:ascii="宋体" w:hAnsi="宋体" w:eastAsia="宋体" w:cs="宋体"/>
          <w:color w:val="auto"/>
          <w:sz w:val="21"/>
          <w:szCs w:val="21"/>
          <w:highlight w:val="none"/>
          <w:u w:val="single"/>
          <w:lang w:val="en-US" w:eastAsia="zh-CN"/>
        </w:rPr>
        <w:t xml:space="preserve">优惠让利幅度=</w:t>
      </w:r>
      <w:r>
        <w:rPr>
          <w:rFonts w:hint="eastAsia" w:ascii="宋体" w:hAnsi="宋体" w:eastAsia="宋体" w:cs="宋体"/>
          <w:color w:val="auto"/>
          <w:sz w:val="21"/>
          <w:szCs w:val="21"/>
          <w:highlight w:val="none"/>
          <w:u w:val="single"/>
        </w:rPr>
        <w:t xml:space="preserve">投标</w:t>
      </w:r>
      <w:r>
        <w:rPr>
          <w:rFonts w:hint="eastAsia" w:ascii="宋体" w:hAnsi="宋体" w:eastAsia="宋体" w:cs="宋体"/>
          <w:color w:val="auto"/>
          <w:sz w:val="21"/>
          <w:szCs w:val="21"/>
          <w:highlight w:val="none"/>
          <w:u w:val="single"/>
          <w:lang w:val="en-US" w:eastAsia="zh-CN"/>
        </w:rPr>
        <w:t xml:space="preserve">最终</w:t>
      </w:r>
      <w:r>
        <w:rPr>
          <w:rFonts w:hint="eastAsia" w:ascii="宋体" w:hAnsi="宋体" w:eastAsia="宋体" w:cs="宋体"/>
          <w:color w:val="auto"/>
          <w:sz w:val="21"/>
          <w:szCs w:val="21"/>
          <w:highlight w:val="none"/>
          <w:u w:val="single"/>
        </w:rPr>
        <w:t xml:space="preserve">报价（扣除暂列金额、暂估价）/</w:t>
      </w:r>
      <w:r>
        <w:rPr>
          <w:rFonts w:hint="eastAsia" w:ascii="宋体" w:hAnsi="宋体" w:cs="宋体"/>
          <w:color w:val="auto"/>
          <w:sz w:val="21"/>
          <w:szCs w:val="21"/>
          <w:highlight w:val="none"/>
          <w:u w:val="single"/>
          <w:lang w:val="en-US" w:eastAsia="zh-CN"/>
        </w:rPr>
        <w:t xml:space="preserve">最高投标限价</w:t>
      </w:r>
      <w:r>
        <w:rPr>
          <w:rFonts w:hint="eastAsia" w:ascii="宋体" w:hAnsi="宋体" w:eastAsia="宋体" w:cs="宋体"/>
          <w:color w:val="auto"/>
          <w:sz w:val="21"/>
          <w:szCs w:val="21"/>
          <w:highlight w:val="none"/>
          <w:u w:val="single"/>
        </w:rPr>
        <w:t xml:space="preserve">（扣除暂列金额、暂估价）</w:t>
      </w:r>
      <w:r/>
    </w:p>
    <w:p>
      <w:pPr>
        <w:pStyle w:val="1025"/>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（4）措施项目费除安全生产外不调整（不随分部分项工程费的增减而调整），风险范围以外约定的除外。</w:t>
      </w:r>
      <w:r/>
    </w:p>
    <w:p>
      <w:pPr>
        <w:pStyle w:val="1025"/>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1025"/>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（6）工程变更按照常新政〔2014〕148号文《关于进一步加强常州市新北区政府投资项目工程变更管理的规定（试行）的通知》执行。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Start w:id="963" w:name="_Toc297216203"/>
      <w:r/>
      <w:bookmarkStart w:id="964" w:name="_Toc292559402"/>
      <w:r/>
      <w:bookmarkStart w:id="965" w:name="_Toc296891025"/>
      <w:r/>
      <w:bookmarkStart w:id="966" w:name="_Toc296346698"/>
      <w:r/>
      <w:bookmarkStart w:id="967" w:name="_Toc296503197"/>
      <w:r/>
      <w:bookmarkStart w:id="968" w:name="_Toc296347196"/>
      <w:r/>
      <w:bookmarkStart w:id="969" w:name="_Toc292559907"/>
      <w:r/>
      <w:bookmarkStart w:id="970" w:name="_Toc297120497"/>
      <w:r/>
      <w:bookmarkStart w:id="971" w:name="_Toc297048383"/>
      <w:r/>
      <w:bookmarkStart w:id="972" w:name="_Toc300934993"/>
      <w:r/>
      <w:bookmarkStart w:id="973" w:name="_Toc296891237"/>
      <w:r/>
      <w:bookmarkStart w:id="974" w:name="_Toc297123544"/>
      <w:r/>
      <w:bookmarkStart w:id="975" w:name="_Toc303539150"/>
      <w:r/>
      <w:bookmarkStart w:id="976" w:name="_Toc296944536"/>
      <w:r/>
      <w:bookmarkStart w:id="977" w:name="_Toc312677503"/>
      <w:r/>
      <w:bookmarkStart w:id="978" w:name="_Toc312678029"/>
      <w:r/>
      <w:bookmarkStart w:id="979" w:name="_Toc304295570"/>
      <w:r>
        <w:rPr>
          <w:rFonts w:hint="eastAsia" w:ascii="宋体" w:hAnsi="宋体" w:eastAsia="宋体" w:cs="宋体"/>
          <w:color w:val="auto"/>
          <w:sz w:val="21"/>
          <w:szCs w:val="21"/>
          <w:highlight w:val="none"/>
        </w:rPr>
        <w:t xml:space="preserve">0.5承</w:t>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Start w:id="980" w:name="_Toc303539151"/>
      <w:r/>
      <w:bookmarkStart w:id="981" w:name="_Toc296347202"/>
      <w:r/>
      <w:bookmarkStart w:id="982" w:name="_Toc296891243"/>
      <w:r/>
      <w:bookmarkStart w:id="983" w:name="_Toc292559408"/>
      <w:r/>
      <w:bookmarkStart w:id="984" w:name="_Toc297048389"/>
      <w:r/>
      <w:bookmarkStart w:id="985" w:name="_Toc296944542"/>
      <w:r/>
      <w:bookmarkStart w:id="986" w:name="_Toc292559913"/>
      <w:r/>
      <w:bookmarkStart w:id="987" w:name="_Toc297216204"/>
      <w:r/>
      <w:bookmarkStart w:id="988" w:name="_Toc297120503"/>
      <w:r/>
      <w:bookmarkStart w:id="989" w:name="_Toc296503203"/>
      <w:r/>
      <w:bookmarkStart w:id="990" w:name="_Toc296891031"/>
      <w:r/>
      <w:bookmarkStart w:id="991" w:name="_Toc297123545"/>
      <w:r/>
      <w:bookmarkStart w:id="992" w:name="_Toc300934994"/>
      <w:r/>
      <w:bookmarkStart w:id="993" w:name="_Toc296346704"/>
      <w:r>
        <w:rPr>
          <w:rFonts w:hint="eastAsia" w:ascii="宋体" w:hAnsi="宋体" w:eastAsia="宋体" w:cs="宋体"/>
          <w:color w:val="auto"/>
          <w:sz w:val="21"/>
          <w:szCs w:val="21"/>
          <w:highlight w:val="none"/>
        </w:rPr>
        <w:t xml:space="preserve">包人的合理化建议</w:t>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994" w:name="_Toc297048390"/>
      <w:r/>
      <w:bookmarkStart w:id="995" w:name="_Toc304295571"/>
      <w:r/>
      <w:bookmarkStart w:id="996" w:name="_Toc297216205"/>
      <w:r/>
      <w:bookmarkStart w:id="997" w:name="_Toc296347203"/>
      <w:r/>
      <w:bookmarkStart w:id="998" w:name="_Toc312677504"/>
      <w:r/>
      <w:bookmarkStart w:id="999" w:name="_Toc312678030"/>
      <w:r/>
      <w:bookmarkStart w:id="1000" w:name="_Toc296944543"/>
      <w:r/>
      <w:bookmarkStart w:id="1001" w:name="_Toc303539152"/>
      <w:r/>
      <w:bookmarkStart w:id="1002" w:name="_Toc296891032"/>
      <w:r/>
      <w:bookmarkStart w:id="1003" w:name="_Toc296891244"/>
      <w:r/>
      <w:bookmarkStart w:id="1004" w:name="_Toc296346705"/>
      <w:r/>
      <w:bookmarkStart w:id="1005" w:name="_Toc300934995"/>
      <w:r/>
      <w:bookmarkStart w:id="1006" w:name="_Toc297120504"/>
      <w:r/>
      <w:bookmarkStart w:id="1007" w:name="_Toc292559409"/>
      <w:r/>
      <w:bookmarkStart w:id="1008" w:name="_Toc318581175"/>
      <w:r/>
      <w:bookmarkStart w:id="1009" w:name="_Toc297123546"/>
      <w:r/>
      <w:bookmarkStart w:id="1010" w:name="_Toc292559914"/>
      <w:r/>
      <w:bookmarkStart w:id="1011" w:name="_Toc29650320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bookmarkEnd w:id="1011"/>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1012" w:name="_Toc296944538"/>
      <w:r/>
      <w:bookmarkStart w:id="1013" w:name="_Toc300934997"/>
      <w:r/>
      <w:bookmarkStart w:id="1014" w:name="_Toc312677507"/>
      <w:r/>
      <w:bookmarkStart w:id="1015" w:name="_Toc292559404"/>
      <w:r/>
      <w:bookmarkStart w:id="1016" w:name="_Toc296891027"/>
      <w:r/>
      <w:bookmarkStart w:id="1017" w:name="_Toc296346700"/>
      <w:r/>
      <w:bookmarkStart w:id="1018" w:name="_Toc297216207"/>
      <w:r/>
      <w:bookmarkStart w:id="1019" w:name="_Toc297123548"/>
      <w:r/>
      <w:bookmarkStart w:id="1020" w:name="_Toc303539154"/>
      <w:r/>
      <w:bookmarkStart w:id="1021" w:name="_Toc297120499"/>
      <w:r/>
      <w:bookmarkStart w:id="1022" w:name="_Toc304295574"/>
      <w:r/>
      <w:bookmarkStart w:id="1023" w:name="_Toc292559909"/>
      <w:r/>
      <w:bookmarkStart w:id="1024" w:name="_Toc297048385"/>
      <w:r/>
      <w:bookmarkStart w:id="1025" w:name="_Toc312678033"/>
      <w:r/>
      <w:bookmarkStart w:id="1026" w:name="_Toc296503199"/>
      <w:r/>
      <w:bookmarkStart w:id="1027" w:name="_Toc296891239"/>
      <w:r/>
      <w:bookmarkStart w:id="1028" w:name="_Toc296347198"/>
      <w:r>
        <w:rPr>
          <w:rFonts w:hint="eastAsia" w:ascii="宋体" w:hAnsi="宋体" w:eastAsia="宋体" w:cs="宋体"/>
          <w:color w:val="auto"/>
          <w:sz w:val="21"/>
          <w:szCs w:val="21"/>
          <w:highlight w:val="none"/>
        </w:rPr>
        <w:t xml:space="preserve">0.7 暂估价</w:t>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bookmarkEnd w:id="1028"/>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1029" w:name="_Toc312677509"/>
      <w:r/>
      <w:bookmarkStart w:id="1030" w:name="_Toc312678035"/>
      <w:r/>
      <w:bookmarkStart w:id="1031" w:name="_Toc318581177"/>
      <w:r>
        <w:rPr>
          <w:rFonts w:hint="eastAsia" w:ascii="宋体" w:hAnsi="宋体" w:eastAsia="宋体" w:cs="宋体"/>
          <w:color w:val="auto"/>
          <w:sz w:val="21"/>
          <w:szCs w:val="21"/>
          <w:highlight w:val="none"/>
        </w:rPr>
        <w:t xml:space="preserve">0.7.1 依法必须招标的暂估价项目</w:t>
      </w:r>
      <w:bookmarkEnd w:id="1029"/>
      <w:r/>
      <w:bookmarkEnd w:id="1030"/>
      <w:r/>
      <w:bookmarkEnd w:id="1031"/>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经发包人审批同意方可使用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032" w:name="_Toc351203643"/>
      <w:r>
        <w:rPr>
          <w:rFonts w:hint="eastAsia" w:ascii="宋体" w:hAnsi="宋体" w:eastAsia="宋体" w:cs="宋体"/>
          <w:b w:val="0"/>
          <w:color w:val="auto"/>
          <w:sz w:val="21"/>
          <w:szCs w:val="21"/>
          <w:highlight w:val="none"/>
        </w:rPr>
        <w:t xml:space="preserve">11. 价格调整</w:t>
      </w:r>
      <w:bookmarkEnd w:id="1032"/>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33" w:name="_Toc303539157"/>
      <w:r/>
      <w:bookmarkStart w:id="1034" w:name="_Toc292559911"/>
      <w:r/>
      <w:bookmarkStart w:id="1035" w:name="_Toc292559406"/>
      <w:r/>
      <w:bookmarkStart w:id="1036" w:name="_Toc296891029"/>
      <w:r/>
      <w:bookmarkStart w:id="1037" w:name="_Toc296346702"/>
      <w:r/>
      <w:bookmarkStart w:id="1038" w:name="_Toc304295577"/>
      <w:r/>
      <w:bookmarkStart w:id="1039" w:name="_Toc297216209"/>
      <w:r/>
      <w:bookmarkStart w:id="1040" w:name="_Toc296944540"/>
      <w:r/>
      <w:bookmarkStart w:id="1041" w:name="_Toc297048387"/>
      <w:r/>
      <w:bookmarkStart w:id="1042" w:name="_Toc312678039"/>
      <w:r/>
      <w:bookmarkStart w:id="1043" w:name="_Toc297120501"/>
      <w:r/>
      <w:bookmarkStart w:id="1044" w:name="_Toc296503201"/>
      <w:r/>
      <w:bookmarkStart w:id="1045" w:name="_Toc297123550"/>
      <w:r/>
      <w:bookmarkStart w:id="1046" w:name="_Toc296347200"/>
      <w:r/>
      <w:bookmarkStart w:id="1047" w:name="_Toc296891241"/>
      <w:r/>
      <w:bookmarkStart w:id="1048" w:name="_Toc300935000"/>
      <w:r>
        <w:rPr>
          <w:rFonts w:hint="eastAsia" w:ascii="宋体" w:hAnsi="宋体" w:eastAsia="宋体" w:cs="宋体"/>
          <w:color w:val="auto"/>
          <w:sz w:val="21"/>
          <w:szCs w:val="21"/>
          <w:highlight w:val="none"/>
        </w:rPr>
        <w:t xml:space="preserve">11.1 市场价格波动引起的调整</w:t>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合同约定的市场风险范围内综合单价不调整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种方式对合同价格进行调整：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939"/>
      <w:r/>
      <w:bookmarkEnd w:id="940"/>
      <w:r/>
      <w:bookmarkEnd w:id="941"/>
      <w:r/>
      <w:bookmarkEnd w:id="942"/>
      <w:r/>
      <w:bookmarkEnd w:id="943"/>
      <w:r/>
      <w:bookmarkEnd w:id="944"/>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049" w:name="_Toc297120505"/>
      <w:r/>
      <w:bookmarkStart w:id="1050" w:name="_Toc296891033"/>
      <w:r/>
      <w:bookmarkStart w:id="1051" w:name="_Toc292559410"/>
      <w:r/>
      <w:bookmarkStart w:id="1052" w:name="_Toc296346706"/>
      <w:r/>
      <w:bookmarkStart w:id="1053" w:name="_Toc296503205"/>
      <w:r/>
      <w:bookmarkStart w:id="1054" w:name="_Toc296347204"/>
      <w:r/>
      <w:bookmarkStart w:id="1055" w:name="_Toc296944544"/>
      <w:r/>
      <w:bookmarkStart w:id="1056" w:name="_Toc292559915"/>
      <w:r/>
      <w:bookmarkStart w:id="1057" w:name="_Toc297048391"/>
      <w:r/>
      <w:bookmarkStart w:id="1058" w:name="_Toc296891245"/>
      <w:r/>
      <w:bookmarkStart w:id="1059" w:name="_Toc351203644"/>
      <w:r/>
      <w:bookmarkStart w:id="1060" w:name="_Toc297123552"/>
      <w:r/>
      <w:bookmarkStart w:id="1061" w:name="_Toc304295579"/>
      <w:r/>
      <w:bookmarkStart w:id="1062" w:name="_Toc312678040"/>
      <w:r/>
      <w:bookmarkStart w:id="1063" w:name="_Toc300935002"/>
      <w:r/>
      <w:bookmarkStart w:id="1064" w:name="_Toc297216211"/>
      <w:r/>
      <w:bookmarkStart w:id="1065" w:name="_Toc303539159"/>
      <w:r>
        <w:rPr>
          <w:rFonts w:hint="eastAsia" w:ascii="宋体" w:hAnsi="宋体" w:eastAsia="宋体" w:cs="宋体"/>
          <w:b w:val="0"/>
          <w:color w:val="auto"/>
          <w:sz w:val="21"/>
          <w:szCs w:val="21"/>
          <w:highlight w:val="none"/>
        </w:rPr>
        <w:t xml:space="preserve">12. </w:t>
      </w:r>
      <w:bookmarkEnd w:id="1049"/>
      <w:r/>
      <w:bookmarkEnd w:id="1050"/>
      <w:r/>
      <w:bookmarkEnd w:id="1051"/>
      <w:r/>
      <w:bookmarkEnd w:id="1052"/>
      <w:r/>
      <w:bookmarkEnd w:id="1053"/>
      <w:r/>
      <w:bookmarkEnd w:id="1054"/>
      <w:r/>
      <w:bookmarkEnd w:id="1055"/>
      <w:r/>
      <w:bookmarkEnd w:id="1056"/>
      <w:r/>
      <w:bookmarkEnd w:id="1057"/>
      <w:r/>
      <w:bookmarkEnd w:id="1058"/>
      <w:r>
        <w:rPr>
          <w:rFonts w:hint="eastAsia" w:ascii="宋体" w:hAnsi="宋体" w:eastAsia="宋体" w:cs="宋体"/>
          <w:b w:val="0"/>
          <w:color w:val="auto"/>
          <w:sz w:val="21"/>
          <w:szCs w:val="21"/>
          <w:highlight w:val="none"/>
        </w:rPr>
        <w:t xml:space="preserve">合同价格、计量与支付</w:t>
      </w:r>
      <w:bookmarkEnd w:id="1059"/>
      <w:r/>
      <w:bookmarkEnd w:id="1060"/>
      <w:r/>
      <w:bookmarkEnd w:id="1061"/>
      <w:r/>
      <w:bookmarkEnd w:id="1062"/>
      <w:r/>
      <w:bookmarkEnd w:id="1063"/>
      <w:r/>
      <w:bookmarkEnd w:id="1064"/>
      <w:r/>
      <w:bookmarkEnd w:id="1065"/>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66" w:name="_Toc292559411"/>
      <w:r/>
      <w:bookmarkStart w:id="1067" w:name="_Toc292559916"/>
      <w:r/>
      <w:bookmarkStart w:id="1068" w:name="_Toc267251461"/>
      <w:r/>
      <w:bookmarkStart w:id="1069" w:name="_Toc297120506"/>
      <w:r/>
      <w:bookmarkStart w:id="1070" w:name="_Toc296346707"/>
      <w:r/>
      <w:bookmarkStart w:id="1071" w:name="_Toc297048392"/>
      <w:r/>
      <w:bookmarkStart w:id="1072" w:name="_Toc296503206"/>
      <w:r/>
      <w:bookmarkStart w:id="1073" w:name="_Toc296347205"/>
      <w:r/>
      <w:bookmarkStart w:id="1074" w:name="_Toc296944545"/>
      <w:r/>
      <w:bookmarkStart w:id="1075" w:name="_Toc296891246"/>
      <w:r/>
      <w:bookmarkStart w:id="1076" w:name="_Toc296891034"/>
      <w:r/>
      <w:bookmarkStart w:id="1077" w:name="_Toc300935003"/>
      <w:r/>
      <w:bookmarkStart w:id="1078" w:name="_Toc304295580"/>
      <w:r/>
      <w:bookmarkStart w:id="1079" w:name="_Toc297123553"/>
      <w:r/>
      <w:bookmarkStart w:id="1080" w:name="_Toc297216212"/>
      <w:r/>
      <w:bookmarkStart w:id="1081" w:name="_Toc312678041"/>
      <w:r/>
      <w:bookmarkStart w:id="1082" w:name="_Toc303539160"/>
      <w:r>
        <w:rPr>
          <w:rFonts w:hint="eastAsia" w:ascii="宋体" w:hAnsi="宋体" w:eastAsia="宋体" w:cs="宋体"/>
          <w:color w:val="auto"/>
          <w:sz w:val="21"/>
          <w:szCs w:val="21"/>
          <w:highlight w:val="none"/>
        </w:rPr>
        <w:t xml:space="preserve">12.1 合</w:t>
      </w:r>
      <w:bookmarkEnd w:id="1066"/>
      <w:r/>
      <w:bookmarkEnd w:id="1067"/>
      <w:r/>
      <w:bookmarkEnd w:id="1068"/>
      <w:r>
        <w:rPr>
          <w:rFonts w:hint="eastAsia" w:ascii="宋体" w:hAnsi="宋体" w:eastAsia="宋体" w:cs="宋体"/>
          <w:color w:val="auto"/>
          <w:sz w:val="21"/>
          <w:szCs w:val="21"/>
          <w:highlight w:val="none"/>
        </w:rPr>
        <w:t xml:space="preserve">同价</w:t>
      </w:r>
      <w:bookmarkEnd w:id="1069"/>
      <w:r/>
      <w:bookmarkEnd w:id="1070"/>
      <w:r/>
      <w:bookmarkEnd w:id="1071"/>
      <w:r/>
      <w:bookmarkEnd w:id="1072"/>
      <w:r/>
      <w:bookmarkEnd w:id="1073"/>
      <w:r/>
      <w:bookmarkEnd w:id="1074"/>
      <w:r/>
      <w:bookmarkEnd w:id="1075"/>
      <w:r/>
      <w:bookmarkEnd w:id="1076"/>
      <w:r>
        <w:rPr>
          <w:rFonts w:hint="eastAsia" w:ascii="宋体" w:hAnsi="宋体" w:eastAsia="宋体" w:cs="宋体"/>
          <w:color w:val="auto"/>
          <w:sz w:val="21"/>
          <w:szCs w:val="21"/>
          <w:highlight w:val="none"/>
        </w:rPr>
        <w:t xml:space="preserve">格形式</w:t>
      </w:r>
      <w:bookmarkEnd w:id="1077"/>
      <w:r/>
      <w:bookmarkEnd w:id="1078"/>
      <w:r/>
      <w:bookmarkEnd w:id="1079"/>
      <w:r/>
      <w:bookmarkEnd w:id="1080"/>
      <w:r/>
      <w:bookmarkEnd w:id="1081"/>
      <w:r/>
      <w:bookmarkEnd w:id="1082"/>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jc w:val="both"/>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   综合单价包含的风险范围：</w:t>
      </w:r>
      <w:r>
        <w:rPr>
          <w:rFonts w:hint="eastAsia" w:ascii="宋体" w:hAnsi="宋体" w:eastAsia="宋体" w:cs="宋体"/>
          <w:color w:val="auto"/>
          <w:sz w:val="21"/>
          <w:szCs w:val="21"/>
          <w:highlight w:val="none"/>
          <w:u w:val="single"/>
        </w:rPr>
        <w:t xml:space="preserve">市场风险（包括采用新的验收标准、人工工资的市场价格波动、材料费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在一定范围内的波动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p>
    <w:p>
      <w:pPr>
        <w:ind w:firstLine="420"/>
        <w:jc w:val="both"/>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t xml:space="preserve">合同执行期间，如遇文件规定的人工费调整，按规定进行调整。人工调差单价需按合同价中人工单价同比例让利。</w:t>
      </w:r>
      <w:r/>
    </w:p>
    <w:p>
      <w:pPr>
        <w:ind w:firstLine="420"/>
        <w:jc w:val="both"/>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根据工程竣工结算时主要材料在施工期间采购当月的《常州工程造价信息》上的信息指导价（除税）中相对应的单项材料算术平均价格如与202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月信息指导价（除税）相比在±5%（含±5%）范围以内则不予调整，如超出±5%范围的，</w:t>
      </w:r>
      <w:r>
        <w:rPr>
          <w:rFonts w:hint="eastAsia" w:ascii="宋体" w:hAnsi="宋体" w:eastAsia="宋体" w:cs="宋体"/>
          <w:color w:val="auto"/>
          <w:sz w:val="21"/>
          <w:szCs w:val="21"/>
          <w:highlight w:val="none"/>
          <w:u w:val="single"/>
          <w:lang w:val="en-US" w:eastAsia="zh-CN"/>
        </w:rPr>
        <w:t xml:space="preserve">超出±5%部分的差额按投标时的下浮幅度优惠让利后予以调整。</w:t>
      </w:r>
      <w:r>
        <w:rPr>
          <w:rFonts w:hint="eastAsia" w:ascii="宋体" w:hAnsi="宋体" w:eastAsia="宋体" w:cs="宋体"/>
          <w:color w:val="auto"/>
          <w:sz w:val="21"/>
          <w:szCs w:val="21"/>
          <w:highlight w:val="none"/>
          <w:u w:val="single"/>
        </w:rPr>
        <w:t xml:space="preserve">施工期间必须经监理人、跟踪审计、发包人根据施工进度计划时间确认签字。</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83" w:name="_Toc297216213"/>
      <w:r/>
      <w:bookmarkStart w:id="1084" w:name="_Toc297123554"/>
      <w:r/>
      <w:bookmarkStart w:id="1085" w:name="_Toc300935004"/>
      <w:r/>
      <w:bookmarkStart w:id="1086" w:name="_Toc303539161"/>
      <w:r/>
      <w:bookmarkStart w:id="1087" w:name="_Toc304295581"/>
      <w:r/>
      <w:bookmarkStart w:id="1088" w:name="_Toc312678042"/>
      <w:r/>
      <w:bookmarkStart w:id="1089" w:name="_Toc292559412"/>
      <w:r/>
      <w:bookmarkStart w:id="1090" w:name="_Toc296503207"/>
      <w:r/>
      <w:bookmarkStart w:id="1091" w:name="_Toc297120507"/>
      <w:r/>
      <w:bookmarkStart w:id="1092" w:name="_Toc296944546"/>
      <w:r/>
      <w:bookmarkStart w:id="1093" w:name="_Toc292559917"/>
      <w:r/>
      <w:bookmarkStart w:id="1094" w:name="_Toc296891247"/>
      <w:r/>
      <w:bookmarkStart w:id="1095" w:name="_Toc296346708"/>
      <w:r/>
      <w:bookmarkStart w:id="1096" w:name="_Toc296347206"/>
      <w:r/>
      <w:bookmarkStart w:id="1097" w:name="_Toc297048393"/>
      <w:r/>
      <w:bookmarkStart w:id="1098" w:name="_Toc296891035"/>
      <w:r>
        <w:rPr>
          <w:rFonts w:hint="eastAsia" w:ascii="宋体" w:hAnsi="宋体" w:eastAsia="宋体" w:cs="宋体"/>
          <w:color w:val="auto"/>
          <w:sz w:val="21"/>
          <w:szCs w:val="21"/>
          <w:highlight w:val="none"/>
        </w:rPr>
        <w:t xml:space="preserve">12.2 预付款</w:t>
      </w:r>
      <w:bookmarkEnd w:id="1083"/>
      <w:r/>
      <w:bookmarkEnd w:id="1084"/>
      <w:r/>
      <w:bookmarkEnd w:id="1085"/>
      <w:r/>
      <w:bookmarkEnd w:id="1086"/>
      <w:r/>
      <w:bookmarkEnd w:id="1087"/>
      <w:r/>
      <w:bookmarkEnd w:id="1088"/>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089"/>
      <w:r/>
      <w:bookmarkEnd w:id="1090"/>
      <w:r/>
      <w:bookmarkEnd w:id="1091"/>
      <w:r/>
      <w:bookmarkEnd w:id="1092"/>
      <w:r/>
      <w:bookmarkEnd w:id="1093"/>
      <w:r/>
      <w:bookmarkEnd w:id="1094"/>
      <w:r/>
      <w:bookmarkEnd w:id="1095"/>
      <w:r/>
      <w:bookmarkEnd w:id="1096"/>
      <w:r/>
      <w:bookmarkEnd w:id="1097"/>
      <w:r/>
      <w:bookmarkEnd w:id="109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1099" w:name="_Toc300935006"/>
      <w:r/>
      <w:bookmarkStart w:id="1100" w:name="_Toc297123556"/>
      <w:r/>
      <w:bookmarkStart w:id="1101" w:name="_Toc296503211"/>
      <w:r/>
      <w:bookmarkStart w:id="1102" w:name="_Toc296944550"/>
      <w:r/>
      <w:bookmarkStart w:id="1103" w:name="_Toc303539163"/>
      <w:r/>
      <w:bookmarkStart w:id="1104" w:name="_Toc296891251"/>
      <w:r/>
      <w:bookmarkStart w:id="1105" w:name="_Toc297120511"/>
      <w:r/>
      <w:bookmarkStart w:id="1106" w:name="_Toc296346712"/>
      <w:r/>
      <w:bookmarkStart w:id="1107" w:name="_Toc292559921"/>
      <w:r/>
      <w:bookmarkStart w:id="1108" w:name="_Toc292559416"/>
      <w:r/>
      <w:bookmarkStart w:id="1109" w:name="_Toc297216215"/>
      <w:r/>
      <w:bookmarkStart w:id="1110" w:name="_Toc297048397"/>
      <w:r/>
      <w:bookmarkStart w:id="1111" w:name="_Toc296347210"/>
      <w:r/>
      <w:bookmarkStart w:id="1112" w:name="_Toc296891039"/>
      <w:r>
        <w:rPr>
          <w:rFonts w:hint="eastAsia" w:ascii="宋体" w:hAnsi="宋体" w:eastAsia="宋体" w:cs="宋体"/>
          <w:color w:val="auto"/>
          <w:sz w:val="21"/>
          <w:szCs w:val="21"/>
          <w:highlight w:val="none"/>
        </w:rPr>
        <w:t xml:space="preserve">12.4.1 付款周期</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工程款支付</w:t>
      </w:r>
      <w:bookmarkEnd w:id="945"/>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bookmarkStart w:id="1113" w:name="_Toc351203645"/>
      <w:r/>
      <w:bookmarkStart w:id="1114" w:name="_Toc296944558"/>
      <w:r/>
      <w:bookmarkStart w:id="1115" w:name="_Toc312678053"/>
      <w:r/>
      <w:bookmarkStart w:id="1116" w:name="_Toc292559424"/>
      <w:r/>
      <w:bookmarkStart w:id="1117" w:name="_Toc303539172"/>
      <w:r/>
      <w:bookmarkStart w:id="1118" w:name="_Toc296891047"/>
      <w:r/>
      <w:bookmarkStart w:id="1119" w:name="_Toc297123564"/>
      <w:r/>
      <w:bookmarkStart w:id="1120" w:name="_Toc296347218"/>
      <w:r/>
      <w:bookmarkStart w:id="1121" w:name="_Toc300935015"/>
      <w:r/>
      <w:bookmarkStart w:id="1122" w:name="_Toc297048405"/>
      <w:r/>
      <w:bookmarkStart w:id="1123" w:name="_Toc292559929"/>
      <w:r/>
      <w:bookmarkStart w:id="1124" w:name="_Toc297120519"/>
      <w:r/>
      <w:bookmarkStart w:id="1125" w:name="_Toc296503219"/>
      <w:r/>
      <w:bookmarkStart w:id="1126" w:name="_Toc297216223"/>
      <w:r/>
      <w:bookmarkStart w:id="1127" w:name="_Toc296346720"/>
      <w:r/>
      <w:bookmarkStart w:id="1128" w:name="_Toc304295593"/>
      <w:r/>
      <w:bookmarkStart w:id="1129" w:name="_Toc296891259"/>
      <w:r>
        <w:rPr>
          <w:rFonts w:hint="eastAsia" w:ascii="宋体" w:hAnsi="宋体" w:eastAsia="宋体" w:cs="宋体"/>
          <w:color w:val="auto"/>
          <w:sz w:val="21"/>
          <w:szCs w:val="21"/>
          <w:highlight w:val="none"/>
          <w:u w:val="single"/>
        </w:rPr>
        <w:t xml:space="preserve">双方约定的工程款（进度款）支付的方式和时间：</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(1)合同签订后30日内甲方支付合同价款的10%作为预付工程款;</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(2)工程竣工验收合格后30天内，进度款支付至实际已完工程核定产值的80%;</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(3)工程竣工结算经甲方、审计审定后付至审定总价的97%，余款在审计结束满2年30天内向乙方一次性付清。</w:t>
      </w:r>
      <w:bookmarkStart w:id="1268" w:name="_GoBack"/>
      <w:r/>
      <w:bookmarkEnd w:id="1268"/>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eastAsia="宋体" w:cs="宋体"/>
          <w:color w:val="auto"/>
          <w:sz w:val="21"/>
          <w:szCs w:val="21"/>
          <w:highlight w:val="none"/>
          <w:u w:val="single"/>
          <w:lang w:eastAsia="zh-CN"/>
        </w:rPr>
        <w:t xml:space="preserve">每次付款前，乙方必须提交符合国家财税规定的正规发票。</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）工程审计由建设方委托，审计模式由委托方确定。</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130" w:name="_Toc303539173"/>
      <w:r/>
      <w:bookmarkStart w:id="1131" w:name="_Toc296347222"/>
      <w:r/>
      <w:bookmarkStart w:id="1132" w:name="_Toc297048409"/>
      <w:r/>
      <w:bookmarkStart w:id="1133" w:name="_Toc296891051"/>
      <w:r/>
      <w:bookmarkStart w:id="1134" w:name="_Toc296944562"/>
      <w:r/>
      <w:bookmarkStart w:id="1135" w:name="_Toc304295596"/>
      <w:r/>
      <w:bookmarkStart w:id="1136" w:name="_Toc292559933"/>
      <w:r/>
      <w:bookmarkStart w:id="1137" w:name="_Toc300935016"/>
      <w:r/>
      <w:bookmarkStart w:id="1138" w:name="_Toc296346724"/>
      <w:r/>
      <w:bookmarkStart w:id="1139" w:name="_Toc312678056"/>
      <w:r/>
      <w:bookmarkStart w:id="1140" w:name="_Toc297120523"/>
      <w:r/>
      <w:bookmarkStart w:id="1141" w:name="_Toc297123565"/>
      <w:r/>
      <w:bookmarkStart w:id="1142" w:name="_Toc296503223"/>
      <w:r/>
      <w:bookmarkStart w:id="1143" w:name="_Toc292559428"/>
      <w:r/>
      <w:bookmarkStart w:id="1144" w:name="_Toc296891263"/>
      <w:r/>
      <w:bookmarkStart w:id="1145" w:name="_Toc297216224"/>
      <w:r/>
      <w:bookmarkStart w:id="1146" w:name="_Toc267251475"/>
      <w:r/>
      <w:bookmarkStart w:id="1147" w:name="_Toc267251470"/>
      <w:r/>
      <w:bookmarkStart w:id="1148" w:name="_Toc267251471"/>
      <w:r/>
      <w:bookmarkStart w:id="1149" w:name="_Toc267251473"/>
      <w:r/>
      <w:bookmarkStart w:id="1150" w:name="_Toc267251476"/>
      <w:r/>
      <w:bookmarkStart w:id="1151" w:name="_Toc267251474"/>
      <w:r/>
      <w:bookmarkStart w:id="1152" w:name="_Toc267251472"/>
      <w:r>
        <w:rPr>
          <w:rFonts w:hint="eastAsia" w:ascii="宋体" w:hAnsi="宋体" w:eastAsia="宋体" w:cs="宋体"/>
          <w:color w:val="auto"/>
          <w:sz w:val="21"/>
          <w:szCs w:val="21"/>
          <w:highlight w:val="none"/>
        </w:rPr>
        <w:t xml:space="preserve">13.2 竣工验收</w:t>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bookmarkEnd w:id="1142"/>
      <w:r/>
      <w:bookmarkEnd w:id="1143"/>
      <w:r/>
      <w:bookmarkEnd w:id="1144"/>
      <w:r/>
      <w:bookmarkEnd w:id="1145"/>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1153" w:name="_Toc280868704"/>
      <w:r/>
      <w:bookmarkStart w:id="1154" w:name="_Toc280868705"/>
      <w:r/>
      <w:bookmarkStart w:id="1155" w:name="_Toc280868706"/>
      <w:r/>
      <w:bookmarkStart w:id="1156" w:name="_Toc280868707"/>
      <w:r/>
      <w:bookmarkStart w:id="1157" w:name="_Toc280868708"/>
      <w:r/>
      <w:bookmarkStart w:id="1158" w:name="_Toc280868709"/>
      <w:r>
        <w:rPr>
          <w:rFonts w:hint="eastAsia" w:ascii="宋体" w:hAnsi="宋体" w:eastAsia="宋体" w:cs="宋体"/>
          <w:color w:val="auto"/>
          <w:sz w:val="21"/>
          <w:szCs w:val="21"/>
          <w:highlight w:val="none"/>
        </w:rPr>
        <w:t xml:space="preserve">13.2.2竣工验收程序</w:t>
      </w:r>
      <w:bookmarkEnd w:id="11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5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1155"/>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56"/>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115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159" w:name="_Toc351203646"/>
      <w:r>
        <w:rPr>
          <w:rFonts w:hint="eastAsia" w:ascii="宋体" w:hAnsi="宋体" w:eastAsia="宋体" w:cs="宋体"/>
          <w:b w:val="0"/>
          <w:color w:val="auto"/>
          <w:sz w:val="21"/>
          <w:szCs w:val="21"/>
          <w:highlight w:val="none"/>
        </w:rPr>
        <w:t xml:space="preserve">14. 竣工结算</w:t>
      </w:r>
      <w:bookmarkEnd w:id="1159"/>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46"/>
      <w:r/>
      <w:bookmarkEnd w:id="1147"/>
      <w:r/>
      <w:bookmarkEnd w:id="1148"/>
      <w:r/>
      <w:bookmarkEnd w:id="1149"/>
      <w:r/>
      <w:bookmarkEnd w:id="1150"/>
      <w:r/>
      <w:bookmarkEnd w:id="1151"/>
      <w:r/>
      <w:bookmarkEnd w:id="1152"/>
      <w:r/>
      <w:bookmarkEnd w:id="1158"/>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160" w:name="_Toc351203647"/>
      <w:r/>
      <w:bookmarkStart w:id="1161" w:name="_Toc267251483"/>
      <w:r/>
      <w:bookmarkStart w:id="1162" w:name="_Toc267251484"/>
      <w:r/>
      <w:bookmarkStart w:id="1163" w:name="_Toc267251482"/>
      <w:r/>
      <w:bookmarkStart w:id="1164" w:name="_Toc267251485"/>
      <w:r/>
      <w:bookmarkStart w:id="1165" w:name="_Toc267251490"/>
      <w:r/>
      <w:bookmarkStart w:id="1166" w:name="_Toc267251486"/>
      <w:r/>
      <w:bookmarkStart w:id="1167" w:name="_Toc267251488"/>
      <w:r/>
      <w:bookmarkStart w:id="1168" w:name="_Toc267251489"/>
      <w:r/>
      <w:bookmarkStart w:id="1169" w:name="_Toc267251502"/>
      <w:r/>
      <w:bookmarkStart w:id="1170" w:name="_Toc267251503"/>
      <w:r/>
      <w:bookmarkStart w:id="1171" w:name="_Toc267251494"/>
      <w:r/>
      <w:bookmarkStart w:id="1172" w:name="_Toc267251492"/>
      <w:r/>
      <w:bookmarkStart w:id="1173" w:name="_Toc267251497"/>
      <w:r/>
      <w:bookmarkStart w:id="1174" w:name="_Toc267251491"/>
      <w:r/>
      <w:bookmarkStart w:id="1175" w:name="_Toc267251493"/>
      <w:r/>
      <w:bookmarkStart w:id="1176" w:name="_Toc267251495"/>
      <w:r/>
      <w:bookmarkStart w:id="1177" w:name="_Toc267251498"/>
      <w:r/>
      <w:bookmarkStart w:id="1178" w:name="_Toc267251496"/>
      <w:r/>
      <w:bookmarkStart w:id="1179" w:name="_Toc267251501"/>
      <w:r/>
      <w:bookmarkStart w:id="1180" w:name="_Toc267251499"/>
      <w:r/>
      <w:bookmarkStart w:id="1181" w:name="_Toc267251504"/>
      <w:r/>
      <w:bookmarkStart w:id="1182" w:name="_Toc267251506"/>
      <w:r/>
      <w:bookmarkStart w:id="1183" w:name="_Toc267251507"/>
      <w:r/>
      <w:bookmarkStart w:id="1184" w:name="_Toc267251508"/>
      <w:r/>
      <w:bookmarkStart w:id="1185" w:name="_Toc267251509"/>
      <w:r/>
      <w:bookmarkStart w:id="1186" w:name="_Toc267251510"/>
      <w:r/>
      <w:bookmarkStart w:id="1187" w:name="_Toc267251514"/>
      <w:r/>
      <w:bookmarkStart w:id="1188" w:name="_Toc267251511"/>
      <w:r/>
      <w:bookmarkStart w:id="1189" w:name="_Toc267251513"/>
      <w:r/>
      <w:bookmarkStart w:id="1190" w:name="_Toc267251515"/>
      <w:r>
        <w:rPr>
          <w:rFonts w:hint="eastAsia" w:ascii="宋体" w:hAnsi="宋体" w:eastAsia="宋体" w:cs="宋体"/>
          <w:b w:val="0"/>
          <w:color w:val="auto"/>
          <w:sz w:val="21"/>
          <w:szCs w:val="21"/>
          <w:highlight w:val="none"/>
        </w:rPr>
        <w:t xml:space="preserve">15. 缺陷责任期与保修</w:t>
      </w:r>
      <w:bookmarkEnd w:id="1160"/>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1161"/>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两年</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工程款；</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w:t>
      </w:r>
      <w:bookmarkEnd w:id="1162"/>
      <w:r/>
      <w:bookmarkEnd w:id="1163"/>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1164"/>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65"/>
      <w:r/>
      <w:bookmarkEnd w:id="1166"/>
      <w:r/>
      <w:bookmarkEnd w:id="1167"/>
      <w:r/>
      <w:bookmarkEnd w:id="1168"/>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191" w:name="_Toc351203648"/>
      <w:r/>
      <w:bookmarkStart w:id="1192" w:name="_Toc280868717"/>
      <w:r/>
      <w:bookmarkStart w:id="1193" w:name="_Toc280868718"/>
      <w:r>
        <w:rPr>
          <w:rFonts w:hint="eastAsia" w:ascii="宋体" w:hAnsi="宋体" w:eastAsia="宋体" w:cs="宋体"/>
          <w:b w:val="0"/>
          <w:color w:val="auto"/>
          <w:sz w:val="21"/>
          <w:szCs w:val="21"/>
          <w:highlight w:val="none"/>
        </w:rPr>
        <w:t xml:space="preserve">16. 违约</w:t>
      </w:r>
      <w:bookmarkEnd w:id="1191"/>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left="1200" w:hanging="105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，导致承包人无法复工的违约责任：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194" w:name="_Toc351203649"/>
      <w:r>
        <w:rPr>
          <w:rFonts w:hint="eastAsia" w:ascii="宋体" w:hAnsi="宋体" w:eastAsia="宋体" w:cs="宋体"/>
          <w:b w:val="0"/>
          <w:color w:val="auto"/>
          <w:sz w:val="21"/>
          <w:szCs w:val="21"/>
          <w:highlight w:val="none"/>
        </w:rPr>
        <w:t xml:space="preserve">17. 不可抗力</w:t>
      </w:r>
      <w:bookmarkEnd w:id="1194"/>
      <w:r>
        <w:rPr>
          <w:rFonts w:hint="eastAsia" w:ascii="宋体" w:hAnsi="宋体" w:eastAsia="宋体" w:cs="宋体"/>
          <w:b w:val="0"/>
          <w:color w:val="auto"/>
          <w:sz w:val="21"/>
          <w:szCs w:val="21"/>
          <w:highlight w:val="none"/>
        </w:rPr>
        <w:t xml:space="preserve"> </w:t>
      </w:r>
      <w:bookmarkEnd w:id="1192"/>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天内完成款项的支付。</w:t>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195" w:name="_Toc351203650"/>
      <w:r>
        <w:rPr>
          <w:rFonts w:hint="eastAsia" w:ascii="宋体" w:hAnsi="宋体" w:eastAsia="宋体" w:cs="宋体"/>
          <w:b w:val="0"/>
          <w:color w:val="auto"/>
          <w:sz w:val="21"/>
          <w:szCs w:val="21"/>
          <w:highlight w:val="none"/>
        </w:rPr>
        <w:t xml:space="preserve">18. 保险</w:t>
      </w:r>
      <w:bookmarkEnd w:id="1195"/>
      <w:r/>
      <w:bookmarkEnd w:id="1193"/>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bookmarkEnd w:id="1169"/>
      <w:r/>
      <w:bookmarkEnd w:id="1170"/>
      <w:r/>
      <w:bookmarkEnd w:id="1171"/>
      <w:r/>
      <w:bookmarkEnd w:id="1172"/>
      <w:r/>
      <w:bookmarkEnd w:id="1173"/>
      <w:r/>
      <w:bookmarkEnd w:id="1174"/>
      <w:r/>
      <w:bookmarkEnd w:id="1175"/>
      <w:r/>
      <w:bookmarkEnd w:id="1176"/>
      <w:r/>
      <w:bookmarkEnd w:id="1177"/>
      <w:r/>
      <w:bookmarkEnd w:id="1178"/>
      <w:r/>
      <w:bookmarkEnd w:id="1179"/>
      <w:r/>
      <w:bookmarkEnd w:id="1180"/>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bookmarkStart w:id="1196" w:name="_Toc351203651"/>
      <w:r>
        <w:rPr>
          <w:rFonts w:hint="eastAsia" w:ascii="宋体" w:hAnsi="宋体" w:eastAsia="宋体" w:cs="宋体"/>
          <w:b w:val="0"/>
          <w:color w:val="auto"/>
          <w:sz w:val="21"/>
          <w:szCs w:val="21"/>
          <w:highlight w:val="none"/>
        </w:rPr>
        <w:t xml:space="preserve">20. 争议解决</w:t>
      </w:r>
      <w:bookmarkEnd w:id="1196"/>
      <w:r/>
      <w:bookmarkEnd w:id="1181"/>
      <w:r/>
      <w:bookmarkEnd w:id="1182"/>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1183"/>
      <w:r>
        <w:rPr>
          <w:rFonts w:hint="eastAsia" w:ascii="宋体" w:hAnsi="宋体" w:eastAsia="宋体" w:cs="宋体"/>
          <w:color w:val="auto"/>
          <w:sz w:val="21"/>
          <w:szCs w:val="21"/>
          <w:highlight w:val="none"/>
        </w:rPr>
        <w:t xml:space="preserve">议评审</w:t>
      </w:r>
      <w:r/>
    </w:p>
    <w:p>
      <w:pPr>
        <w:ind w:left="149" w:firstLine="31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1184"/>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种方式解决：</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常州市新北区 </w:t>
      </w:r>
      <w:r>
        <w:rPr>
          <w:rFonts w:hint="eastAsia" w:ascii="宋体" w:hAnsi="宋体" w:eastAsia="宋体" w:cs="宋体"/>
          <w:color w:val="auto"/>
          <w:sz w:val="21"/>
          <w:szCs w:val="21"/>
          <w:highlight w:val="none"/>
        </w:rPr>
        <w:t xml:space="preserve">人民法院起诉。</w:t>
      </w:r>
      <w:bookmarkEnd w:id="1185"/>
      <w:r/>
      <w:bookmarkEnd w:id="1186"/>
      <w:r/>
      <w:bookmarkEnd w:id="1187"/>
      <w:r/>
      <w:bookmarkEnd w:id="1188"/>
      <w:r/>
      <w:bookmarkEnd w:id="1189"/>
      <w:r/>
      <w:bookmarkEnd w:id="1190"/>
      <w:r/>
      <w:r/>
    </w:p>
    <w:p>
      <w:pPr>
        <w:pStyle w:val="997"/>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21. 其他条款</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1、本工程招标文件、投标函、设计交底纪要等作为本合同附件，与本合同具有同等效力，但与本合同有矛盾时，以本合同为准。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3、要求承包人安全、文明施工，因承包人原因产生安全事故的承包人承担一切责任。</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4、承包人有责任也有义务配合好管线、土建等施工单位的工作，有义务配合好发包人解决各项外部矛盾，确保工程的顺利实施。</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5、其他未尽事宜双方协商解决。</w:t>
      </w:r>
      <w:r/>
    </w:p>
    <w:p>
      <w:pPr>
        <w:ind w:firstLine="480"/>
        <w:jc w:val="left"/>
        <w:pageBreakBefore w:val="0"/>
        <w:spacing w:line="312" w:lineRule="auto"/>
        <w:rPr>
          <w:rFonts w:ascii="Times New Roman" w:hAnsi="Times New Roman" w:eastAsia="黑体" w:cs="Times New Roman"/>
          <w:b/>
          <w:color w:val="auto"/>
          <w:sz w:val="24"/>
          <w:highlight w:val="none"/>
        </w:rPr>
      </w:pPr>
      <w:r>
        <w:rPr>
          <w:rFonts w:hint="eastAsia" w:ascii="仿宋" w:hAnsi="仿宋" w:eastAsia="仿宋" w:cs="Times New Roman"/>
          <w:color w:val="auto"/>
          <w:sz w:val="24"/>
          <w:highlight w:val="none"/>
          <w:u w:val="single"/>
        </w:rPr>
        <w:br w:type="page" w:clear="all"/>
      </w:r>
      <w:r>
        <w:rPr>
          <w:rFonts w:ascii="Times New Roman" w:hAnsi="Times New Roman" w:eastAsia="黑体" w:cs="Times New Roman"/>
          <w:b/>
          <w:color w:val="auto"/>
          <w:sz w:val="24"/>
          <w:highlight w:val="none"/>
        </w:rPr>
        <w:t xml:space="preserve">附件</w:t>
      </w:r>
      <w:r>
        <w:rPr>
          <w:rFonts w:hint="eastAsia" w:ascii="Times New Roman" w:hAnsi="Times New Roman" w:eastAsia="黑体" w:cs="Times New Roman"/>
          <w:b/>
          <w:color w:val="auto"/>
          <w:sz w:val="24"/>
          <w:highlight w:val="none"/>
        </w:rPr>
        <w:t xml:space="preserve">：</w:t>
      </w:r>
      <w:r/>
    </w:p>
    <w:p>
      <w:pPr>
        <w:jc w:val="center"/>
        <w:spacing w:before="120" w:after="120" w:line="440" w:lineRule="exact"/>
        <w:rPr>
          <w:rFonts w:ascii="Times New Roman" w:hAnsi="Times New Roman" w:eastAsia="黑体" w:cs="Times New Roman"/>
          <w:color w:val="auto"/>
          <w:sz w:val="24"/>
          <w:highlight w:val="none"/>
        </w:rPr>
      </w:pPr>
      <w:r>
        <w:rPr>
          <w:rFonts w:ascii="Times New Roman" w:hAnsi="Times New Roman" w:eastAsia="黑体" w:cs="Times New Roman"/>
          <w:color w:val="auto"/>
          <w:sz w:val="24"/>
          <w:highlight w:val="none"/>
        </w:rPr>
        <w:t xml:space="preserve">工程质量保修书</w:t>
      </w:r>
      <w:r/>
    </w:p>
    <w:p>
      <w:pPr>
        <w:ind w:firstLine="42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发包人（全称）：</w:t>
      </w:r>
      <w:r>
        <w:rPr>
          <w:rFonts w:hint="eastAsia" w:ascii="仿宋" w:hAnsi="仿宋" w:eastAsia="仿宋" w:cs="Times New Roman"/>
          <w:color w:val="auto"/>
          <w:sz w:val="21"/>
          <w:szCs w:val="21"/>
          <w:highlight w:val="none"/>
          <w:u w:val="single"/>
          <w:lang w:eastAsia="zh-CN"/>
        </w:rPr>
        <w:t xml:space="preserve">常州市新北区魏村街道办事处</w:t>
      </w:r>
      <w:r>
        <w:rPr>
          <w:rFonts w:hint="eastAsia" w:ascii="仿宋" w:hAnsi="仿宋" w:eastAsia="仿宋" w:cs="Times New Roman"/>
          <w:color w:val="auto"/>
          <w:sz w:val="21"/>
          <w:szCs w:val="21"/>
          <w:highlight w:val="none"/>
          <w:u w:val="single"/>
        </w:rPr>
        <w:t xml:space="preserve">  </w:t>
      </w:r>
      <w:r/>
    </w:p>
    <w:p>
      <w:pPr>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　　承包人（全称）：</w:t>
      </w:r>
      <w:r>
        <w:rPr>
          <w:rFonts w:hint="eastAsia"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p>
    <w:p>
      <w:pPr>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　　发包人和承包人根据《中华人民共和国建筑法》和《建设工程质量管理条例》，经协商一致就</w:t>
      </w:r>
      <w:r>
        <w:rPr>
          <w:rFonts w:hint="eastAsia" w:ascii="仿宋" w:hAnsi="仿宋" w:eastAsia="仿宋" w:cs="Times New Roman"/>
          <w:color w:val="auto"/>
          <w:sz w:val="21"/>
          <w:szCs w:val="21"/>
          <w:highlight w:val="none"/>
          <w:u w:val="single"/>
          <w:lang w:eastAsia="zh-CN"/>
        </w:rPr>
        <w:t xml:space="preserve">大河路(G346-银孝线)改造工程</w:t>
      </w:r>
      <w:r>
        <w:rPr>
          <w:rFonts w:ascii="Times New Roman" w:hAnsi="Times New Roman" w:eastAsia="仿宋_GB2312" w:cs="Times New Roman"/>
          <w:color w:val="auto"/>
          <w:sz w:val="21"/>
          <w:szCs w:val="21"/>
          <w:highlight w:val="none"/>
        </w:rPr>
        <w:t xml:space="preserve">（工程全称）签订工程质量保修书。</w:t>
      </w:r>
      <w:r/>
    </w:p>
    <w:p>
      <w:pPr>
        <w:keepLines w:val="0"/>
        <w:keepNext w:val="0"/>
        <w:pageBreakBefore w:val="0"/>
        <w:spacing w:line="312" w:lineRule="auto"/>
        <w:widowControl w:val="off"/>
        <w:rPr>
          <w:rFonts w:ascii="Times New Roman" w:hAnsi="Times New Roman" w:eastAsia="黑体" w:cs="Times New Roman"/>
          <w:color w:val="auto"/>
          <w:sz w:val="21"/>
          <w:szCs w:val="21"/>
          <w:highlight w:val="none"/>
        </w:rPr>
        <w:outlineLvl w:val="0"/>
      </w:pPr>
      <w:r>
        <w:rPr>
          <w:rFonts w:ascii="Times New Roman" w:hAnsi="Times New Roman" w:eastAsia="黑体" w:cs="Times New Roman"/>
          <w:color w:val="auto"/>
          <w:sz w:val="21"/>
          <w:szCs w:val="21"/>
          <w:highlight w:val="none"/>
        </w:rPr>
        <w:t xml:space="preserve">　　一、工程质量保修范围和内容</w:t>
      </w:r>
      <w:r/>
    </w:p>
    <w:p>
      <w:pPr>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　　承包人在质量保修期内，按照有关法律规定和合同约定，承担工程质量保修责任。</w:t>
      </w:r>
      <w:r/>
    </w:p>
    <w:p>
      <w:pPr>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Times New Roman"/>
          <w:color w:val="auto"/>
          <w:sz w:val="21"/>
          <w:szCs w:val="21"/>
          <w:highlight w:val="none"/>
          <w:u w:val="single"/>
        </w:rPr>
        <w:t xml:space="preserve">按合同承包范围内容</w:t>
      </w:r>
      <w:r>
        <w:rPr>
          <w:rFonts w:ascii="Times New Roman" w:hAnsi="Times New Roman" w:eastAsia="仿宋_GB2312" w:cs="Times New Roman"/>
          <w:color w:val="auto"/>
          <w:sz w:val="21"/>
          <w:szCs w:val="21"/>
          <w:highlight w:val="none"/>
        </w:rPr>
        <w:t xml:space="preserve">。</w:t>
      </w:r>
      <w:r/>
    </w:p>
    <w:p>
      <w:pPr>
        <w:keepLines w:val="0"/>
        <w:keepNext w:val="0"/>
        <w:pageBreakBefore w:val="0"/>
        <w:spacing w:line="312" w:lineRule="auto"/>
        <w:widowControl w:val="off"/>
        <w:rPr>
          <w:rFonts w:ascii="Times New Roman" w:hAnsi="Times New Roman" w:eastAsia="黑体" w:cs="Times New Roman"/>
          <w:color w:val="auto"/>
          <w:sz w:val="21"/>
          <w:szCs w:val="21"/>
          <w:highlight w:val="none"/>
        </w:rPr>
        <w:outlineLvl w:val="0"/>
      </w:pPr>
      <w:r>
        <w:rPr>
          <w:rFonts w:ascii="Times New Roman" w:hAnsi="Times New Roman" w:eastAsia="仿宋_GB2312" w:cs="Times New Roman"/>
          <w:b/>
          <w:color w:val="auto"/>
          <w:sz w:val="21"/>
          <w:szCs w:val="21"/>
          <w:highlight w:val="none"/>
        </w:rPr>
        <w:t xml:space="preserve">　　</w:t>
      </w:r>
      <w:r>
        <w:rPr>
          <w:rFonts w:ascii="Times New Roman" w:hAnsi="Times New Roman" w:eastAsia="黑体" w:cs="Times New Roman"/>
          <w:color w:val="auto"/>
          <w:sz w:val="21"/>
          <w:szCs w:val="21"/>
          <w:highlight w:val="none"/>
        </w:rPr>
        <w:t xml:space="preserve">二、质量保修期</w:t>
      </w:r>
      <w:r/>
    </w:p>
    <w:p>
      <w:pPr>
        <w:ind w:firstLine="42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根据《建设工程质量管理条例》及有关规定，工程的质量保修期如下：</w:t>
      </w:r>
      <w:r/>
    </w:p>
    <w:p>
      <w:pPr>
        <w:ind w:firstLine="420"/>
        <w:keepLines w:val="0"/>
        <w:keepNext w:val="0"/>
        <w:pageBreakBefore w:val="0"/>
        <w:spacing w:line="312" w:lineRule="auto"/>
        <w:widowControl w:val="off"/>
        <w:rPr>
          <w:rFonts w:hint="eastAsia" w:ascii="仿宋_GB2312" w:hAnsi="Times New Roman" w:eastAsia="仿宋_GB2312" w:cs="Times New Roman"/>
          <w:color w:val="auto"/>
          <w:sz w:val="21"/>
          <w:szCs w:val="21"/>
          <w:highlight w:val="none"/>
        </w:rPr>
      </w:pPr>
      <w:r>
        <w:rPr>
          <w:rFonts w:hint="eastAsia" w:ascii="仿宋_GB2312" w:hAnsi="Times New Roman" w:eastAsia="仿宋_GB2312" w:cs="Times New Roman"/>
          <w:color w:val="auto"/>
          <w:sz w:val="21"/>
          <w:szCs w:val="21"/>
          <w:highlight w:val="none"/>
        </w:rPr>
        <w:t xml:space="preserve">1</w:t>
      </w:r>
      <w:r>
        <w:rPr>
          <w:rFonts w:hint="eastAsia" w:ascii="Times New Roman" w:hAnsi="Times New Roman" w:eastAsia="仿宋_GB2312" w:cs="Times New Roman"/>
          <w:color w:val="auto"/>
          <w:sz w:val="21"/>
          <w:szCs w:val="21"/>
          <w:highlight w:val="none"/>
        </w:rPr>
        <w:t xml:space="preserve">．</w:t>
      </w:r>
      <w:r>
        <w:rPr>
          <w:rFonts w:hint="eastAsia" w:ascii="仿宋_GB2312" w:hAnsi="Times New Roman" w:eastAsia="仿宋_GB2312" w:cs="Times New Roman"/>
          <w:color w:val="auto"/>
          <w:sz w:val="21"/>
          <w:szCs w:val="21"/>
          <w:highlight w:val="none"/>
        </w:rPr>
        <w:t xml:space="preserve">地基基础工程和主体结构工程为设计文件规定的工程合理使用年限；</w:t>
      </w:r>
      <w:r/>
    </w:p>
    <w:p>
      <w:pPr>
        <w:ind w:firstLine="42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2</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屋面防水工程、有防水要求的卫生间、房间和外墙面的防渗</w:t>
      </w:r>
      <w:r>
        <w:rPr>
          <w:rFonts w:hint="eastAsia" w:ascii="Times New Roman" w:hAnsi="Times New Roman" w:eastAsia="仿宋_GB2312" w:cs="Times New Roman"/>
          <w:color w:val="auto"/>
          <w:sz w:val="21"/>
          <w:szCs w:val="21"/>
          <w:highlight w:val="none"/>
        </w:rPr>
        <w:t xml:space="preserve">为</w:t>
      </w:r>
      <w:r>
        <w:rPr>
          <w:rFonts w:hint="eastAsia"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五 </w:t>
      </w:r>
      <w:r>
        <w:rPr>
          <w:rFonts w:ascii="Times New Roman" w:hAnsi="Times New Roman" w:eastAsia="仿宋_GB2312" w:cs="Times New Roman"/>
          <w:color w:val="auto"/>
          <w:sz w:val="21"/>
          <w:szCs w:val="21"/>
          <w:highlight w:val="none"/>
        </w:rPr>
        <w:t xml:space="preserve">年；</w:t>
      </w:r>
      <w:r/>
    </w:p>
    <w:p>
      <w:pPr>
        <w:ind w:left="420" w:firstLine="105"/>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3</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装修工程为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年；</w:t>
      </w:r>
      <w:r/>
    </w:p>
    <w:p>
      <w:pPr>
        <w:ind w:left="420" w:firstLine="105"/>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4</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电气管线、给排水管道、设备安装工程为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年；</w:t>
      </w:r>
      <w:r/>
    </w:p>
    <w:p>
      <w:pPr>
        <w:ind w:left="420" w:firstLine="105"/>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5</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供热与供冷系统为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贰</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个采暖期、供冷期；</w:t>
      </w:r>
      <w:r/>
    </w:p>
    <w:p>
      <w:pPr>
        <w:ind w:left="420" w:firstLine="105"/>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6</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住宅小区内的给排水设施、道路等配套工程为</w:t>
      </w:r>
      <w:r>
        <w:rPr>
          <w:rFonts w:ascii="仿宋" w:hAnsi="仿宋" w:eastAsia="仿宋"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年；</w:t>
      </w:r>
      <w:r/>
    </w:p>
    <w:p>
      <w:pPr>
        <w:ind w:left="420" w:firstLine="105"/>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7</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其他项目保修期限约定如下：</w:t>
      </w:r>
      <w:r>
        <w:rPr>
          <w:rFonts w:hint="eastAsia" w:ascii="仿宋" w:hAnsi="仿宋" w:eastAsia="仿宋" w:cs="Times New Roman"/>
          <w:color w:val="auto"/>
          <w:sz w:val="21"/>
          <w:szCs w:val="21"/>
          <w:highlight w:val="none"/>
          <w:u w:val="single"/>
        </w:rPr>
        <w:t xml:space="preserve">质量保修按国务院建设工程质量管理条例执行</w:t>
      </w:r>
      <w:r>
        <w:rPr>
          <w:rFonts w:ascii="Times New Roman" w:hAnsi="Times New Roman" w:eastAsia="仿宋_GB2312" w:cs="Times New Roman"/>
          <w:color w:val="auto"/>
          <w:sz w:val="21"/>
          <w:szCs w:val="21"/>
          <w:highlight w:val="none"/>
        </w:rPr>
        <w:t xml:space="preserve">。</w:t>
      </w:r>
      <w:r/>
    </w:p>
    <w:p>
      <w:pPr>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　　质量保修期自工程竣工验收合格之日起计算。</w:t>
      </w:r>
      <w:r/>
    </w:p>
    <w:p>
      <w:pPr>
        <w:ind w:firstLine="420"/>
        <w:keepLines w:val="0"/>
        <w:keepNext w:val="0"/>
        <w:pageBreakBefore w:val="0"/>
        <w:spacing w:line="312" w:lineRule="auto"/>
        <w:widowControl w:val="off"/>
        <w:rPr>
          <w:rFonts w:ascii="Times New Roman" w:hAnsi="Times New Roman" w:eastAsia="黑体" w:cs="Times New Roman"/>
          <w:color w:val="auto"/>
          <w:sz w:val="21"/>
          <w:szCs w:val="21"/>
          <w:highlight w:val="none"/>
        </w:rPr>
        <w:outlineLvl w:val="0"/>
      </w:pPr>
      <w:r>
        <w:rPr>
          <w:rFonts w:ascii="Times New Roman" w:hAnsi="Times New Roman" w:eastAsia="黑体" w:cs="Times New Roman"/>
          <w:color w:val="auto"/>
          <w:sz w:val="21"/>
          <w:szCs w:val="21"/>
          <w:highlight w:val="none"/>
        </w:rPr>
        <w:t xml:space="preserve">三、缺陷责任期</w:t>
      </w:r>
      <w:r/>
    </w:p>
    <w:p>
      <w:pPr>
        <w:ind w:firstLine="42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工程缺陷责任期为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24</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个月，缺陷责任期自工程</w:t>
      </w:r>
      <w:r>
        <w:rPr>
          <w:rFonts w:hint="eastAsia" w:ascii="Times New Roman" w:hAnsi="Times New Roman" w:eastAsia="仿宋_GB2312" w:cs="Times New Roman"/>
          <w:color w:val="auto"/>
          <w:sz w:val="21"/>
          <w:szCs w:val="21"/>
          <w:highlight w:val="none"/>
        </w:rPr>
        <w:t xml:space="preserve">通过竣工验收</w:t>
      </w:r>
      <w:r>
        <w:rPr>
          <w:rFonts w:ascii="Times New Roman" w:hAnsi="Times New Roman" w:eastAsia="仿宋_GB2312" w:cs="Times New Roman"/>
          <w:color w:val="auto"/>
          <w:sz w:val="21"/>
          <w:szCs w:val="21"/>
          <w:highlight w:val="none"/>
        </w:rPr>
        <w:t xml:space="preserve">之日起计算。单位工程先于全部工程进行验收，单位工程缺陷责任期自单位工程验收合格之日起算。</w:t>
      </w:r>
      <w:r/>
    </w:p>
    <w:p>
      <w:pPr>
        <w:ind w:firstLine="42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缺陷责任期终止后，发包人应退还剩余的质量保证金。</w:t>
      </w:r>
      <w:r/>
    </w:p>
    <w:p>
      <w:pPr>
        <w:keepLines w:val="0"/>
        <w:keepNext w:val="0"/>
        <w:pageBreakBefore w:val="0"/>
        <w:spacing w:line="312" w:lineRule="auto"/>
        <w:widowControl w:val="off"/>
        <w:rPr>
          <w:rFonts w:ascii="Times New Roman" w:hAnsi="Times New Roman" w:eastAsia="黑体" w:cs="Times New Roman"/>
          <w:color w:val="auto"/>
          <w:sz w:val="21"/>
          <w:szCs w:val="21"/>
          <w:highlight w:val="none"/>
        </w:rPr>
        <w:outlineLvl w:val="0"/>
      </w:pPr>
      <w:r>
        <w:rPr>
          <w:rFonts w:ascii="Times New Roman" w:hAnsi="Times New Roman" w:eastAsia="黑体" w:cs="Times New Roman"/>
          <w:color w:val="auto"/>
          <w:sz w:val="21"/>
          <w:szCs w:val="21"/>
          <w:highlight w:val="none"/>
        </w:rPr>
        <w:t xml:space="preserve">    四、质量保修责任</w:t>
      </w:r>
      <w:r/>
    </w:p>
    <w:p>
      <w:pPr>
        <w:ind w:left="105" w:firstLine="43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1</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2</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发生紧急事故需抢修的，承包人在接到事故通知后，应当立即到达事故现场抢修。</w:t>
      </w:r>
      <w:r/>
    </w:p>
    <w:p>
      <w:pPr>
        <w:ind w:left="105" w:firstLine="430"/>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3</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 xml:space="preserve">4</w:t>
      </w:r>
      <w:r>
        <w:rPr>
          <w:rFonts w:hint="eastAsia" w:ascii="仿宋_GB2312"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rPr>
        <w:t xml:space="preserve">质量保修完成后，由发包人组织验收。</w:t>
      </w:r>
      <w:r/>
    </w:p>
    <w:p>
      <w:pPr>
        <w:keepLines w:val="0"/>
        <w:keepNext w:val="0"/>
        <w:pageBreakBefore w:val="0"/>
        <w:spacing w:line="312" w:lineRule="auto"/>
        <w:widowControl w:val="off"/>
        <w:rPr>
          <w:rFonts w:ascii="Times New Roman" w:hAnsi="Times New Roman" w:eastAsia="黑体" w:cs="Times New Roman"/>
          <w:color w:val="auto"/>
          <w:sz w:val="21"/>
          <w:szCs w:val="21"/>
          <w:highlight w:val="none"/>
        </w:rPr>
        <w:outlineLvl w:val="0"/>
      </w:pPr>
      <w:r>
        <w:rPr>
          <w:rFonts w:ascii="Times New Roman" w:hAnsi="Times New Roman" w:eastAsia="黑体" w:cs="Times New Roman"/>
          <w:color w:val="auto"/>
          <w:sz w:val="21"/>
          <w:szCs w:val="21"/>
          <w:highlight w:val="none"/>
        </w:rPr>
        <w:t xml:space="preserve">　　五、保修费用</w:t>
      </w:r>
      <w:r/>
    </w:p>
    <w:p>
      <w:pPr>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　　保修费用由造成质量缺陷的责任方承担。</w:t>
      </w:r>
      <w:r/>
    </w:p>
    <w:p>
      <w:pPr>
        <w:ind w:firstLine="600"/>
        <w:jc w:val="left"/>
        <w:keepLines w:val="0"/>
        <w:keepNext w:val="0"/>
        <w:pageBreakBefore w:val="0"/>
        <w:spacing w:line="312" w:lineRule="auto"/>
        <w:widowControl w:val="off"/>
        <w:rPr>
          <w:rFonts w:ascii="Times New Roman" w:hAnsi="Times New Roman" w:eastAsia="仿宋_GB2312" w:cs="Times New Roman"/>
          <w:color w:val="auto"/>
          <w:sz w:val="21"/>
          <w:szCs w:val="21"/>
          <w:highlight w:val="none"/>
        </w:rPr>
        <w:outlineLvl w:val="0"/>
      </w:pPr>
      <w:r>
        <w:rPr>
          <w:rFonts w:ascii="Times New Roman" w:hAnsi="Times New Roman" w:eastAsia="黑体" w:cs="Times New Roman"/>
          <w:b/>
          <w:color w:val="auto"/>
          <w:sz w:val="21"/>
          <w:szCs w:val="21"/>
          <w:highlight w:val="none"/>
        </w:rPr>
        <w:t xml:space="preserve">六</w:t>
      </w:r>
      <w:r>
        <w:rPr>
          <w:rFonts w:ascii="Times New Roman" w:hAnsi="Times New Roman" w:eastAsia="黑体" w:cs="Times New Roman"/>
          <w:color w:val="auto"/>
          <w:sz w:val="21"/>
          <w:szCs w:val="21"/>
          <w:highlight w:val="none"/>
        </w:rPr>
        <w:t xml:space="preserve">、双方约定的其他工程质量保修事项</w:t>
      </w:r>
      <w:r>
        <w:rPr>
          <w:rFonts w:ascii="Times New Roman" w:hAnsi="Times New Roman" w:eastAsia="仿宋_GB2312" w:cs="Times New Roman"/>
          <w:color w:val="auto"/>
          <w:sz w:val="21"/>
          <w:szCs w:val="21"/>
          <w:highlight w:val="none"/>
        </w:rPr>
        <w:t xml:space="preserve">：</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w:t>
      </w:r>
      <w:r/>
    </w:p>
    <w:p>
      <w:pPr>
        <w:ind w:firstLine="399"/>
        <w:keepLines w:val="0"/>
        <w:keepNext w:val="0"/>
        <w:pageBreakBefore w:val="0"/>
        <w:spacing w:line="312" w:lineRule="auto"/>
        <w:widowControl w:val="off"/>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发包人(公章)：</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承包人(公章)：</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地  址：</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地  址：</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法定代表人(签字)：</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 xml:space="preserve">法定代表人(签字)：</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委托代理人(签字)：</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 xml:space="preserve">委托代理人(签字)：</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电  话：</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电  话：</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传  真：</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传  真：</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开户银行：</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开户银行：</w:t>
      </w:r>
      <w:r>
        <w:rPr>
          <w:rFonts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账  号：</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 xml:space="preserve">账</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 号：</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p>
    <w:p>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邮政编码：</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 xml:space="preserve">邮政编码：</w:t>
      </w:r>
      <w:r>
        <w:rPr>
          <w:rFonts w:ascii="Times New Roman" w:hAnsi="Times New Roman" w:eastAsia="仿宋_GB2312" w:cs="Times New Roman"/>
          <w:color w:val="auto"/>
          <w:sz w:val="21"/>
          <w:szCs w:val="21"/>
          <w:highlight w:val="none"/>
          <w:u w:val="single"/>
        </w:rPr>
        <w:t xml:space="preserve">　　　　　　　　   </w:t>
      </w:r>
      <w:r>
        <w:rPr>
          <w:rFonts w:ascii="Times New Roman" w:hAnsi="Times New Roman" w:cs="Times New Roman"/>
          <w:color w:val="auto"/>
          <w:sz w:val="21"/>
          <w:szCs w:val="21"/>
          <w:highlight w:val="none"/>
        </w:rPr>
        <w:t xml:space="preserve"> </w:t>
      </w:r>
      <w:r/>
    </w:p>
    <w:p>
      <w:pPr>
        <w:ind w:firstLine="0"/>
        <w:jc w:val="left"/>
        <w:spacing w:line="360" w:lineRule="auto"/>
        <w:widowControl w:val="off"/>
        <w:tabs>
          <w:tab w:val="left" w:pos="993" w:leader="none"/>
        </w:tabs>
        <w:rPr>
          <w:rFonts w:hint="eastAsia" w:ascii="Calibri" w:hAnsi="宋体" w:eastAsia="宋体" w:cs="Times New Roman"/>
          <w:color w:val="auto"/>
          <w:sz w:val="21"/>
          <w:szCs w:val="22"/>
          <w:highlight w:val="none"/>
          <w:lang w:val="en-US" w:eastAsia="zh-CN" w:bidi="ar-SA"/>
        </w:rPr>
      </w:pPr>
      <w:r>
        <w:rPr>
          <w:rFonts w:hint="eastAsia" w:ascii="Calibri" w:hAnsi="宋体" w:eastAsia="宋体" w:cs="Times New Roman"/>
          <w:color w:val="auto"/>
          <w:sz w:val="21"/>
          <w:szCs w:val="22"/>
          <w:highlight w:val="none"/>
          <w:lang w:val="en-US" w:eastAsia="zh-CN" w:bidi="ar-SA"/>
        </w:rPr>
      </w:r>
      <w:r/>
    </w:p>
    <w:p>
      <w:pPr>
        <w:pStyle w:val="1003"/>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widowControl/>
        <w:rPr>
          <w:b/>
          <w:color w:val="auto"/>
          <w:sz w:val="36"/>
          <w:szCs w:val="36"/>
          <w:highlight w:val="none"/>
        </w:rPr>
        <w:outlineLvl w:val="0"/>
      </w:pPr>
      <w:r/>
      <w:bookmarkStart w:id="1197" w:name="_Toc11016"/>
      <w:r>
        <w:rPr>
          <w:b/>
          <w:color w:val="auto"/>
          <w:sz w:val="36"/>
          <w:szCs w:val="36"/>
          <w:highlight w:val="none"/>
        </w:rPr>
        <w:t xml:space="preserve">第六章   响应文件格式</w:t>
      </w:r>
      <w:bookmarkEnd w:id="1197"/>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spacing w:line="48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48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996"/>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02"/>
        <w:ind w:firstLine="480"/>
        <w:spacing w:line="460" w:lineRule="exact"/>
        <w:rPr>
          <w:color w:val="auto"/>
          <w:highlight w:val="none"/>
        </w:rPr>
      </w:pPr>
      <w:r>
        <w:rPr>
          <w:rFonts w:hint="eastAsia"/>
          <w:color w:val="auto"/>
          <w:highlight w:val="none"/>
        </w:rPr>
        <w:t xml:space="preserve">致：江苏尚阳工程管理有限公司</w:t>
      </w:r>
      <w:r/>
    </w:p>
    <w:p>
      <w:pPr>
        <w:pStyle w:val="1002"/>
        <w:ind w:firstLine="960"/>
        <w:spacing w:line="460" w:lineRule="exact"/>
        <w:rPr>
          <w:color w:val="auto"/>
          <w:highlight w:val="none"/>
          <w:u w:val="single"/>
        </w:rPr>
      </w:pPr>
      <w:r>
        <w:rPr>
          <w:rFonts w:hint="eastAsia"/>
          <w:color w:val="auto"/>
          <w:highlight w:val="none"/>
          <w:u w:val="single"/>
        </w:rPr>
        <w:t xml:space="preserve">（采购人名称）</w:t>
      </w:r>
      <w:r/>
    </w:p>
    <w:p>
      <w:pPr>
        <w:pStyle w:val="1002"/>
        <w:ind w:firstLine="480"/>
        <w:spacing w:line="460" w:lineRule="exact"/>
        <w:rPr>
          <w:rFonts w:hint="eastAsia"/>
          <w:color w:val="auto"/>
          <w:highlight w:val="none"/>
        </w:rPr>
      </w:pPr>
      <w:r>
        <w:rPr>
          <w:rFonts w:hint="eastAsia"/>
          <w:color w:val="auto"/>
          <w:highlight w:val="none"/>
        </w:rPr>
      </w:r>
      <w:r/>
    </w:p>
    <w:p>
      <w:pPr>
        <w:pStyle w:val="1002"/>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02"/>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1002"/>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02"/>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02"/>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02"/>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02"/>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02"/>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02"/>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2"/>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02"/>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02"/>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02"/>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02"/>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02"/>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02"/>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02"/>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02"/>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02"/>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02"/>
        <w:ind w:firstLine="480"/>
        <w:spacing w:line="460" w:lineRule="exact"/>
        <w:rPr>
          <w:color w:val="auto"/>
          <w:highlight w:val="none"/>
        </w:rPr>
      </w:pPr>
      <w:r>
        <w:rPr>
          <w:color w:val="auto"/>
          <w:highlight w:val="none"/>
        </w:rPr>
      </w:r>
      <w:r/>
    </w:p>
    <w:p>
      <w:pPr>
        <w:pStyle w:val="1002"/>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02"/>
        <w:ind w:firstLine="480"/>
        <w:spacing w:line="460" w:lineRule="exact"/>
        <w:rPr>
          <w:color w:val="auto"/>
          <w:highlight w:val="none"/>
        </w:rPr>
      </w:pPr>
      <w:r>
        <w:rPr>
          <w:color w:val="auto"/>
          <w:highlight w:val="none"/>
        </w:rPr>
      </w:r>
      <w:r/>
    </w:p>
    <w:p>
      <w:pPr>
        <w:pStyle w:val="1002"/>
        <w:ind w:firstLine="480"/>
        <w:spacing w:line="460" w:lineRule="exact"/>
        <w:rPr>
          <w:color w:val="auto"/>
          <w:highlight w:val="none"/>
        </w:rPr>
      </w:pPr>
      <w:r>
        <w:rPr>
          <w:color w:val="auto"/>
          <w:highlight w:val="none"/>
        </w:rPr>
      </w:r>
      <w:r/>
    </w:p>
    <w:p>
      <w:pPr>
        <w:pStyle w:val="1002"/>
        <w:ind w:firstLine="480"/>
        <w:spacing w:line="460" w:lineRule="exact"/>
        <w:rPr>
          <w:color w:val="auto"/>
          <w:highlight w:val="none"/>
        </w:rPr>
      </w:pPr>
      <w:r>
        <w:rPr>
          <w:rFonts w:hint="eastAsia"/>
          <w:color w:val="auto"/>
          <w:highlight w:val="none"/>
        </w:rPr>
        <w:t xml:space="preserve">                                            供应商：（加盖公章）</w:t>
      </w:r>
      <w:r/>
    </w:p>
    <w:p>
      <w:pPr>
        <w:pStyle w:val="1002"/>
        <w:ind w:firstLine="480"/>
        <w:spacing w:line="460" w:lineRule="exact"/>
        <w:rPr>
          <w:color w:val="auto"/>
          <w:highlight w:val="none"/>
        </w:rPr>
      </w:pPr>
      <w:r>
        <w:rPr>
          <w:rFonts w:hint="eastAsia"/>
          <w:color w:val="auto"/>
          <w:highlight w:val="none"/>
        </w:rPr>
        <w:t xml:space="preserve">                                           法定代表人（或单位负责人）签字或盖章：</w:t>
      </w:r>
      <w:r/>
    </w:p>
    <w:p>
      <w:pPr>
        <w:pStyle w:val="1002"/>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（1）本项目专门面向中小企业采购，须提供《中小企业声明函》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（2）其它</w:t>
      </w:r>
      <w:r>
        <w:rPr>
          <w:rFonts w:hint="eastAsia"/>
          <w:color w:val="auto"/>
          <w:sz w:val="24"/>
          <w:highlight w:val="none"/>
        </w:rPr>
        <w:t xml:space="preserve">：</w:t>
      </w:r>
      <w:r>
        <w:rPr>
          <w:color w:val="auto"/>
          <w:sz w:val="24"/>
          <w:highlight w:val="none"/>
        </w:rPr>
        <w:t xml:space="preserve">中小企业参加政府采购活动，应当出具此格式文件。《中小企业声明函》由参加政府采购活动的供应商出具。</w:t>
      </w:r>
      <w:r/>
    </w:p>
    <w:p>
      <w:pPr>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（工信部网址：https://baosong.miit.gov.cn/ScaleTest）</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jc w:val="center"/>
        <w:spacing w:before="240" w:after="240" w:line="360" w:lineRule="auto"/>
        <w:rPr>
          <w:b/>
          <w:bCs/>
          <w:color w:val="auto"/>
          <w:sz w:val="36"/>
          <w:szCs w:val="36"/>
          <w:highlight w:val="none"/>
        </w:rPr>
      </w:pPr>
      <w:r>
        <w:rPr>
          <w:color w:val="auto"/>
          <w:sz w:val="24"/>
          <w:highlight w:val="none"/>
        </w:rPr>
        <w:br w:type="page" w:clear="all"/>
      </w:r>
      <w:r>
        <w:rPr>
          <w:rFonts w:hint="eastAsia"/>
          <w:b/>
          <w:bCs/>
          <w:color w:val="auto"/>
          <w:sz w:val="36"/>
          <w:szCs w:val="36"/>
          <w:highlight w:val="none"/>
        </w:rPr>
        <w:t xml:space="preserve">中小企业声明函格式</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w:t>
      </w:r>
      <w:r>
        <w:rPr>
          <w:rFonts w:hint="eastAsia" w:ascii="宋体" w:hAnsi="宋体" w:cs="宋体"/>
          <w:color w:val="auto"/>
          <w:sz w:val="24"/>
          <w:highlight w:val="none"/>
          <w:u w:val="single"/>
        </w:rPr>
        <w:t xml:space="preserve">（此处填供应商单位名称） </w:t>
      </w:r>
      <w:r>
        <w:rPr>
          <w:rFonts w:hint="eastAsia" w:ascii="宋体" w:hAnsi="宋体" w:cs="宋体"/>
          <w:color w:val="auto"/>
          <w:sz w:val="24"/>
          <w:highlight w:val="none"/>
        </w:rPr>
        <w:t xml:space="preserve">参加江苏尚阳工程管理有限公司组织的</w:t>
      </w:r>
      <w:r>
        <w:rPr>
          <w:rFonts w:hint="eastAsia" w:ascii="宋体" w:hAnsi="宋体" w:cs="宋体"/>
          <w:color w:val="auto"/>
          <w:sz w:val="24"/>
          <w:highlight w:val="none"/>
          <w:u w:val="single"/>
        </w:rPr>
        <w:t xml:space="preserve">（采购单位名称①）</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②</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（项目名称③）（分包号：④）</w:t>
      </w:r>
      <w:r>
        <w:rPr>
          <w:rFonts w:hint="eastAsia" w:ascii="宋体" w:hAnsi="宋体" w:cs="宋体"/>
          <w:color w:val="auto"/>
          <w:sz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ascii="宋体" w:hAnsi="宋体" w:cs="宋体"/>
          <w:i/>
          <w:color w:val="auto"/>
          <w:sz w:val="24"/>
          <w:highlight w:val="none"/>
          <w:u w:val="single"/>
        </w:rPr>
      </w:pPr>
      <w:r>
        <w:rPr>
          <w:rFonts w:hint="eastAsia" w:ascii="宋体" w:hAnsi="宋体" w:cs="宋体"/>
          <w:color w:val="auto"/>
          <w:sz w:val="24"/>
          <w:highlight w:val="none"/>
          <w:u w:val="single"/>
        </w:rPr>
        <w:t xml:space="preserve">（标的名称⑤）</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（采购文件中明确的所属行业⑥）</w:t>
      </w:r>
      <w:r>
        <w:rPr>
          <w:rFonts w:hint="eastAsia" w:ascii="宋体" w:hAnsi="宋体" w:cs="宋体"/>
          <w:color w:val="auto"/>
          <w:sz w:val="24"/>
          <w:highlight w:val="none"/>
        </w:rPr>
        <w:t xml:space="preserve">行业；承建企业为</w:t>
      </w:r>
      <w:r>
        <w:rPr>
          <w:rFonts w:hint="eastAsia" w:ascii="宋体" w:hAnsi="宋体" w:cs="宋体"/>
          <w:color w:val="auto"/>
          <w:sz w:val="24"/>
          <w:highlight w:val="none"/>
          <w:u w:val="single"/>
        </w:rPr>
        <w:t xml:space="preserve">（企业名称⑦）</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⑧</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⑨</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⑩</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（中型企业、小型企业、微型企业⑪）；</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360"/>
        <w:jc w:val="right"/>
        <w:spacing w:line="57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企业名称（加盖CA电子公章）⑫：</w:t>
      </w:r>
      <w:r/>
    </w:p>
    <w:p>
      <w:pPr>
        <w:ind w:right="480" w:firstLine="5400"/>
        <w:spacing w:line="57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spacing w:line="570" w:lineRule="exact"/>
        <w:rPr>
          <w:rFonts w:ascii="宋体" w:hAnsi="宋体" w:cs="宋体"/>
          <w:color w:val="auto"/>
          <w:sz w:val="24"/>
          <w:highlight w:val="none"/>
        </w:rPr>
      </w:pPr>
      <w:r>
        <w:rPr>
          <w:rFonts w:ascii="宋体" w:hAnsi="宋体" w:cs="宋体"/>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1.（采购单位名称①）：填写本项目采购人单位名称，如常州市XXX局。</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2.采购编号为②：填写本项目编号，如JSZC-3204XX-SYZB-C20XX-XX。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3.（项目名称③）：填写本项目名称，如常州市XXX项目。</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4.（分包号：④）：填写分包编号，如有分包的，分别填写分包号，没有的填“无”。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5.（标的名称⑤）：填写本项目标的名称，详见采购文件“第一章 采购邀请”。</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6.（采购文件中明确的所属行业⑥）：填写本项目采购标的所属行业。须根据采购文件“第二章  供应商须知”表格中列明的所属行业进行填写。如：建筑业。</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7.（企业名称⑦）：填写</w:t>
      </w:r>
      <w:r>
        <w:rPr>
          <w:rFonts w:hint="eastAsia" w:ascii="宋体" w:hAnsi="宋体" w:cs="宋体"/>
          <w:b/>
          <w:bCs/>
          <w:color w:val="auto"/>
          <w:sz w:val="24"/>
          <w:highlight w:val="none"/>
        </w:rPr>
        <w:t xml:space="preserve">供应商的名称</w:t>
      </w:r>
      <w:r>
        <w:rPr>
          <w:rFonts w:hint="eastAsia" w:ascii="宋体" w:hAnsi="宋体" w:cs="宋体"/>
          <w:color w:val="auto"/>
          <w:sz w:val="24"/>
          <w:highlight w:val="none"/>
        </w:rPr>
        <w:t xml:space="preserve">，如XXX公司。</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8.从业人员⑧人，营业收入为⑨万元，资产总额为⑩万元：填报</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的从业人员、营业收入、资产总额上一年度数据，无上一年度数据的新成立企业可不填报。</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9.（中型企业、小型企业、微型企业</w:t>
      </w:r>
      <w:r>
        <w:rPr>
          <w:rFonts w:hint="eastAsia" w:ascii="宋体" w:hAnsi="宋体" w:cs="宋体"/>
          <w:color w:val="auto"/>
          <w:sz w:val="24"/>
          <w:highlight w:val="none"/>
          <w:u w:val="single"/>
        </w:rPr>
        <w:t xml:space="preserve">⑪</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的企业规模情况填写中型企业、小型企业或微型企业</w:t>
      </w:r>
      <w:r>
        <w:rPr>
          <w:rFonts w:hint="eastAsia" w:ascii="宋体" w:hAnsi="宋体" w:cs="宋体"/>
          <w:b/>
          <w:bCs/>
          <w:color w:val="auto"/>
          <w:sz w:val="24"/>
          <w:highlight w:val="none"/>
        </w:rPr>
        <w:t xml:space="preserve">（只能填写三种其中的一种）</w:t>
      </w:r>
      <w:r>
        <w:rPr>
          <w:rFonts w:hint="eastAsia" w:ascii="宋体" w:hAnsi="宋体" w:cs="宋体"/>
          <w:color w:val="auto"/>
          <w:sz w:val="24"/>
          <w:highlight w:val="none"/>
        </w:rPr>
        <w:t xml:space="preserve">。中小企业划分见《关于印发中小企业划型标准规定的通知》（工信部联企业〔2011〕300号)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10.企业名称（盖章）⑫：加盖</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CA电子公章。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11.如是</w:t>
      </w:r>
      <w:r>
        <w:rPr>
          <w:rFonts w:hint="eastAsia" w:ascii="宋体" w:hAnsi="宋体" w:cs="宋体"/>
          <w:b/>
          <w:color w:val="auto"/>
          <w:sz w:val="24"/>
          <w:highlight w:val="none"/>
        </w:rPr>
        <w:t xml:space="preserve">专门面向中小企业预留份额</w:t>
      </w:r>
      <w:r>
        <w:rPr>
          <w:rFonts w:hint="eastAsia" w:ascii="宋体" w:hAnsi="宋体" w:cs="宋体"/>
          <w:color w:val="auto"/>
          <w:sz w:val="24"/>
          <w:highlight w:val="none"/>
        </w:rPr>
        <w:t xml:space="preserve">的采购项目，供应商未提供此声明函的，资格审查不予通过，作为</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12.温馨提示</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（1）对于已纳入统计部门统计范围的企业，所属行业、从业人员、营业收入、资产总额、规模类型应与统计部门报表保持一致。</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（4）对于采购文件确实允许非独立法人参与采购活动的，应按其所属集团公司合并财务报表数据情况予以填报。</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020"/>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020"/>
        <w:ind w:firstLine="480"/>
        <w:spacing w:line="570" w:lineRule="exact"/>
        <w:rPr>
          <w:rFonts w:hint="default"/>
          <w:color w:val="auto"/>
          <w:sz w:val="24"/>
          <w:highlight w:val="none"/>
        </w:rPr>
      </w:pPr>
      <w:r>
        <w:rPr>
          <w:rFonts w:ascii="宋体" w:hAnsi="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sectPr>
          <w:headerReference w:type="even" r:id="rId11"/>
          <w:headerReference w:type="first" r:id="rId12"/>
          <w:footerReference w:type="even" r:id="rId18"/>
          <w:footerReference w:type="first" r:id="rId19"/>
          <w:footnotePr/>
          <w:endnotePr/>
          <w:type w:val="nextPage"/>
          <w:pgSz w:w="11907" w:h="16840" w:orient="portrait"/>
          <w:pgMar w:top="1440" w:right="1304" w:bottom="1440" w:left="1304" w:header="851" w:footer="851" w:gutter="0"/>
          <w:cols w:num="1" w:sep="0" w:space="720" w:equalWidth="1"/>
          <w:docGrid w:linePitch="360"/>
        </w:sectPr>
      </w:pPr>
      <w:r>
        <w:rPr>
          <w:b/>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由本单位承担工程。</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spacing w:line="360" w:lineRule="auto"/>
        <w:widowControl/>
        <w:rPr>
          <w:color w:val="auto"/>
          <w:sz w:val="24"/>
          <w:szCs w:val="20"/>
          <w:highlight w:val="none"/>
        </w:rPr>
      </w:pPr>
      <w:r>
        <w:rPr>
          <w:color w:val="auto"/>
          <w:sz w:val="24"/>
          <w:szCs w:val="20"/>
          <w:highlight w:val="none"/>
        </w:rPr>
        <w:br w:type="page" w:clear="all"/>
      </w:r>
      <w:r>
        <w:rPr>
          <w:color w:val="auto"/>
          <w:sz w:val="24"/>
          <w:szCs w:val="20"/>
          <w:highlight w:val="none"/>
        </w:rPr>
        <w:t xml:space="preserve">3 </w:t>
      </w:r>
      <w:r>
        <w:rPr>
          <w:color w:val="auto"/>
          <w:sz w:val="24"/>
          <w:highlight w:val="none"/>
        </w:rPr>
        <w:t xml:space="preserve">本项目的特定资格要求</w:t>
      </w:r>
      <w:r/>
    </w:p>
    <w:p>
      <w:pPr>
        <w:ind w:left="363" w:firstLine="72"/>
        <w:spacing w:line="360" w:lineRule="auto"/>
        <w:tabs>
          <w:tab w:val="left" w:pos="720" w:leader="none"/>
          <w:tab w:val="left" w:pos="900" w:leader="none"/>
        </w:tabs>
        <w:rPr>
          <w:color w:val="auto"/>
          <w:sz w:val="24"/>
          <w:szCs w:val="20"/>
          <w:highlight w:val="none"/>
        </w:rPr>
      </w:pPr>
      <w:r>
        <w:rPr>
          <w:rFonts w:hint="eastAsia"/>
          <w:color w:val="auto"/>
          <w:sz w:val="24"/>
          <w:szCs w:val="20"/>
          <w:highlight w:val="none"/>
        </w:rPr>
        <w:t xml:space="preserve"> 3.3.1供应商：</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（1）具备有效的市政公用工程施工总承包三级及以上资质，并取得有效的安全生产许可证；</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3.3.2项目负责人：</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（1）具备市政公用工程二级及以上注册建造师；</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（2）不得同时在两个或者两个以上单位受聘或者执业；</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（3）无在建工程（格式自拟）；</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（4）具有有效的建设行政主管部门核发的安全生产考核合格证（B证）；</w:t>
      </w:r>
      <w:r/>
    </w:p>
    <w:p>
      <w:pPr>
        <w:ind w:firstLine="480"/>
        <w:keepLines w:val="0"/>
        <w:keepNext w:val="0"/>
        <w:pageBreakBefore w:val="0"/>
        <w:spacing w:line="360" w:lineRule="auto"/>
        <w:widowControl w:val="off"/>
        <w:rPr>
          <w:color w:val="auto"/>
          <w:sz w:val="24"/>
          <w:szCs w:val="20"/>
          <w:highlight w:val="none"/>
        </w:rPr>
        <w:outlineLvl w:val="2"/>
      </w:pPr>
      <w:r>
        <w:rPr>
          <w:rFonts w:hint="eastAsia"/>
          <w:color w:val="auto"/>
          <w:sz w:val="24"/>
          <w:szCs w:val="20"/>
          <w:highlight w:val="none"/>
        </w:rPr>
        <w:t xml:space="preserve">（5）具有社保机构出具的供应商为项目负责人缴纳社会基本养老保险的2026年4月至2026年6月中任意一个月的缴纳凭证。</w:t>
      </w:r>
      <w:r>
        <w:rPr>
          <w:color w:val="auto"/>
          <w:sz w:val="24"/>
          <w:szCs w:val="20"/>
          <w:highlight w:val="none"/>
        </w:rPr>
        <w:br w:type="page" w:clear="all"/>
      </w:r>
      <w:bookmarkStart w:id="1198" w:name="_Toc195842922"/>
      <w:r/>
      <w:bookmarkStart w:id="1199" w:name="_Toc226309801"/>
      <w:r/>
      <w:bookmarkStart w:id="1200" w:name="_Toc305158899"/>
      <w:r/>
      <w:bookmarkStart w:id="1201" w:name="_Toc142311059"/>
      <w:r/>
      <w:bookmarkStart w:id="1202" w:name="_Toc150774762"/>
      <w:r/>
      <w:bookmarkStart w:id="1203" w:name="_Toc226965747"/>
      <w:r/>
      <w:bookmarkStart w:id="1204" w:name="_Toc226337253"/>
      <w:r/>
      <w:bookmarkStart w:id="1205" w:name="_Ref467988705"/>
      <w:r/>
      <w:bookmarkStart w:id="1206" w:name="_Toc150480795"/>
      <w:r/>
      <w:bookmarkStart w:id="1207" w:name="_Toc264969247"/>
      <w:r/>
      <w:bookmarkStart w:id="1208" w:name="_Toc305158825"/>
      <w:r/>
      <w:bookmarkStart w:id="1209" w:name="_Toc480942350"/>
      <w:r/>
      <w:bookmarkStart w:id="1210" w:name="_Toc520356218"/>
      <w:r/>
      <w:bookmarkStart w:id="1211" w:name="_Toc226965830"/>
      <w:r/>
      <w:bookmarkStart w:id="1212" w:name="_Toc265228395"/>
      <w:r/>
      <w:bookmarkStart w:id="1213" w:name="_Toc127151557"/>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w:t>
      </w:r>
      <w:r>
        <w:rPr>
          <w:rFonts w:hint="eastAsia"/>
          <w:color w:val="auto"/>
          <w:sz w:val="24"/>
          <w:szCs w:val="20"/>
          <w:highlight w:val="none"/>
        </w:rPr>
        <w:t xml:space="preserve">日</w:t>
      </w:r>
      <w:r>
        <w:rPr>
          <w:color w:val="auto"/>
          <w:sz w:val="24"/>
          <w:szCs w:val="20"/>
          <w:highlight w:val="none"/>
        </w:rPr>
        <w:t xml:space="preserve">。</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w:t>
      </w:r>
      <w:r>
        <w:rPr>
          <w:rFonts w:hint="eastAsia"/>
          <w:color w:val="auto"/>
          <w:sz w:val="24"/>
          <w:szCs w:val="20"/>
          <w:highlight w:val="none"/>
        </w:rPr>
        <w:t xml:space="preserve">成交</w:t>
      </w:r>
      <w:r>
        <w:rPr>
          <w:color w:val="auto"/>
          <w:sz w:val="24"/>
          <w:szCs w:val="20"/>
          <w:highlight w:val="none"/>
        </w:rPr>
        <w:t xml:space="preserve">，我方将在法律规定的期限内与你方签订合同，并在合同约定的期限内完成合同规定的全部义务。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1214" w:name="_Hlt520356243"/>
      <w:r/>
      <w:bookmarkEnd w:id="1214"/>
      <w:r/>
      <w:bookmarkStart w:id="1215" w:name="_Hlt520355938"/>
      <w:r/>
      <w:bookmarkEnd w:id="1215"/>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上述项目的磋商响应文件、进行合同谈判、签署合同和处理与之有关的一切事务。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05"/>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9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1005"/>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019"/>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报价一览表</w:t>
      </w:r>
      <w:bookmarkEnd w:id="1198"/>
      <w:r/>
      <w:bookmarkEnd w:id="1199"/>
      <w:r/>
      <w:bookmarkEnd w:id="1200"/>
      <w:r/>
      <w:bookmarkEnd w:id="1201"/>
      <w:r/>
      <w:bookmarkEnd w:id="1202"/>
      <w:r/>
      <w:bookmarkEnd w:id="1203"/>
      <w:r/>
      <w:bookmarkEnd w:id="1204"/>
      <w:r/>
      <w:bookmarkEnd w:id="1205"/>
      <w:r/>
      <w:bookmarkEnd w:id="1206"/>
      <w:r/>
      <w:bookmarkEnd w:id="1207"/>
      <w:r/>
      <w:bookmarkEnd w:id="1208"/>
      <w:r/>
      <w:bookmarkEnd w:id="1209"/>
      <w:r/>
      <w:bookmarkEnd w:id="1210"/>
      <w:r/>
      <w:bookmarkEnd w:id="1211"/>
      <w:r/>
      <w:bookmarkEnd w:id="1212"/>
      <w:r/>
      <w:bookmarkEnd w:id="1213"/>
      <w:r/>
      <w:r/>
    </w:p>
    <w:p>
      <w:pPr>
        <w:jc w:val="center"/>
        <w:rPr>
          <w:b/>
          <w:color w:val="auto"/>
          <w:sz w:val="36"/>
          <w:szCs w:val="36"/>
          <w:highlight w:val="none"/>
        </w:rPr>
      </w:pPr>
      <w:r/>
      <w:bookmarkStart w:id="1216" w:name="_Toc164608827"/>
      <w:r/>
      <w:bookmarkStart w:id="1217" w:name="_Toc305158900"/>
      <w:r/>
      <w:bookmarkStart w:id="1218" w:name="_Toc265228396"/>
      <w:r/>
      <w:bookmarkStart w:id="1219" w:name="_Toc195842923"/>
      <w:r/>
      <w:bookmarkStart w:id="1220" w:name="_Toc226309802"/>
      <w:r/>
      <w:bookmarkStart w:id="1221" w:name="_Toc226965831"/>
      <w:r/>
      <w:bookmarkStart w:id="1222" w:name="_Toc226337254"/>
      <w:r/>
      <w:bookmarkStart w:id="1223" w:name="_Toc305158826"/>
      <w:r/>
      <w:bookmarkStart w:id="1224" w:name="_Toc164608672"/>
      <w:r/>
      <w:bookmarkStart w:id="1225" w:name="_Toc226965748"/>
      <w:r/>
      <w:bookmarkStart w:id="1226" w:name="_Toc264969248"/>
      <w:r>
        <w:rPr>
          <w:rFonts w:hint="eastAsia"/>
          <w:b/>
          <w:color w:val="auto"/>
          <w:sz w:val="36"/>
          <w:szCs w:val="36"/>
          <w:highlight w:val="none"/>
        </w:rPr>
        <w:t xml:space="preserve">报价一览表</w:t>
      </w:r>
      <w:bookmarkEnd w:id="1216"/>
      <w:r/>
      <w:bookmarkEnd w:id="1217"/>
      <w:r/>
      <w:bookmarkEnd w:id="1218"/>
      <w:r/>
      <w:bookmarkEnd w:id="1219"/>
      <w:r/>
      <w:bookmarkEnd w:id="1220"/>
      <w:r/>
      <w:bookmarkEnd w:id="1221"/>
      <w:r/>
      <w:bookmarkEnd w:id="1222"/>
      <w:r/>
      <w:bookmarkEnd w:id="1223"/>
      <w:r/>
      <w:bookmarkEnd w:id="1224"/>
      <w:r/>
      <w:bookmarkEnd w:id="1225"/>
      <w:r/>
      <w:bookmarkEnd w:id="1226"/>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报价（人民币：元）</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spacing w:line="400" w:lineRule="exact"/>
        <w:rPr>
          <w:color w:val="auto"/>
          <w:sz w:val="24"/>
          <w:szCs w:val="20"/>
          <w:highlight w:val="none"/>
        </w:rPr>
      </w:pPr>
      <w:r>
        <w:rPr>
          <w:color w:val="auto"/>
          <w:sz w:val="24"/>
          <w:highlight w:val="none"/>
        </w:rPr>
        <w:t xml:space="preserve">注：</w:t>
      </w:r>
      <w:r>
        <w:rPr>
          <w:rFonts w:hint="eastAsia" w:ascii="宋体" w:hAnsi="宋体" w:cs="宋体"/>
          <w:b/>
          <w:bCs/>
          <w:color w:val="auto"/>
          <w:sz w:val="24"/>
          <w:highlight w:val="none"/>
        </w:rPr>
        <w:t xml:space="preserve">1.此表中的报价应和《分项报价表》中的总价相一致。</w:t>
      </w:r>
      <w:r/>
    </w:p>
    <w:p>
      <w:pPr>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二次报价即最终报价。</w:t>
      </w:r>
      <w:r/>
    </w:p>
    <w:p>
      <w:pPr>
        <w:spacing w:line="400" w:lineRule="exact"/>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482"/>
        <w:spacing w:before="25" w:after="25" w:line="360" w:lineRule="auto"/>
        <w:rPr>
          <w:rFonts w:ascii="宋体" w:hAnsi="宋体" w:cs="宋体"/>
          <w:b/>
          <w:bCs/>
          <w:color w:val="auto"/>
          <w:sz w:val="24"/>
          <w:highlight w:val="none"/>
        </w:rPr>
      </w:pPr>
      <w:r>
        <w:rPr>
          <w:rFonts w:ascii="宋体" w:hAnsi="宋体" w:cs="宋体"/>
          <w:b/>
          <w:bCs/>
          <w:color w:val="auto"/>
          <w:sz w:val="24"/>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1227" w:name="_Toc150480796"/>
      <w:r/>
      <w:bookmarkStart w:id="1228" w:name="_Toc226965749"/>
      <w:r/>
      <w:bookmarkStart w:id="1229" w:name="_Toc305158827"/>
      <w:r/>
      <w:bookmarkStart w:id="1230" w:name="_Toc142311060"/>
      <w:r/>
      <w:bookmarkStart w:id="1231" w:name="_Toc150774763"/>
      <w:r/>
      <w:bookmarkStart w:id="1232" w:name="_Toc264969249"/>
      <w:r/>
      <w:bookmarkStart w:id="1233" w:name="_Toc127151558"/>
      <w:r/>
      <w:bookmarkStart w:id="1234" w:name="_Toc195842924"/>
      <w:r/>
      <w:bookmarkStart w:id="1235" w:name="_Toc305158901"/>
      <w:r/>
      <w:bookmarkStart w:id="1236" w:name="_Toc226309803"/>
      <w:r/>
      <w:bookmarkStart w:id="1237" w:name="_Toc226965832"/>
      <w:r/>
      <w:bookmarkStart w:id="1238" w:name="_Toc226337255"/>
      <w:r/>
      <w:bookmarkStart w:id="1239" w:name="_Toc265228397"/>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分项报价表</w:t>
      </w:r>
      <w:bookmarkEnd w:id="1227"/>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r/>
    </w:p>
    <w:p>
      <w:pPr>
        <w:jc w:val="center"/>
        <w:spacing w:line="360" w:lineRule="exact"/>
        <w:rPr>
          <w:color w:val="auto"/>
          <w:sz w:val="36"/>
          <w:szCs w:val="36"/>
          <w:highlight w:val="none"/>
        </w:rPr>
      </w:pPr>
      <w:r>
        <w:rPr>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jc w:val="center"/>
        <w:rPr>
          <w:rFonts w:ascii="宋体" w:hAnsi="宋体" w:cs="宋体"/>
          <w:b/>
          <w:color w:val="auto"/>
          <w:sz w:val="28"/>
          <w:szCs w:val="28"/>
          <w:highlight w:val="none"/>
        </w:rPr>
        <w:outlineLvl w:val="1"/>
      </w:pPr>
      <w:r/>
      <w:bookmarkStart w:id="1240" w:name="_Toc195842927"/>
      <w:r/>
      <w:bookmarkStart w:id="1241" w:name="_Toc226965752"/>
      <w:r/>
      <w:bookmarkStart w:id="1242" w:name="_Toc226965835"/>
      <w:r/>
      <w:bookmarkStart w:id="1243" w:name="_Toc264969252"/>
      <w:r/>
      <w:bookmarkStart w:id="1244" w:name="_Toc150480798"/>
      <w:r/>
      <w:bookmarkStart w:id="1245" w:name="_Toc305158830"/>
      <w:r/>
      <w:bookmarkStart w:id="1246" w:name="_Toc265228400"/>
      <w:r/>
      <w:bookmarkStart w:id="1247" w:name="_Toc127151562"/>
      <w:r/>
      <w:bookmarkStart w:id="1248" w:name="_Toc150774765"/>
      <w:r/>
      <w:bookmarkStart w:id="1249" w:name="_Toc226337258"/>
      <w:r/>
      <w:bookmarkStart w:id="1250" w:name="_Toc142311062"/>
      <w:r/>
      <w:bookmarkStart w:id="1251" w:name="_Toc305158904"/>
      <w:r/>
      <w:bookmarkStart w:id="1252" w:name="_Toc226309806"/>
      <w:r/>
      <w:bookmarkStart w:id="1253" w:name="_Toc226337257"/>
      <w:r/>
      <w:bookmarkStart w:id="1254" w:name="_Toc226965834"/>
      <w:r/>
      <w:bookmarkStart w:id="1255" w:name="_Toc226309805"/>
      <w:r/>
      <w:bookmarkStart w:id="1256" w:name="_Toc150774764"/>
      <w:r/>
      <w:bookmarkStart w:id="1257" w:name="_Toc305158903"/>
      <w:r/>
      <w:bookmarkStart w:id="1258" w:name="_Toc195842926"/>
      <w:r/>
      <w:bookmarkStart w:id="1259" w:name="_Toc150480797"/>
      <w:r/>
      <w:bookmarkStart w:id="1260" w:name="_Toc265228399"/>
      <w:r/>
      <w:bookmarkStart w:id="1261" w:name="_Toc142311061"/>
      <w:r/>
      <w:bookmarkStart w:id="1262" w:name="_Toc264969251"/>
      <w:r/>
      <w:bookmarkStart w:id="1263" w:name="_Toc305158829"/>
      <w:r/>
      <w:bookmarkStart w:id="1264" w:name="_Toc127151561"/>
      <w:r/>
      <w:bookmarkStart w:id="1265" w:name="_Toc226965751"/>
      <w:r>
        <w:rPr>
          <w:rFonts w:hint="eastAsia" w:ascii="宋体" w:hAnsi="宋体" w:cs="宋体"/>
          <w:b/>
          <w:color w:val="auto"/>
          <w:sz w:val="28"/>
          <w:szCs w:val="28"/>
          <w:highlight w:val="none"/>
        </w:rPr>
        <w:t xml:space="preserve">详见工程量清单</w:t>
      </w:r>
      <w:r/>
    </w:p>
    <w:p>
      <w:pPr>
        <w:spacing w:line="3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9</w:t>
      </w:r>
      <w:r>
        <w:rPr>
          <w:color w:val="auto"/>
          <w:sz w:val="24"/>
          <w:szCs w:val="20"/>
          <w:highlight w:val="none"/>
        </w:rPr>
        <w:t xml:space="preserve">  合同条款偏离表</w:t>
      </w:r>
      <w:bookmarkEnd w:id="1240"/>
      <w:r/>
      <w:bookmarkEnd w:id="1241"/>
      <w:r/>
      <w:bookmarkEnd w:id="1242"/>
      <w:r/>
      <w:bookmarkEnd w:id="1243"/>
      <w:r/>
      <w:bookmarkEnd w:id="1244"/>
      <w:r/>
      <w:bookmarkEnd w:id="1245"/>
      <w:r/>
      <w:bookmarkEnd w:id="1246"/>
      <w:r/>
      <w:bookmarkEnd w:id="1247"/>
      <w:r/>
      <w:bookmarkEnd w:id="1248"/>
      <w:r/>
      <w:bookmarkEnd w:id="1249"/>
      <w:r/>
      <w:bookmarkEnd w:id="1250"/>
      <w:r/>
      <w:bookmarkEnd w:id="1251"/>
      <w:r/>
      <w:bookmarkEnd w:id="1252"/>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27"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w:t>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rFonts w:hint="default"/>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szCs w:val="20"/>
          <w:highlight w:val="none"/>
        </w:rPr>
        <w:br w:type="page" w:clear="all"/>
      </w:r>
      <w:r>
        <w:rPr>
          <w:rFonts w:hint="eastAsia"/>
          <w:color w:val="auto"/>
          <w:sz w:val="24"/>
          <w:szCs w:val="20"/>
          <w:highlight w:val="none"/>
        </w:rPr>
        <w:t xml:space="preserve">11 </w:t>
      </w:r>
      <w:r>
        <w:rPr>
          <w:color w:val="auto"/>
          <w:sz w:val="24"/>
          <w:szCs w:val="20"/>
          <w:highlight w:val="none"/>
        </w:rPr>
        <w:t xml:space="preserve"> </w:t>
      </w:r>
      <w:r>
        <w:rPr>
          <w:rFonts w:hint="eastAsia"/>
          <w:color w:val="auto"/>
          <w:sz w:val="24"/>
          <w:szCs w:val="20"/>
          <w:highlight w:val="none"/>
        </w:rPr>
        <w:t xml:space="preserve">项目实施方案等：</w:t>
      </w:r>
      <w:r>
        <w:rPr>
          <w:rFonts w:hint="eastAsia"/>
          <w:color w:val="auto"/>
          <w:sz w:val="24"/>
          <w:szCs w:val="20"/>
          <w:highlight w:val="none"/>
          <w:lang w:val="en-US" w:eastAsia="zh-CN"/>
        </w:rPr>
        <w:t xml:space="preserve">本项目不涉及</w:t>
      </w:r>
      <w:r/>
    </w:p>
    <w:p>
      <w:pPr>
        <w:rPr>
          <w:color w:val="auto"/>
          <w:sz w:val="24"/>
          <w:szCs w:val="20"/>
          <w:highlight w:val="none"/>
        </w:rPr>
      </w:pPr>
      <w:r>
        <w:rPr>
          <w:rFonts w:hint="eastAsia"/>
          <w:color w:val="auto"/>
          <w:sz w:val="24"/>
          <w:szCs w:val="20"/>
          <w:highlight w:val="none"/>
        </w:rPr>
        <w:t xml:space="preserve"> 12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99"/>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1266" w:name="_Toc288738397"/>
      <w:r/>
      <w:bookmarkStart w:id="1267" w:name="_Toc288738839"/>
      <w:r>
        <w:rPr>
          <w:rFonts w:hint="eastAsia"/>
          <w:color w:val="auto"/>
          <w:sz w:val="24"/>
          <w:szCs w:val="20"/>
          <w:highlight w:val="none"/>
        </w:rPr>
        <w:t xml:space="preserve">13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1266"/>
      <w:r/>
      <w:bookmarkEnd w:id="126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9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4</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华文中宋">
    <w:panose1 w:val="0201060004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15"/>
      </w:rPr>
      <w:framePr w:wrap="around" w:vAnchor="text" w:hAnchor="margin" w:xAlign="center" w:y="1"/>
    </w:pPr>
    <w:r>
      <w:fldChar w:fldCharType="begin"/>
    </w:r>
    <w:r>
      <w:rPr>
        <w:rStyle w:val="1015"/>
      </w:rPr>
      <w:instrText xml:space="preserve">PAGE  </w:instrText>
    </w:r>
    <w:r>
      <w:fldChar w:fldCharType="end"/>
    </w:r>
    <w:r/>
  </w:p>
  <w:p>
    <w:pPr>
      <w:pStyle w:val="100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15"/>
      </w:rPr>
      <w:framePr w:wrap="around" w:vAnchor="text" w:hAnchor="margin" w:xAlign="right" w:y="1"/>
    </w:pPr>
    <w:r>
      <w:rPr>
        <w:rStyle w:val="1015"/>
      </w:rPr>
      <w:fldChar w:fldCharType="begin"/>
    </w:r>
    <w:r>
      <w:rPr>
        <w:rStyle w:val="1015"/>
      </w:rPr>
      <w:instrText xml:space="preserve">PAGE  </w:instrText>
    </w:r>
    <w:r>
      <w:rPr>
        <w:rStyle w:val="1015"/>
      </w:rPr>
      <w:fldChar w:fldCharType="end"/>
    </w:r>
    <w:r/>
  </w:p>
  <w:p>
    <w:pPr>
      <w:pStyle w:val="1009"/>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pPr>
    <w:r>
      <w:rPr>
        <w:rFonts w:hint="eastAsia"/>
        <w:lang w:eastAsia="zh-CN"/>
      </w:rPr>
      <w:t xml:space="preserve">大河路(G346-银孝线)改造工程</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pBdr>
        <w:bottom w:val="single" w:color="auto" w:sz="4" w:space="1"/>
      </w:pBdr>
    </w:pPr>
    <w:r>
      <w:rPr>
        <w:rFonts w:hint="eastAsia"/>
        <w:lang w:eastAsia="zh-CN"/>
      </w:rPr>
      <w:t xml:space="preserve">大河路(G346-银孝线)改造工程</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997"/>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2"/>
      <w:numFmt w:val="upperLetter"/>
      <w:pStyle w:val="995"/>
      <w:isLgl w:val="false"/>
      <w:suff w:val="tab"/>
      <w:lvlText w:val="%1、"/>
      <w:lvlJc w:val="left"/>
      <w:pPr>
        <w:ind w:left="1350" w:hanging="720"/>
        <w:tabs>
          <w:tab w:val="left" w:pos="135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98"/>
    <w:link w:val="995"/>
    <w:uiPriority w:val="9"/>
    <w:rPr>
      <w:rFonts w:ascii="Arial" w:hAnsi="Arial" w:eastAsia="Arial" w:cs="Arial"/>
      <w:sz w:val="40"/>
      <w:szCs w:val="40"/>
    </w:rPr>
  </w:style>
  <w:style w:type="paragraph" w:styleId="825">
    <w:name w:val="Heading 2"/>
    <w:basedOn w:val="994"/>
    <w:next w:val="994"/>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basedOn w:val="998"/>
    <w:link w:val="825"/>
    <w:uiPriority w:val="9"/>
    <w:rPr>
      <w:rFonts w:ascii="Arial" w:hAnsi="Arial" w:eastAsia="Arial" w:cs="Arial"/>
      <w:sz w:val="34"/>
    </w:rPr>
  </w:style>
  <w:style w:type="character" w:styleId="827">
    <w:name w:val="Heading 3 Char"/>
    <w:basedOn w:val="998"/>
    <w:link w:val="996"/>
    <w:uiPriority w:val="9"/>
    <w:rPr>
      <w:rFonts w:ascii="Arial" w:hAnsi="Arial" w:eastAsia="Arial" w:cs="Arial"/>
      <w:sz w:val="30"/>
      <w:szCs w:val="30"/>
    </w:rPr>
  </w:style>
  <w:style w:type="character" w:styleId="828">
    <w:name w:val="Heading 4 Char"/>
    <w:basedOn w:val="998"/>
    <w:link w:val="997"/>
    <w:uiPriority w:val="9"/>
    <w:rPr>
      <w:rFonts w:ascii="Arial" w:hAnsi="Arial" w:eastAsia="Arial" w:cs="Arial"/>
      <w:b/>
      <w:bCs/>
      <w:sz w:val="26"/>
      <w:szCs w:val="26"/>
    </w:rPr>
  </w:style>
  <w:style w:type="paragraph" w:styleId="829">
    <w:name w:val="Heading 5"/>
    <w:basedOn w:val="994"/>
    <w:next w:val="994"/>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basedOn w:val="998"/>
    <w:link w:val="829"/>
    <w:uiPriority w:val="9"/>
    <w:rPr>
      <w:rFonts w:ascii="Arial" w:hAnsi="Arial" w:eastAsia="Arial" w:cs="Arial"/>
      <w:b/>
      <w:bCs/>
      <w:sz w:val="24"/>
      <w:szCs w:val="24"/>
    </w:rPr>
  </w:style>
  <w:style w:type="paragraph" w:styleId="831">
    <w:name w:val="Heading 6"/>
    <w:basedOn w:val="994"/>
    <w:next w:val="994"/>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basedOn w:val="998"/>
    <w:link w:val="831"/>
    <w:uiPriority w:val="9"/>
    <w:rPr>
      <w:rFonts w:ascii="Arial" w:hAnsi="Arial" w:eastAsia="Arial" w:cs="Arial"/>
      <w:b/>
      <w:bCs/>
      <w:sz w:val="22"/>
      <w:szCs w:val="22"/>
    </w:rPr>
  </w:style>
  <w:style w:type="paragraph" w:styleId="833">
    <w:name w:val="Heading 7"/>
    <w:basedOn w:val="994"/>
    <w:next w:val="994"/>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basedOn w:val="998"/>
    <w:link w:val="833"/>
    <w:uiPriority w:val="9"/>
    <w:rPr>
      <w:rFonts w:ascii="Arial" w:hAnsi="Arial" w:eastAsia="Arial" w:cs="Arial"/>
      <w:b/>
      <w:bCs/>
      <w:i/>
      <w:iCs/>
      <w:sz w:val="22"/>
      <w:szCs w:val="22"/>
    </w:rPr>
  </w:style>
  <w:style w:type="paragraph" w:styleId="835">
    <w:name w:val="Heading 8"/>
    <w:basedOn w:val="994"/>
    <w:next w:val="994"/>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basedOn w:val="998"/>
    <w:link w:val="835"/>
    <w:uiPriority w:val="9"/>
    <w:rPr>
      <w:rFonts w:ascii="Arial" w:hAnsi="Arial" w:eastAsia="Arial" w:cs="Arial"/>
      <w:i/>
      <w:iCs/>
      <w:sz w:val="22"/>
      <w:szCs w:val="22"/>
    </w:rPr>
  </w:style>
  <w:style w:type="paragraph" w:styleId="837">
    <w:name w:val="Heading 9"/>
    <w:basedOn w:val="994"/>
    <w:next w:val="994"/>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basedOn w:val="998"/>
    <w:link w:val="837"/>
    <w:uiPriority w:val="9"/>
    <w:rPr>
      <w:rFonts w:ascii="Arial" w:hAnsi="Arial" w:eastAsia="Arial" w:cs="Arial"/>
      <w:i/>
      <w:iCs/>
      <w:sz w:val="21"/>
      <w:szCs w:val="21"/>
    </w:rPr>
  </w:style>
  <w:style w:type="paragraph" w:styleId="839">
    <w:name w:val="No Spacing"/>
    <w:uiPriority w:val="1"/>
    <w:qFormat/>
    <w:pPr>
      <w:spacing w:before="0" w:after="0" w:line="240" w:lineRule="auto"/>
    </w:pPr>
  </w:style>
  <w:style w:type="paragraph" w:styleId="840">
    <w:name w:val="Title"/>
    <w:basedOn w:val="994"/>
    <w:next w:val="994"/>
    <w:link w:val="841"/>
    <w:uiPriority w:val="10"/>
    <w:qFormat/>
    <w:pPr>
      <w:contextualSpacing/>
      <w:spacing w:before="300" w:after="200"/>
    </w:pPr>
    <w:rPr>
      <w:sz w:val="48"/>
      <w:szCs w:val="48"/>
    </w:rPr>
  </w:style>
  <w:style w:type="character" w:styleId="841">
    <w:name w:val="Title Char"/>
    <w:basedOn w:val="998"/>
    <w:link w:val="840"/>
    <w:uiPriority w:val="10"/>
    <w:rPr>
      <w:sz w:val="48"/>
      <w:szCs w:val="48"/>
    </w:rPr>
  </w:style>
  <w:style w:type="paragraph" w:styleId="842">
    <w:name w:val="Subtitle"/>
    <w:basedOn w:val="994"/>
    <w:next w:val="994"/>
    <w:link w:val="843"/>
    <w:uiPriority w:val="11"/>
    <w:qFormat/>
    <w:pPr>
      <w:spacing w:before="200" w:after="200"/>
    </w:pPr>
    <w:rPr>
      <w:sz w:val="24"/>
      <w:szCs w:val="24"/>
    </w:rPr>
  </w:style>
  <w:style w:type="character" w:styleId="843">
    <w:name w:val="Subtitle Char"/>
    <w:basedOn w:val="998"/>
    <w:link w:val="842"/>
    <w:uiPriority w:val="11"/>
    <w:rPr>
      <w:sz w:val="24"/>
      <w:szCs w:val="24"/>
    </w:rPr>
  </w:style>
  <w:style w:type="paragraph" w:styleId="844">
    <w:name w:val="Quote"/>
    <w:basedOn w:val="994"/>
    <w:next w:val="994"/>
    <w:link w:val="845"/>
    <w:uiPriority w:val="29"/>
    <w:qFormat/>
    <w:pPr>
      <w:ind w:left="720" w:right="720"/>
    </w:pPr>
    <w:rPr>
      <w:i/>
    </w:rPr>
  </w:style>
  <w:style w:type="character" w:styleId="845">
    <w:name w:val="Quote Char"/>
    <w:link w:val="844"/>
    <w:uiPriority w:val="29"/>
    <w:rPr>
      <w:i/>
    </w:rPr>
  </w:style>
  <w:style w:type="paragraph" w:styleId="846">
    <w:name w:val="Intense Quote"/>
    <w:basedOn w:val="994"/>
    <w:next w:val="99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character" w:styleId="848">
    <w:name w:val="Header Char"/>
    <w:basedOn w:val="998"/>
    <w:link w:val="1010"/>
    <w:uiPriority w:val="99"/>
  </w:style>
  <w:style w:type="character" w:styleId="849">
    <w:name w:val="Footer Char"/>
    <w:basedOn w:val="998"/>
    <w:link w:val="1009"/>
    <w:uiPriority w:val="99"/>
  </w:style>
  <w:style w:type="paragraph" w:styleId="850">
    <w:name w:val="Caption"/>
    <w:basedOn w:val="994"/>
    <w:next w:val="994"/>
    <w:uiPriority w:val="35"/>
    <w:semiHidden/>
    <w:unhideWhenUsed/>
    <w:qFormat/>
    <w:pPr>
      <w:spacing w:line="276" w:lineRule="auto"/>
    </w:pPr>
    <w:rPr>
      <w:b/>
      <w:bCs/>
      <w:color w:val="4f81bd" w:themeColor="accent1"/>
      <w:sz w:val="18"/>
      <w:szCs w:val="18"/>
    </w:rPr>
  </w:style>
  <w:style w:type="character" w:styleId="851">
    <w:name w:val="Caption Char"/>
    <w:basedOn w:val="850"/>
    <w:link w:val="1009"/>
    <w:uiPriority w:val="99"/>
  </w:style>
  <w:style w:type="table" w:styleId="852">
    <w:name w:val="Table Grid"/>
    <w:basedOn w:val="9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9">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0">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1">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2">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3">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4">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1">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4">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5">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6">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7">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8">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9">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1">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2">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3">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4">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5">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6">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5">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6">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7">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8">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9">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0">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2">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3">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4">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5">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6">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7">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9">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0">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1">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2">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3">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4">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6">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7">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8">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9">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0">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1">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8">
    <w:name w:val="footnote text"/>
    <w:basedOn w:val="994"/>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basedOn w:val="998"/>
    <w:uiPriority w:val="99"/>
    <w:unhideWhenUsed/>
    <w:rPr>
      <w:vertAlign w:val="superscript"/>
    </w:rPr>
  </w:style>
  <w:style w:type="paragraph" w:styleId="981">
    <w:name w:val="endnote text"/>
    <w:basedOn w:val="994"/>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8"/>
    <w:uiPriority w:val="99"/>
    <w:semiHidden/>
    <w:unhideWhenUsed/>
    <w:rPr>
      <w:vertAlign w:val="superscript"/>
    </w:r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0"/>
    <w:uiPriority w:val="0"/>
    <w:qFormat/>
    <w:pPr>
      <w:jc w:val="both"/>
      <w:widowControl w:val="off"/>
    </w:pPr>
    <w:rPr>
      <w:rFonts w:ascii="Times New Roman" w:hAnsi="Times New Roman" w:eastAsia="宋体" w:cs="Times New Roman"/>
      <w:sz w:val="21"/>
      <w:szCs w:val="24"/>
      <w:lang w:val="en-US" w:eastAsia="zh-CN" w:bidi="ar-SA"/>
    </w:rPr>
  </w:style>
  <w:style w:type="paragraph" w:styleId="995">
    <w:name w:val="Heading 1"/>
    <w:next w:val="994"/>
    <w:uiPriority w:val="0"/>
    <w:qFormat/>
    <w:pPr>
      <w:numPr>
        <w:ilvl w:val="0"/>
        <w:numId w:val="1"/>
      </w:numPr>
      <w:jc w:val="left"/>
      <w:keepNext/>
      <w:widowControl/>
      <w:outlineLvl w:val="0"/>
    </w:pPr>
    <w:rPr>
      <w:rFonts w:ascii="仿宋_GB2312" w:hAnsi="Times New Roman" w:eastAsia="仿宋_GB2312" w:cs="Times New Roman"/>
      <w:sz w:val="24"/>
      <w:szCs w:val="20"/>
      <w:lang w:val="en-US" w:eastAsia="zh-CN" w:bidi="ar-SA"/>
    </w:rPr>
  </w:style>
  <w:style w:type="paragraph" w:styleId="996">
    <w:name w:val="Heading 3"/>
    <w:basedOn w:val="994"/>
    <w:next w:val="994"/>
    <w:uiPriority w:val="0"/>
    <w:qFormat/>
    <w:pPr>
      <w:jc w:val="left"/>
      <w:keepLines/>
      <w:keepNext/>
      <w:spacing w:before="360" w:after="120"/>
      <w:outlineLvl w:val="2"/>
    </w:pPr>
    <w:rPr>
      <w:rFonts w:ascii="宋体"/>
      <w:b/>
      <w:sz w:val="24"/>
      <w:szCs w:val="20"/>
      <w:u w:val="single"/>
    </w:rPr>
  </w:style>
  <w:style w:type="paragraph" w:styleId="997">
    <w:name w:val="Heading 4"/>
    <w:next w:val="994"/>
    <w:uiPriority w:val="0"/>
    <w:qFormat/>
    <w:pPr>
      <w:numPr>
        <w:ilvl w:val="3"/>
        <w:numId w:val="2"/>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table of authorities"/>
    <w:next w:val="1001"/>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1001" w:customStyle="1">
    <w:name w:val="正文 A"/>
    <w:next w:val="100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02">
    <w:name w:val="Normal Indent"/>
    <w:basedOn w:val="994"/>
    <w:next w:val="994"/>
    <w:uiPriority w:val="0"/>
    <w:qFormat/>
    <w:pPr>
      <w:ind w:firstLine="420"/>
      <w:jc w:val="left"/>
    </w:pPr>
    <w:rPr>
      <w:rFonts w:ascii="宋体"/>
      <w:sz w:val="24"/>
    </w:rPr>
  </w:style>
  <w:style w:type="paragraph" w:styleId="1003">
    <w:name w:val="Document Map"/>
    <w:basedOn w:val="994"/>
    <w:next w:val="994"/>
    <w:uiPriority w:val="0"/>
    <w:qFormat/>
    <w:pPr>
      <w:shd w:val="clear" w:color="auto" w:fill="000080"/>
    </w:pPr>
  </w:style>
  <w:style w:type="paragraph" w:styleId="1004">
    <w:name w:val="annotation text"/>
    <w:basedOn w:val="994"/>
    <w:link w:val="1022"/>
    <w:uiPriority w:val="0"/>
    <w:qFormat/>
    <w:pPr>
      <w:jc w:val="left"/>
    </w:pPr>
  </w:style>
  <w:style w:type="paragraph" w:styleId="1005">
    <w:name w:val="Body Text"/>
    <w:basedOn w:val="994"/>
    <w:next w:val="994"/>
    <w:uiPriority w:val="0"/>
    <w:qFormat/>
    <w:pPr>
      <w:spacing w:before="120" w:line="22" w:lineRule="atLeast"/>
      <w:tabs>
        <w:tab w:val="left" w:pos="567" w:leader="none"/>
      </w:tabs>
    </w:pPr>
    <w:rPr>
      <w:rFonts w:ascii="宋体" w:hAnsi="宋体"/>
      <w:sz w:val="24"/>
    </w:rPr>
  </w:style>
  <w:style w:type="paragraph" w:styleId="1006">
    <w:name w:val="Body Text Indent"/>
    <w:basedOn w:val="994"/>
    <w:next w:val="994"/>
    <w:uiPriority w:val="0"/>
    <w:qFormat/>
    <w:pPr>
      <w:ind w:firstLine="570"/>
      <w:spacing w:line="360" w:lineRule="auto"/>
    </w:pPr>
    <w:rPr>
      <w:sz w:val="24"/>
    </w:rPr>
  </w:style>
  <w:style w:type="paragraph" w:styleId="1007">
    <w:name w:val="Plain Text"/>
    <w:basedOn w:val="994"/>
    <w:uiPriority w:val="0"/>
    <w:qFormat/>
    <w:rPr>
      <w:rFonts w:hint="eastAsia" w:ascii="宋体" w:hAnsi="Courier New"/>
      <w:szCs w:val="20"/>
    </w:rPr>
  </w:style>
  <w:style w:type="paragraph" w:styleId="1008">
    <w:name w:val="Balloon Text"/>
    <w:basedOn w:val="994"/>
    <w:link w:val="1021"/>
    <w:uiPriority w:val="0"/>
    <w:qFormat/>
    <w:rPr>
      <w:sz w:val="18"/>
      <w:szCs w:val="18"/>
    </w:rPr>
  </w:style>
  <w:style w:type="paragraph" w:styleId="1009">
    <w:name w:val="Footer"/>
    <w:basedOn w:val="994"/>
    <w:uiPriority w:val="99"/>
    <w:qFormat/>
    <w:pPr>
      <w:jc w:val="left"/>
      <w:tabs>
        <w:tab w:val="center" w:pos="4153" w:leader="none"/>
        <w:tab w:val="right" w:pos="8306" w:leader="none"/>
      </w:tabs>
    </w:pPr>
    <w:rPr>
      <w:rFonts w:ascii="宋体"/>
      <w:sz w:val="18"/>
      <w:szCs w:val="20"/>
    </w:rPr>
  </w:style>
  <w:style w:type="paragraph" w:styleId="1010">
    <w:name w:val="Header"/>
    <w:basedOn w:val="994"/>
    <w:uiPriority w:val="0"/>
    <w:qFormat/>
    <w:pPr>
      <w:jc w:val="center"/>
      <w:tabs>
        <w:tab w:val="center" w:pos="4153" w:leader="none"/>
        <w:tab w:val="right" w:pos="8306" w:leader="none"/>
      </w:tabs>
      <w:pBdr>
        <w:bottom w:val="single" w:color="auto" w:sz="6" w:space="1"/>
      </w:pBdr>
    </w:pPr>
    <w:rPr>
      <w:sz w:val="18"/>
      <w:szCs w:val="18"/>
    </w:rPr>
  </w:style>
  <w:style w:type="paragraph" w:styleId="1011">
    <w:name w:val="toc 1"/>
    <w:basedOn w:val="994"/>
    <w:next w:val="994"/>
    <w:uiPriority w:val="39"/>
    <w:qFormat/>
    <w:pPr>
      <w:spacing w:line="300" w:lineRule="auto"/>
      <w:tabs>
        <w:tab w:val="left" w:pos="1050" w:leader="none"/>
        <w:tab w:val="right" w:pos="8937" w:leader="dot"/>
      </w:tabs>
    </w:pPr>
    <w:rPr>
      <w:rFonts w:ascii="宋体" w:hAnsi="宋体"/>
      <w:b/>
      <w:sz w:val="24"/>
    </w:rPr>
  </w:style>
  <w:style w:type="paragraph" w:styleId="1012">
    <w:name w:val="Normal (Web)"/>
    <w:basedOn w:val="994"/>
    <w:uiPriority w:val="0"/>
    <w:qFormat/>
    <w:rPr>
      <w:sz w:val="24"/>
    </w:rPr>
  </w:style>
  <w:style w:type="paragraph" w:styleId="1013">
    <w:name w:val="annotation subject"/>
    <w:basedOn w:val="1004"/>
    <w:next w:val="1004"/>
    <w:link w:val="1023"/>
    <w:uiPriority w:val="0"/>
    <w:qFormat/>
    <w:rPr>
      <w:b/>
      <w:bCs/>
    </w:rPr>
  </w:style>
  <w:style w:type="character" w:styleId="1014">
    <w:name w:val="Strong"/>
    <w:basedOn w:val="998"/>
    <w:uiPriority w:val="0"/>
    <w:qFormat/>
    <w:rPr>
      <w:b/>
    </w:rPr>
  </w:style>
  <w:style w:type="character" w:styleId="1015">
    <w:name w:val="page number"/>
    <w:basedOn w:val="998"/>
    <w:uiPriority w:val="0"/>
    <w:qFormat/>
  </w:style>
  <w:style w:type="character" w:styleId="1016">
    <w:name w:val="Hyperlink"/>
    <w:uiPriority w:val="99"/>
    <w:qFormat/>
    <w:rPr>
      <w:color w:val="0000ff"/>
      <w:u w:val="single"/>
    </w:rPr>
  </w:style>
  <w:style w:type="character" w:styleId="1017">
    <w:name w:val="annotation reference"/>
    <w:basedOn w:val="998"/>
    <w:uiPriority w:val="0"/>
    <w:qFormat/>
    <w:rPr>
      <w:sz w:val="21"/>
      <w:szCs w:val="21"/>
    </w:rPr>
  </w:style>
  <w:style w:type="paragraph" w:styleId="1018">
    <w:name w:val="List Paragraph"/>
    <w:basedOn w:val="994"/>
    <w:uiPriority w:val="34"/>
    <w:qFormat/>
    <w:pPr>
      <w:ind w:firstLine="420"/>
    </w:pPr>
    <w:rPr>
      <w:rFonts w:ascii="Calibri" w:hAnsi="Calibri"/>
      <w:szCs w:val="22"/>
    </w:rPr>
  </w:style>
  <w:style w:type="paragraph" w:styleId="1019" w:customStyle="1">
    <w:name w:val="成文日期"/>
    <w:basedOn w:val="994"/>
    <w:uiPriority w:val="0"/>
    <w:qFormat/>
    <w:pPr>
      <w:ind w:right="400" w:firstLine="200"/>
      <w:jc w:val="right"/>
      <w:spacing w:line="570" w:lineRule="exact"/>
    </w:pPr>
    <w:rPr>
      <w:rFonts w:ascii="仿宋_GB2312" w:eastAsia="仿宋_GB2312"/>
      <w:sz w:val="32"/>
      <w:szCs w:val="20"/>
    </w:rPr>
  </w:style>
  <w:style w:type="paragraph" w:styleId="1020" w:customStyle="1">
    <w:name w:val="null3"/>
    <w:hidden/>
    <w:uiPriority w:val="0"/>
    <w:qFormat/>
    <w:rPr>
      <w:rFonts w:hint="eastAsia" w:ascii="Calibri" w:hAnsi="Calibri" w:eastAsia="宋体" w:cs="Times New Roman"/>
      <w:lang w:val="en-US" w:eastAsia="zh-CN" w:bidi="ar-SA"/>
    </w:rPr>
  </w:style>
  <w:style w:type="character" w:styleId="1021" w:customStyle="1">
    <w:name w:val="批注框文本 Char"/>
    <w:basedOn w:val="998"/>
    <w:link w:val="1008"/>
    <w:uiPriority w:val="0"/>
    <w:qFormat/>
    <w:rPr>
      <w:sz w:val="18"/>
      <w:szCs w:val="18"/>
    </w:rPr>
  </w:style>
  <w:style w:type="character" w:styleId="1022" w:customStyle="1">
    <w:name w:val="批注文字 Char"/>
    <w:basedOn w:val="998"/>
    <w:link w:val="1004"/>
    <w:uiPriority w:val="0"/>
    <w:qFormat/>
    <w:rPr>
      <w:sz w:val="21"/>
      <w:szCs w:val="24"/>
    </w:rPr>
  </w:style>
  <w:style w:type="character" w:styleId="1023" w:customStyle="1">
    <w:name w:val="批注主题 Char"/>
    <w:basedOn w:val="1022"/>
    <w:link w:val="1013"/>
    <w:uiPriority w:val="0"/>
    <w:qFormat/>
    <w:rPr>
      <w:b/>
      <w:bCs/>
      <w:sz w:val="21"/>
      <w:szCs w:val="24"/>
    </w:rPr>
  </w:style>
  <w:style w:type="paragraph" w:styleId="1024" w:customStyle="1">
    <w:name w:val="_Style 4"/>
    <w:next w:val="994"/>
    <w:uiPriority w:val="0"/>
    <w:qFormat/>
    <w:pPr>
      <w:numPr>
        <w:ilvl w:val="0"/>
        <w:numId w:val="0"/>
      </w:num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1025" w:customStyle="1">
    <w:name w:val="正文_0_1"/>
    <w:uiPriority w:val="0"/>
    <w:qFormat/>
    <w:pPr>
      <w:jc w:val="both"/>
      <w:widowControl w:val="off"/>
    </w:pPr>
    <w:rPr>
      <w:rFonts w:ascii="Calibri" w:hAnsi="Calibri" w:eastAsia="宋体" w:cs="Times New Roman"/>
      <w:sz w:val="21"/>
      <w:szCs w:val="22"/>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李雯</cp:lastModifiedBy>
  <cp:revision>5</cp:revision>
  <dcterms:created xsi:type="dcterms:W3CDTF">2024-08-12T03:22:00Z</dcterms:created>
  <dcterms:modified xsi:type="dcterms:W3CDTF">2026-07-07T03:17:59Z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576D09BA8D074A44B6D2388C7D81AEFD_13</vt:lpwstr>
  </property>
  <property fmtid="{D5CDD505-2E9C-101B-9397-08002B2CF9AE}" pid="4" name="KSOTemplateDocerSaveRecord">
    <vt:lpwstr>eyJoZGlkIjoiZjQ2YzBjMWZjYmIyM2U3MTY0MGExZmU0YzQwYTI5Y2IiLCJ1c2VySWQiOiI2NTY3MDM4OTcifQ==</vt:lpwstr>
  </property>
</Properties>
</file>