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b/>
          <w:color w:val="auto"/>
          <w:sz w:val="24"/>
          <w:szCs w:val="24"/>
          <w:highlight w:val="none"/>
        </w:rPr>
        <w:t xml:space="preserve">编号：</w:t>
      </w:r>
      <w:r>
        <w:rPr>
          <w:rFonts w:hint="eastAsia" w:ascii="宋体" w:hAnsi="宋体" w:eastAsia="宋体" w:cs="宋体"/>
          <w:b/>
          <w:color w:val="auto"/>
          <w:sz w:val="24"/>
          <w:szCs w:val="24"/>
          <w:highlight w:val="none"/>
          <w:lang w:val="en-US" w:eastAsia="zh-CN"/>
        </w:rPr>
        <w:t xml:space="preserve">JSZC-320506-DLHX-C2026-0007</w:t>
      </w:r>
      <w:r>
        <w:rPr>
          <w:rFonts w:hint="eastAsia" w:ascii="宋体" w:hAnsi="宋体" w:eastAsia="宋体" w:cs="宋体"/>
          <w:b/>
          <w:color w:val="auto"/>
          <w:sz w:val="24"/>
          <w:szCs w:val="24"/>
          <w:highlight w:val="none"/>
        </w:rPr>
        <w:t xml:space="preserve">号</w:t>
      </w:r>
      <w:r>
        <w:rPr>
          <w:rFonts w:hint="eastAsia" w:ascii="宋体" w:hAnsi="宋体" w:eastAsia="宋体" w:cs="宋体"/>
          <w:b/>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苏州市政府采购竞争性磋商文件</w:t>
      </w:r>
      <w:r>
        <w:rPr>
          <w:rFonts w:hint="eastAsia" w:ascii="宋体" w:hAnsi="宋体" w:eastAsia="宋体" w:cs="宋体"/>
          <w:b/>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w:t>
      </w:r>
      <w:r>
        <w:rPr>
          <w:rFonts w:hint="eastAsia" w:ascii="宋体" w:hAnsi="宋体" w:eastAsia="宋体" w:cs="宋体"/>
          <w:b/>
          <w:bCs/>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w:t>
      </w:r>
      <w:r>
        <w:rPr>
          <w:rFonts w:hint="eastAsia" w:ascii="宋体" w:hAnsi="宋体" w:eastAsia="宋体" w:cs="宋体"/>
          <w:b/>
          <w:bCs/>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w:t>
      </w:r>
      <w:r>
        <w:rPr>
          <w:rFonts w:hint="eastAsia" w:ascii="宋体" w:hAnsi="宋体" w:eastAsia="宋体" w:cs="宋体"/>
          <w:b/>
          <w:bCs/>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件</w:t>
      </w:r>
      <w:r>
        <w:rPr>
          <w:rFonts w:hint="eastAsia" w:ascii="宋体" w:hAnsi="宋体" w:eastAsia="宋体" w:cs="宋体"/>
          <w:b/>
          <w:bCs/>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采购单位：</w:t>
      </w:r>
      <w:r>
        <w:rPr>
          <w:rFonts w:hint="eastAsia" w:ascii="宋体" w:hAnsi="宋体" w:eastAsia="宋体" w:cs="宋体"/>
          <w:b/>
          <w:color w:val="auto"/>
          <w:sz w:val="24"/>
          <w:szCs w:val="24"/>
          <w:highlight w:val="none"/>
          <w:lang w:eastAsia="zh-CN"/>
        </w:rPr>
        <w:t xml:space="preserve">苏州市吴中区甪直镇人民政府</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r>
      <w:r>
        <w:rPr>
          <w:color w:val="auto"/>
        </w:rP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采购内容：</w:t>
      </w:r>
      <w:r>
        <w:rPr>
          <w:rFonts w:hint="eastAsia" w:ascii="宋体" w:hAnsi="宋体" w:eastAsia="宋体" w:cs="宋体"/>
          <w:b/>
          <w:color w:val="auto"/>
          <w:sz w:val="24"/>
          <w:szCs w:val="24"/>
          <w:highlight w:val="none"/>
          <w:lang w:eastAsia="zh-CN"/>
        </w:rPr>
        <w:t xml:space="preserve">2026年度全镇监控安防设备维护保养服务</w:t>
      </w:r>
      <w:r>
        <w:rPr>
          <w:rFonts w:hint="eastAsia" w:ascii="宋体" w:hAnsi="宋体" w:eastAsia="宋体" w:cs="宋体"/>
          <w:b/>
          <w:color w:val="auto"/>
          <w:sz w:val="24"/>
          <w:szCs w:val="24"/>
          <w:highlight w:val="none"/>
        </w:rPr>
      </w:r>
      <w:r>
        <w:rPr>
          <w:color w:val="auto"/>
        </w:rP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采购类别：</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类</w:t>
      </w:r>
      <w:r>
        <w:rPr>
          <w:rFonts w:hint="eastAsia" w:ascii="宋体" w:hAnsi="宋体" w:eastAsia="宋体" w:cs="宋体"/>
          <w:b/>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苏州华厦招投标代理有限公司</w:t>
      </w:r>
      <w:r>
        <w:rPr>
          <w:rFonts w:hint="eastAsia" w:ascii="宋体" w:hAnsi="宋体" w:eastAsia="宋体" w:cs="宋体"/>
          <w:b/>
          <w:color w:val="auto"/>
          <w:sz w:val="24"/>
          <w:szCs w:val="24"/>
          <w:highlight w:val="none"/>
        </w:rPr>
      </w:r>
      <w:r>
        <w:rPr>
          <w:color w:val="auto"/>
        </w:rP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〇</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目  录</w:t>
      </w:r>
      <w:r>
        <w:rPr>
          <w:rFonts w:hint="eastAsia" w:ascii="宋体" w:hAnsi="宋体" w:eastAsia="宋体" w:cs="宋体"/>
          <w:b/>
          <w:bCs/>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竞争性磋商邀请函</w:t>
      </w:r>
      <w:r>
        <w:rPr>
          <w:rFonts w:hint="eastAsia" w:ascii="宋体" w:hAnsi="宋体" w:eastAsia="宋体" w:cs="宋体"/>
          <w:color w:val="auto"/>
          <w:sz w:val="24"/>
          <w:szCs w:val="24"/>
          <w:highlight w:val="none"/>
        </w:rPr>
      </w:r>
      <w:r>
        <w:rPr>
          <w:color w:val="auto"/>
        </w:rP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w:t>
      </w:r>
      <w:r>
        <w:rPr>
          <w:rFonts w:hint="eastAsia" w:ascii="宋体" w:hAnsi="宋体" w:eastAsia="宋体" w:cs="宋体"/>
          <w:color w:val="auto"/>
          <w:sz w:val="24"/>
          <w:szCs w:val="24"/>
          <w:highlight w:val="none"/>
        </w:rPr>
      </w:r>
      <w:r>
        <w:rPr>
          <w:color w:val="auto"/>
        </w:rP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合同主要条款</w:t>
      </w:r>
      <w:r>
        <w:rPr>
          <w:rFonts w:hint="eastAsia" w:ascii="宋体" w:hAnsi="宋体" w:eastAsia="宋体" w:cs="宋体"/>
          <w:color w:val="auto"/>
          <w:sz w:val="24"/>
          <w:szCs w:val="24"/>
          <w:highlight w:val="none"/>
        </w:rPr>
      </w:r>
      <w:r>
        <w:rPr>
          <w:color w:val="auto"/>
        </w:rP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竞争性磋商程序及磋商小组成员组成</w:t>
      </w:r>
      <w:r>
        <w:rPr>
          <w:rFonts w:hint="eastAsia" w:ascii="宋体" w:hAnsi="宋体" w:eastAsia="宋体" w:cs="宋体"/>
          <w:color w:val="auto"/>
          <w:sz w:val="24"/>
          <w:szCs w:val="24"/>
          <w:highlight w:val="none"/>
        </w:rPr>
      </w:r>
      <w:r>
        <w:rPr>
          <w:color w:val="auto"/>
        </w:rP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rPr>
          <w:rFonts w:hint="eastAsia" w:ascii="宋体" w:hAnsi="宋体" w:eastAsia="宋体" w:cs="宋体"/>
          <w:color w:val="auto"/>
          <w:sz w:val="24"/>
          <w:szCs w:val="24"/>
          <w:highlight w:val="none"/>
        </w:rPr>
      </w:r>
      <w:r>
        <w:rPr>
          <w:color w:val="auto"/>
        </w:rP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center"/>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一、竞争性磋商邀请函</w:t>
      </w:r>
      <w:r>
        <w:rPr>
          <w:rFonts w:hint="eastAsia" w:ascii="宋体" w:hAnsi="宋体" w:eastAsia="宋体" w:cs="宋体"/>
          <w:b/>
          <w:bCs/>
          <w:color w:val="auto"/>
          <w:sz w:val="24"/>
          <w:szCs w:val="24"/>
          <w:highlight w:val="none"/>
        </w:rPr>
      </w:r>
      <w:r>
        <w:rPr>
          <w:color w:val="auto"/>
        </w:rPr>
      </w:r>
    </w:p>
    <w:tbl>
      <w:tblPr>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rHeight w:val="90"/>
        </w:trPr>
        <w:tc>
          <w:tcPr>
            <w:shd w:val="clear" w:color="auto" w:fill="ffffff"/>
            <w:tcW w:w="9226" w:type="dxa"/>
            <w:vAlign w:val="center"/>
            <w:textDirection w:val="lrTb"/>
            <w:noWrap w:val="false"/>
          </w:tcPr>
          <w:p>
            <w:pPr>
              <w:pStyle w:val="884"/>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rPr>
              <w:t xml:space="preserve">项目概况</w:t>
            </w:r>
            <w:r>
              <w:rPr>
                <w:rFonts w:hint="eastAsia" w:ascii="宋体" w:hAnsi="宋体" w:eastAsia="宋体" w:cs="宋体"/>
                <w:color w:val="auto"/>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2026年度全镇监控安防设备维护保养服务JSZC-320506-DLHX-C2026-0007</w:t>
            </w:r>
            <w:r>
              <w:rPr>
                <w:rFonts w:hint="eastAsia" w:ascii="宋体" w:hAnsi="宋体" w:eastAsia="宋体" w:cs="宋体"/>
                <w:i w:val="0"/>
                <w:iCs w:val="0"/>
                <w:caps w:val="0"/>
                <w:color w:val="auto"/>
                <w:spacing w:val="0"/>
                <w:sz w:val="24"/>
                <w:szCs w:val="24"/>
                <w:highlight w:val="none"/>
              </w:rPr>
              <w:t xml:space="preserve">采购项目的潜在供应商应在登录“苏采云”系统自行下载 获取采购文件，并于</w:t>
            </w:r>
            <w:r>
              <w:rPr>
                <w:rFonts w:hint="eastAsia" w:ascii="宋体" w:hAnsi="宋体" w:eastAsia="宋体" w:cs="宋体"/>
                <w:i w:val="0"/>
                <w:iCs w:val="0"/>
                <w:caps w:val="0"/>
                <w:color w:val="auto"/>
                <w:spacing w:val="0"/>
                <w:sz w:val="24"/>
                <w:szCs w:val="24"/>
                <w:highlight w:val="none"/>
                <w:lang w:eastAsia="zh-CN"/>
              </w:rPr>
              <w:t xml:space="preserve">2026</w:t>
            </w:r>
            <w:r>
              <w:rPr>
                <w:rFonts w:hint="eastAsia" w:ascii="宋体" w:hAnsi="宋体" w:eastAsia="宋体" w:cs="宋体"/>
                <w:i w:val="0"/>
                <w:iCs w:val="0"/>
                <w:caps w:val="0"/>
                <w:color w:val="auto"/>
                <w:spacing w:val="0"/>
                <w:sz w:val="24"/>
                <w:szCs w:val="24"/>
                <w:highlight w:val="none"/>
              </w:rPr>
              <w:t xml:space="preserve">-</w:t>
            </w:r>
            <w:r>
              <w:rPr>
                <w:rFonts w:hint="eastAsia" w:ascii="宋体" w:hAnsi="宋体" w:eastAsia="宋体" w:cs="宋体"/>
                <w:i w:val="0"/>
                <w:iCs w:val="0"/>
                <w:caps w:val="0"/>
                <w:color w:val="auto"/>
                <w:spacing w:val="0"/>
                <w:sz w:val="24"/>
                <w:szCs w:val="24"/>
                <w:highlight w:val="none"/>
                <w:lang w:val="en-US" w:eastAsia="zh-CN"/>
              </w:rPr>
              <w:t xml:space="preserve">7</w:t>
            </w:r>
            <w:r>
              <w:rPr>
                <w:rFonts w:hint="eastAsia" w:ascii="宋体" w:hAnsi="宋体" w:eastAsia="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28</w:t>
            </w:r>
            <w:r>
              <w:rPr>
                <w:rFonts w:hint="eastAsia" w:ascii="宋体" w:hAnsi="宋体" w:eastAsia="宋体" w:cs="宋体"/>
                <w:i w:val="0"/>
                <w:iCs w:val="0"/>
                <w:caps w:val="0"/>
                <w:color w:val="auto"/>
                <w:spacing w:val="0"/>
                <w:sz w:val="24"/>
                <w:szCs w:val="24"/>
                <w:highlight w:val="none"/>
              </w:rPr>
              <w:t xml:space="preserve"> </w:t>
            </w:r>
            <w:r>
              <w:rPr>
                <w:rFonts w:hint="eastAsia" w:ascii="宋体" w:hAnsi="宋体" w:eastAsia="宋体" w:cs="宋体"/>
                <w:i w:val="0"/>
                <w:iCs w:val="0"/>
                <w:caps w:val="0"/>
                <w:color w:val="auto"/>
                <w:spacing w:val="0"/>
                <w:sz w:val="24"/>
                <w:szCs w:val="24"/>
                <w:highlight w:val="none"/>
                <w:lang w:val="en-US" w:eastAsia="zh-CN"/>
              </w:rPr>
              <w:t xml:space="preserve">9</w:t>
            </w:r>
            <w:r>
              <w:rPr>
                <w:rFonts w:hint="eastAsia" w:ascii="宋体" w:hAnsi="宋体" w:eastAsia="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30</w:t>
            </w:r>
            <w:r>
              <w:rPr>
                <w:rFonts w:hint="eastAsia" w:ascii="宋体" w:hAnsi="宋体" w:eastAsia="宋体" w:cs="宋体"/>
                <w:i w:val="0"/>
                <w:iCs w:val="0"/>
                <w:caps w:val="0"/>
                <w:color w:val="auto"/>
                <w:spacing w:val="0"/>
                <w:sz w:val="24"/>
                <w:szCs w:val="24"/>
                <w:highlight w:val="none"/>
              </w:rPr>
              <w:t xml:space="preserve">（北京时间）前提交响应文件。</w:t>
            </w:r>
            <w:r>
              <w:rPr>
                <w:rFonts w:hint="eastAsia" w:ascii="宋体" w:hAnsi="宋体" w:eastAsia="宋体" w:cs="宋体"/>
                <w:color w:val="auto"/>
                <w:sz w:val="24"/>
                <w:szCs w:val="24"/>
                <w:highlight w:val="none"/>
              </w:rPr>
            </w:r>
            <w:r>
              <w:rPr>
                <w:color w:val="auto"/>
              </w:rPr>
            </w:r>
          </w:p>
        </w:tc>
      </w:tr>
    </w:tbl>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一、项目基本情况</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JSZC-320506-DLHX-C2026-0007</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项目名称：</w:t>
      </w:r>
      <w:r>
        <w:rPr>
          <w:rFonts w:hint="eastAsia" w:ascii="宋体" w:hAnsi="宋体" w:eastAsia="宋体" w:cs="宋体"/>
          <w:i w:val="0"/>
          <w:iCs w:val="0"/>
          <w:caps w:val="0"/>
          <w:color w:val="auto"/>
          <w:spacing w:val="0"/>
          <w:sz w:val="24"/>
          <w:szCs w:val="24"/>
          <w:highlight w:val="none"/>
          <w:shd w:val="clear" w:color="auto" w:fill="ffffff"/>
          <w:lang w:eastAsia="zh-CN"/>
        </w:rPr>
        <w:t xml:space="preserve">2026年度全镇监控安防设备维护保养服务</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 </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预算金额：300.6364万元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270.57276</w:t>
      </w:r>
      <w:r>
        <w:rPr>
          <w:rFonts w:hint="eastAsia" w:ascii="宋体" w:hAnsi="宋体" w:eastAsia="宋体" w:cs="宋体"/>
          <w:i w:val="0"/>
          <w:iCs w:val="0"/>
          <w:caps w:val="0"/>
          <w:color w:val="auto"/>
          <w:spacing w:val="0"/>
          <w:sz w:val="24"/>
          <w:szCs w:val="24"/>
          <w:highlight w:val="none"/>
          <w:shd w:val="clear" w:color="auto" w:fill="ffffff"/>
        </w:rPr>
        <w:t xml:space="preserve">万元</w:t>
      </w:r>
      <w:r>
        <w:rPr>
          <w:rFonts w:hint="eastAsia" w:ascii="宋体" w:hAnsi="宋体" w:eastAsia="宋体" w:cs="宋体"/>
          <w:i w:val="0"/>
          <w:iCs w:val="0"/>
          <w:caps w:val="0"/>
          <w:color w:val="auto"/>
          <w:spacing w:val="0"/>
          <w:sz w:val="24"/>
          <w:szCs w:val="24"/>
          <w:highlight w:val="none"/>
          <w:shd w:val="clear" w:color="auto" w:fill="ffffff"/>
          <w:lang w:eastAsia="zh-CN"/>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采购需求：</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重点园区；</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auto"/>
          <w:spacing w:val="0"/>
          <w:sz w:val="24"/>
          <w:szCs w:val="24"/>
          <w:highlight w:val="none"/>
          <w:shd w:val="clear" w:color="auto" w:fill="ffffff"/>
          <w:lang w:eastAsia="zh-CN"/>
        </w:rPr>
        <w:t xml:space="preserve">（具体起始时间甲方书面通知为准）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eastAsia="zh-CN"/>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是否允许</w:t>
      </w:r>
      <w:r>
        <w:rPr>
          <w:rFonts w:hint="eastAsia" w:ascii="宋体" w:hAnsi="宋体" w:eastAsia="宋体" w:cs="宋体"/>
          <w:i w:val="0"/>
          <w:iCs w:val="0"/>
          <w:caps w:val="0"/>
          <w:color w:val="auto"/>
          <w:spacing w:val="0"/>
          <w:sz w:val="24"/>
          <w:szCs w:val="24"/>
          <w:highlight w:val="none"/>
          <w:shd w:val="clear" w:color="auto" w:fill="ffffff"/>
        </w:rPr>
        <w:t xml:space="preserve">联合体及转包、分包：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否</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二、申请人的资格要求：</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2.良好的商业信誉和健全的财务会计制度；</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6.法律、行政法规规定的其他条件；</w:t>
      </w:r>
      <w:r>
        <w:rPr>
          <w:rFonts w:hint="eastAsia" w:ascii="宋体" w:hAnsi="宋体" w:eastAsia="宋体" w:cs="宋体"/>
          <w:color w:val="auto"/>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auto"/>
          <w:spacing w:val="0"/>
          <w:sz w:val="24"/>
          <w:szCs w:val="24"/>
          <w:highlight w:val="none"/>
          <w:lang w:val="en-US" w:eastAsia="zh-CN"/>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auto"/>
          <w:spacing w:val="0"/>
          <w:sz w:val="24"/>
          <w:szCs w:val="24"/>
          <w:highlight w:val="none"/>
          <w:lang w:val="en-US" w:eastAsia="zh-CN"/>
        </w:rPr>
      </w:r>
      <w:r>
        <w:rPr>
          <w:color w:val="auto"/>
        </w:rP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三、获取采购文件</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时间：自磋商文件公告发布之日起5个工作日</w:t>
      </w:r>
      <w:r>
        <w:rPr>
          <w:rFonts w:hint="eastAsia" w:ascii="宋体" w:hAnsi="宋体" w:eastAsia="宋体" w:cs="宋体"/>
          <w:color w:val="auto"/>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地点：登录“苏采云”系统自行下载 </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方式：登录“苏采云”系统自行下载 </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售价：0.00元 </w:t>
      </w:r>
      <w:r>
        <w:rPr>
          <w:rFonts w:hint="eastAsia" w:ascii="宋体" w:hAnsi="宋体" w:eastAsia="宋体" w:cs="宋体"/>
          <w:i w:val="0"/>
          <w:iCs w:val="0"/>
          <w:caps w:val="0"/>
          <w:color w:val="auto"/>
          <w:spacing w:val="0"/>
          <w:sz w:val="24"/>
          <w:szCs w:val="24"/>
          <w:highlight w:val="none"/>
        </w:rPr>
      </w:r>
      <w:r>
        <w:rPr>
          <w:color w:val="auto"/>
        </w:rP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四、响应文件提交</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截止时间：</w:t>
      </w:r>
      <w:r>
        <w:rPr>
          <w:rFonts w:hint="eastAsia" w:ascii="宋体" w:hAnsi="宋体" w:eastAsia="宋体" w:cs="宋体"/>
          <w:i w:val="0"/>
          <w:iCs w:val="0"/>
          <w:caps w:val="0"/>
          <w:color w:val="auto"/>
          <w:spacing w:val="0"/>
          <w:sz w:val="24"/>
          <w:szCs w:val="24"/>
          <w:highlight w:val="none"/>
          <w:shd w:val="clear" w:color="auto" w:fill="ffffff"/>
          <w:lang w:eastAsia="zh-CN"/>
        </w:rPr>
        <w:t xml:space="preserve">2026</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28</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30（北京时间）</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地点：登录“苏采云”系统自行上传 </w:t>
      </w:r>
      <w:r>
        <w:rPr>
          <w:rFonts w:hint="eastAsia" w:ascii="宋体" w:hAnsi="宋体" w:eastAsia="宋体" w:cs="宋体"/>
          <w:i w:val="0"/>
          <w:iCs w:val="0"/>
          <w:caps w:val="0"/>
          <w:color w:val="auto"/>
          <w:spacing w:val="0"/>
          <w:sz w:val="24"/>
          <w:szCs w:val="24"/>
          <w:highlight w:val="none"/>
        </w:rPr>
      </w:r>
      <w:r>
        <w:rPr>
          <w:color w:val="auto"/>
        </w:rP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五、开启</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w:t>
      </w:r>
      <w:r>
        <w:rPr>
          <w:rFonts w:hint="eastAsia" w:ascii="宋体" w:hAnsi="宋体" w:eastAsia="宋体" w:cs="宋体"/>
          <w:i w:val="0"/>
          <w:iCs w:val="0"/>
          <w:caps w:val="0"/>
          <w:color w:val="auto"/>
          <w:spacing w:val="0"/>
          <w:sz w:val="24"/>
          <w:szCs w:val="24"/>
          <w:highlight w:val="none"/>
          <w:shd w:val="clear" w:color="auto" w:fill="ffffff"/>
          <w:lang w:eastAsia="zh-CN"/>
        </w:rPr>
        <w:t xml:space="preserve">2026</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28</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30（北京时间）</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地点：登录“苏采云”系统不见面开标  </w:t>
      </w:r>
      <w:r>
        <w:rPr>
          <w:rFonts w:hint="eastAsia" w:ascii="宋体" w:hAnsi="宋体" w:eastAsia="宋体" w:cs="宋体"/>
          <w:i w:val="0"/>
          <w:iCs w:val="0"/>
          <w:caps w:val="0"/>
          <w:color w:val="auto"/>
          <w:spacing w:val="0"/>
          <w:sz w:val="24"/>
          <w:szCs w:val="24"/>
          <w:highlight w:val="none"/>
        </w:rPr>
      </w:r>
      <w:r>
        <w:rPr>
          <w:color w:val="auto"/>
        </w:rP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六、公告期限</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自本公告发布之日起3个工作日。</w:t>
      </w:r>
      <w:r>
        <w:rPr>
          <w:rFonts w:hint="eastAsia" w:ascii="宋体" w:hAnsi="宋体" w:eastAsia="宋体" w:cs="宋体"/>
          <w:i w:val="0"/>
          <w:iCs w:val="0"/>
          <w:caps w:val="0"/>
          <w:color w:val="auto"/>
          <w:spacing w:val="0"/>
          <w:sz w:val="24"/>
          <w:szCs w:val="24"/>
          <w:highlight w:val="none"/>
        </w:rPr>
      </w:r>
      <w:r>
        <w:rPr>
          <w:color w:val="auto"/>
        </w:rP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七、其他补充事宜</w:t>
      </w:r>
      <w:r>
        <w:rPr>
          <w:rFonts w:hint="eastAsia" w:ascii="宋体" w:hAnsi="宋体" w:eastAsia="宋体" w:cs="宋体"/>
          <w:i w:val="0"/>
          <w:iCs w:val="0"/>
          <w:caps w:val="0"/>
          <w:color w:val="auto"/>
          <w:spacing w:val="0"/>
          <w:sz w:val="24"/>
          <w:szCs w:val="24"/>
          <w:highlight w:val="none"/>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1.CA相关说明：</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（1）CA证书办理</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i w:val="0"/>
          <w:iCs w:val="0"/>
          <w:caps w:val="0"/>
          <w:color w:val="auto"/>
          <w:spacing w:val="0"/>
          <w:sz w:val="24"/>
          <w:szCs w:val="24"/>
          <w:highlight w:val="none"/>
          <w:shd w:val="clear" w:color="auto" w:fill="ffffff"/>
          <w:lang w:val="en-US"/>
        </w:rPr>
        <w:t xml:space="preserve">苏州现场办理地址：苏州高新区邓尉路105号狮山科技馆1楼服务大厅</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rPr>
        <w:t xml:space="preserve">咨询电话：0512-65737699</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Cs/>
          <w:color w:val="auto"/>
          <w:sz w:val="24"/>
          <w:szCs w:val="24"/>
          <w:lang w:eastAsia="zh-CN"/>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（2）参与采购活动</w:t>
      </w:r>
      <w:r>
        <w:rPr>
          <w:rFonts w:hint="eastAsia" w:ascii="宋体" w:hAnsi="宋体" w:eastAsia="宋体" w:cs="宋体"/>
          <w:bCs/>
          <w:color w:val="auto"/>
          <w:sz w:val="24"/>
          <w:szCs w:val="24"/>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i w:val="0"/>
          <w:iCs w:val="0"/>
          <w:caps w:val="0"/>
          <w:color w:val="auto"/>
          <w:spacing w:val="0"/>
          <w:sz w:val="24"/>
          <w:szCs w:val="24"/>
          <w:shd w:val="clear" w:color="auto" w:fill="ffffff"/>
          <w:lang w:val="en-US" w:eastAsia="zh-CN" w:bidi="ar"/>
        </w:rPr>
        <w:t xml:space="preserve">本项目要求供应商在法定质疑期内一次性提出针对同一采购程序环节的质疑，</w:t>
      </w:r>
      <w:r>
        <w:rPr>
          <w:rFonts w:hint="eastAsia" w:ascii="宋体" w:hAnsi="宋体" w:eastAsia="宋体" w:cs="宋体"/>
          <w:bCs/>
          <w:color w:val="auto"/>
          <w:sz w:val="24"/>
          <w:szCs w:val="24"/>
          <w:lang w:val="en-US" w:eastAsia="zh-CN"/>
        </w:rPr>
        <w:t xml:space="preserve">但因供应商资格条件或获取招标文件时间设定不符合有关法律法规规定等原因使供应商权益受损的除外。</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（3）电子投标准备</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https://czju.suzhou.gov.cn/zfcg/html/content/20231220161910031.shtml）。</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在系统操作过程中如有疑问，请按以下方式联系：</w:t>
      </w:r>
      <w:r>
        <w:rPr>
          <w:rFonts w:hint="eastAsia" w:ascii="宋体" w:hAnsi="宋体" w:eastAsia="宋体" w:cs="宋体"/>
          <w:bCs/>
          <w:color w:val="auto"/>
          <w:sz w:val="24"/>
          <w:szCs w:val="24"/>
        </w:rPr>
      </w:r>
      <w:r>
        <w:rPr>
          <w:color w:val="auto"/>
        </w:rP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注册咨询：13914088964；</w:t>
      </w:r>
      <w:r>
        <w:rPr>
          <w:rFonts w:hint="eastAsia" w:ascii="宋体" w:hAnsi="宋体" w:eastAsia="宋体" w:cs="宋体"/>
          <w:color w:val="auto"/>
          <w:sz w:val="24"/>
          <w:szCs w:val="24"/>
          <w:highlight w:val="none"/>
          <w:lang w:val="en-US" w:eastAsia="zh-CN" w:bidi="ar-SA"/>
        </w:rPr>
      </w:r>
      <w:r>
        <w:rPr>
          <w:color w:val="auto"/>
        </w:rP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CA技术咨询电话：400-608-6099；</w:t>
      </w:r>
      <w:r>
        <w:rPr>
          <w:rFonts w:hint="eastAsia" w:ascii="宋体" w:hAnsi="宋体" w:eastAsia="宋体" w:cs="宋体"/>
          <w:color w:val="auto"/>
          <w:sz w:val="24"/>
          <w:szCs w:val="24"/>
          <w:highlight w:val="none"/>
          <w:lang w:val="en-US" w:eastAsia="zh-CN" w:bidi="ar-SA"/>
        </w:rPr>
      </w:r>
      <w:r>
        <w:rPr>
          <w:color w:val="auto"/>
        </w:rP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签章使用问题：025-83633811、025-83633812、15380932027、15371015030；</w:t>
      </w:r>
      <w:r>
        <w:rPr>
          <w:rFonts w:hint="eastAsia" w:ascii="宋体" w:hAnsi="宋体" w:eastAsia="宋体" w:cs="宋体"/>
          <w:color w:val="auto"/>
          <w:sz w:val="24"/>
          <w:szCs w:val="24"/>
          <w:highlight w:val="none"/>
          <w:lang w:val="en-US" w:eastAsia="zh-CN" w:bidi="ar-SA"/>
        </w:rPr>
      </w:r>
      <w:r>
        <w:rPr>
          <w:color w:val="auto"/>
        </w:rP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系统使用指导与咨询：联系电话：13914088964；智能客服：登录苏采云系统后，联系系统右下方智能客服图标进行咨询。</w:t>
      </w:r>
      <w:r>
        <w:rPr>
          <w:rFonts w:hint="eastAsia" w:ascii="宋体" w:hAnsi="宋体" w:eastAsia="宋体" w:cs="宋体"/>
          <w:color w:val="auto"/>
          <w:sz w:val="24"/>
          <w:szCs w:val="24"/>
          <w:highlight w:val="none"/>
          <w:lang w:val="en-US" w:eastAsia="zh-CN" w:bidi="ar-SA"/>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bCs/>
          <w:color w:val="auto"/>
          <w:sz w:val="24"/>
          <w:szCs w:val="24"/>
        </w:rPr>
      </w:r>
      <w:r>
        <w:rPr>
          <w:color w:val="auto"/>
        </w:rP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4.请供应商确保电脑、系统及其他设备（视频输入输出设备等）无误，且开标直至项目结束始终保持系统在线状态。</w:t>
      </w:r>
      <w:r>
        <w:rPr>
          <w:rFonts w:hint="eastAsia" w:ascii="宋体" w:hAnsi="宋体" w:eastAsia="宋体" w:cs="宋体"/>
          <w:bCs/>
          <w:color w:val="auto"/>
          <w:sz w:val="24"/>
          <w:szCs w:val="24"/>
        </w:rPr>
      </w:r>
      <w:r>
        <w:rPr>
          <w:color w:val="auto"/>
        </w:rP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八、凡对本次采购提出询问，请按以下方式联系。</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1.采购人信息</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单</w:t>
      </w:r>
      <w:r>
        <w:rPr>
          <w:rFonts w:hint="eastAsia" w:ascii="宋体" w:hAnsi="宋体" w:eastAsia="宋体" w:cs="宋体"/>
          <w:i w:val="0"/>
          <w:iCs w:val="0"/>
          <w:caps w:val="0"/>
          <w:color w:val="auto"/>
          <w:spacing w:val="0"/>
          <w:sz w:val="24"/>
          <w:szCs w:val="24"/>
          <w:highlight w:val="none"/>
          <w:shd w:val="clear" w:color="auto" w:fill="ffffff"/>
          <w:lang w:eastAsia="zh-CN"/>
        </w:rPr>
        <w:t xml:space="preserve">位名称：苏州市吴中区甪直镇人民政府</w:t>
      </w:r>
      <w:r>
        <w:rPr>
          <w:rFonts w:hint="eastAsia" w:ascii="宋体" w:hAnsi="宋体" w:eastAsia="宋体" w:cs="宋体"/>
          <w:i w:val="0"/>
          <w:iCs w:val="0"/>
          <w:caps w:val="0"/>
          <w:color w:val="auto"/>
          <w:spacing w:val="0"/>
          <w:sz w:val="24"/>
          <w:szCs w:val="24"/>
          <w:highlight w:val="none"/>
          <w:shd w:val="clear" w:color="auto" w:fill="ffffff"/>
          <w:lang w:eastAsia="zh-CN"/>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地址：苏州市吴中区甪直镇鸣市路21号 </w:t>
      </w:r>
      <w:r>
        <w:rPr>
          <w:rFonts w:hint="eastAsia" w:ascii="宋体" w:hAnsi="宋体" w:eastAsia="宋体" w:cs="宋体"/>
          <w:i w:val="0"/>
          <w:iCs w:val="0"/>
          <w:caps w:val="0"/>
          <w:color w:val="auto"/>
          <w:spacing w:val="0"/>
          <w:sz w:val="24"/>
          <w:szCs w:val="24"/>
          <w:highlight w:val="none"/>
          <w:shd w:val="clear" w:color="auto" w:fill="ffffff"/>
          <w:lang w:eastAsia="zh-CN"/>
        </w:rPr>
      </w:r>
      <w:r>
        <w:rPr>
          <w:color w:val="auto"/>
        </w:rPr>
      </w:r>
    </w:p>
    <w:p>
      <w:pPr>
        <w:pStyle w:val="853"/>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val="en-US" w:eastAsia="zh-CN"/>
        </w:rPr>
        <w:t xml:space="preserve">褚伟杰</w:t>
      </w:r>
      <w:r>
        <w:rPr>
          <w:rFonts w:ascii="宋体" w:hAnsi="宋体" w:eastAsia="宋体" w:cs="宋体"/>
          <w:color w:val="auto"/>
          <w:sz w:val="24"/>
          <w:szCs w:val="24"/>
          <w:highlight w:val="none"/>
          <w:lang w:val="en-US" w:eastAsia="zh-CN"/>
        </w:rPr>
      </w:r>
      <w:r>
        <w:rPr>
          <w:color w:val="auto"/>
        </w:rPr>
      </w:r>
    </w:p>
    <w:p>
      <w:pPr>
        <w:pStyle w:val="853"/>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电话：</w:t>
      </w:r>
      <w:r>
        <w:rPr>
          <w:rFonts w:hint="eastAsia" w:ascii="宋体" w:hAnsi="宋体" w:cs="宋体"/>
          <w:color w:val="auto"/>
          <w:sz w:val="24"/>
          <w:szCs w:val="24"/>
          <w:highlight w:val="none"/>
          <w:lang w:val="en-US" w:eastAsia="zh-CN"/>
        </w:rPr>
        <w:t xml:space="preserve">65049010</w:t>
      </w:r>
      <w:r>
        <w:rPr>
          <w:rFonts w:ascii="宋体" w:hAnsi="宋体" w:eastAsia="宋体" w:cs="宋体"/>
          <w:color w:val="auto"/>
          <w:sz w:val="24"/>
          <w:szCs w:val="24"/>
          <w:highlight w:val="none"/>
          <w:lang w:val="en-US" w:eastAsia="zh-CN"/>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2.采购代理机构信息（如有）</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单位名称：苏州华厦招投标代理有限公司</w:t>
      </w:r>
      <w:r>
        <w:rPr>
          <w:rFonts w:hint="eastAsia" w:ascii="宋体" w:hAnsi="宋体" w:eastAsia="宋体" w:cs="宋体"/>
          <w:color w:val="auto"/>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单位地址：江苏省苏州市高新区锦峰路198号纽威大厦8楼801室</w:t>
      </w:r>
      <w:r>
        <w:rPr>
          <w:rFonts w:hint="eastAsia" w:ascii="宋体" w:hAnsi="宋体" w:eastAsia="宋体" w:cs="宋体"/>
          <w:color w:val="auto"/>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联系人：于文婷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/周磊</w:t>
      </w:r>
      <w:r>
        <w:rPr>
          <w:rFonts w:hint="eastAsia" w:ascii="宋体" w:hAnsi="宋体" w:eastAsia="宋体" w:cs="宋体"/>
          <w:color w:val="auto"/>
          <w:sz w:val="24"/>
          <w:szCs w:val="24"/>
          <w:highlight w:val="none"/>
          <w:lang w:val="en-US" w:eastAsia="zh-CN"/>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15262515871/18351083660</w:t>
      </w:r>
      <w:r>
        <w:rPr>
          <w:rFonts w:hint="eastAsia" w:ascii="宋体" w:hAnsi="宋体" w:eastAsia="宋体" w:cs="宋体"/>
          <w:color w:val="auto"/>
          <w:sz w:val="24"/>
          <w:szCs w:val="24"/>
          <w:highlight w:val="none"/>
          <w:lang w:val="en-US" w:eastAsia="zh-CN"/>
        </w:rPr>
      </w:r>
      <w:r>
        <w:rPr>
          <w:color w:val="auto"/>
        </w:rP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3.项目联系方式</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项目联系人：于文婷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/周磊</w:t>
      </w:r>
      <w:r>
        <w:rPr>
          <w:rFonts w:hint="eastAsia" w:ascii="宋体" w:hAnsi="宋体" w:eastAsia="宋体" w:cs="宋体"/>
          <w:color w:val="auto"/>
          <w:sz w:val="24"/>
          <w:szCs w:val="24"/>
          <w:highlight w:val="none"/>
          <w:lang w:val="en-US" w:eastAsia="zh-CN"/>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15262515871/18351083660</w:t>
      </w:r>
      <w:r>
        <w:rPr>
          <w:rFonts w:hint="eastAsia" w:ascii="宋体" w:hAnsi="宋体" w:eastAsia="宋体" w:cs="宋体"/>
          <w:color w:val="auto"/>
          <w:sz w:val="24"/>
          <w:szCs w:val="24"/>
          <w:highlight w:val="none"/>
          <w:lang w:val="en-US" w:eastAsia="zh-CN"/>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r>
      <w:r>
        <w:rPr>
          <w:color w:val="auto"/>
        </w:rPr>
      </w:r>
    </w:p>
    <w:p>
      <w:pPr>
        <w:pStyle w:val="853"/>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二、苏州市政府采购竞争性磋商文件</w:t>
      </w:r>
      <w:r>
        <w:rPr>
          <w:rFonts w:hint="eastAsia" w:ascii="宋体" w:hAnsi="宋体" w:eastAsia="宋体" w:cs="宋体"/>
          <w:b/>
          <w:bCs/>
          <w:color w:val="auto"/>
          <w:sz w:val="24"/>
          <w:szCs w:val="24"/>
          <w:highlight w:val="none"/>
        </w:rPr>
      </w:r>
      <w:r>
        <w:rPr>
          <w:color w:val="auto"/>
        </w:rPr>
      </w:r>
    </w:p>
    <w:p>
      <w:pPr>
        <w:pStyle w:val="853"/>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一、磋商编号：</w:t>
      </w:r>
      <w:r>
        <w:rPr>
          <w:rFonts w:hint="eastAsia" w:ascii="宋体" w:hAnsi="宋体" w:eastAsia="宋体" w:cs="宋体"/>
          <w:b/>
          <w:bCs/>
          <w:color w:val="auto"/>
          <w:sz w:val="24"/>
          <w:szCs w:val="24"/>
          <w:highlight w:val="none"/>
          <w:lang w:val="en-US" w:eastAsia="zh-CN"/>
        </w:rPr>
        <w:t xml:space="preserve">JSZC-320506-DLHX-C2026-0007</w:t>
      </w:r>
      <w:r>
        <w:rPr>
          <w:rFonts w:hint="eastAsia" w:ascii="宋体" w:hAnsi="宋体" w:eastAsia="宋体" w:cs="宋体"/>
          <w:b/>
          <w:bCs/>
          <w:color w:val="auto"/>
          <w:sz w:val="24"/>
          <w:szCs w:val="24"/>
          <w:highlight w:val="none"/>
        </w:rPr>
        <w:t xml:space="preserve">号</w:t>
      </w:r>
      <w:r>
        <w:rPr>
          <w:rFonts w:hint="eastAsia" w:ascii="宋体" w:hAnsi="宋体" w:eastAsia="宋体" w:cs="宋体"/>
          <w:b/>
          <w:bCs/>
          <w:color w:val="auto"/>
          <w:sz w:val="24"/>
          <w:szCs w:val="24"/>
          <w:highlight w:val="none"/>
        </w:rPr>
      </w:r>
      <w:r>
        <w:rPr>
          <w:color w:val="auto"/>
        </w:rPr>
      </w:r>
    </w:p>
    <w:p>
      <w:pPr>
        <w:pStyle w:val="853"/>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二、磋商响应单位资质要求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r>
      <w:r>
        <w:rPr>
          <w:color w:val="auto"/>
        </w:rPr>
      </w:r>
    </w:p>
    <w:p>
      <w:pPr>
        <w:pStyle w:val="884"/>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color w:val="auto"/>
        </w:rPr>
      </w:r>
      <w:bookmarkStart w:id="0" w:name="_Toc174421905"/>
      <w:r>
        <w:rPr>
          <w:rFonts w:hint="eastAsia" w:ascii="宋体" w:hAnsi="宋体" w:eastAsia="宋体" w:cs="宋体"/>
          <w:i w:val="0"/>
          <w:iCs w:val="0"/>
          <w:caps w:val="0"/>
          <w:color w:val="auto"/>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auto"/>
          <w:spacing w:val="0"/>
          <w:sz w:val="24"/>
          <w:szCs w:val="24"/>
          <w:highlight w:val="none"/>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2.良好的商业信誉和健全的财务会计制度；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auto"/>
          <w:spacing w:val="0"/>
          <w:sz w:val="24"/>
          <w:szCs w:val="24"/>
          <w:highlight w:val="none"/>
          <w:shd w:val="clear" w:color="auto" w:fill="ffffff"/>
        </w:rPr>
      </w:r>
      <w:r>
        <w:rPr>
          <w:color w:val="auto"/>
        </w:rP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6.法律、行政法规规定的其他条件；</w:t>
      </w:r>
      <w:r>
        <w:rPr>
          <w:rFonts w:hint="eastAsia" w:ascii="宋体" w:hAnsi="宋体" w:eastAsia="宋体" w:cs="宋体"/>
          <w:color w:val="auto"/>
          <w:sz w:val="24"/>
          <w:szCs w:val="24"/>
          <w:highlight w:val="none"/>
        </w:rPr>
      </w:r>
      <w:r>
        <w:rPr>
          <w:color w:val="auto"/>
        </w:rPr>
      </w:r>
    </w:p>
    <w:p>
      <w:pPr>
        <w:pStyle w:val="884"/>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auto"/>
          <w:spacing w:val="0"/>
          <w:sz w:val="24"/>
          <w:szCs w:val="24"/>
          <w:highlight w:val="none"/>
          <w:lang w:val="en-US" w:eastAsia="zh-CN"/>
        </w:rPr>
      </w:r>
      <w:r>
        <w:rPr>
          <w:color w:val="auto"/>
        </w:rPr>
      </w:r>
    </w:p>
    <w:p>
      <w:pPr>
        <w:pStyle w:val="884"/>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auto"/>
          <w:spacing w:val="0"/>
          <w:sz w:val="24"/>
          <w:szCs w:val="24"/>
          <w:highlight w:val="none"/>
          <w:lang w:val="en-US" w:eastAsia="zh-CN"/>
        </w:rPr>
      </w:r>
      <w:r>
        <w:rPr>
          <w:color w:val="auto"/>
        </w:rPr>
      </w:r>
    </w:p>
    <w:p>
      <w:pPr>
        <w:pStyle w:val="853"/>
        <w:spacing w:line="360" w:lineRule="auto"/>
        <w:tabs>
          <w:tab w:val="left" w:pos="52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三、项目概述及采购要求：</w:t>
      </w:r>
      <w:r>
        <w:rPr>
          <w:rFonts w:hint="eastAsia" w:ascii="宋体" w:hAnsi="宋体" w:eastAsia="宋体" w:cs="宋体"/>
          <w:b/>
          <w:color w:val="auto"/>
          <w:sz w:val="24"/>
          <w:szCs w:val="24"/>
          <w:highlight w:val="none"/>
        </w:rPr>
      </w:r>
      <w:r>
        <w:rPr>
          <w:color w:val="auto"/>
        </w:rPr>
      </w:r>
    </w:p>
    <w:p>
      <w:pPr>
        <w:pStyle w:val="889"/>
        <w:ind w:left="0" w:firstLine="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（一）项目概况：</w:t>
      </w:r>
      <w:r>
        <w:rPr>
          <w:rFonts w:hint="eastAsia" w:ascii="宋体" w:hAnsi="宋体" w:eastAsia="宋体" w:cs="宋体"/>
          <w:b/>
          <w:bCs/>
          <w:color w:val="auto"/>
          <w:sz w:val="24"/>
          <w:szCs w:val="24"/>
        </w:rPr>
      </w:r>
      <w:r>
        <w:rPr>
          <w:color w:val="auto"/>
        </w:rPr>
      </w:r>
    </w:p>
    <w:p>
      <w:pPr>
        <w:pStyle w:val="889"/>
        <w:ind w:left="0" w:firstLine="420"/>
        <w:keepLines w:val="0"/>
        <w:keepNext w:val="0"/>
        <w:pageBreakBefore w:val="0"/>
        <w:spacing w:line="360" w:lineRule="auto"/>
        <w:widowControl w:val="off"/>
        <w:rPr>
          <w:rFonts w:hint="eastAsia" w:ascii="宋体" w:hAnsi="宋体" w:eastAsia="宋体" w:cs="宋体"/>
          <w:color w:val="auto"/>
          <w:sz w:val="24"/>
          <w:szCs w:val="24"/>
        </w:rPr>
      </w:pPr>
      <w:r>
        <w:rPr>
          <w:color w:val="auto"/>
        </w:rPr>
      </w:r>
      <w:bookmarkStart w:id="1" w:name="OLE_LINK7"/>
      <w:r>
        <w:rPr>
          <w:rFonts w:hint="eastAsia" w:ascii="宋体" w:hAnsi="宋体" w:eastAsia="宋体" w:cs="宋体"/>
          <w:color w:val="auto"/>
          <w:sz w:val="24"/>
          <w:szCs w:val="24"/>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w:t>
      </w:r>
      <w:bookmarkEnd w:id="1"/>
      <w:r>
        <w:rPr>
          <w:rFonts w:hint="eastAsia" w:ascii="宋体" w:hAnsi="宋体" w:eastAsia="宋体" w:cs="宋体"/>
          <w:color w:val="auto"/>
          <w:sz w:val="24"/>
          <w:szCs w:val="24"/>
        </w:rPr>
        <w:t xml:space="preserve">重点园区；详见服务清单</w:t>
      </w:r>
      <w:r>
        <w:rPr>
          <w:rFonts w:hint="eastAsia" w:ascii="宋体" w:hAnsi="宋体" w:eastAsia="宋体" w:cs="宋体"/>
          <w:color w:val="auto"/>
          <w:sz w:val="24"/>
          <w:szCs w:val="24"/>
        </w:rPr>
      </w:r>
      <w:r>
        <w:rPr>
          <w:color w:val="auto"/>
        </w:rPr>
      </w:r>
    </w:p>
    <w:p>
      <w:pPr>
        <w:pStyle w:val="889"/>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color w:val="auto"/>
          <w:sz w:val="24"/>
          <w:szCs w:val="24"/>
        </w:rPr>
      </w:r>
      <w:r>
        <w:rPr>
          <w:color w:val="auto"/>
        </w:rPr>
      </w:r>
    </w:p>
    <w:p>
      <w:pPr>
        <w:pStyle w:val="889"/>
        <w:ind w:left="0" w:firstLine="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（二）服务要求：</w:t>
      </w:r>
      <w:r>
        <w:rPr>
          <w:rFonts w:hint="eastAsia" w:ascii="宋体" w:hAnsi="宋体" w:eastAsia="宋体" w:cs="宋体"/>
          <w:b/>
          <w:bCs/>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本次服务为全包模式，服务单位需承担维护、维修过程中产生所有的人工费、材料费（包括清单内所有设备材料以及与之运行所相关的一切配套设施）、调试费、包装费、运费、安装费、工具劳保费、通讯费、各种税费等一切费用，服务期限内甲方不再为本项目支出合同之外的任何费用。各响应单位需仔细了解本项目服务要求，自行评估风险。同时满足政策性文件规定及合同包含的所有风险、责任等各项应有费用；以保证甲方各系统的正常使用为准。</w:t>
      </w:r>
      <w:r>
        <w:rPr>
          <w:rFonts w:hint="eastAsia" w:ascii="宋体" w:hAnsi="宋体" w:eastAsia="宋体" w:cs="宋体"/>
          <w:b/>
          <w:bCs/>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次服务内容涉及的网络系统由视频专网、行业专网、业务专网以及配套的网络交换设备、安全设备、软件及数据库服务组成；服务单位需具有网络与通信技术、安全技术、软件与数据库技术相关的人员配备，以保障系统的正常运行。</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服务内容涉及辖区道路监控系统、全镇安置小区内部监控、各行政村主要道路等重要位置；服务单位需具备必要的系统集成服务能力；所有视频监控设备、AI智能感知设备、抓拍类设备、已和上级公安平台对接、已形成多网综合管理平台、实现了一站式统一管理；服务单位需保障所有点位设备的正常运行、与上级平台的通信保障，平台的正常使用、完善的网络通讯处理能力，及视频传输技术能力。</w:t>
      </w:r>
      <w:r>
        <w:rPr>
          <w:rFonts w:hint="eastAsia" w:ascii="宋体" w:hAnsi="宋体" w:eastAsia="宋体" w:cs="宋体"/>
          <w:color w:val="auto"/>
          <w:sz w:val="24"/>
          <w:szCs w:val="24"/>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4、指定1人作为本次服务的项目经理，负责跟踪推进项目工作和问题的协调落实；</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需</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具有</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信息系统项目管理，信息安全管理与实施，与本项目</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工作管理的</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能力或</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经验；指定1人为项目技术负责人，负责项目具体实施技术方面工作，</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需</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具有</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系统运营、运维，信息安全管理与实施，与本项目</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相关工作的</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管理能力或</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经验；指定1人为项目运维负责人，负责项目具体运维技术方面工作，</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需</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具有</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系统运维，与本项目</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相关工作</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能力或</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经验；除项目经理、项目技术负责人和项目运维负责人外其他实施团队成员配备不少于4人，需具有</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与本项目</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相关工作</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能力或经验，</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能够顺利开展维护服务工作。</w:t>
      </w:r>
      <w:r>
        <w:rPr>
          <w:rFonts w:hint="eastAsia" w:ascii="宋体" w:hAnsi="宋体" w:eastAsia="宋体" w:cs="宋体"/>
          <w:b w:val="0"/>
          <w:bCs w:val="0"/>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5、服务响应机制需做到7*24小时响应，普通报障事件2小时赶到现场处置、4小时内处理完毕；特殊原因，无法在规定时间内修复的，需写明原因，由</w:t>
      </w:r>
      <w:r>
        <w:rPr>
          <w:rFonts w:hint="eastAsia" w:ascii="宋体" w:hAnsi="宋体" w:eastAsia="宋体" w:cs="宋体"/>
          <w:color w:val="auto"/>
          <w:sz w:val="24"/>
          <w:szCs w:val="24"/>
        </w:rPr>
        <w:t xml:space="preserve">使用方评估后确定。社会重大公共事件、重要活动中，监控应急保障团队、技术人员、保障设备物资、需提前1小时到场。</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不少于每月一次全量设备检查、测试运行、记录运行工况，具有完善的三方服务框架机制，使用单位、设备厂家、服务单位的闭环处理流程。检查过程中发现存在故障且无法技术修复的设备提前自行更换，涉及存储类产品的需由相关经验人员进行维护，不少于一周一次。</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i w:val="0"/>
          <w:iCs w:val="0"/>
          <w:caps w:val="0"/>
          <w:color w:val="auto"/>
          <w:spacing w:val="0"/>
          <w:sz w:val="24"/>
          <w:szCs w:val="24"/>
          <w:shd w:val="clear" w:color="auto" w:fill="ffffff"/>
          <w:lang w:val="en-US" w:eastAsia="zh-CN" w:bidi="ar"/>
        </w:rPr>
        <w:t xml:space="preserve">设备损坏、无法维修的情况下，服务单位需及时更换原品牌型号设备或不同品牌但不低于原有性能的设备，替换前需甲方确认</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8、服务单位需具备完善的安全保密制度，日常的保密培训、涉密后的操作规则与档案管理办法；在签订合同前，中标单位需与甲方签署单位保密协议及服务人员保密协议。</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9、如遇甲方工作需要，在辖区内零星增设点位时，服务单位需配</w:t>
      </w:r>
      <w:r>
        <w:rPr>
          <w:rFonts w:hint="eastAsia" w:ascii="宋体" w:hAnsi="宋体" w:eastAsia="宋体" w:cs="宋体"/>
          <w:color w:val="auto"/>
          <w:sz w:val="24"/>
          <w:szCs w:val="24"/>
        </w:rPr>
        <w:t xml:space="preserve">合、协助设备的联网接入工作。</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10、合同签订后支付合同价款的30%</w:t>
      </w:r>
      <w:r>
        <w:rPr>
          <w:rFonts w:hint="eastAsia" w:ascii="宋体" w:hAnsi="宋体" w:eastAsia="宋体" w:cs="宋体"/>
          <w:color w:val="auto"/>
          <w:sz w:val="24"/>
          <w:szCs w:val="24"/>
          <w:lang w:val="en-US" w:eastAsia="zh-CN"/>
        </w:rPr>
        <w:t xml:space="preserve">为预付款</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每半年支付一次合同款项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需</w:t>
      </w:r>
      <w:r>
        <w:rPr>
          <w:rFonts w:hint="eastAsia" w:ascii="宋体" w:hAnsi="宋体" w:eastAsia="宋体" w:cs="宋体"/>
          <w:color w:val="auto"/>
          <w:sz w:val="24"/>
          <w:szCs w:val="24"/>
        </w:rPr>
        <w:t xml:space="preserve">根据服务的质量、效率、专业性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定期量化考核</w:t>
      </w:r>
      <w:r>
        <w:rPr>
          <w:rFonts w:hint="eastAsia" w:ascii="宋体" w:hAnsi="宋体" w:eastAsia="宋体" w:cs="宋体"/>
          <w:color w:val="auto"/>
          <w:sz w:val="24"/>
          <w:szCs w:val="24"/>
          <w:lang w:val="en-US" w:eastAsia="zh-CN"/>
        </w:rPr>
        <w:t xml:space="preserve">及监理审核后支付</w:t>
      </w:r>
      <w:r>
        <w:rPr>
          <w:rFonts w:hint="eastAsia" w:ascii="宋体" w:hAnsi="宋体" w:eastAsia="宋体" w:cs="宋体"/>
          <w:color w:val="auto"/>
          <w:sz w:val="24"/>
          <w:szCs w:val="24"/>
        </w:rPr>
        <w:t xml:space="preserve">，绩效考核分与服务费用相关联。</w:t>
      </w:r>
      <w:r>
        <w:rPr>
          <w:rFonts w:hint="eastAsia" w:ascii="宋体" w:hAnsi="宋体" w:eastAsia="宋体" w:cs="宋体"/>
          <w:color w:val="auto"/>
          <w:sz w:val="24"/>
        </w:rPr>
        <w:t xml:space="preserve">在签订合同时，乙方明确表示无需预付款或者主动要求降低预付款比例的，甲方可不适用上述关于预付款的规定。</w:t>
      </w:r>
      <w:r>
        <w:rPr>
          <w:rFonts w:hint="eastAsia" w:ascii="宋体" w:hAnsi="宋体" w:eastAsia="宋体" w:cs="宋体"/>
          <w:color w:val="auto"/>
          <w:sz w:val="24"/>
          <w:szCs w:val="24"/>
        </w:rPr>
      </w:r>
      <w:r>
        <w:rPr>
          <w:color w:val="auto"/>
        </w:rPr>
      </w:r>
    </w:p>
    <w:p>
      <w:pPr>
        <w:pStyle w:val="853"/>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（三）服务清单</w:t>
      </w:r>
      <w:r>
        <w:rPr>
          <w:rFonts w:hint="eastAsia" w:ascii="宋体" w:hAnsi="宋体" w:eastAsia="宋体" w:cs="宋体"/>
          <w:b/>
          <w:bCs/>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1.2018年投入使用</w:t>
      </w:r>
      <w:r>
        <w:rPr>
          <w:rFonts w:hint="eastAsia" w:ascii="宋体" w:hAnsi="宋体" w:eastAsia="宋体" w:cs="宋体"/>
          <w:b/>
          <w:bCs/>
          <w:i w:val="0"/>
          <w:iCs w:val="0"/>
          <w:caps w:val="0"/>
          <w:color w:val="auto"/>
          <w:spacing w:val="0"/>
          <w:sz w:val="24"/>
          <w:szCs w:val="24"/>
          <w:shd w:val="clear" w:color="auto" w:fill="ffffff"/>
        </w:rPr>
      </w:r>
      <w:r>
        <w:rPr>
          <w:color w:val="auto"/>
        </w:rPr>
      </w:r>
    </w:p>
    <w:tbl>
      <w:tblPr>
        <w:tblW w:w="105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2049"/>
        <w:gridCol w:w="6885"/>
        <w:gridCol w:w="433"/>
        <w:gridCol w:w="484"/>
      </w:tblGrid>
      <w:tr>
        <w:trPr>
          <w:tblHeade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一、后端设备</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智慧社区综合安防管控平台系统</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海康威视7700</w:t>
            </w:r>
            <w:r>
              <w:rPr>
                <w:rFonts w:hint="eastAsia" w:ascii="宋体" w:hAnsi="宋体" w:eastAsia="宋体" w:cs="宋体"/>
                <w:b w:val="0"/>
                <w:bCs w:val="0"/>
                <w:color w:val="auto"/>
                <w:sz w:val="24"/>
                <w:szCs w:val="24"/>
                <w:u w:val="none"/>
              </w:rPr>
            </w:r>
            <w:r>
              <w:rPr>
                <w:color w:val="auto"/>
              </w:rP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社区子系统</w:t>
            </w:r>
            <w:r>
              <w:rPr>
                <w:rFonts w:hint="eastAsia" w:ascii="宋体" w:hAnsi="宋体" w:eastAsia="宋体" w:cs="宋体"/>
                <w:b w:val="0"/>
                <w:bCs w:val="0"/>
                <w:color w:val="auto"/>
                <w:sz w:val="24"/>
                <w:szCs w:val="24"/>
                <w:u w:val="none"/>
              </w:rPr>
            </w:r>
            <w:r>
              <w:rPr>
                <w:color w:val="auto"/>
              </w:rP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社区子系统主要包含了人房管理、出入查询、日志查询、报表管理出入查询，该模块主要是为了让用户能快速的了解到当前的有权限的门禁点下的用户的出入情况以及抓图和录像的情况。可查看人员的详情以及最近的出入记录。</w:t>
            </w:r>
            <w:r>
              <w:rPr>
                <w:rFonts w:hint="eastAsia" w:ascii="宋体" w:hAnsi="宋体" w:eastAsia="宋体" w:cs="宋体"/>
                <w:b w:val="0"/>
                <w:bCs w:val="0"/>
                <w:color w:val="auto"/>
                <w:sz w:val="24"/>
                <w:szCs w:val="24"/>
                <w:u w:val="none"/>
              </w:rPr>
            </w:r>
            <w:r>
              <w:rPr>
                <w:color w:val="auto"/>
              </w:rP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人员管控模块</w:t>
            </w:r>
            <w:r>
              <w:rPr>
                <w:rFonts w:hint="eastAsia" w:ascii="宋体" w:hAnsi="宋体" w:eastAsia="宋体" w:cs="宋体"/>
                <w:b w:val="0"/>
                <w:bCs w:val="0"/>
                <w:color w:val="auto"/>
                <w:sz w:val="24"/>
                <w:szCs w:val="24"/>
                <w:u w:val="none"/>
              </w:rPr>
            </w:r>
            <w:r>
              <w:rPr>
                <w:color w:val="auto"/>
              </w:rP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支持社区居住人员录入（增删改查）为了能够快速的添加组织区域、单元楼、出租屋、社区等信息，在组织区域下可以添加人员信息，并可以快速的在添加完房屋后，不断添加租客信息，支持各品牌读卡器的读取身份证的功能，并能够通过系统达到发卡，并实时的下发权限，也支持人证合一设备进行人员身份信息读取，并进行人脸比对、人脸抓拍，同时支持指纹开卡的功能。另外，支持卡的增删改查、管理员的增删改查、组织区域的增删改查、房屋的增删改查，同时也支持人员的移动和组织区域、人员的导出Exce</w:t>
            </w:r>
            <w:r>
              <w:rPr>
                <w:rFonts w:hint="eastAsia" w:ascii="宋体" w:hAnsi="宋体" w:eastAsia="宋体" w:cs="宋体"/>
                <w:b w:val="0"/>
                <w:bCs w:val="0"/>
                <w:color w:val="auto"/>
                <w:sz w:val="24"/>
                <w:szCs w:val="24"/>
                <w:u w:val="none"/>
                <w:lang w:val="en-US" w:eastAsia="zh-CN"/>
              </w:rPr>
              <w:t xml:space="preserve">l</w:t>
            </w:r>
            <w:r>
              <w:rPr>
                <w:rFonts w:hint="eastAsia" w:ascii="宋体" w:hAnsi="宋体" w:eastAsia="宋体" w:cs="宋体"/>
                <w:b w:val="0"/>
                <w:bCs w:val="0"/>
                <w:color w:val="auto"/>
                <w:sz w:val="24"/>
                <w:szCs w:val="24"/>
                <w:u w:val="none"/>
              </w:rPr>
              <w:t xml:space="preserve">表格。</w:t>
            </w:r>
            <w:r>
              <w:rPr>
                <w:rFonts w:hint="eastAsia" w:ascii="宋体" w:hAnsi="宋体" w:eastAsia="宋体" w:cs="宋体"/>
                <w:b w:val="0"/>
                <w:bCs w:val="0"/>
                <w:color w:val="auto"/>
                <w:sz w:val="24"/>
                <w:szCs w:val="24"/>
                <w:u w:val="none"/>
              </w:rPr>
            </w:r>
            <w:r>
              <w:rPr>
                <w:color w:val="auto"/>
              </w:rP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人员档案管理</w:t>
            </w:r>
            <w:r>
              <w:rPr>
                <w:rFonts w:hint="eastAsia" w:ascii="宋体" w:hAnsi="宋体" w:eastAsia="宋体" w:cs="宋体"/>
                <w:b w:val="0"/>
                <w:bCs w:val="0"/>
                <w:color w:val="auto"/>
                <w:sz w:val="24"/>
                <w:szCs w:val="24"/>
                <w:u w:val="none"/>
              </w:rPr>
            </w:r>
            <w:r>
              <w:rPr>
                <w:color w:val="auto"/>
              </w:rP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根据协管员、物管部门的人员信息采集，对辖区内所有人员信息进行汇总，形成人员信息库，人员档案管理支持对人员的基本信息、所拥有的车辆信息、人员门禁出入记录、车辆出入记录、过车记录、人员居住信息等大集成，集中展示。支持按姓名、身份证号码、境内外人员、性别、民族、手机号码等条件进行查询。</w:t>
            </w:r>
            <w:r>
              <w:rPr>
                <w:rFonts w:hint="eastAsia" w:ascii="宋体" w:hAnsi="宋体" w:eastAsia="宋体" w:cs="宋体"/>
                <w:b w:val="0"/>
                <w:bCs w:val="0"/>
                <w:color w:val="auto"/>
                <w:sz w:val="24"/>
                <w:szCs w:val="24"/>
                <w:u w:val="none"/>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应用程序服务器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戴尔R730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1、CPU:2颗英特尔至强 E5-2620 v4 2.1GHz,20M 缓存,8.0GT/s QPI,无Turbo,无 HT,6C/12T (85W)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2、内存: 32GB内存，</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3、硬盘：1块512G SSD  2块600G,10K SAS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4、至少集成双口千兆以太网卡；</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5、3年专业技术支持当日4小时(24*7)服务（人力+配件）</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6、Windows Server 正版云操作系统数据中心版（2016版本，含25个客户端访问许可）</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rHeight w:val="1366"/>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工作站电脑</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戴尔OptiPlex7050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英特尔Q270芯片组/i7-6700 处理器（四核, 8MB,  3.4GHz, 65W）/ 4GB内存/1T硬盘/宽屏显示器/2GB 独立显卡/集成10/100/1000/网卡/原厂USB光电鼠标、键盘/正版Windows10  简体中文/原厂3年整机第二工作日上门服务（配件+人力)/立式机箱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锐捷RG-S5750C-28SFP4XS-H</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传输速率≥10/100/1000M</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背板带宽≥598Gbps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包转发率≥222Mpps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网络接口：≥24个10/100/1000M自适应电口2个光口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网络安全性能：支持用户管理和端口绑定，支持WED管理、SSH、(Telnet/Console)</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二、小区前端设备</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室外枪型摄像机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海康DS-2CD2T46DWDA1-I</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400万1/2.7”CMOS网络摄像机</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最小照度:0.005Lux @(F1.2,AGC ON) ,0 Lux with IR</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镜头:可选, 水平视场角82.5°</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宽动态范围:120dB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MJPEG</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最大图像尺寸:2688 x 1520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通讯接口:1个RJ45 10M / 100M 自适应以太网口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工作温度和湿度:-30℃~60℃,湿度小于95%(无凝结)</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电源供应:DC12V±25%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电源接口类型:Φ5.5mm圆头电源接口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功耗DC12V: 8W Max</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红外照射距离:最远可达50米</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室外球型摄像机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海康DS-2DE7220MX-A/S1</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200万像素7</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寸网络高清智能球机；1920×1080@30fps</w:t>
            </w:r>
            <w:r>
              <w:rPr>
                <w:rFonts w:hint="eastAsia" w:ascii="宋体" w:hAnsi="宋体" w:eastAsia="宋体" w:cs="宋体"/>
                <w:color w:val="auto"/>
                <w:sz w:val="24"/>
                <w:szCs w:val="24"/>
              </w:rPr>
              <w:t xml:space="preserve">；支持1080p@60fps、960p@60fps帧率输出0.005Lux/F1.2(彩色),0.001Lux/F1.2(黑白) ,0 Lux with IR；红外光照射距离最远可达100m；焦距：4.8 - 96 mm, 20倍光学；支持音频、报警；水平键控速度最大160°/s，垂直键控速度最大120°/s，垂直范围-15°~90°；H.265/H.264/MJPEG；最大支持256GB Micro SD卡；AC24V，40W max（其中补光灯15W max）；支持IP66；工作温度：-30℃-65℃。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出入口人脸抓拍机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海康DS-2CD7627FWD/F-LZS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200万 1/1.8"人脸筒型网络摄像机；</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最低照度:彩色：0.001Lux,黑白：0.0001Lux ,0 Lux with LED；</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最大图像尺寸:1920×1080；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区域裁剪:支持裁剪画面传输；</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日夜转换方式:自动切换,定时切换,报警触发切换；</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图片叠加:支持BMP 24位图像叠加,可选择区域；</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感兴趣区域:ROI支持主码流、子码流、第三码流分别设置4个固定区域；</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智能报警:移动侦测,遮挡报警,网线断开,IP地址冲突,存储器满,存储器错,非法访问；</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人脸抓拍:支持对运动人脸进行检测、跟踪、抓拍、评分、筛选，输出最优的人脸抓图；</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抓图分辨率:分辨率：1920x1080/1280x720可选背景大图图片字符叠加功能:支持设备编号、抓拍时间、监测点信息；</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抓拍次数:支持抓拍次数（1-10次）可设人脸曝光支持；</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智能补光:设备内置高效白光阵列灯，可定时开启；</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宽动态:超宽动态范围120dB；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 个RJ45 10M / 100M/1000M自适应以太网口；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防护等级:IP66；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室内半球摄像机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海康DS-2CD2345D-I</w:t>
            </w:r>
            <w:r>
              <w:rPr>
                <w:rFonts w:hint="eastAsia" w:ascii="宋体" w:hAnsi="宋体" w:eastAsia="宋体" w:cs="宋体"/>
                <w:color w:val="auto"/>
                <w:sz w:val="24"/>
                <w:szCs w:val="24"/>
              </w:rPr>
            </w:r>
            <w:r>
              <w:rPr>
                <w:color w:val="auto"/>
              </w:rPr>
            </w:r>
          </w:p>
          <w:p>
            <w:pPr>
              <w:pStyle w:val="853"/>
              <w:ind w:left="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400万1/3”CMOS ICR日夜型半球型网络摄像机；支持H.265及/H.264编码；最小照度：0.07Lux @(F1.2,AGC ON) ,0 Lux with IR；0.19 Lux @(F2.0,AGC ON), 0 Lux with IR；调整角度不小于水平:0°~360°;垂直:0°~ 75°;旋转:0°~360°；宽动态范围：120dB；帧率不小于50Hz: 25fps；工作温度和湿度-30℃~60℃,湿度小于95%(无凝结)；；红外照射距离不小于20米；防护等级不小于IP66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室内筒型摄像机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海康DS-2CD2T46DWDA1-I</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400万1/2.7”CMOS网络摄像机</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最小照度:0.005Lux @(F1.2,AGC ON) ,0 Lux with IR</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镜头:可选, 水平视场角82.5°</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宽动态范围:120dB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MJPEG</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最大图像尺寸:2688 x 1520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通讯接口:1个RJ45 10M / 100M 自适应以太网口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工作温度和湿度:-30℃~60℃,湿度小于95%(无凝结)</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电源供应:DC12V±25%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电源接口类型:Φ5.5mm圆头电源接口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功耗DC12V: 8W Max</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红外照射距离:最远可达50米</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室外支架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海康DS-1269ZJ</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壁装支架/白/铝合金/尺寸不小于85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安装面高度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×295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室内支架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海康DS-1292ZJ</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壁装支架/白/铝合金/尺寸不小于70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安装面高度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×180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3.5米，含基础</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成品手孔井</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定制400mm×400mm×350mm</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57</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防雷器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合鑫雷安、网络二合一</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网络二合一</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背板带宽：16Gbps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包转发率：12Mpps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标配固定端口参数：8个10/100/1000Base-T以太网端口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可选端口描述:无</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MAC地址表:8K</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数字光端机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恒信和安MIB12G-1E-1GA/B-EN</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20KM单模单纤百兆网络光收发器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三星C32F391FWC</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屏幕类型:LED</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面板类型:VA</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英寸分辨率:1920*1080（全高清）</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屏幕比例:16:9</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刷新率:其他</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曲率:1800R</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静态对比度:3000:1</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动态对比度:百万级动态对比度</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接口类型:HDMID-SUB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附加功能:可壁挂</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小区服务器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戴尔R730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1、CPU:1颗英特尔至强 E5-2620 v4 2.1GHz,20M 缓存,8.0GT/s QPI,无Turbo,无 HT,6C/12T (85W) ；</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2、内存: 32GB内存，</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3、硬盘：1块512G SSD  2块600G,10K SAS；</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4、至少集成双口千兆以太网卡；</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5、3年专业技术支持当日4小时(24*7)服务（人力+配件）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硬盘录像机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海康DS-8632N-I16</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3U标准机架式IP存储，DSP+ARM架构，嵌入式软硬件设计；支持32路高清，320M带宽网络视频接入；支持16个SATA盘位；支持RAID 0、1、5、6、10多种RAID模式及全局热备，多重保护数据安全；支持4K分辨率接入和解码输出；支持H.265、H.264编码前端自适应接入；支持关键视频添加标签和加锁保护、整机热备、断网续传、SMART 2.0等功能；2个千兆以太网口，充分满足网络预览、回放以及备份应用。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希捷ST4000VX000-520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4T</w:t>
            </w:r>
            <w:r>
              <w:rPr>
                <w:rFonts w:hint="eastAsia" w:ascii="宋体" w:hAnsi="宋体" w:eastAsia="宋体" w:cs="宋体"/>
                <w:color w:val="auto"/>
                <w:sz w:val="24"/>
                <w:szCs w:val="24"/>
                <w:lang w:val="en-US" w:eastAsia="zh-CN"/>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国标</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机柜标准配套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戴尔OptiPlex7050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英特尔Q270芯片组/i7-6700 处理器（四核, 8MB,  3.4GHz, 65W）/ 4GB内存/1T硬盘/宽屏显示器/2GB 独立显卡/集成10/100/1000/网卡/原厂USB光电鼠标、键盘/正版Windows7  简体中文/原厂3年整机第二工作日上门服务（配件+人力)/立式机箱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三、小区前端设备</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室外枪型摄像机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海康DS-2CD2T46DWDA1-I</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400万1/2.7”CMOS网络摄像机</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最小照度:0.005Lux @(F1.2,AGC ON) ,0 Lux with IR</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镜头:可选, 水平视场角82.5°</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宽动态范围:120dB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MJPEG</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最大图像尺寸:2688 x 1520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通讯接口:1个RJ45 10M / 100M 自适应以太网口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工作温度和湿度:-30℃~60℃,湿度小于95%(无凝结)</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电源供应:DC12V±25%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电源接口类型:Φ5.5mm圆头电源接口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功耗DC12V: 8W Max</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红外照射距离:最远可达50米</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室外球型摄像机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海康DS-2DE7220MX-A/S1</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200万像素7</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寸网络高清智能球机；1920×1080@30fps</w:t>
            </w:r>
            <w:r>
              <w:rPr>
                <w:rFonts w:hint="eastAsia" w:ascii="宋体" w:hAnsi="宋体" w:eastAsia="宋体" w:cs="宋体"/>
                <w:color w:val="auto"/>
                <w:sz w:val="24"/>
                <w:szCs w:val="24"/>
              </w:rPr>
              <w:t xml:space="preserve">；支持1080p@60fps、960p@60fps帧率输出0.005Lux/F1.2(彩色),0.001Lux/F1.2(黑白) ,0 Lux with IR；红外光照射距离最远可达100m；焦距：4.8 - 96 mm, 20倍光学；支持音频、报警；水平键控速度最大160°/s，垂直键控速度最大120°/s，垂直范围-15°~90°；H.265/H.264/MJPEG；最大支持256GB Micro SD卡；AC24V，40W max（其中补光灯15W max）；支持IP66；工作温度：-30℃-65℃。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出入口人脸抓拍机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海康DS-2CD7627FWD/F-LZS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200万 1/1.8"人脸筒型网络摄像机；</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最低照度:彩色：0.001Lux,黑白：0.0001Lux ,0 Lux with LED；</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最大图像尺寸:1920×1080；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区域裁剪:支持裁剪画面传输；</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日夜转换方式:自动切换,定时切换,报警触发切换；</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图片叠加:支持BMP 24位图像叠加,可选择区域；</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感兴趣区域:ROI支持主码流、子码流、第三码流分别设置4个固定区域；</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智能报警:移动侦测,遮挡报警,网线断开,IP地址冲突,存储器满,存储器错,非法访问；</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人脸抓拍:支持对运动人脸进行检测、跟踪、抓拍、评分、筛选，输出最优的人脸抓图；</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抓图分辨率:分辨率：1920x1080/1280x720可选背景大图图片字符叠加功能:支持设备编号、抓拍时间、监测点信息；</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抓拍次数:支持抓拍次数（1-10次）可设人脸曝光支持；</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智能补光:设备内置高效白光阵列灯，可定时开启；</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宽动态:超宽动态范围120dB；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 个RJ45 10M / 100M/1000M自适应以太网口；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防护等级:IP66；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室内半球摄像机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海康DS-2CD2345D-I</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400万1/3”CMOS ICR日夜型半球型网络摄像机；支持H.265及/H.264编码；最小照度：0.07Lux @(F1.2,AGC ON) ,0 Lux with IR；0.19 Lux @(F2.0,AGC ON), 0 Lux with IR；调整角度不小于水平:0°~360°;垂直:0°~ 75°;旋转:0°~360°；宽动态范围：120dB；帧率不小于50Hz: 25fps；工作温度和湿度-30℃~60℃,湿度小于95%(无凝结)；；红外照射距离不小于20米；防护等级不小于IP66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室内筒型摄像机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海康DS-2CD2T46DWDA1-I</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400万1/2.7”CMOS网络摄像机</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最小照度:0.005Lux @(F1.2,AGC ON) ,0 Lux with IR</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镜头:可选, 水平视场角82.5°</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宽动态范围:120dB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MJPEG</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最大图像尺寸:2688 x 1520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通讯接口:1个RJ45 10M / 100M 自适应以太网口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工作温度和湿度:-30℃~60℃,湿度小于95%(无凝结)</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电源供应:DC12V±25%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电源接口类型:Φ5.5mm圆头电源接口</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功耗DC12V: 8W Max</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红外照射距离:最远可达50米</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室外支架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车安DS-1269ZJ</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壁装支架/白/铝合金/尺寸不小于85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×295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室内支架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车安DS-1292ZJ</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壁装支架/白/铝合金/尺寸不小于70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×180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3.5米，含基础</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成品手孔井</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定制400mm×400mm×350mm</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400mm（</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rPr>
              <w:t xml:space="preserve">）×400mm（长）×350mm（</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60</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防雷器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合鑫雷安网络二合一</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网络二合一</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≥670mm（</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rPr>
              <w:t xml:space="preserve">）×400mm（长）×350mm（</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背板带宽：16Gbps</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包转发率：12Mpps</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可选端口描述:无</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MAC地址表:8K</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数字光端机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恒信和安MIB12G-1E-1GA/B-EN</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20KM单模单纤百兆网络光收发器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三星C32F391FWC</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 LED</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面板类型: VA</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 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 1920*1080（全高清）</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 16:9</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刷新率: 其他</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曲率: 1800R</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静态对比度: 3000:1</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动态对比度: 百万级动态对比度</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 HDMI D-SUB</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 可壁挂</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监视器支架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三星配套</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监视器配套支架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小区管理服务器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戴尔R730</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1、CPU:1颗英特尔至强 E5-2620 v4 2.1GHz,20M 缓存,8.0GT/s QPI,无Turbo,无 HT,6C/12T (85W) ；</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2、内存: 32GB内存，</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3、硬盘：1块512G SSD 2块600G,10K SAS；</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4、至少集成双口千兆以太网卡；</w:t>
            </w:r>
            <w:r>
              <w:rPr>
                <w:rFonts w:hint="eastAsia" w:ascii="宋体" w:hAnsi="宋体" w:eastAsia="宋体" w:cs="宋体"/>
                <w:color w:val="auto"/>
                <w:sz w:val="24"/>
                <w:szCs w:val="24"/>
                <w:lang w:eastAsia="zh-CN"/>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5、3年专业技术支持当日4小时(24*7)服务（人力+配件）</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53"/>
              <w:ind w:left="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戴尔OptiPlex7050</w:t>
            </w:r>
            <w:r>
              <w:rPr>
                <w:rFonts w:hint="eastAsia" w:ascii="宋体" w:hAnsi="宋体" w:eastAsia="宋体" w:cs="宋体"/>
                <w:color w:val="auto"/>
                <w:sz w:val="24"/>
                <w:szCs w:val="24"/>
              </w:rPr>
            </w:r>
            <w:r>
              <w:rPr>
                <w:color w:val="auto"/>
              </w:rPr>
            </w:r>
          </w:p>
          <w:p>
            <w:pPr>
              <w:pStyle w:val="853"/>
              <w:ind w:left="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英特尔Q270芯片组/i7-6700 处理器（四核, 8MB,  3.4GHz, 65W）/ 4GB内存/1T硬盘/宽屏显示器/2GB 独立显卡/集成10/100/1000/网卡/原厂USB光电鼠标、键盘/正版Windows7  简体中文/原厂3年整机第二工作日上门服务（配件+人力)/立式机箱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2.2019年投入使用</w:t>
      </w:r>
      <w:r>
        <w:rPr>
          <w:rFonts w:hint="eastAsia" w:ascii="宋体" w:hAnsi="宋体" w:eastAsia="宋体" w:cs="宋体"/>
          <w:b/>
          <w:bCs/>
          <w:color w:val="auto"/>
          <w:sz w:val="24"/>
          <w:szCs w:val="24"/>
        </w:rPr>
      </w:r>
      <w:r>
        <w:rPr>
          <w:color w:val="auto"/>
        </w:rPr>
      </w:r>
    </w:p>
    <w:tbl>
      <w:tblPr>
        <w:tblW w:w="1050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6"/>
        <w:gridCol w:w="2276"/>
        <w:gridCol w:w="6643"/>
        <w:gridCol w:w="400"/>
        <w:gridCol w:w="478"/>
      </w:tblGrid>
      <w:tr>
        <w:trPr>
          <w:tblHeade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一、后端设备</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智慧社区综合安防管控系统</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hikvision7700</w:t>
            </w:r>
            <w:r>
              <w:rPr>
                <w:rFonts w:hint="eastAsia" w:ascii="宋体" w:hAnsi="宋体" w:eastAsia="宋体" w:cs="宋体"/>
                <w:color w:val="auto"/>
                <w:sz w:val="24"/>
                <w:szCs w:val="24"/>
              </w:rPr>
            </w:r>
            <w:r>
              <w:rPr>
                <w:color w:val="auto"/>
              </w:rPr>
            </w:r>
          </w:p>
          <w:p>
            <w:pPr>
              <w:pStyle w:val="853"/>
              <w:ind w:left="0"/>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社区子系统</w:t>
            </w:r>
            <w:r>
              <w:rPr>
                <w:rFonts w:hint="eastAsia" w:ascii="宋体" w:hAnsi="宋体" w:eastAsia="宋体" w:cs="宋体"/>
                <w:color w:val="auto"/>
                <w:sz w:val="24"/>
                <w:szCs w:val="24"/>
              </w:rPr>
            </w:r>
            <w:r>
              <w:rPr>
                <w:color w:val="auto"/>
              </w:rPr>
            </w:r>
          </w:p>
          <w:p>
            <w:pPr>
              <w:pStyle w:val="853"/>
              <w:ind w:left="0"/>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社区子系统主要包含了人房管理、出入查询、日志查询、报表管理出入查询，该模块主要是为了让用户能快速的了解到当前的有权限的门禁点下的用户的出入情况以及抓图和录像的情况。可查看人员的详情以及最近的出入记录。</w:t>
            </w:r>
            <w:r>
              <w:rPr>
                <w:rFonts w:hint="eastAsia" w:ascii="宋体" w:hAnsi="宋体" w:eastAsia="宋体" w:cs="宋体"/>
                <w:color w:val="auto"/>
                <w:sz w:val="24"/>
                <w:szCs w:val="24"/>
              </w:rPr>
            </w:r>
            <w:r>
              <w:rPr>
                <w:color w:val="auto"/>
              </w:rPr>
            </w:r>
          </w:p>
          <w:p>
            <w:pPr>
              <w:pStyle w:val="853"/>
              <w:ind w:left="0"/>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人员管控模块</w:t>
            </w:r>
            <w:r>
              <w:rPr>
                <w:rFonts w:hint="eastAsia" w:ascii="宋体" w:hAnsi="宋体" w:eastAsia="宋体" w:cs="宋体"/>
                <w:color w:val="auto"/>
                <w:sz w:val="24"/>
                <w:szCs w:val="24"/>
              </w:rPr>
            </w:r>
            <w:r>
              <w:rPr>
                <w:color w:val="auto"/>
              </w:rPr>
            </w:r>
          </w:p>
          <w:p>
            <w:pPr>
              <w:pStyle w:val="853"/>
              <w:ind w:left="0"/>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社区居住人员录入（增删改查）为了能够快速的添加组织区域、单元楼、出租屋、社区等信息，在组织区域下可以添加人员信息，并可以快速的在添加完房屋后，不断添加租客信息，支持各品牌读卡器的读取身份证的功能，并能够通过系统达到发卡，并实时的下发权限，也支持人证合一设备进行人员身份信息读取，并进行人脸比对、人脸抓拍，同时支持指纹开卡的功能。另外，支持卡的增删改查、管理员的增删改查、组织区域的增删改查、房屋的增删改查，同时也支持人员的移动和组织区域、人员的导出Exce表格。</w:t>
            </w:r>
            <w:r>
              <w:rPr>
                <w:rFonts w:hint="eastAsia" w:ascii="宋体" w:hAnsi="宋体" w:eastAsia="宋体" w:cs="宋体"/>
                <w:color w:val="auto"/>
                <w:sz w:val="24"/>
                <w:szCs w:val="24"/>
              </w:rPr>
            </w:r>
            <w:r>
              <w:rPr>
                <w:color w:val="auto"/>
              </w:rPr>
            </w:r>
          </w:p>
          <w:p>
            <w:pPr>
              <w:pStyle w:val="853"/>
              <w:ind w:left="0"/>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人员档案管理</w:t>
            </w:r>
            <w:r>
              <w:rPr>
                <w:rFonts w:hint="eastAsia" w:ascii="宋体" w:hAnsi="宋体" w:eastAsia="宋体" w:cs="宋体"/>
                <w:color w:val="auto"/>
                <w:sz w:val="24"/>
                <w:szCs w:val="24"/>
              </w:rPr>
            </w:r>
            <w:r>
              <w:rPr>
                <w:color w:val="auto"/>
              </w:rPr>
            </w:r>
          </w:p>
          <w:p>
            <w:pPr>
              <w:pStyle w:val="853"/>
              <w:ind w:left="0"/>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协管员、物管部门的人员信息采集，对辖区内所有人员信息进行汇总，形成人员信息库，人员档案管理支持对人员的基本信息、所拥有的车辆信息、人员门禁出入记录、车辆出入记录、过车记录、人员居住信息等大集成，集中展示。支持按姓名、身份证号码、境内外人员、性别、民族、手机号码等条件进行查询。</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应用程序服务器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戴尔PowerEdgeR730服务器</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1、CPU:2颗英特尔至强 E5-2620 v4 2.1GHz,20M 缓存,8.0GT/s QPI,无Turbo,无 HT,6C/12T (85W)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2、内存: 32GB内存，</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3、硬盘：1块512G SSD  2块600G,10K SAS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4、至少集成双口千兆以太网卡；</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5、3年专业技术支持当日4小时(24*7)服务（人力+配件）</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6、Windows Server 正版云操作系统数据中心版（2016版本，含25个客户端访问许可）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人脸分析服务器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海康威视iDS-96008NX-I2</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支持≥8路人脸名单库比对报警</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支持人脸1v1比对</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支持以图搜图</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硬件规格：</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标准机架式安装、</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≥2个存储盘位</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1个或以上千兆网口</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2个或以上USB3.0接口</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传输性能：</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输入带宽≥200M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≥8路H.265、支持16×1080P解码</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支持H.265、H.264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二、小区</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（一）出入口管理系统前端设备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人脸识别摄像机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海康威视DS-2CD762CJ-AJN</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最低照度：彩色:≤0.02 Lux @ (F1.2, AGC ON)黑白: ≤0.01 Lux @ (F1.2, AGC ON)，0Lux with IR镜头：变焦@F1.4</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 MJPEG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最大图像尺寸：≥1920×1080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存储功能：支持Micro SD/SDHC /SDXC卡(128G)断网本地存储及断网续传,NAS(NFS,SMB/CIFS均支持)</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 100M/1000M自适应以太网口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国产670mm（</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rPr>
              <w:t xml:space="preserve">）×400mm（长）×350mm（</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权智12V10A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排插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公牛4排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（二）视频监控系统前端设备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星光级网络摄像机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海康威视DS-2CD7T4GLB-NT</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 星光级1/1.8" CMOS网络摄像机</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 MJPEG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最大图像尺寸：≥2560×1440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存储功能：支持断网本地存储及断网续传</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宽动态：超宽动态范围≥120dB，适合逆光环境下监控</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通讯接口：100M自适应以太网口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立杆基础</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挑臂</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定制0.5米</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47</w:t>
            </w:r>
            <w:r>
              <w:rPr>
                <w:rFonts w:hint="eastAsia" w:ascii="宋体" w:hAnsi="宋体" w:eastAsia="宋体" w:cs="宋体"/>
                <w:color w:val="auto"/>
                <w:sz w:val="24"/>
                <w:szCs w:val="24"/>
              </w:rPr>
            </w:r>
            <w:r>
              <w:rPr>
                <w:color w:val="auto"/>
              </w:rPr>
            </w:r>
          </w:p>
        </w:tc>
      </w:tr>
      <w:tr>
        <w:trPr>
          <w:trHeight w:val="24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预制成品穿线井</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定制400mm(高)*400mm（长）*350mm(宽)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rHeight w:val="27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插座</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百兆数字光端机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恒信和安MIB1G-1E-1GA/B-EN</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20KM单模单纤百兆网络光收发器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千兆数字光端机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恒信和安MIB12G-1E-1GA/B-EN</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20KM单模单纤千兆网络光收发器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权智12V2A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（三）中控设备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三星C32F391FWC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 LED</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 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 1920*1080（全高清）</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 16:9</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 HDMI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 可壁挂</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图腾G26042</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PDU</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rHeight w:val="519"/>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硬盘录像机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海康威视DS-9632N-I16</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工作站电脑</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戴尔OptiPlex7050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高于或等于I5/4G/500G/集显/19</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希捷ST4000VX000-520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4TB   监控专用硬盘</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（一）出入口管理系统前端设备</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人脸识别摄像机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海康威视DS-2CD762CJ-AJN</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最低照度：彩色:≤0.02 Lux @ (F1.2, AGC ON)    黑白: ≤0.01 Lux @ (F1.2, AGC ON)，0Lux with IR</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镜头：变焦@F1.4</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 MJPEG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最大图像尺寸：≥1920×1080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存储功能：支持Micro SD/SDHC /SDXC卡(128G)断网本地存储及断网续传,NAS(NFS,SMB/CIFS均支持)</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 100M/1000M自适应以太网口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国产670mm×400mm×350mm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不锈钢材质670mm(高)×400mm（长）×350mm(宽)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权智12V10A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排插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公牛4排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访客登记终端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研腾YT-FK200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桌面台式访客登记终端</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显示屏：≥10</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寸全彩显示器</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支持身份证刷卡、证件扫描、访客单打印、带高清摄像头支持拍照功能、数据支持联网导出至系统</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（二）视频监控系统前段设备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星光级网络摄像机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海康威视DS-2CD7T4GLB-NT</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 星光级1/1.8" CMOS网络摄像机</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 MJPEG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最大图像尺寸：≥2560×1440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存储功能：支持断网本地存储及断网续传</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宽动态：超宽动态范围≥120dB，适合逆光环境下监控</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通讯接口：100M自适应以太网口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立杆基础</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挑臂</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定制0.5米</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监控井</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定制400mm(高)*400mm（长）*350mm(宽)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插座</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百兆数字光端机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恒信和安MIB1G-1E-1GA/B-EN</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20KM单模单纤百兆网络光收发器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权智12V2A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千兆8口交换机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（三）中控设备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三星C32F391FWC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屏幕类型:LED</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英寸分辨率:1920*1080（全高清）</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屏幕比例:16:9</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接口类型:HDMI</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附加功能:可壁挂</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图腾G26042</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PDU</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硬盘录像机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海康威视DS-9632N-I16</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工作站电脑</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戴尔OptiPlex7050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高于或等于I5/4G/500G/集显/19</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希捷ST4000VX000-520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4TB   监控专用硬盘</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（一）出入口管理系统前端设备</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人脸识别摄像机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海康威视DS-2CD762CJ-AJN</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最低照度：彩色:≤0.02 Lux @ (F1.2, AGC ON)    黑白: ≤0.01 Lux @ (F1.2, AGC ON)，0Lux with IR</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镜头：变焦@F1.4</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 MJPEG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最大图像尺寸：≥1920×1080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存储功能：支持Micro SD/SDHC /SDXC卡(128G)断网本地存储及断网续传,NAS(NFS,SMB/CIFS均支持)</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 100M/1000M自适应以太网口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国产670mm×400mm×350mm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不锈钢材质670mm(高)×400mm（长）×350mm(宽)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权智12V10A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排插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公牛4排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（二）视频监控系统前端设备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星光级网络摄像机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海康威视DS-2CD7T4GLB-NT</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 星光级1/1.8" CMOS网络摄像机</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 / MJPEG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最大图像尺寸：≥2560×1440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存储功能：支持断网本地存储及断网续传</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宽动态：超宽动态范围≥120dB，适合逆光环境下监控</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通讯接口：100M自适应以太网口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立杆基础</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挑臂</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定制0.5米</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预制成品穿线井</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定制400mm(高)*400mm（长）*350mm(宽)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插座</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数字光端机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恒信和安MIB1G-1E-1GA/B-EN</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20KM单模单纤百兆网络光收发器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权智12V2A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（三）中控设备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三星C32F391FWC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屏幕类型:LED</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英寸分辨率:1920*1080（全高清）</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屏幕比例:16:9</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接口类型:HDMI</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附加功能:可壁挂</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三星配套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图腾G26042</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PDU</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机柜标准配套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8口千兆交换机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华为S1700-8G-AC</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传输速率：10/100/1000Mbps</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标配固定端口参数：8个10/100/1000Base-T以太网端口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硬盘录像机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海康威视DS-9632N-I16</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3U标准机架式IP存储，DSP+ARM架构，嵌入式软硬件设计；支持32路高清，320M带宽网络视频接入；支持16个SATA盘位；支持RAID 0、1、5、6、10多种RAID模式及全局热备，多重保护数据安全；支持4K分辨率接入和解码输出；支持H.265、H.264编码前端自适应接入；支持关键视频添加标签和加锁保护、整机热备、断网续传、SMART 2.0等功能；2个千兆以太网口，充分满足网络预览、回放以及备份应用。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工作站电脑</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戴尔OptiPlex7050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高于或等于I5/4G/500G/集显/19</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lang w:eastAsia="zh-CN"/>
              </w:rPr>
              <w:t xml:space="preserve">寸/</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希捷ST4000VX000-520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4TB  监控专用硬盘</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56</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3.2020年投入使用</w:t>
      </w:r>
      <w:r>
        <w:rPr>
          <w:rFonts w:hint="eastAsia" w:ascii="宋体" w:hAnsi="宋体" w:eastAsia="宋体" w:cs="宋体"/>
          <w:b/>
          <w:bCs/>
          <w:color w:val="auto"/>
          <w:sz w:val="24"/>
          <w:szCs w:val="24"/>
        </w:rPr>
      </w:r>
      <w:r>
        <w:rPr>
          <w:color w:val="auto"/>
        </w:rPr>
      </w:r>
    </w:p>
    <w:tbl>
      <w:tblPr>
        <w:tblW w:w="1051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2178"/>
        <w:gridCol w:w="6756"/>
        <w:gridCol w:w="400"/>
        <w:gridCol w:w="467"/>
      </w:tblGrid>
      <w:tr>
        <w:trPr>
          <w:tblHeade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一、后台设备</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全千兆智能三层交换机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华为S5700-28TP-LI</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24口10/100/1000M自适应电口交换机，4个千兆SFP</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综合安防管控系统</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系统平台必须使用Linux操作系统，支持7×24小时稳定运行，</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设备支持人脸白名单库的同步，同步时间不高于2s；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1、平台可统计小区不少于实有房屋、实有人口、实有单位、实有车辆、实有感知告警、实有安防力量、实有安防设备、实有事件</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实有信息主要通过现场采集方式进行信息采集，包括并不少于人员、车辆、房屋、设备、消防数据方面的信息采集；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2、人员信息采集：支持包括并不少于姓名、身份证、近照清晰图、房间信息、人员类型、户籍类型、房间号、是否租客等字段；</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3、车辆信息采集：支持包括并不少于车牌号、车辆颜色、车辆类型、车主姓名、身份证号、联系方式、常用住址、起始/结束时间</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（一）设备部分</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宇视IPC-B612-IR</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内置≥22倍光学变倍电动变焦镜头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分辨力≥1100线</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信噪比56.6dB，最大亮度鉴别等级11级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最低照度：优于或满足彩色0.001lx，黑白0.001lx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具有低拖影曝光模式，可实现低照环境下，画面清晰低拖影</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具有宽动态自由切换功能，当环境亮度变化时，可自动开启/关闭宽动态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红外作用距离≥500米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在同一个客户端上，可最多同时开启30个视频窗口进行画面浏览</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具有滚动OSD功能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宇视HIC6642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全结构化智能球形摄像机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内置GPU芯片，内置8GB eMMC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灰度等级13级，宽动态120dB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最低照度：优于或等于彩色≤0.0001lx，黑白≤0.00005lx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通过红外补光，可识别距摄像机150m处的目标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支持机动车、非机动车和行人分类和抓拍，分类准确率和抓拍率≥98%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可识别车身颜色、车款、车型，准确率≥98%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可抓拍车牌并识别车牌号码，准确率≥98%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可抓拍非机动车并提取结构化信息，准确率≥98%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可抓拍行人并提取结构化信息，准确率≥98%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具有目标跟踪功能，可对设定区域的运动目标进行跟踪，可设定持续跟踪时间，可自动变倍</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宇视IPC-S214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400万像素筒形摄像机，最大分辨率不小于2592X1520；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最低照度彩色不高于0.003 lx，黑白不高于0.0003lx；亮度等级不小于11级，水平分辨力≥1500TVL；</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照度适应范围不低于135dB，宽动态能力检验不低于136，宽动态具有自动切换功能，满足高反差场景监控需求；</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具有不低于120dB宽动态功能</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支持智能红外，红外补光距离不小于100米，可以分清被摄物体轮廓；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宇视TR-WM06-C-IN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数字光端机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精连JL-1000AB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20KM单模单纤千兆网络光收发器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宇视MW3232-U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 LED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 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 1920*1080（全高清）</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 16:9</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 HDMI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 可壁挂</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24口汇聚交换机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宇视VMS-B230-A24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综合监控一体化平台，可接入管理1000台设备，2000路视频通道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支持最大14TB SATA接入</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可通过Mini SAS HD ( SAS3.0）接口连接扩展柜进行存储扩展，支持在线扩容</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具有电源、风扇电池、接口卡模块，支持磁盘、电源、风扇、电池热插拔，本次要求配置双电源热备</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宇视NI-BCBB-NB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宇视PWR-650A-NB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希捷ST6000VX0003</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6T硬盘，监控级，监控专用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台式人证登记终端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宇视EG131D-HF-D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人证比对录入终端，自带补光设备，屏幕不小于7英寸</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工业级设计，稳定性高，外形高端大方，表面拉丝造型,正面防水，适用于室内和半室外场景；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联想     启天M620-D272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CPU型号：i5-8500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主板芯片组类型：Q370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内存选择：4GB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硬盘选择：1TB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内置光驱：8倍DVD±RW</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显卡芯片描述：2GB独立显卡</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键盘、鼠标:原厂USB光电鼠标、键盘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显示器屏幕尺寸:21.5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寸液晶</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操作系统:正版Windows 操作系统</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（一）设备部分</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宇视IPC-B612-IR</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内置≥22倍光学变倍电动变焦镜头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分辨力≥1100线</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信噪比56.6dB，最大亮度鉴别等级11级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最低照度：优于或满足彩色0.001lx，黑白0.001lx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具有低拖影曝光模式，可实现低照环境下，画面清晰低拖影</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具有宽动态自由切换功能，当环境亮度变化时，可自动开启/关闭宽动态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红外作用距离≥500米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在同一个客户端上，可最多同时开启30个视频窗口进行画面浏览</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具有滚动OSD功能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宇视IPC-S214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400万像素筒形摄像机，最大分辨率不小于2592X1520；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最低照度彩色不高于0.003 lx，黑白不高于0.0003lx；亮度等级不小于11级，水平分辨力≥1500TVL；</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照度适应范围不低于135dB，宽动态能力检验不低于136，宽动态具有自动切换功能，满足高反差场景监控需求；</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具有不低于120dB宽动态功能</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支持智能红外，红外补光距离不小于100米，可以分清被摄物体轮廓；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宇视TR-WM06-C-IN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宇视HIC6642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全结构化智能球形摄像机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内置GPU芯片，内置8GB eMMC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灰度等级13级，宽动态120dB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最低照度：优于或等于彩色≤0.0001lx，黑白≤0.00005lx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通过红外补光，可识别距摄像机150m处的目标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支持机动车、非机动车和行人分类和抓拍，分类准确率和抓拍率≥98%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可识别车身颜色、车款、车型，准确率≥98%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可抓拍车牌并识别车牌号码，准确率≥98%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可抓拍非机动车并提取结构化信息，准确率≥98%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可抓拍行人并提取结构化信息，准确率≥98%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具有目标跟踪功能，可对设定区域的运动目标进行跟踪，可设定持续跟踪时间，可自动变倍</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36</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数字光端机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精连JL-1000AB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20KM单模单纤千兆网络光收发器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宇视MW3232-U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屏幕类型:LED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英寸分辨率:1920*1080（全高清）</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屏幕比例:16:9</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接口类型:HDMI</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附加功能:可壁挂</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24口汇聚交换机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 VMS-B230-A24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综合监控一体化平台，可接入管理1000台设备，2000路视频通道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支持最大14TB SATA接入</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可通过Mini SAS HD ( SAS3.0）接口连接扩展柜进行存储扩展，支持在线扩容</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具有电源、风扇电池、接口卡模块，支持磁盘、电源、风扇、电池热插拔，本次要求配置双电源热备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提供缓存保护功能，本次要求配置保护电池模块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宇视NI-BCBB-NB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宇视PWR-650A-NB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希捷ST6000VX0003</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6T硬盘，监控级，监控专用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台式人证登记终端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宇视EG131D-HF-D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人证比对录入终端，自带补光设备，屏幕不小于7英寸</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工业级设计，稳定性高，外形高端大方，表面拉丝造型,正面防水，适用于室内和半室外场景；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联想     启天M620-D272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CPU型号：i5-8500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主板芯片组类型：Q370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内存选择：≥4GB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硬盘选择：≥1TB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内置光驱：8倍DVD±RW</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显卡芯片描述：≥2GB独立显卡</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键盘、鼠标:原厂USB光电鼠标、键盘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显示器屏幕尺寸:≥21.5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寸液晶</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操作系统:正版Windows 操作系统</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（一）设备部分</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宇视IPC-B612-IR</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内置≥22倍光学变倍电动变焦镜头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分辨力≥1100线</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信噪比56.6dB，最大亮度鉴别等级11级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最低照度：优于或满足彩色0.001lx，黑白0.001lx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具有低拖影曝光模式，可实现低照环境下，画面清晰低拖影</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具有宽动态自由切换功能，当环境亮度变化时，可自动开启/关闭宽动态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红外作用距离≥500米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在同一个客户端上，可最多同时开启30个视频窗口进行画面浏览</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具有滚动OSD功能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宇视IPC-S214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400万像素筒形摄像机，最大分辨率不小于2592X1520；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最低照度彩色不高于0.003 lx，黑白不高于0.0003lx；亮度等级不小于11级，水平分辨力≥1500TVL；</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照度适应范围不低于135dB，宽动态能力检验不低于136，宽动态具有自动切换功能，满足高反差场景监控需求；</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具有不低于120dB宽动态功能</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支持智能红外，红外补光距离不小于100米，可以分清被摄物体轮廓；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宇视TR-WM06-C-IN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宇视HIC6642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全结构化智能球形摄像机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内置GPU芯片，内置8GB eMMC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灰度等级13级，宽动态120dB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最低照度：优于或等于彩色≤0.0001lx，黑白≤0.00005lx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通过红外补光，可识别距摄像机150m处的目标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支持机动车、非机动车和行人分类和抓拍，分类准确率和抓拍率≥98%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可识别车身颜色、车款、车型，准确率≥98%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可抓拍车牌并识别车牌号码，准确率≥98%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可抓拍非机动车并提取结构化信息，准确率≥98%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可抓拍行人并提取结构化信息，准确率≥98%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具有目标跟踪功能，可对设定区域的运动目标进行跟踪，可设定持续跟踪时间，可自动变倍</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数字光端机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精连JL-1000AB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20KM单模单纤千兆网络光收发器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宇视MW3232-U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 LED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 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 1920*1080（全高清）</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 16:9</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 HDMI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 可壁挂</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24口汇聚交换机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宇视VMS-B230-A24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综合监控一体化平台，可接入管理1000台设备，2000路视频通道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支持最大14TB SATA接入</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可通过Mini SAS HD ( SAS3.0）接口连接扩展柜进行存储扩展，支持在线扩容</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具有电源、风扇电池、接口卡模块，支持磁盘、电源、风扇、电池热插拔，本次要求配置双电源热备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提供缓存保护功能，本次要求配置保护电池模块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宇视NI-BCBB-NB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宇视PWR-650A-NB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希捷ST6000VX0003</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≥6T硬盘，监控级，监控专用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台式人证登记终端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宇视EG131D-HF-D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人证比对录入终端，自带补光设备，屏幕不小于7英寸</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工业级设计，稳定性高，外形高端大方，表面拉丝造型,正面防水，适用于室内和半室外场景；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联想     启天M620-D272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CPU型号：i5-8500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主板芯片组类型：Q370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内存选择：≥4GB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硬盘选择：≥1TB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内置光驱：8倍DVD±RW</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显卡芯片描述：≥2GB独立显卡</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键盘、鼠标:原厂USB光电鼠标、键盘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显示器屏幕尺寸:≥21.5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寸液晶</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操作系统:正版Windows 操作系统</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（一）设备部分</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宇视IPC-B612-IR</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内置≥22倍光学变倍电动变焦镜头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分辨力≥1100线</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信噪比56.6dB，最大亮度鉴别等级11级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最低照度：优于或满足彩色0.001lx，黑白0.001lx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具有低拖影曝光模式，可实现低照环境下，画面清晰低拖影</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具有宽动态自由切换功能，当环境亮度变化时，可自动开启/关闭宽动态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红外作用距离≥500米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在同一个客户端上，可最多同时开启30个视频窗口进行画面浏览</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具有滚动OSD功能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宇视IPC-S214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400万像素筒形摄像机，最大分辨率不小于2592X1520；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最低照度彩色不高于0.003 lx，黑白不高于0.0003lx；亮度等级不小于11级，水平分辨力≥1500TVL；</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照度适应范围不低于135dB，宽动态能力检验不低于136，宽动态具有自动切换功能，满足高反差场景监控需求；</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具有不低于120dB宽动态功能</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支持智能红外，红外补光距离不小于100米，可以分清被摄物体轮廓；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枪机壁装支架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宇视TR-WM06-C-IN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智能球型网络摄像机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宇视HIC6642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全结构化智能球形摄像机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内置GPU芯片，内置8GB eMMC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灰度等级13级，宽动态120dB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最低照度：优于或等于彩色≤0.0001lx，黑白≤0.00005lx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通过红外补光，可识别距摄像机150m处的目标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支持机动车、非机动车和行人分类和抓拍，分类准确率和抓拍率≥98%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可识别车身颜色、车款、车型，准确率≥98%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可抓拍车牌并识别车牌号码，准确率≥98%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可抓拍非机动车并提取结构化信息，准确率≥98%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可抓拍行人并提取结构化信息，准确率≥98%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具有目标跟踪功能，可对设定区域的运动目标进行跟踪，可设定持续跟踪时间，可自动变倍</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球机壁装支架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宇视TR-WE45-IN</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数字光端机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精连JL-1000AB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20KM单模单纤千兆网络光收发器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监视器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宇视MW3232-U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屏幕类型: LED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 32</w:t>
            </w:r>
            <w:r>
              <w:rPr>
                <w:rFonts w:hint="eastAsia" w:ascii="宋体" w:hAnsi="宋体" w:eastAsia="宋体" w:cs="宋体"/>
                <w:color w:val="auto"/>
                <w:sz w:val="24"/>
                <w:szCs w:val="24"/>
                <w:lang w:val="en-US" w:eastAsia="zh-CN"/>
              </w:rPr>
              <w:t xml:space="preserve">英寸</w:t>
            </w:r>
            <w:r>
              <w:rPr>
                <w:rFonts w:hint="eastAsia" w:ascii="宋体" w:hAnsi="宋体" w:eastAsia="宋体" w:cs="宋体"/>
                <w:color w:val="auto"/>
                <w:sz w:val="24"/>
                <w:szCs w:val="24"/>
                <w:lang w:val="en-US" w:eastAsia="zh-CN"/>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英寸分辨率: 1920*1080（全高清）</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屏幕比例: 16:9</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 HDMI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附加功能: 可壁挂</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安装支架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图腾600*1000*2000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理线架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图腾配套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24口汇聚交换机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华为S1724G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24口10/100/1000M自适应电口交换机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 VMS-B230-A24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综合监控一体化平台，可接入管理1000台设备，2000路视频通道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支持最大14TB SATA接入</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可通过Mini SAS HD ( SAS3.0）接口连接扩展柜进行存储扩展，支持在线扩容</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具有电源、风扇电池、接口卡模块，支持磁盘、电源、风扇、电池热插拔，本次要求配置双电源热备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提供缓存保护功能，本次要求配置保护电池模块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宇视NI-BCBB-NB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配套电池模块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宇视PWR-650A-NB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配套电源模块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宇视ST6000VX0003</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6T硬盘，监控级，监控专用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台式人证登记终端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宇视EG131D-HF-D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人证比对录入终端，自带补光设备，屏幕不小于7英寸</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工业级设计，稳定性高，外形高端大方，表面拉丝造型,正面防水，适用于室内和半室外场景；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联想     启天M620-D272</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CPU型号：i5-8500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主板芯片组类型：Q370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内存选择：4GB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硬盘选择：1TB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内置光驱：8倍DVD±RW</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显卡芯片描述：2GB独立显卡</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键盘、鼠标:原厂USB光电鼠标、键盘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显示器屏幕尺寸:21.5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寸液晶</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操作系统:正版Windows 操作系统</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4.2021年投入使用</w:t>
      </w:r>
      <w:r>
        <w:rPr>
          <w:rFonts w:hint="eastAsia" w:ascii="宋体" w:hAnsi="宋体" w:eastAsia="宋体" w:cs="宋体"/>
          <w:b/>
          <w:bCs/>
          <w:color w:val="auto"/>
          <w:sz w:val="24"/>
          <w:szCs w:val="24"/>
        </w:rPr>
      </w:r>
      <w:r>
        <w:rPr>
          <w:color w:val="auto"/>
        </w:rPr>
      </w:r>
    </w:p>
    <w:tbl>
      <w:tblPr>
        <w:tblW w:w="105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1967"/>
        <w:gridCol w:w="6766"/>
        <w:gridCol w:w="539"/>
        <w:gridCol w:w="574"/>
      </w:tblGrid>
      <w:tr>
        <w:trPr>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公安高清卡口</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海康威视VCU-B023-W4K</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1/1.8英寸</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图像分辨率最大支持2064x2184。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当视频监控区域内有无号牌车辆进入时，可对该车辆进行抓拍；</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支持车窗人脸检测功能，支持主、副驾驶的人脸扣取和图片抓拍并上传；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支持人脸瞳距20~40像素人脸的识别和扣取，扣取的人脸小图叠加在场景大图上；</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气体爆闪灯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覆盖范围:3m～4m@10m处。</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有效补光距离:10m～16m。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防护等级:IP65。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功能特性：白光闪光灯,覆盖1车道,220VAC,3m～4m@10m处,同时支持电平量或开关量触发</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固定杆</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海康威视L1600-R117</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立杆高度：1.6米</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云存储设备</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海康威视DS-A72024RH-ICVS/QT(24×6T)+IVMS-5120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处理器：≥双六核处理器；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高速缓存：≥32GB；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SSD：SSD系统盘，并内置加速缓存；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磁盘数量：≥24盘位；</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磁盘接口：支持SATA/SAS；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磁盘容量：支持1T/2T/3T/4T/6T/8T；</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RAID级别：IRAID：N+M:K，N+M≤16，M≥K；</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网络协议：GB、RTSP，ONVIF、PSIA 等；</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数据接口：≥6个千兆以太网口；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管理接口：≥1个千兆管理口；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USB 接口：≥4个（≥2 个USB3.0，≥2个USB2.0）；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能够直接接入支持GB/T28181-2016、ONVIF、RTSP、PSIA 标准的前端设备。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 《公安视频图像信息应用系统》中的GA/T1400协议；</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高清半球形网络摄像机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海康威视DS-2CD2325-I</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200万 1/2.7" CMOS ICR日夜型半球型网络摄像机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 120 dB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调节角度: 水平：0°~360°，垂直：0°~ 75°，旋转：0°~360°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视场角: 2.8 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红外距离: 最远可达30 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波长范围: 850 nm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防补光过曝: 支持</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 1920 × 1080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 主码流：H.265/H.264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网络存储: NAS（NFS，SMB/CIFS均支持）</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 1个RJ45 10 M/100 M自适应以太网口</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硬盘录像机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海康威视DS-9664-I8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2U标准机架式</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输入/输出带宽：400/256Mbps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2个HDMI，2个VGA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8盘位，支持硬盘热插拔</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2个千兆网口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支持1、2、4、8、16、32等倍速回放录像，支持录像回放的剪辑和回放截图功能</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存储硬盘</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海康威视ST4000V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4TB/64MB(3Gb/秒 NCQ）/5900RPM/SATA3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海康威视DS-VE22S-B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2U双路标准机架式服务器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CPU：2颗Xeon 4210（10核，2.2GHz）</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内存：16G*4 DDR4，16根内存插槽，最大支持扩展至2TB内存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硬盘：4块600G 10K 2.5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 SAS硬盘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阵列卡：SAS_HBA卡, 支持RAID 0/1/10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PCIE扩展：最大可支持6个PCIE扩展插槽</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网口：2个千兆电口，2个万兆光口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其他接口：1个RJ45管理接口，4个USB 3.0接口，1个VGA接口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电源：标配550W</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管理软件平台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海康8200定制</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一、车辆管理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1.要求支持车辆群组管理，车辆群组收费规则和放行规则配置</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2.要求支持车辆进出可通过LED屏和语音播报两种方式来展示车辆信息，收费信息，停车时间等内容并且内容都可以自定义</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人员管理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1.要求支持管理业主、租户、家属等不同身份类型人员姓名、性别、年龄、证件类型、证件号码、联系方式、卡号等信息；要求支持单个住户添加最多10套户室；</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2.要求支持按住户绑定的房屋进行权限下发，租户权限根据租期自动下发和清除；</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联想启天M435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商用办公台式电脑整机(i3-10100 8G 256GSSD 键鼠 3年上门、23英寸</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防雷型千兆POE工业交换机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64</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光纤模块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neutral单模</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千兆光模块SFP光模块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128</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5.2021年12月投入使用</w:t>
      </w:r>
      <w:r>
        <w:rPr>
          <w:rFonts w:hint="eastAsia" w:ascii="宋体" w:hAnsi="宋体" w:eastAsia="宋体" w:cs="宋体"/>
          <w:b/>
          <w:bCs/>
          <w:color w:val="auto"/>
          <w:sz w:val="24"/>
          <w:szCs w:val="24"/>
        </w:rPr>
      </w:r>
      <w:r>
        <w:rPr>
          <w:color w:val="auto"/>
        </w:rPr>
      </w:r>
    </w:p>
    <w:tbl>
      <w:tblPr>
        <w:tblW w:w="1046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1"/>
        <w:gridCol w:w="1881"/>
        <w:gridCol w:w="6733"/>
        <w:gridCol w:w="550"/>
        <w:gridCol w:w="547"/>
      </w:tblGrid>
      <w:tr>
        <w:trPr>
          <w:tblHeade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一、机房中心设备</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大容量云存储节点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海康威视DS-A72048RH-ICVS/QT + 云存储软件 IVMS-5120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处理器：≥双六核处理器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高速缓存：≥32GB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SSD：SSD系统盘，并内置加速缓存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磁盘数量：≥48盘位</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磁盘接口：支持SATA或SAS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磁盘容量：支持1T/2T/3T/4T/6T/8T；</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网络协议：GB、RTSP，ONVIF、PSIA 等；</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数据接口：≥4个千兆以太网口；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管理接口：≥1个千兆管理口；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USB 接口：≥4个（≥2 个USB3.0，≥2个USB2.0）；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支持视频直存技术，能够直接接入支持GB/T28181-2016、ONVIF标准的前端设备。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 《公安视频图像信息应用系统》中的GA/T1400协议</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核心交换机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锐捷RG-S6120-48XS8CQ+RG-PA550I II-F</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交换容量（Gpbs）：≥2.56T/23.04T；堆叠支持：可堆叠；包转发率：1920Mpps；48个10G SFP+光口，8个100G/40G QSFP28光口，具备2个模块化电源，4个模块化风扇</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区域级视频云智能分析服务器（GPU服务器）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海康威视DS-ID2002-AUX/IOT(GA)/+智能分析软件 DS-IF0100-AI</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一、硬件规格：</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CPU：≥2个物理CPU（逻辑核心≥32核，主频≥2.0GHz）；</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GPU：性能≥NVIDIA TESLA T4卡*2；专业图形卡</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内存：≥544GB DDR4；</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硬盘：≥3.8T SSD，≥8T SATA；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网卡：≥2个千兆以太网口；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电源及外设：配置≥1200W 1+1冗余电源；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二、大数据能力：</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设备每日可接入数据量≥300w/天；</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设备可存储数据总容量≥15亿；</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设备应具备数据高速存取空间，高速存取空间内可存储数据量≥3000万；</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设备接入服务器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海康威视DS-VE22S-B(W-XBD)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2U双路标准机架式服务器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CPU：2颗intel至强系列处理器，核数≥10核，主频≥2.2GHz</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内存：16G*4 DDR4，16根内存插槽，最大支持扩展至2TB内存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硬盘：4块600G 10K 2.5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 SAS硬盘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阵列卡：SAS_HBA卡, 支持RAID 0/1/10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PCIE扩展：最大可支持6个PCIE扩展插槽</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网口：2个千兆电口，2个万兆光口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其他接口：1个RJ45管理接口，后置2个USB 3.0接口，前置2个USB2.0接口，1个VGA接口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电源：标配550W（1+1）冗余电源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图片缓存接入服务器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海康威视DS-VE22S-B(W-XBD)</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4210×2/64G DDR4/600G 10K  SAS×4(RAID_1)/SAS_HBA/1GbE×2+10GbE×2/550W(1+1)/2U/16DIMM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2U双路标准机架式服务器</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CPU：2颗intel至强系列处理器，核数≥10核，主频≥2.2GHz</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内存：16G*4 DDR4，16根内存插槽，最大支持扩展至2TB内存</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硬盘：4块600G 10K 2.5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 SAS硬盘</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阵列卡：SAS_HBA卡, 支持RAID 0/1/10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PCIE扩展：最大可支持6个PCIE扩展插槽</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网口：2个千兆电口，2个万兆光口</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其他接口：1个RJ45管理接口，后置2个USB 3.0接口，前置2个USB2.0接口，1个VGA接口</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电源：标配550W（1+1）冗余电源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流媒体缓存服务器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海康威视DS-VE22S-B(W-RBD)</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4210×2/32G DDR4/600G 10K SAS×4(RAID_10)/SAS_HBA/1GbE×2/550W(1+1)/2U/16DIMM</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2U双路标准机架式服务器</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CPU：2颗intel至强系列处理器，核数≥10核，主频≥2.2GHz</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内存：16G*2 DDR4，16根内存插槽，最大支持扩展至2TB内存</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硬盘：4块600G 10K 2.5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 SAS硬盘</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阵列卡：SAS_HBA卡, 支持RAID 0/1/10</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PCIE扩展：最大可支持6个PCIE扩展插槽</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网口：2个千兆电口</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其他接口：1个RJ45管理接口，后置2个USB 3.0接口，前置2个USB2.0接口，1个VGA接口</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电源：标配550W（1+1）冗余电源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gridSpan w:val="5"/>
            <w:shd w:val="clear" w:color="000000" w:fill="ffffff"/>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二、住宅小区安防端</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中控部分</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（八）小区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2"/>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（九）小区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（十一）小区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（十二）小区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（十三）小区</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（十四）小区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（十五）小区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（十六）小区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（十七）小区</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（十八）小区</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（十九）小区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（二十一）小区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（二十二）小区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（二十三）小区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400万电梯电瓶车检测专用摄像机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海康威视DS-2CD2345FMKH3-N2X/DT</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智能侦测:采用深度学习硬件及算法，提供精准的电瓶车侦测</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支持联动白光报警，支持联动声音报警</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传感器类型:1/2.7"ProgressiveScanCMOS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调节角度:水平：0°~360°，垂直：0°~75°，旋转：0°~360°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最低照度:0.005Lux@（F1.2，AGCON），0LuxwithIR</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焦距&amp;视场角:2.8mm，水平视场角：102.7°</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红外距离:最远可达30m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最大图像尺寸:2560×1440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视频压缩标准:H.265/H.264/MJPEG</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室内壁挂机柜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定制600mm*440mm*635mm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≥600(高)*440（长）*635(宽)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rHeight w:val="279"/>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（二十四）小区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（二十五）小区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（二十六）小区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（二十七）小区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（二十八）小区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（二十九）小区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400万热成像声光报警摄像机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海康威视DS-2TD26A5-N2X/CD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最低可用照度，0.01lx（彩色）；0.001lx（黑白）</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热成像图像尺寸（1920×1080、1280*720、704*576、640*512、384*288、352*288、320*240）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能进行黑白名单设置控制访问的IP地址和MAC地址</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具有支持图像细节增强功能、强光抑制</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热成像视频图像支持多种展示方式</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室外摄像机支架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 DS-1293ZJ</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88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×115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（三十一）小区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（三十二）小区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定制2.5M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图腾 G26642</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机柜标准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19英寸标准</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材料及工艺 </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前门玻璃,后门钣金,材料采用SPCC优质冷轧钢</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规格不小于600（宽）×1000（深）×2000（高）mm </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（三十三）小区</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出入口超级卡口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海康威视iDS-TCV900-M4K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 1/2.7英寸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分辨力≥1500TVL(2064x1544，25fps,4Mbps)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图像分辨率最大支持4096x2800。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宽动态范围≥100dB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可识别倾斜角度0º~45º的车牌；</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支持新能源车牌识别；</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支持挡风玻璃人脸检测功能，支持主、副驾驶的人脸扣取和图片抓拍并上传；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支持人脸瞳距20-40像素人脸的识别和扣取；</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过车抓拍时，支持气体爆闪灯进行抓拍图片同步补光功能；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出入口爆闪灯</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海康威视VSL-1000-1/C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闪光能量：55J ±10%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色温：5600K。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回电时间：＜500ms。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峰值闪光持续时间：＜0.1ms。</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工作寿命：≥250万次。</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触发方式：电平，+5VDC。</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有效补光距离:10m～15m。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专业人像抓拍机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海康威视DS-2CD7647HWD-LZS(11-40mm)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宽动态能力不小于100dB。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信噪比不小于60dB。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25fps下，清晰度不小于1100TVL。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支持单场景同时检出不少于40张人脸图片，并支持面部跟踪。</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支持人脸区域自动曝光功能，可根据外部不同场景和光照变化自动调节人脸区域曝光参数。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400万星光级抓拍枪机一体化网络摄像机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海康威视DS-2CD7045EMK/E2-N2X(11-40mm)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最低照度彩色不大于0.0002 lx，黑白不大于0.0001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宽动态能力不小于120dB。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设备水平中心分辨力不小于1500TVL。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400万全彩网络摄像机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海康威视DS-2CD2T45EMK-N2X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具有400万像素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具有不小于1/2.7"靶面尺寸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最低照度彩色不小于0.0004 lx</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在2560x1440 @ 25fps下，清晰度不小于1000TVL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支持H.264、H.265视频编码格式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不低于IP67防尘防水等级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需支持DC12V供电 </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室内壁装支架</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海康威视DS-1292ZJ-K</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材料 铝合金</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调整角度 水平：360°，垂直：-45°~45°</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尺寸 70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安装面宽度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×173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伸出总长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mm ±10%</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定制1.6M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千兆光口接入交换机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neutralCAM-PG1F82E-AF</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8×千兆POE电口+2×千兆电口+1×千兆SFP光口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支持通过5类以太网线网络监控摄像头供电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1～8端口支持标准IEEE802.3af供电</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背板带宽16G</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包转发率11.9M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10个10/100/1000 Mbps自适应RJ45端口</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10KM光模块</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锐捷XG-LR-SM1310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传输距离：10KM</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B中控部分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4K专业监视器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海康威视DS-D5055UC-A</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解码器</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海康威视DS-6901UD</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高清视音频解码器，采用Linux操作系统，运行稳定可靠</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输出接口：支持1路HDMI、VGA、输出接口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编码格式：支持H.265、H.264、MPEG4、MJPEG等主流的编码格式；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封装格式：支持PS、RTP、TS、ES等主流的封装格式；</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音频解码：支持G.722、G.711A、G.726、G.711U、MPEG2-L2、AAC音频格式的解码；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解码能力：支持2路1200W，或4路800W，或6路500W，或10路300W，或16路1080P及以下分辨率同时实时解码；</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画面分割：支持1、2、4、6、8、9、10、12、16画面分割显示.</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网络接口：支持1个RJ45网络接口</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光汇聚万兆二层交换机</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HZHZ-10G3204SFM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4×千兆电口+24×千兆SFP光口+4×万兆SFP+光口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万兆端口支持DAC、AOC等低成本成品光缆接入使用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生成树支持STP，RSTP ，ERPS工业级环网(G.8032)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40KM光模块</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锐捷40G-QSFP-ER4-SM1310</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模块类型：SFP</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传输波长：1310nm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工作电压：3.3V</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传输介质：单模光纤</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接口类型：双LC接口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传输距离：40KM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（三十四）农村微卡口1</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rHeight w:val="353"/>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（三十五）农村微卡口2</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（三十六）农村微卡口3</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（三十七）农村微卡口4</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（三十八）农村微卡口5</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（三十九）农村微卡口6</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（四十）农村微卡口7</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（四十一）农村微卡口8</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（四十二）农村微卡口9</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（四十三）农村微卡口10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（四十四）农村微卡口11</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（四十五）农村微卡口12</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（四十六）农村微卡口13</w:t>
            </w:r>
            <w:r>
              <w:rPr>
                <w:rFonts w:hint="eastAsia" w:ascii="宋体" w:hAnsi="宋体" w:eastAsia="宋体" w:cs="宋体"/>
                <w:b/>
                <w:bCs/>
                <w:color w:val="auto"/>
                <w:sz w:val="24"/>
                <w:szCs w:val="24"/>
              </w:rPr>
            </w:r>
            <w:r>
              <w:rPr>
                <w:color w:val="auto"/>
              </w:rP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800万全结构化人像摄像机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海康威视DS-2CD7286HMK/E2-N4X(11-40mm)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具有800万像素 CMOS传感器。</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内置GPU芯片，具有不小于1/1.8"靶面尺寸</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镜头接口应采用C或CS接口。</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最低照度彩色：0.0002 lx，黑白:0.0001 lx，最大亮度鉴别等级（灰度等级）不小于11级。</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信噪比不小于58dB。</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在4096x2160 @ 25fps下，清晰度不小于2000TVL。</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支持H.264、H.265、MJPEG视频编码格式，且具有High Profile编码能力。</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华联视HL-POE1000E</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接口标准：RJ45，10/100/1000Mbps 自适应</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定制3.5M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室外防水设备箱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定制670mm×400mm×350mm</w:t>
            </w:r>
            <w:r>
              <w:rPr>
                <w:rFonts w:hint="eastAsia" w:ascii="宋体" w:hAnsi="宋体" w:eastAsia="宋体" w:cs="宋体"/>
                <w:color w:val="auto"/>
                <w:sz w:val="24"/>
                <w:szCs w:val="24"/>
              </w:rPr>
            </w:r>
            <w:r>
              <w:rPr>
                <w:color w:val="auto"/>
              </w:rPr>
            </w:r>
          </w:p>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国产不锈钢≥670mm(高)×400mm（长）×350mm(宽)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插排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公牛6排</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明纬12V10A</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6.甪直镇区主干道报警柱监控2018年竣工投入使用</w:t>
      </w:r>
      <w:r>
        <w:rPr>
          <w:rFonts w:hint="eastAsia" w:ascii="宋体" w:hAnsi="宋体" w:eastAsia="宋体" w:cs="宋体"/>
          <w:b/>
          <w:bCs/>
          <w:color w:val="auto"/>
          <w:sz w:val="24"/>
          <w:szCs w:val="24"/>
        </w:rPr>
      </w:r>
      <w:r>
        <w:rPr>
          <w:color w:val="auto"/>
        </w:rPr>
      </w:r>
    </w:p>
    <w:tbl>
      <w:tblPr>
        <w:tblW w:w="1044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1891"/>
        <w:gridCol w:w="6705"/>
        <w:gridCol w:w="570"/>
        <w:gridCol w:w="532"/>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报警柱球机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海康DS-2DE72GAWIW</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200万带红外或激光1920×1080@60fps；星光级超低照度：0.0005Lux/F1.5(彩色)，0.0001Lux/F1.5(黑白)，0 Lux with IR；200米或以上夜间可视距离；焦距：6-208mm，8</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寸外形，37倍或以上光学变倍；支持音频、报警；支持120dB宽动态、光学透雾、强光抑制、Smart IR 、电子防抖、3D数字降噪；支持智能运动跟踪；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报警柱枪机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海康DS-2CD2T35XYZUV</w:t>
            </w:r>
            <w:r>
              <w:rPr>
                <w:rFonts w:hint="eastAsia" w:ascii="宋体" w:hAnsi="宋体" w:eastAsia="宋体" w:cs="宋体"/>
                <w:color w:val="auto"/>
                <w:sz w:val="24"/>
                <w:szCs w:val="24"/>
              </w:rPr>
            </w:r>
            <w:r>
              <w:rPr>
                <w:color w:val="auto"/>
              </w:rPr>
            </w:r>
          </w:p>
          <w:p>
            <w:pPr>
              <w:pStyle w:val="853"/>
              <w:ind w:left="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300万1/3”CMOS ICR红外阵列筒型网络摄像机；H.265及H.264编码；最小照度 0.07Lux @(F1.2,AGC ON) ,0 Lux with IR；0.1 Lux @(F1.4,AGC ON), 0 Lux with IR；镜头 4mm, 水平视场角:60.5°(6mm,8mm,12mm可选)；快门 1/3秒至1/100,000秒；支持数字宽动态；帧率 50Hz: 25fps(2048 × 1536, 1920 × 1080, 1280 × 720)；红外照射距离：最远可达50米</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8.2023年投入使用XX场景化建设</w:t>
      </w:r>
      <w:r>
        <w:rPr>
          <w:rFonts w:hint="eastAsia" w:ascii="宋体" w:hAnsi="宋体" w:eastAsia="宋体" w:cs="宋体"/>
          <w:b/>
          <w:bCs/>
          <w:color w:val="auto"/>
          <w:sz w:val="24"/>
          <w:szCs w:val="24"/>
        </w:rPr>
      </w:r>
      <w:r>
        <w:rPr>
          <w:color w:val="auto"/>
        </w:rPr>
      </w:r>
    </w:p>
    <w:tbl>
      <w:tblPr>
        <w:tblW w:w="105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5"/>
        <w:gridCol w:w="6801"/>
        <w:gridCol w:w="540"/>
        <w:gridCol w:w="612"/>
      </w:tblGrid>
      <w:tr>
        <w:trPr>
          <w:tblHeader/>
        </w:trPr>
        <w:tc>
          <w:tcPr>
            <w:tcW w:w="748"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一、中控设备</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云存储视频服务器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CPU：2颗处理器；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内存：8GB内存；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磁盘数量：48盘位；（目前288TB满载中）</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磁盘容量：支持1T/2T/3T/4T/6T/8T；6T*48块硬盘；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设备采用控制器架构；</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网络协议：GB、RTSP，ONVIF、PSIA 等；</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数据接口：4个千兆以太网口；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支持视频直存技术，支持GB/T28181、Onvif、RTSP、PSIA等标准视频协议接入及存储，支持视频采用SVAC、H265、H264等压缩编码。</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云存储图片服务器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处理器：2颗64位多核处理器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内存：8GB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SSD：SSD系统盘，并内置加速缓存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磁盘数量：48盘位（目前288TB满载中）</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磁盘接口：支持SATA/SAS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磁盘容量：支持1T/2T/3T/4T/6T/8T；6T*48块硬盘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RAID级别：网络RAID；</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数据接口：4个千兆网口；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管理接口：1个千兆管理口；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USB 接口：2个；</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设备接入服务器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2U双路标准机架式服务器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2颗intel至强系列处理器，核数10核，主频2.2GHz</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内存：16G*4 DDR4， </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硬盘：4块600G 10K 2.5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 SAS硬盘</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阵列卡：SAS_HBA卡, 支持RAID 0/1/10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PCIE扩展：6个PCIE扩展插槽</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网口：2个千兆电口、2个万兆光口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其他接口：1个RJ45管理接口，后置2个USB 3.0接口，前置2个USB2.0接口，1个VGA接口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电源：标配550W（1+1）冗余电源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装载：综合管理平台（Infovision PVIA (DN)</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二、监控联网运维</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三类监控联网平台运维</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要求已经完成接入的三类监控实时图像，分布在甪直镇各宾馆、酒店、商场、医院、菜市场、小区等公共场所，需保障视频查看正常，无卡顿、无掉帧；录像调用迅速，无卡顿、无掉帧，确保平台正常运行。 </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通讯链路服务</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单路节点网络传输带宽不低于50Mbps，包含三类监控联网线路，视频专网线路租用服务，服务期为一年。</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路</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448</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汇聚线路服务</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点对点光纤租用服务，服务期为一年</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路</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三、前端设备</w:t>
            </w:r>
            <w:r>
              <w:rPr>
                <w:rFonts w:hint="eastAsia" w:ascii="宋体" w:hAnsi="宋体" w:eastAsia="宋体" w:cs="宋体"/>
                <w:b/>
                <w:bCs/>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（一）A位置</w:t>
            </w:r>
            <w:r>
              <w:rPr>
                <w:rFonts w:hint="eastAsia" w:ascii="宋体" w:hAnsi="宋体" w:eastAsia="宋体" w:cs="宋体"/>
                <w:b/>
                <w:bCs/>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color w:val="auto"/>
              </w:rPr>
            </w:r>
            <w:bookmarkStart w:id="2" w:name="_Hlk113270526"/>
            <w:r>
              <w:rPr>
                <w:rFonts w:hint="eastAsia" w:ascii="宋体" w:hAnsi="宋体" w:eastAsia="宋体" w:cs="宋体"/>
                <w:color w:val="auto"/>
                <w:sz w:val="24"/>
                <w:szCs w:val="24"/>
              </w:rPr>
              <w:t xml:space="preserve">多功能智能车辆感知设备</w:t>
            </w:r>
            <w:bookmarkEnd w:id="2"/>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传感器：900万像素彩色全局曝光 CMOS；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靶面尺寸：1英寸；</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支持图像分辨率4096 ×2160；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帧率25 fps；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视频编码格式：H.264/H265/MJPEG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通讯接口2个100M/1000M 自适应RJ45 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触发输出：2路</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触发输入：2个</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音频接口: 1路输入，1路输出；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补光控制：支持闪光灯或LED 频闪灯同步补光；</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支持三码流同时并发输出；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多种触发模式：支持线圈触发、视频触发等多种触发模式。</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车辆识别功能：支持车牌识别、视频触发、车身颜色识别、车型识别、车标识别、车窗物件识别及通行车辆信息捕获；</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车牌颜色识别：支持识别蓝色、黄色、黑色、白色、绿色、红色、黄绿双拼色以及渐变绿色等车牌颜色；</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支持车道自动检测功能，可手动划定检测线，也可根据车道和停止线自动调整检测区域；</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节能补光灯</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车内人脸专用爆闪补光</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闪光能量：60J；色温：5600K。回电时间：＜500ms。峰值闪光持续时间：＜0.1ms。</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工作寿命：300万次。触发方式：电平，+5VDC。覆盖范围:3m～4m@10m处。</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有效补光距离:10m～16m。电压:154VAC～265VAC； </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频率:48Hz～52Hz。</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功耗:平均16W（@1闪/s）。</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功能特性：白光闪光灯,覆盖1车道,220VAC,3m～4m@10m处,同时支持电平量或开关量触发</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多功能智能人像感知设备</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内置双镜头：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通道1靶面尺寸：1/1.8＂；通道2靶面尺寸：1/2.7＂</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通道1焦距范围：8-32mm；通道2焦距：4mm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采用金属外壳。</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内置2个麦克风、1个扬声器，支持双向语音对讲。</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内置4颗混合补光灯，每颗灯由红外灯、白光灯组成，在开启白光灯或混合补光灯时，可输出彩色视频图像。</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38</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千兆光口工业交换机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交换容量128Gbps，包转发率20Mpps；8*千兆电口+2*千兆光口；</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供电方式：直流双路冗余供电，本次配置单路适配器；</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功能：网络/电源；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传输速率：1000Mbps；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SPD端口：两端口；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SPD类别：组合型；</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额定电压：220V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lmax持续运行电压：275V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保护水平：1150V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额定负载电流：1A；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响应时间：≤25ns；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网络信号电涌保护特性：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持续运行电压：8V；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保护水平：150V;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响应时间：≤1ns；</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DC12V电源适配器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输入规格:AC176V~260V，50Hz，0.8A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输出规格:DC12V/2A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输入效率85.00%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负载调整率:±5%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纹波/噪声:150mVp-p</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输出功率:24W Max</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（二）B位置</w:t>
            </w:r>
            <w:r>
              <w:rPr>
                <w:rFonts w:hint="eastAsia" w:ascii="宋体" w:hAnsi="宋体" w:eastAsia="宋体" w:cs="宋体"/>
                <w:b/>
                <w:bCs/>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多功能智能车辆感知设备</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传感器：900万像素彩色全局曝光 CMOS；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靶面尺寸：1英寸；</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支持图像分辨率4096 ×2160；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帧率25 fps；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视频编码格式：H.264/H265/MJPEG</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通讯接口2个100M/1000M 自适应RJ45 接口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触发输出：2路</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触发输入：2个</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音频接口: 1路输入，1路输出；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补光控制：支持闪光灯或LED 频闪灯同步补光；</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支持三码流同时并发输出；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多种触发模式：支持线圈触发、视频触发等多种触发模式。</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车辆识别功能：支持车牌识别、视频触发、车身颜色识别、车型识别、车标识别、车窗物件识别及通行车辆信息捕获；</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车牌颜色识别：支持识别蓝色、黄色、黑色、白色、绿色、红色、黄绿双拼色以及渐变绿色等车牌颜色；</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支持车道自动检测功能，可手动划定检测线，也可根据车道和停止线自动调整检测区域；</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节能补光灯</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jc w:val="lef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车内人脸专用爆闪补光</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闪光能量：60J；色温：5600K。回电时间：＜500ms。峰值闪光持续时间：＜0.1ms。</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工作寿命：300万次。触发方式：电平，+5VDC。覆盖范围:3m～4m@10m处。</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有效补光距离:10m～16m。电压:154VAC～265VAC； </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频率:48Hz～52Hz。</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功耗:平均＜16W（@1闪/s）。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功能特性：白光闪光灯,覆盖1车道,220VAC,3m～4m@10m处,同时支持电平量或开关量触发</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多功能智能人像感知设备</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内置双镜头：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通道1靶面尺寸：1/1.8＂；通道2靶面尺寸：1/2.7＂</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通道1焦距范围：8-32mm；通道2焦距：4mm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采用金属外壳。</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内置2个麦克风、1个扬声器，支持双向语音对讲。</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内置4颗混合补光灯，每颗灯由红外灯、白光灯组成，在开启白光灯或混合补光灯时，可输出彩色视频图像。</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千兆光口工业交换机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交换容量128Gbps，包转发率20Mpps；8*千兆电口+2*千兆光口；</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供电方式：直流双路冗余供电，本次配置单路适配器；</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功能：网络/电源；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传输速率：1000Mbps；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SPD端口：两端口；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SPD类别：组合型；</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额定电压：220V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lmax持续运行电压：275V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保护水平：1150V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额定负载电流：1A；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响应时间：≤25ns；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网络信号电涌保护特性：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持续运行电压：8V；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保护水平：150V;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响应时间：≤1ns；</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DC12V电源适配器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输入规格:AC176V~260V，50Hz，0.8A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输出规格:DC12V/2A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输入效率85.00%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负载调整率:±5%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纹波/噪声:150mVp-p</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输出功率:24W Max</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（三）C位置</w:t>
            </w:r>
            <w:r>
              <w:rPr>
                <w:rFonts w:hint="eastAsia" w:ascii="宋体" w:hAnsi="宋体" w:eastAsia="宋体" w:cs="宋体"/>
                <w:b/>
                <w:bCs/>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多功能智能人像感知设备</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内置双镜头：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通道1靶面尺寸：1/1.8＂；通道2靶面尺寸：1/2.7＂</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通道1焦距范围：8-32mm；通道2焦距：4mm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采用金属外壳。</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内置2个麦克风、1个扬声器，支持双向语音对讲。</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内置4颗混合补光灯，每颗灯由红外灯、白光灯组成，在开启白光灯或混合补光灯时，可输出彩色视频图像。</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专业全景摄像机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靶面尺寸：1/1.8＂；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焦距范围：焦距：全景2.8~12 mm；细节5.9~147.5 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最低彩色照度0.0005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宽动态：106dB；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光学变倍：全景4倍；细节25倍；</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补光距离：全景：全彩30 m；细节：红外250 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细节通道水平旋转范围0~360°连续旋转，垂直旋转范围-20°~90°；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摄像机内置不少于2个镜头，可输出至少一路全景视频和一路细节视频，其中全景路内置1个镜头，细节路内置1个镜头；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全景路视频图像分辨率不小于2560 × 1440，细节路视频图像分辨率不小于2560x1440</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千兆光口工业交换机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交换容量128Gbps，包转发率20Mpps；8*千兆电口+2*千兆光口；</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供电方式：直流双路冗余供电，本次配置单路适配器；</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45</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汇聚交换机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交换容量736Gbps，包转发率222Mpps</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配件要求；配置双电源，双风扇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端口要求；实配100/1000Base-T以太网口24个，combo 1000Base-X光接口8个，1/10 GE 光接口4个，扩展插槽1个，支持未来扩展2端口40G接口或8端口万兆光接口；支持VxLAN  支持二层/三层VxLAN，；支持802.1ae Macsec安全加密，实现MAC层安全加密，包括用户数据加密、数据帧完整性检查及数据源真实性校验，无需软件授权。有线无线一体化，支持融合AC功能，支持无线控制器功能；安全插卡 支持FW安全插卡。</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功能：网络/电源；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传输速率：1000Mbps；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SPD端口：两端口；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SPD类别：组合型；</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额定电压：220V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lmax持续运行电压：275V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保护水平：1150V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额定负载电流：1A；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响应时间：≤25ns；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网络信号电涌保护特性：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持续运行电压：8V；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保护水平：150V;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响应时间：≤1ns；</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86</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DC12V电源适配器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输入规格:AC176V~260V，50Hz，0.8A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输出规格:DC12V/2A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输入效率85.00%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负载调整率:±5%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纹波/噪声:150mVp-p</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输出功率:24W Max</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86</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（四）D位置</w:t>
            </w:r>
            <w:r>
              <w:rPr>
                <w:rFonts w:hint="eastAsia" w:ascii="宋体" w:hAnsi="宋体" w:eastAsia="宋体" w:cs="宋体"/>
                <w:b/>
                <w:bCs/>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低照度人像卡口</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传感器：800万像素CMOS传感器；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靶面尺寸：1/1.8＂；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焦距范围：11-40mm；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采用金属外壳</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内置混合补光灯，可对红外灯及白光灯功率进行调节。</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需具有22路取流路数能力，以满足更多用户同时在线访问摄像机视频。</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检出两眼瞳距20像素点以上的人脸图片。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支持单场景同时检出30张人脸图片，并支持面部跟踪。</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人脸检出率不小于99%。</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支持人脸抓拍、人体检测、人脸人体检测三种模式。</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43</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低照度星光球机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靶面尺寸：1/1.8＂；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焦距范围：6~150 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光学变倍：25倍；</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补光距离：红外200 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细节通道水平旋转范围0~360°连续旋转，垂直旋转范围-20°~90°；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摄像机内置两个图像传感器，可分别输出黑白视频图像和彩色视频图像，并可对这两路视频图像进行融合输出；</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视频图像分辨率与帧率不小于2560×1440、25帧/秒;</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设备可对监控画面中不小于30个人脸进行检测、跟踪和抓拍;</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智能AI双舱人像一体机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内置2个CMOS图像传感器：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通道1靶面尺寸：1/1.8＂；通道2靶面尺寸：1/1.8＂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通道1焦距范围：8-32mm；通道2焦距：8-32mm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内置2颗GPU芯片，2个麦克风，1个扬声器。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设备双通道均具有2颗远光混合补光灯和2颗近光补光灯，开启补光灯后，可采集2路彩色视频图像。</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可输出2个通道画面，通道1和通道2的码流分辨率均不小于2560*1440。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双通道均支持PT一体化云台，通道1和通道2的云台应可独立控制，可通过IE浏览器或客户端远程调节PT位置以实现监控场景的切换。</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功能：网络/电源；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传输速率：1000Mbps；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SPD端口：两端口；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SPD类别：组合型；</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额定电压：220V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lmax持续运行电压：275V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保护水平：1150V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额定负载电流：1A；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响应时间：≤25ns；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网络信号电涌保护特性：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持续运行电压：8V；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保护水平：150V;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响应时间：≤1ns；</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DC12V电源适配器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输入规格:AC176V~260V，50Hz，0.8A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输出规格:DC12V/2A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输入效率85.00%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负载调整率:±5%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纹波/噪声:150mVp-p</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输出功率:24W Max</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（五）E位置</w:t>
            </w:r>
            <w:r>
              <w:rPr>
                <w:rFonts w:hint="eastAsia" w:ascii="宋体" w:hAnsi="宋体" w:eastAsia="宋体" w:cs="宋体"/>
                <w:b/>
                <w:bCs/>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A前端部分</w:t>
            </w:r>
            <w:r>
              <w:rPr>
                <w:rFonts w:hint="eastAsia" w:ascii="宋体" w:hAnsi="宋体" w:eastAsia="宋体" w:cs="宋体"/>
                <w:b/>
                <w:bCs/>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多功能智能人像感知设备</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内置双镜头：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通道1靶面尺寸：1/1.8＂；通道2靶面尺寸：1/2.7＂</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通道1焦距范围：8-32mm；通道2焦距：4mm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采用金属外壳。</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内置2个麦克风、1个扬声器，支持双向语音对讲。</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内置4颗混合补光灯，每颗灯由红外灯、白光灯组成，在开启白光灯或混合补光灯时，可输出彩色视频图像。</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支持检出两眼瞳距20像素点以上的人脸图片。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支持人脸比对，比对准确率不低于99%。</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支持侧脸过滤功能，可过滤上下、左右角度达到预设值的人脸。</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专业全景摄像机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靶面尺寸：1/1.8＂；</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焦距范围：焦距：全景2.8~12 mm；细节5.9~147.5 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最低彩色照度0.0005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宽动态：106dB；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光学变倍：全景4倍；细节25倍；</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补光距离：全景：全彩30 m；细节：红外250 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细节通道水平旋转范围0~360°连续旋转，垂直旋转范围-20°~90°；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摄像机内置不少于2个镜头，可输出至少一路全景视频和一路细节视频，其中全景路内置1个镜头，细节路内置1个镜头；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全景路视频图像分辨率不小于2560 × 1440，细节路视频图像分辨率不小于2560x1440</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千兆光口工业交换机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交换容量128Gbps，包转发率20Mpps；8*千兆电口+2*千兆光口；</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供电方式：直流双路冗余供电，本次配置单路适配器；</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功能：网络/电源；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传输速率：1000Mbps；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SPD端口：两端口；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SPD类别：组合型；</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额定电压：220V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lmax持续运行电压：275V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保护水平：1150V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额定负载电流：1A；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响应时间：≤25ns；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网络信号电涌保护特性：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持续运行电压：8V；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保护水平：150V;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响应时间：≤1ns；</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DC12V电源适配器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输入规格:AC176V~260V，50Hz，0.8A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输出规格:DC12V/2A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输入效率85.00%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负载调整率:±5%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纹波/噪声:150mVp-p</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输出功率:24W Max</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（六）E-1位置</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A前端部分</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color w:val="auto"/>
              </w:rPr>
            </w:r>
            <w:bookmarkStart w:id="3" w:name="OLE_LINK3"/>
            <w:r>
              <w:rPr>
                <w:rFonts w:hint="eastAsia" w:ascii="宋体" w:hAnsi="宋体" w:eastAsia="宋体" w:cs="宋体"/>
                <w:color w:val="auto"/>
                <w:sz w:val="24"/>
                <w:szCs w:val="24"/>
              </w:rPr>
              <w:t xml:space="preserve">多功能智能人像感知设备</w:t>
            </w:r>
            <w:bookmarkEnd w:id="3"/>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传感器：400万像素CMOS传感器；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内置双镜头：</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通道1靶面尺寸：1/1.8＂；通道2靶面尺寸：1/2.7＂</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通道1焦距范围：8-32mm；通道2焦距：4mm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最低彩色照度0.0002 lx，最低黑白照度0.0001 lx；</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宽动态能力：120dB；</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内置GPU芯片；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采用金属外壳。</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内置2个麦克风、1个扬声器，支持双向语音对讲。</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支持MD5、SHA256加密算法。</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内置4颗混合补光灯，每颗灯由红外灯、白光灯组成，在开启白光灯或混合补光灯时，可输出彩色视频图像。</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千兆光口工业交换机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交换容量128Gbps，包转发率20Mpps；8*千兆电口+2*千兆光口；</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供电方式：直流双路冗余供电，本次配置单路适配器；</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网络传输防雷器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功能：网络/电源；</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传输速率：1000Mbps；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SPD端口：两端口；</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SPD类别：组合型；</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额定电压：220V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lmax持续运行电压：275V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保护水平：1150V AC；</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额定负载电流：1A；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响应时间：≤25ns；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网络信号电涌保护特性：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持续运行电压：8V；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保护水平：150V;</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响应时间：≤1ns；</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DC12V电源适配器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输入规格:AC176V~260V，50Hz，0.8A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输出规格:DC12V/2A</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输入效率85.00%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负载调整率:±5%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纹波/噪声:150mVp-p</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输出功率:24W Max</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rPr>
            </w:r>
            <w:r>
              <w:rPr>
                <w:color w:val="auto"/>
              </w:rP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（七）全镇某行业场所门口</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高变焦800万室外微光结构化相机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内置GPU处理器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传感器类型：1/1.8英寸CMOS；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像素：800万；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最大分辨率：3840×2160；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最低照度：0.0002Lux（彩色模式）；0.0001Lux（黑白模式）；0Lux（补光灯开启）；</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最大补光距离：50m（人脸检测距离）80m（视频监控距离）；</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镜头类型：电动变焦；</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镜头焦距：8-56mm；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人脸检测：支持人脸检测；支持跟踪；支持优选；支持抓拍；支持上报最优的人脸抓图；支持人脸增强，支持人脸曝光；支持人脸属性提取，支持6种属性8种表情：性别，年龄，眼镜，表情</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中变焦400万室外低照度结构化相机</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内置GPU处理器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color w:val="auto"/>
              </w:rPr>
            </w:r>
            <w:bookmarkStart w:id="4" w:name="OLE_LINK4"/>
            <w:r>
              <w:rPr>
                <w:rFonts w:hint="eastAsia" w:ascii="宋体" w:hAnsi="宋体" w:eastAsia="宋体" w:cs="宋体"/>
                <w:color w:val="auto"/>
                <w:sz w:val="24"/>
                <w:szCs w:val="24"/>
              </w:rPr>
              <w:t xml:space="preserve">传感器类型：1/1.8英寸CMOS；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像素：400万；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最大分辨率：2688 × 1520；</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最低照度：0.001Lux（彩色模式）；0.0001Lux（黑白模式）；0Lux（补光灯开启）；</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最大补光距离：120m（红外）；</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镜头类型：电动变焦；</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镜头焦距：3.5-12mm；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人脸检测：支持人脸检测；支持跟踪；支持优选；支持抓拍；支持上报最优的人脸抓图；支持人脸增强，支持人脸曝光；</w:t>
            </w:r>
            <w:bookmarkEnd w:id="4"/>
            <w:r>
              <w:rPr>
                <w:rFonts w:hint="eastAsia" w:ascii="宋体" w:hAnsi="宋体" w:eastAsia="宋体" w:cs="宋体"/>
                <w:color w:val="auto"/>
                <w:sz w:val="24"/>
                <w:szCs w:val="24"/>
              </w:rPr>
              <w:t xml:space="preserve">支持人脸属性提取，支持6种属性8种表情：性别，年龄，眼镜，表情</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存储服务器</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主处理器：工业级嵌入式微控制器；</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操作系统：嵌入式Linux操作系统；</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接入路数：64路；</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硬盘接口：16个，SATA3.0，单盘最大16T；</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网络带宽：400Mbps接入、400Mbps存储、400Mbps转发；</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分辨率：24MP/16MP/12MP/8MP/6MP/5MP/4MP/3MP/1080P/720P；</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解码能力：1路24MP/2路16MP/5路12MP (20fps)/6路12MP (15fps)/5路8MP (30fps)/10路8MP (15fps)/6路6MP(30fps)/8路5MP(30fps)/9路5MP (25fps)/10路4MP (30fps)/15路4MP (20fps)/16路3MP (25fps)/10路1080P (60fps)/20路1080P (30fps)/30路720P (30fps)；</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W w:w="748"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W w:w="1845"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监控专用硬盘</w:t>
            </w:r>
            <w:r>
              <w:rPr>
                <w:rFonts w:hint="eastAsia" w:ascii="宋体" w:hAnsi="宋体" w:eastAsia="宋体" w:cs="宋体"/>
                <w:color w:val="auto"/>
                <w:sz w:val="24"/>
                <w:szCs w:val="24"/>
              </w:rPr>
            </w:r>
            <w:r>
              <w:rPr>
                <w:color w:val="auto"/>
              </w:rPr>
            </w:r>
          </w:p>
        </w:tc>
        <w:tc>
          <w:tcPr>
            <w:tcW w:w="6801"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6TB SATA3.0接口 3.5</w:t>
            </w:r>
            <w:r>
              <w:rPr>
                <w:rFonts w:hint="eastAsia" w:ascii="宋体" w:hAnsi="宋体" w:eastAsia="宋体" w:cs="宋体"/>
                <w:color w:val="auto"/>
                <w:sz w:val="24"/>
                <w:szCs w:val="24"/>
                <w:lang w:val="en-US" w:eastAsia="zh-CN"/>
              </w:rPr>
              <w:t xml:space="preserve">英</w:t>
            </w:r>
            <w:r>
              <w:rPr>
                <w:rFonts w:hint="eastAsia" w:ascii="宋体" w:hAnsi="宋体" w:eastAsia="宋体" w:cs="宋体"/>
                <w:color w:val="auto"/>
                <w:sz w:val="24"/>
                <w:szCs w:val="24"/>
              </w:rPr>
              <w:t xml:space="preserve">寸监控专用存储硬盘</w:t>
            </w:r>
            <w:r>
              <w:rPr>
                <w:rFonts w:hint="eastAsia" w:ascii="宋体" w:hAnsi="宋体" w:eastAsia="宋体" w:cs="宋体"/>
                <w:color w:val="auto"/>
                <w:sz w:val="24"/>
                <w:szCs w:val="24"/>
              </w:rPr>
            </w:r>
            <w:r>
              <w:rPr>
                <w:color w:val="auto"/>
              </w:rPr>
            </w:r>
          </w:p>
        </w:tc>
        <w:tc>
          <w:tcPr>
            <w:tcW w:w="540"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rPr>
                <w:rFonts w:hint="eastAsia" w:ascii="宋体" w:hAnsi="宋体" w:eastAsia="宋体" w:cs="宋体"/>
                <w:color w:val="auto"/>
                <w:sz w:val="24"/>
                <w:szCs w:val="24"/>
              </w:rPr>
            </w:r>
            <w:r>
              <w:rPr>
                <w:color w:val="auto"/>
              </w:rPr>
            </w:r>
          </w:p>
        </w:tc>
        <w:tc>
          <w:tcPr>
            <w:tcW w:w="612"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9.某大型园区内部与周边人像抓拍系统</w:t>
      </w:r>
      <w:r>
        <w:rPr>
          <w:rFonts w:hint="eastAsia" w:ascii="宋体" w:hAnsi="宋体" w:eastAsia="宋体" w:cs="宋体"/>
          <w:color w:val="auto"/>
          <w:sz w:val="24"/>
          <w:szCs w:val="24"/>
        </w:rPr>
      </w:r>
      <w:r>
        <w:rPr>
          <w:color w:val="auto"/>
        </w:rPr>
      </w:r>
    </w:p>
    <w:tbl>
      <w:tblPr>
        <w:tblW w:w="104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6754"/>
        <w:gridCol w:w="517"/>
        <w:gridCol w:w="563"/>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多功能智能人像感知设备</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传感器类型：1/1.8英寸CMOS；</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像素：400万；</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最大补光距离：120m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镜头类型：电动变焦；</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镜头焦距：3.5-12mm；</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人脸检测：支持人脸检测；支持跟踪；支持优选；支持抓拍；支持上报最优的人脸抓图；支持人脸增强，支持人脸曝光；</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118</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抱杆设备箱</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壁装抱杆箱，含设备安装塑料底板、电源分配器及保护装置、抱箍等，</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摄像机配套供电适配器12-2A</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118</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10.</w:t>
      </w:r>
      <w:bookmarkStart w:id="5" w:name="OLE_LINK8"/>
      <w:r>
        <w:rPr>
          <w:rFonts w:hint="eastAsia" w:ascii="宋体" w:hAnsi="宋体" w:eastAsia="宋体" w:cs="宋体"/>
          <w:b/>
          <w:bCs/>
          <w:color w:val="auto"/>
          <w:sz w:val="24"/>
          <w:szCs w:val="24"/>
        </w:rPr>
        <w:t xml:space="preserve">全镇道路监控：</w:t>
      </w:r>
      <w:r>
        <w:rPr>
          <w:rFonts w:hint="eastAsia" w:ascii="宋体" w:hAnsi="宋体" w:eastAsia="宋体" w:cs="宋体"/>
          <w:b/>
          <w:bCs/>
          <w:color w:val="auto"/>
          <w:sz w:val="24"/>
          <w:szCs w:val="24"/>
        </w:rPr>
      </w:r>
      <w:r>
        <w:rPr>
          <w:color w:val="auto"/>
        </w:rPr>
      </w:r>
    </w:p>
    <w:p>
      <w:pPr>
        <w:pStyle w:val="853"/>
        <w:ind w:left="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道路治安监控维护A  </w:t>
      </w:r>
      <w:bookmarkEnd w:id="5"/>
      <w:r>
        <w:rPr>
          <w:rFonts w:hint="eastAsia" w:ascii="宋体" w:hAnsi="宋体" w:eastAsia="宋体" w:cs="宋体"/>
          <w:b/>
          <w:bCs/>
          <w:color w:val="auto"/>
          <w:sz w:val="24"/>
          <w:szCs w:val="24"/>
        </w:rPr>
        <w:t xml:space="preserve"> 2015-2017年竣工投入使用（已扣除拆迁与修路拆除数量）</w:t>
      </w:r>
      <w:r>
        <w:rPr>
          <w:rFonts w:hint="eastAsia" w:ascii="宋体" w:hAnsi="宋体" w:eastAsia="宋体" w:cs="宋体"/>
          <w:b/>
          <w:bCs/>
          <w:color w:val="auto"/>
          <w:sz w:val="24"/>
          <w:szCs w:val="24"/>
        </w:rPr>
      </w:r>
      <w:r>
        <w:rPr>
          <w:color w:val="auto"/>
        </w:rPr>
      </w:r>
    </w:p>
    <w:tbl>
      <w:tblPr>
        <w:tblW w:w="1036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6426"/>
        <w:gridCol w:w="683"/>
        <w:gridCol w:w="647"/>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auto"/>
                <w:sz w:val="24"/>
                <w:szCs w:val="24"/>
              </w:rPr>
            </w:pPr>
            <w:r>
              <w:rPr>
                <w:color w:val="auto"/>
              </w:rPr>
            </w:r>
            <w:bookmarkStart w:id="6" w:name="OLE_LINK2"/>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室外网络高清球机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科达、大华</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星光级1080P网络高清球型摄像机，</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抱杆设备箱</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壁装抱杆箱，含设备安装塑料底板、电源分配器及保护装置、抱箍等，</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球机安装杆件</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球机室外安装6米立杆、支架等组件，含杆件、预埋基础、防雷接地等</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220</w:t>
            </w:r>
            <w:r>
              <w:rPr>
                <w:rFonts w:hint="eastAsia" w:ascii="宋体" w:hAnsi="宋体" w:eastAsia="宋体" w:cs="宋体"/>
                <w:color w:val="auto"/>
                <w:sz w:val="24"/>
                <w:szCs w:val="24"/>
              </w:rPr>
            </w:r>
            <w:r>
              <w:rPr>
                <w:color w:val="auto"/>
              </w:rPr>
            </w:r>
          </w:p>
        </w:tc>
      </w:tr>
      <w:tr>
        <w:trPr>
          <w:trHeight w:val="639"/>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防雷器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百兆网络信号、电源防雷</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摄像机电源</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摄像机配套供电适配器</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220</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视频存储管理服务</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满足前端摄像机视频录像30天存储功能，视频管理功能</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r>
            <w:r>
              <w:rPr>
                <w:color w:val="auto"/>
              </w:rPr>
            </w:r>
          </w:p>
        </w:tc>
        <w:tc>
          <w:tcPr>
            <w:shd w:val="clear" w:color="000000" w:fill="ffffff"/>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视频数据联网共享</w:t>
            </w:r>
            <w:r>
              <w:rPr>
                <w:rFonts w:hint="eastAsia" w:ascii="宋体" w:hAnsi="宋体" w:eastAsia="宋体" w:cs="宋体"/>
                <w:color w:val="auto"/>
                <w:sz w:val="24"/>
                <w:szCs w:val="24"/>
              </w:rPr>
            </w:r>
            <w:r>
              <w:rPr>
                <w:color w:val="auto"/>
              </w:rPr>
            </w:r>
          </w:p>
        </w:tc>
        <w:tc>
          <w:tcPr>
            <w:shd w:val="clear" w:color="000000" w:fill="ffffff"/>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按照区域公安视频管理部门要求，实现数据的上传共享服务。对本项目视频监控设备及服务设备的故障检测及设备网络安全检测、管理服务，设备的一机一档管理服务，并形成报表记录并存档。</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rPr>
            </w:r>
            <w:r>
              <w:rPr>
                <w:color w:val="auto"/>
              </w:rP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r>
    </w:tbl>
    <w:p>
      <w:pPr>
        <w:pStyle w:val="853"/>
        <w:ind w:left="0"/>
        <w:spacing w:line="360" w:lineRule="auto"/>
        <w:widowControl w:val="off"/>
        <w:rPr>
          <w:rFonts w:hint="eastAsia" w:ascii="宋体" w:hAnsi="宋体" w:eastAsia="宋体" w:cs="宋体"/>
          <w:b/>
          <w:bCs/>
          <w:color w:val="auto"/>
          <w:sz w:val="24"/>
          <w:szCs w:val="24"/>
        </w:rPr>
        <w:outlineLvl w:val="2"/>
      </w:pPr>
      <w:r>
        <w:rPr>
          <w:color w:val="auto"/>
        </w:rPr>
      </w:r>
      <w:bookmarkEnd w:id="6"/>
      <w:r>
        <w:rPr>
          <w:color w:val="auto"/>
        </w:rPr>
      </w:r>
      <w:bookmarkStart w:id="7" w:name="OLE_LINK6"/>
      <w:r>
        <w:rPr>
          <w:rFonts w:hint="eastAsia" w:ascii="宋体" w:hAnsi="宋体" w:eastAsia="宋体" w:cs="宋体"/>
          <w:b/>
          <w:bCs/>
          <w:color w:val="auto"/>
          <w:sz w:val="24"/>
          <w:szCs w:val="24"/>
        </w:rPr>
        <w:t xml:space="preserve">道路治安监控维护B  2016-2017年竣工投入使用（已扣除拆迁与修路拆除数量）</w:t>
      </w:r>
      <w:bookmarkEnd w:id="7"/>
      <w:r>
        <w:rPr>
          <w:rFonts w:hint="eastAsia" w:ascii="宋体" w:hAnsi="宋体" w:eastAsia="宋体" w:cs="宋体"/>
          <w:b/>
          <w:bCs/>
          <w:color w:val="auto"/>
          <w:sz w:val="24"/>
          <w:szCs w:val="24"/>
        </w:rPr>
      </w:r>
      <w:r>
        <w:rPr>
          <w:color w:val="auto"/>
        </w:rPr>
      </w:r>
    </w:p>
    <w:tbl>
      <w:tblPr>
        <w:tblW w:w="1025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2249"/>
        <w:gridCol w:w="5913"/>
        <w:gridCol w:w="684"/>
        <w:gridCol w:w="659"/>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维护部位、名称</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品牌规格或维护要求</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rPr>
                <w:rFonts w:hint="eastAsia" w:ascii="宋体" w:hAnsi="宋体" w:eastAsia="宋体" w:cs="宋体"/>
                <w:b/>
                <w:b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rPr>
                <w:rFonts w:hint="eastAsia" w:ascii="宋体" w:hAnsi="宋体" w:eastAsia="宋体" w:cs="宋体"/>
                <w:b/>
                <w:bCs/>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高清球机</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科达IPC425</w:t>
            </w:r>
            <w:r>
              <w:rPr>
                <w:rFonts w:hint="eastAsia" w:ascii="宋体" w:hAnsi="宋体" w:eastAsia="宋体" w:cs="宋体"/>
                <w:color w:val="auto"/>
                <w:sz w:val="24"/>
                <w:szCs w:val="24"/>
              </w:rPr>
            </w:r>
            <w:r>
              <w:rPr>
                <w:color w:val="auto"/>
              </w:rPr>
            </w:r>
          </w:p>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采用‌200万像素（1080P）‌CMOS传感器，支持‌H.265/H.264‌编码，最高可达‌60fps‌流畅输出；具备‌星光级超低照度‌（部分型号低至0.0001Lux）及‌超宽动态（UWDR）‌功能。</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网络防雷器</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雷迅 SV-2/220EP</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配套球机AC24电源</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187</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室外防水箱</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400</w:t>
            </w:r>
            <w:r>
              <w:rPr>
                <w:rFonts w:hint="eastAsia" w:ascii="宋体" w:hAnsi="宋体" w:eastAsia="宋体" w:cs="宋体"/>
                <w:color w:val="auto"/>
                <w:sz w:val="24"/>
                <w:szCs w:val="24"/>
                <w:lang w:val="en-US" w:eastAsia="zh-CN"/>
              </w:rPr>
              <w:t xml:space="preserve">mm</w:t>
            </w:r>
            <w:r>
              <w:rPr>
                <w:rFonts w:hint="eastAsia" w:ascii="宋体" w:hAnsi="宋体" w:eastAsia="宋体" w:cs="宋体"/>
                <w:color w:val="auto"/>
                <w:sz w:val="24"/>
                <w:szCs w:val="24"/>
              </w:rPr>
              <w:t xml:space="preserve">(高)*300</w:t>
            </w:r>
            <w:r>
              <w:rPr>
                <w:rFonts w:hint="eastAsia" w:ascii="宋体" w:hAnsi="宋体" w:eastAsia="宋体" w:cs="宋体"/>
                <w:color w:val="auto"/>
                <w:sz w:val="24"/>
                <w:szCs w:val="24"/>
                <w:lang w:val="en-US" w:eastAsia="zh-CN"/>
              </w:rPr>
              <w:t xml:space="preserve">mm</w:t>
            </w:r>
            <w:r>
              <w:rPr>
                <w:rFonts w:hint="eastAsia" w:ascii="宋体" w:hAnsi="宋体" w:eastAsia="宋体" w:cs="宋体"/>
                <w:color w:val="auto"/>
                <w:sz w:val="24"/>
                <w:szCs w:val="24"/>
              </w:rPr>
              <w:t xml:space="preserve">（长）*150</w:t>
            </w:r>
            <w:r>
              <w:rPr>
                <w:rFonts w:hint="eastAsia" w:ascii="宋体" w:hAnsi="宋体" w:eastAsia="宋体" w:cs="宋体"/>
                <w:color w:val="auto"/>
                <w:sz w:val="24"/>
                <w:szCs w:val="24"/>
                <w:lang w:val="en-US" w:eastAsia="zh-CN"/>
              </w:rPr>
              <w:t xml:space="preserve">mm</w:t>
            </w:r>
            <w:r>
              <w:rPr>
                <w:rFonts w:hint="eastAsia" w:ascii="宋体" w:hAnsi="宋体" w:eastAsia="宋体" w:cs="宋体"/>
                <w:color w:val="auto"/>
                <w:sz w:val="24"/>
                <w:szCs w:val="24"/>
              </w:rPr>
              <w:t xml:space="preserve">(宽)（不锈钢）</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70</w:t>
            </w:r>
            <w:r>
              <w:rPr>
                <w:rFonts w:hint="eastAsia" w:ascii="宋体" w:hAnsi="宋体" w:eastAsia="宋体" w:cs="宋体"/>
                <w:color w:val="auto"/>
                <w:sz w:val="24"/>
                <w:szCs w:val="24"/>
              </w:rPr>
            </w:r>
            <w:r>
              <w:rPr>
                <w:color w:val="auto"/>
              </w:rP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监控立杆</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定制国产6-6.5M</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70</w:t>
            </w:r>
            <w:r>
              <w:rPr>
                <w:rFonts w:hint="eastAsia" w:ascii="宋体" w:hAnsi="宋体" w:eastAsia="宋体" w:cs="宋体"/>
                <w:color w:val="auto"/>
                <w:sz w:val="24"/>
                <w:szCs w:val="24"/>
              </w:rPr>
            </w:r>
            <w:r>
              <w:rPr>
                <w:color w:val="auto"/>
              </w:rPr>
            </w:r>
          </w:p>
        </w:tc>
      </w:tr>
    </w:tbl>
    <w:p>
      <w:pPr>
        <w:pStyle w:val="853"/>
        <w:ind w:firstLine="420"/>
        <w:spacing w:line="240" w:lineRule="auto"/>
        <w:rPr>
          <w:rFonts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bidi="ar"/>
        </w:rPr>
        <w:t xml:space="preserve">供应商可根据自身需求进行现场勘察，勘察联系人：褚伟杰，电话：65049010。</w:t>
      </w:r>
      <w:r>
        <w:rPr>
          <w:rFonts w:ascii="宋体" w:hAnsi="宋体" w:eastAsia="宋体" w:cs="宋体"/>
          <w:i w:val="0"/>
          <w:iCs w:val="0"/>
          <w:caps w:val="0"/>
          <w:color w:val="auto"/>
          <w:spacing w:val="0"/>
          <w:sz w:val="24"/>
          <w:szCs w:val="24"/>
          <w:shd w:val="clear" w:color="auto" w:fill="ffffff"/>
          <w:lang w:val="en-US" w:eastAsia="zh-CN" w:bidi="ar"/>
        </w:rPr>
      </w:r>
      <w:r>
        <w:rPr>
          <w:color w:val="auto"/>
        </w:rPr>
      </w:r>
    </w:p>
    <w:p>
      <w:pPr>
        <w:pStyle w:val="853"/>
        <w:ind w:left="0"/>
        <w:spacing w:line="360" w:lineRule="auto"/>
        <w:widowControl w:val="off"/>
        <w:rPr>
          <w:rFonts w:hint="eastAsia" w:ascii="宋体" w:hAnsi="宋体" w:eastAsia="宋体" w:cs="宋体"/>
          <w:b/>
          <w:bCs/>
          <w:color w:val="auto"/>
          <w:sz w:val="21"/>
          <w:szCs w:val="21"/>
        </w:rPr>
        <w:outlineLvl w:val="1"/>
      </w:pPr>
      <w:r>
        <w:rPr>
          <w:rFonts w:hint="eastAsia" w:ascii="宋体" w:hAnsi="宋体" w:eastAsia="宋体" w:cs="宋体"/>
          <w:b/>
          <w:bCs/>
          <w:color w:val="auto"/>
          <w:sz w:val="21"/>
          <w:szCs w:val="21"/>
        </w:rPr>
        <w:t xml:space="preserve">（四）服务标准、服务要求</w:t>
      </w:r>
      <w:r>
        <w:rPr>
          <w:rFonts w:hint="eastAsia" w:ascii="宋体" w:hAnsi="宋体" w:eastAsia="宋体" w:cs="宋体"/>
          <w:b/>
          <w:bCs/>
          <w:color w:val="auto"/>
          <w:sz w:val="21"/>
          <w:szCs w:val="21"/>
        </w:rPr>
      </w:r>
      <w:r>
        <w:rPr>
          <w:color w:val="auto"/>
        </w:rPr>
      </w:r>
    </w:p>
    <w:p>
      <w:pPr>
        <w:pStyle w:val="853"/>
        <w:ind w:left="0"/>
        <w:jc w:val="center"/>
        <w:spacing w:line="360" w:lineRule="auto"/>
        <w:widowControl w:val="off"/>
        <w:rPr>
          <w:rFonts w:hint="eastAsia" w:ascii="宋体" w:hAnsi="宋体" w:eastAsia="宋体" w:cs="宋体"/>
          <w:color w:val="auto"/>
          <w:sz w:val="21"/>
          <w:szCs w:val="21"/>
        </w:rPr>
        <w:outlineLvl w:val="1"/>
      </w:pPr>
      <w:r>
        <w:rPr>
          <w:rFonts w:hint="eastAsia" w:ascii="宋体" w:hAnsi="宋体" w:eastAsia="宋体" w:cs="宋体"/>
          <w:color w:val="auto"/>
          <w:sz w:val="21"/>
          <w:szCs w:val="21"/>
        </w:rPr>
        <w:t xml:space="preserve">（1）前端监控系统</w:t>
      </w:r>
      <w:r>
        <w:rPr>
          <w:rFonts w:hint="eastAsia" w:ascii="宋体" w:hAnsi="宋体" w:eastAsia="宋体" w:cs="宋体"/>
          <w:color w:val="auto"/>
          <w:sz w:val="21"/>
          <w:szCs w:val="21"/>
        </w:rPr>
      </w:r>
      <w:r>
        <w:rPr>
          <w:color w:val="auto"/>
        </w:rP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0"/>
        <w:gridCol w:w="5283"/>
        <w:gridCol w:w="2799"/>
      </w:tblGrid>
      <w:tr>
        <w:trPr>
          <w:cantSplit/>
        </w:trPr>
        <w:tc>
          <w:tcPr>
            <w:tcW w:w="2000" w:type="dxa"/>
            <w:vAlign w:val="center"/>
            <w:textDirection w:val="lrTb"/>
            <w:noWrap w:val="false"/>
          </w:tcPr>
          <w:p>
            <w:pPr>
              <w:pStyle w:val="853"/>
              <w:ind w:left="0" w:firstLine="422"/>
              <w:widowControl w:val="off"/>
              <w:rPr>
                <w:rFonts w:hint="eastAsia" w:ascii="宋体" w:hAnsi="宋体" w:eastAsia="宋体" w:cs="宋体"/>
                <w:b/>
                <w:color w:val="auto"/>
              </w:rPr>
            </w:pPr>
            <w:r>
              <w:rPr>
                <w:rFonts w:hint="eastAsia" w:ascii="宋体" w:hAnsi="宋体" w:eastAsia="宋体" w:cs="宋体"/>
                <w:b/>
                <w:color w:val="auto"/>
              </w:rPr>
              <w:t xml:space="preserve">设备名称</w:t>
            </w:r>
            <w:r>
              <w:rPr>
                <w:rFonts w:hint="eastAsia" w:ascii="宋体" w:hAnsi="宋体" w:eastAsia="宋体" w:cs="宋体"/>
                <w:b/>
                <w:color w:val="auto"/>
              </w:rPr>
            </w:r>
            <w:r>
              <w:rPr>
                <w:color w:val="auto"/>
              </w:rPr>
            </w:r>
          </w:p>
        </w:tc>
        <w:tc>
          <w:tcPr>
            <w:tcW w:w="5283" w:type="dxa"/>
            <w:vAlign w:val="center"/>
            <w:textDirection w:val="lrTb"/>
            <w:noWrap w:val="false"/>
          </w:tcPr>
          <w:p>
            <w:pPr>
              <w:pStyle w:val="853"/>
              <w:ind w:left="0" w:firstLine="422"/>
              <w:widowControl w:val="off"/>
              <w:rPr>
                <w:rFonts w:hint="eastAsia" w:ascii="宋体" w:hAnsi="宋体" w:eastAsia="宋体" w:cs="宋体"/>
                <w:b/>
                <w:color w:val="auto"/>
              </w:rPr>
            </w:pPr>
            <w:r>
              <w:rPr>
                <w:rFonts w:hint="eastAsia" w:ascii="宋体" w:hAnsi="宋体" w:eastAsia="宋体" w:cs="宋体"/>
                <w:b/>
                <w:color w:val="auto"/>
              </w:rPr>
              <w:t xml:space="preserve">检查与保养事项</w:t>
            </w:r>
            <w:r>
              <w:rPr>
                <w:rFonts w:hint="eastAsia" w:ascii="宋体" w:hAnsi="宋体" w:eastAsia="宋体" w:cs="宋体"/>
                <w:b/>
                <w:color w:val="auto"/>
              </w:rPr>
            </w:r>
            <w:r>
              <w:rPr>
                <w:color w:val="auto"/>
              </w:rPr>
            </w:r>
          </w:p>
        </w:tc>
        <w:tc>
          <w:tcPr>
            <w:tcW w:w="2799" w:type="dxa"/>
            <w:vAlign w:val="center"/>
            <w:textDirection w:val="lrTb"/>
            <w:noWrap w:val="false"/>
          </w:tcPr>
          <w:p>
            <w:pPr>
              <w:pStyle w:val="853"/>
              <w:ind w:left="0" w:firstLine="422"/>
              <w:widowControl w:val="off"/>
              <w:rPr>
                <w:rFonts w:hint="eastAsia" w:ascii="宋体" w:hAnsi="宋体" w:eastAsia="宋体" w:cs="宋体"/>
                <w:b/>
                <w:color w:val="auto"/>
              </w:rPr>
            </w:pPr>
            <w:r>
              <w:rPr>
                <w:rFonts w:hint="eastAsia" w:ascii="宋体" w:hAnsi="宋体" w:eastAsia="宋体" w:cs="宋体"/>
                <w:b/>
                <w:color w:val="auto"/>
              </w:rPr>
              <w:t xml:space="preserve">标准</w:t>
            </w:r>
            <w:r>
              <w:rPr>
                <w:rFonts w:hint="eastAsia" w:ascii="宋体" w:hAnsi="宋体" w:eastAsia="宋体" w:cs="宋体"/>
                <w:b/>
                <w:color w:val="auto"/>
              </w:rPr>
            </w:r>
            <w:r>
              <w:rPr>
                <w:color w:val="auto"/>
              </w:rP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摄象机、抓拍设备</w:t>
            </w:r>
            <w:r>
              <w:rPr>
                <w:rFonts w:hint="eastAsia" w:ascii="宋体" w:hAnsi="宋体" w:eastAsia="宋体" w:cs="宋体"/>
                <w:color w:val="auto"/>
              </w:rPr>
            </w:r>
            <w:r>
              <w:rPr>
                <w:color w:val="auto"/>
              </w:rP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工作电压及测量、光学清洁、信号传输电缆完好性及连接状态检查</w:t>
            </w:r>
            <w:r>
              <w:rPr>
                <w:rFonts w:hint="eastAsia" w:ascii="宋体" w:hAnsi="宋体" w:eastAsia="宋体" w:cs="宋体"/>
                <w:color w:val="auto"/>
              </w:rPr>
            </w:r>
            <w:r>
              <w:rPr>
                <w:color w:val="auto"/>
              </w:rP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清洁无灰尘、连接正常</w:t>
            </w:r>
            <w:r>
              <w:rPr>
                <w:rFonts w:hint="eastAsia" w:ascii="宋体" w:hAnsi="宋体" w:eastAsia="宋体" w:cs="宋体"/>
                <w:color w:val="auto"/>
              </w:rPr>
            </w:r>
            <w:r>
              <w:rPr>
                <w:color w:val="auto"/>
              </w:rP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补光灯、闪光灯</w:t>
            </w:r>
            <w:r>
              <w:rPr>
                <w:rFonts w:hint="eastAsia" w:ascii="宋体" w:hAnsi="宋体" w:eastAsia="宋体" w:cs="宋体"/>
                <w:color w:val="auto"/>
              </w:rPr>
            </w:r>
            <w:r>
              <w:rPr>
                <w:color w:val="auto"/>
              </w:rP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灯光亮度检查、时控光控开关检查</w:t>
            </w:r>
            <w:r>
              <w:rPr>
                <w:rFonts w:hint="eastAsia" w:ascii="宋体" w:hAnsi="宋体" w:eastAsia="宋体" w:cs="宋体"/>
                <w:color w:val="auto"/>
              </w:rPr>
            </w:r>
            <w:r>
              <w:rPr>
                <w:color w:val="auto"/>
              </w:rP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亮度合理、控制正常</w:t>
            </w:r>
            <w:r>
              <w:rPr>
                <w:rFonts w:hint="eastAsia" w:ascii="宋体" w:hAnsi="宋体" w:eastAsia="宋体" w:cs="宋体"/>
                <w:color w:val="auto"/>
              </w:rPr>
            </w:r>
            <w:r>
              <w:rPr>
                <w:color w:val="auto"/>
              </w:rP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配套设施</w:t>
            </w:r>
            <w:r>
              <w:rPr>
                <w:rFonts w:hint="eastAsia" w:ascii="宋体" w:hAnsi="宋体" w:eastAsia="宋体" w:cs="宋体"/>
                <w:color w:val="auto"/>
              </w:rPr>
            </w:r>
            <w:r>
              <w:rPr>
                <w:color w:val="auto"/>
              </w:rP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杆件、设备箱等外观是否洁净、设备环境温度、温度检查</w:t>
            </w:r>
            <w:r>
              <w:rPr>
                <w:rFonts w:hint="eastAsia" w:ascii="宋体" w:hAnsi="宋体" w:eastAsia="宋体" w:cs="宋体"/>
                <w:color w:val="auto"/>
              </w:rPr>
            </w:r>
            <w:r>
              <w:rPr>
                <w:color w:val="auto"/>
              </w:rP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清洁、环境达标</w:t>
            </w:r>
            <w:r>
              <w:rPr>
                <w:rFonts w:hint="eastAsia" w:ascii="宋体" w:hAnsi="宋体" w:eastAsia="宋体" w:cs="宋体"/>
                <w:color w:val="auto"/>
              </w:rPr>
            </w:r>
            <w:r>
              <w:rPr>
                <w:color w:val="auto"/>
              </w:rP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光终端、网络节点</w:t>
            </w:r>
            <w:r>
              <w:rPr>
                <w:rFonts w:hint="eastAsia" w:ascii="宋体" w:hAnsi="宋体" w:eastAsia="宋体" w:cs="宋体"/>
                <w:color w:val="auto"/>
              </w:rPr>
            </w:r>
            <w:r>
              <w:rPr>
                <w:color w:val="auto"/>
              </w:rP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光终端工作状态、信号传输状态、连接状态检查；大网故障、无光信号由运营商解决</w:t>
            </w:r>
            <w:r>
              <w:rPr>
                <w:rFonts w:hint="eastAsia" w:ascii="宋体" w:hAnsi="宋体" w:eastAsia="宋体" w:cs="宋体"/>
                <w:color w:val="auto"/>
              </w:rPr>
            </w:r>
            <w:r>
              <w:rPr>
                <w:color w:val="auto"/>
              </w:rP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传输正常、业务正常</w:t>
            </w:r>
            <w:r>
              <w:rPr>
                <w:rFonts w:hint="eastAsia" w:ascii="宋体" w:hAnsi="宋体" w:eastAsia="宋体" w:cs="宋体"/>
                <w:color w:val="auto"/>
              </w:rPr>
            </w:r>
            <w:r>
              <w:rPr>
                <w:color w:val="auto"/>
              </w:rPr>
            </w:r>
          </w:p>
        </w:tc>
      </w:tr>
      <w:tr>
        <w:trPr>
          <w:cantSplit/>
        </w:trPr>
        <w:tc>
          <w:tcPr>
            <w:tcW w:w="2000" w:type="dxa"/>
            <w:vAlign w:val="center"/>
            <w:textDirection w:val="lrTb"/>
            <w:noWrap w:val="false"/>
          </w:tcPr>
          <w:p>
            <w:pPr>
              <w:pStyle w:val="853"/>
              <w:ind w:left="0" w:firstLine="420"/>
              <w:widowControl w:val="off"/>
              <w:rPr>
                <w:rFonts w:hint="eastAsia" w:ascii="宋体" w:hAnsi="宋体" w:eastAsia="宋体" w:cs="宋体"/>
                <w:color w:val="auto"/>
              </w:rPr>
            </w:pPr>
            <w:r>
              <w:rPr>
                <w:rFonts w:hint="eastAsia" w:ascii="宋体" w:hAnsi="宋体" w:eastAsia="宋体" w:cs="宋体"/>
                <w:color w:val="auto"/>
              </w:rPr>
              <w:t xml:space="preserve">取电管路</w:t>
            </w:r>
            <w:r>
              <w:rPr>
                <w:rFonts w:hint="eastAsia" w:ascii="宋体" w:hAnsi="宋体" w:eastAsia="宋体" w:cs="宋体"/>
                <w:color w:val="auto"/>
              </w:rPr>
            </w:r>
            <w:r>
              <w:rPr>
                <w:color w:val="auto"/>
              </w:rP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电源电压电流检查、管线管路、手井检查</w:t>
            </w:r>
            <w:r>
              <w:rPr>
                <w:rFonts w:hint="eastAsia" w:ascii="宋体" w:hAnsi="宋体" w:eastAsia="宋体" w:cs="宋体"/>
                <w:color w:val="auto"/>
              </w:rPr>
            </w:r>
            <w:r>
              <w:rPr>
                <w:color w:val="auto"/>
              </w:rP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电源电压稳定、管路无损坏</w:t>
            </w:r>
            <w:r>
              <w:rPr>
                <w:rFonts w:hint="eastAsia" w:ascii="宋体" w:hAnsi="宋体" w:eastAsia="宋体" w:cs="宋体"/>
                <w:color w:val="auto"/>
              </w:rPr>
            </w:r>
            <w:r>
              <w:rPr>
                <w:color w:val="auto"/>
              </w:rPr>
            </w:r>
          </w:p>
        </w:tc>
      </w:tr>
    </w:tbl>
    <w:p>
      <w:pPr>
        <w:pStyle w:val="853"/>
        <w:ind w:left="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（2）中心端服务器、数字化运维服务要求、编解码设备、存储设备</w:t>
      </w:r>
      <w:r>
        <w:rPr>
          <w:rFonts w:hint="eastAsia" w:ascii="宋体" w:hAnsi="宋体" w:eastAsia="宋体" w:cs="宋体"/>
          <w:color w:val="auto"/>
        </w:rPr>
      </w:r>
      <w:r>
        <w:rPr>
          <w:color w:val="auto"/>
        </w:rP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6"/>
        <w:gridCol w:w="1267"/>
        <w:gridCol w:w="4824"/>
        <w:gridCol w:w="2315"/>
      </w:tblGrid>
      <w:tr>
        <w:trPr>
          <w:cantSplit/>
          <w:tblHeader/>
        </w:trPr>
        <w:tc>
          <w:tcPr>
            <w:tcW w:w="1676"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rFonts w:hint="eastAsia" w:ascii="宋体" w:hAnsi="宋体" w:eastAsia="宋体" w:cs="宋体"/>
                <w:b/>
                <w:color w:val="auto"/>
              </w:rPr>
            </w:r>
            <w:r>
              <w:rPr>
                <w:color w:val="auto"/>
              </w:rPr>
            </w:r>
          </w:p>
        </w:tc>
        <w:tc>
          <w:tcPr>
            <w:gridSpan w:val="2"/>
            <w:tcW w:w="6091"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rFonts w:hint="eastAsia" w:ascii="宋体" w:hAnsi="宋体" w:eastAsia="宋体" w:cs="宋体"/>
                <w:b/>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rFonts w:hint="eastAsia" w:ascii="宋体" w:hAnsi="宋体" w:eastAsia="宋体" w:cs="宋体"/>
                <w:b/>
                <w:color w:val="auto"/>
              </w:rPr>
            </w:r>
            <w:r>
              <w:rPr>
                <w:color w:val="auto"/>
              </w:rP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 </w:t>
            </w:r>
            <w:r>
              <w:rPr>
                <w:rFonts w:hint="eastAsia" w:ascii="宋体" w:hAnsi="宋体" w:eastAsia="宋体" w:cs="宋体"/>
                <w:color w:val="auto"/>
              </w:rPr>
            </w:r>
            <w:r>
              <w:rPr>
                <w:color w:val="auto"/>
              </w:rP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rFonts w:hint="eastAsia" w:ascii="宋体" w:hAnsi="宋体" w:eastAsia="宋体" w:cs="宋体"/>
                <w:color w:val="auto"/>
              </w:rPr>
            </w:r>
            <w:r>
              <w:rPr>
                <w:color w:val="auto"/>
              </w:rP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电源风扇、通风过滤网、CPU风扇检查维护</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无抖动，杂音</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键盘、鼠标检查保养</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完好，无抖动</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内部各部件连接状况检查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完好无破损</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内外部清洁保养</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服务器与其他设备、网络等连接状况检查，接线及连接端子紧固</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牢固，无破损</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w:t>
            </w:r>
            <w:r>
              <w:rPr>
                <w:rFonts w:hint="eastAsia" w:ascii="宋体" w:hAnsi="宋体" w:eastAsia="宋体" w:cs="宋体"/>
                <w:color w:val="auto"/>
              </w:rPr>
            </w:r>
            <w:r>
              <w:rPr>
                <w:color w:val="auto"/>
              </w:rP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系统安全性检查 </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数值显示正常</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系统配置检查及系统版本</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工作正常</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系统补丁程序管理</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排除隐患</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系统硬盘碎片整理</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系统备份</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数据正确</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运行日志备份检查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数据正确</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CPU、内存使用情况、响应时间、并发用户数以及特定应用系统资源占用检查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数据库碎片整理</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应用程序（数字化安防运维检测服务）</w:t>
            </w:r>
            <w:r>
              <w:rPr>
                <w:rFonts w:hint="eastAsia" w:ascii="宋体" w:hAnsi="宋体" w:eastAsia="宋体" w:cs="宋体"/>
                <w:color w:val="auto"/>
              </w:rPr>
            </w:r>
            <w:r>
              <w:rPr>
                <w:color w:val="auto"/>
              </w:rP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应用程序各项功能</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正常启动</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应用程序数据库</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备份及优化</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查看应用程序运行故障记录</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应用程序运行日志备份和清理</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运行正常</w:t>
            </w:r>
            <w:r>
              <w:rPr>
                <w:rFonts w:hint="eastAsia" w:ascii="宋体" w:hAnsi="宋体" w:eastAsia="宋体" w:cs="宋体"/>
                <w:color w:val="auto"/>
              </w:rPr>
            </w:r>
            <w:r>
              <w:rPr>
                <w:color w:val="auto"/>
              </w:rPr>
            </w:r>
          </w:p>
        </w:tc>
      </w:tr>
      <w:tr>
        <w:trPr>
          <w:cantSplit/>
        </w:trPr>
        <w:tc>
          <w:tcPr>
            <w:gridSpan w:val="4"/>
            <w:tcW w:w="10082" w:type="dxa"/>
            <w:vAlign w:val="center"/>
            <w:textDirection w:val="lrTb"/>
            <w:noWrap w:val="false"/>
          </w:tcPr>
          <w:p>
            <w:pPr>
              <w:pStyle w:val="853"/>
              <w:ind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rPr>
              <w:t xml:space="preserve">运维客户端服</w:t>
            </w:r>
            <w:r>
              <w:rPr>
                <w:rFonts w:hint="eastAsia" w:ascii="宋体" w:hAnsi="宋体" w:eastAsia="宋体" w:cs="宋体"/>
                <w:b w:val="0"/>
                <w:bCs w:val="0"/>
                <w:color w:val="auto"/>
                <w:sz w:val="21"/>
                <w:szCs w:val="21"/>
              </w:rPr>
              <w:t xml:space="preserve">务能力：</w:t>
            </w:r>
            <w:r>
              <w:rPr>
                <w:rFonts w:hint="eastAsia" w:ascii="宋体" w:hAnsi="宋体" w:eastAsia="宋体" w:cs="宋体"/>
                <w:b w:val="0"/>
                <w:bCs w:val="0"/>
                <w:i w:val="0"/>
                <w:iCs w:val="0"/>
                <w:caps w:val="0"/>
                <w:color w:val="auto"/>
                <w:spacing w:val="0"/>
                <w:sz w:val="21"/>
                <w:szCs w:val="21"/>
                <w:shd w:val="clear" w:color="auto" w:fill="ffffff"/>
                <w:lang w:val="en-US" w:eastAsia="zh-CN" w:bidi="ar"/>
              </w:rPr>
              <w:t xml:space="preserve">现有运维客户端所有权归原运维商所有，后续维护保养服务中，响应单位需自行提供运维客户端。</w:t>
            </w:r>
            <w:r>
              <w:rPr>
                <w:rFonts w:hint="eastAsia" w:ascii="宋体" w:hAnsi="宋体" w:eastAsia="宋体" w:cs="宋体"/>
                <w:b w:val="0"/>
                <w:bCs w:val="0"/>
                <w:color w:val="auto"/>
                <w:sz w:val="21"/>
                <w:szCs w:val="21"/>
              </w:rPr>
              <w:t xml:space="preserve">实现服务内容中涉及流媒体的质量检测取样功能，巡检时效≤10分钟一次，检测能力：在线率检测、颜色异常检测、</w:t>
            </w:r>
            <w:r>
              <w:rPr>
                <w:rFonts w:hint="eastAsia" w:ascii="宋体" w:hAnsi="宋体" w:eastAsia="宋体" w:cs="宋体"/>
                <w:color w:val="auto"/>
              </w:rPr>
              <w:t xml:space="preserve">亮度异常检测、噪点异常检测、视角移位检测、异物遮挡检测、聚焦异常检测；显示界面可一图展示点位信息、视频接入数量、实时在线率、故障类型统计、故障时间超24小时统计。系统可导出整体运行报表、指定区域报表、指定位置报表、图像质量报表、运维情况表。</w:t>
            </w:r>
            <w:r>
              <w:rPr>
                <w:rFonts w:hint="eastAsia" w:ascii="宋体" w:hAnsi="宋体" w:eastAsia="宋体" w:cs="宋体"/>
                <w:color w:val="auto"/>
              </w:rPr>
            </w:r>
            <w:r>
              <w:rPr>
                <w:color w:val="auto"/>
              </w:rP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存储设备</w:t>
            </w:r>
            <w:r>
              <w:rPr>
                <w:rFonts w:hint="eastAsia" w:ascii="宋体" w:hAnsi="宋体" w:eastAsia="宋体" w:cs="宋体"/>
                <w:b/>
                <w:bCs/>
                <w:color w:val="auto"/>
              </w:rPr>
            </w:r>
            <w:r>
              <w:rPr>
                <w:color w:val="auto"/>
              </w:rP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无灰尘</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电源风扇、通风过滤网检查维护</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牢固，无破损</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云存储使用状态检查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存储事件、日志检查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无异常</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云存储文件完整性检查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有无掉包</w:t>
            </w:r>
            <w:r>
              <w:rPr>
                <w:rFonts w:hint="eastAsia" w:ascii="宋体" w:hAnsi="宋体" w:eastAsia="宋体" w:cs="宋体"/>
                <w:color w:val="auto"/>
              </w:rPr>
            </w:r>
            <w:r>
              <w:rPr>
                <w:color w:val="auto"/>
              </w:rP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编解码设备</w:t>
            </w:r>
            <w:r>
              <w:rPr>
                <w:rFonts w:hint="eastAsia" w:ascii="宋体" w:hAnsi="宋体" w:eastAsia="宋体" w:cs="宋体"/>
                <w:color w:val="auto"/>
              </w:rPr>
            </w:r>
            <w:r>
              <w:rPr>
                <w:color w:val="auto"/>
              </w:rP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rFonts w:hint="eastAsia" w:ascii="宋体" w:hAnsi="宋体" w:eastAsia="宋体" w:cs="宋体"/>
                <w:color w:val="auto"/>
              </w:rPr>
            </w:r>
            <w:r>
              <w:rPr>
                <w:color w:val="auto"/>
              </w:rP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电源风扇、通风过滤网、CPU风扇检查维护</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显示器、键盘、鼠标检查保养</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与网络连接状态检查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牢固，无破损</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w:t>
            </w:r>
            <w:r>
              <w:rPr>
                <w:rFonts w:hint="eastAsia" w:ascii="宋体" w:hAnsi="宋体" w:eastAsia="宋体" w:cs="宋体"/>
                <w:color w:val="auto"/>
              </w:rPr>
            </w:r>
            <w:r>
              <w:rPr>
                <w:color w:val="auto"/>
              </w:rP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系统安全性检查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系统配置检查及系统版本</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系统补丁程序管理</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系统硬盘碎片整理</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系统备份</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监控软件</w:t>
            </w:r>
            <w:r>
              <w:rPr>
                <w:rFonts w:hint="eastAsia" w:ascii="宋体" w:hAnsi="宋体" w:eastAsia="宋体" w:cs="宋体"/>
                <w:color w:val="auto"/>
              </w:rPr>
            </w:r>
            <w:r>
              <w:rPr>
                <w:color w:val="auto"/>
              </w:rP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运行日志备份和清理</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正常运行</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配置参数检查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正常运行</w:t>
            </w:r>
            <w:r>
              <w:rPr>
                <w:rFonts w:hint="eastAsia" w:ascii="宋体" w:hAnsi="宋体" w:eastAsia="宋体" w:cs="宋体"/>
                <w:color w:val="auto"/>
              </w:rPr>
            </w:r>
            <w:r>
              <w:rPr>
                <w:color w:val="auto"/>
              </w:rP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画面维护检查</w:t>
            </w:r>
            <w:r>
              <w:rPr>
                <w:rFonts w:hint="eastAsia" w:ascii="宋体" w:hAnsi="宋体" w:eastAsia="宋体" w:cs="宋体"/>
                <w:color w:val="auto"/>
              </w:rPr>
            </w:r>
            <w:r>
              <w:rPr>
                <w:color w:val="auto"/>
              </w:rP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w:t>
            </w:r>
            <w:r>
              <w:rPr>
                <w:rFonts w:hint="eastAsia" w:ascii="宋体" w:hAnsi="宋体" w:eastAsia="宋体" w:cs="宋体"/>
                <w:color w:val="auto"/>
              </w:rPr>
            </w:r>
            <w:r>
              <w:rPr>
                <w:color w:val="auto"/>
              </w:rPr>
            </w:r>
          </w:p>
        </w:tc>
      </w:tr>
    </w:tbl>
    <w:p>
      <w:pPr>
        <w:pStyle w:val="853"/>
        <w:ind w:left="40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（3）网络系统</w:t>
      </w:r>
      <w:r>
        <w:rPr>
          <w:rFonts w:hint="eastAsia" w:ascii="宋体" w:hAnsi="宋体" w:eastAsia="宋体" w:cs="宋体"/>
          <w:color w:val="auto"/>
        </w:rPr>
      </w:r>
      <w:r>
        <w:rPr>
          <w:color w:val="auto"/>
        </w:rP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1361"/>
        <w:gridCol w:w="4144"/>
        <w:gridCol w:w="2569"/>
      </w:tblGrid>
      <w:tr>
        <w:trPr>
          <w:cantSplit/>
          <w:tblHeader/>
        </w:trPr>
        <w:tc>
          <w:tcPr>
            <w:tcW w:w="200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rFonts w:hint="eastAsia" w:ascii="宋体" w:hAnsi="宋体" w:eastAsia="宋体" w:cs="宋体"/>
                <w:b/>
                <w:color w:val="auto"/>
              </w:rPr>
            </w:r>
            <w:r>
              <w:rPr>
                <w:color w:val="auto"/>
              </w:rPr>
            </w:r>
          </w:p>
        </w:tc>
        <w:tc>
          <w:tcPr>
            <w:gridSpan w:val="2"/>
            <w:tcW w:w="550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rFonts w:hint="eastAsia" w:ascii="宋体" w:hAnsi="宋体" w:eastAsia="宋体" w:cs="宋体"/>
                <w:b/>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rFonts w:hint="eastAsia" w:ascii="宋体" w:hAnsi="宋体" w:eastAsia="宋体" w:cs="宋体"/>
                <w:b/>
                <w:color w:val="auto"/>
              </w:rPr>
            </w:r>
            <w:r>
              <w:rPr>
                <w:color w:val="auto"/>
              </w:rP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w:t>
            </w:r>
            <w:r>
              <w:rPr>
                <w:rFonts w:hint="eastAsia" w:ascii="宋体" w:hAnsi="宋体" w:eastAsia="宋体" w:cs="宋体"/>
                <w:color w:val="auto"/>
              </w:rPr>
            </w:r>
            <w:r>
              <w:rPr>
                <w:color w:val="auto"/>
              </w:rPr>
            </w:r>
          </w:p>
        </w:tc>
        <w:tc>
          <w:tcPr>
            <w:gridSpan w:val="2"/>
            <w:tcW w:w="550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rFonts w:hint="eastAsia" w:ascii="宋体" w:hAnsi="宋体" w:eastAsia="宋体" w:cs="宋体"/>
                <w:color w:val="auto"/>
              </w:rPr>
            </w:r>
            <w:r>
              <w:rPr>
                <w:color w:val="auto"/>
              </w:rP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电源风扇、通风过滤网、CPU风扇检查维护</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正常清洁</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键盘、鼠标检查保养</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系统OS软件</w:t>
            </w:r>
            <w:r>
              <w:rPr>
                <w:rFonts w:hint="eastAsia" w:ascii="宋体" w:hAnsi="宋体" w:eastAsia="宋体" w:cs="宋体"/>
                <w:color w:val="auto"/>
              </w:rPr>
            </w:r>
            <w:r>
              <w:rPr>
                <w:color w:val="auto"/>
              </w:rP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系统安全性检查</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系统配置检查及系统版本</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系统补丁程序管理</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系统硬盘碎片整理</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系统备份</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应用软件</w:t>
            </w:r>
            <w:r>
              <w:rPr>
                <w:rFonts w:hint="eastAsia" w:ascii="宋体" w:hAnsi="宋体" w:eastAsia="宋体" w:cs="宋体"/>
                <w:color w:val="auto"/>
              </w:rPr>
            </w:r>
            <w:r>
              <w:rPr>
                <w:color w:val="auto"/>
              </w:rP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检查网络状态</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正常运行</w:t>
            </w:r>
            <w:r>
              <w:rPr>
                <w:rFonts w:hint="eastAsia" w:ascii="宋体" w:hAnsi="宋体" w:eastAsia="宋体" w:cs="宋体"/>
                <w:color w:val="auto"/>
              </w:rPr>
            </w:r>
            <w:r>
              <w:rPr>
                <w:color w:val="auto"/>
              </w:rP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交换机</w:t>
            </w:r>
            <w:r>
              <w:rPr>
                <w:rFonts w:hint="eastAsia" w:ascii="宋体" w:hAnsi="宋体" w:eastAsia="宋体" w:cs="宋体"/>
                <w:color w:val="auto"/>
              </w:rPr>
            </w:r>
            <w:r>
              <w:rPr>
                <w:color w:val="auto"/>
              </w:rP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rFonts w:hint="eastAsia" w:ascii="宋体" w:hAnsi="宋体" w:eastAsia="宋体" w:cs="宋体"/>
                <w:color w:val="auto"/>
              </w:rPr>
            </w:r>
            <w:r>
              <w:rPr>
                <w:color w:val="auto"/>
              </w:rP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运行灯状态检查</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正常状态</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电源风扇检查维护</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配置参数</w:t>
            </w:r>
            <w:r>
              <w:rPr>
                <w:rFonts w:hint="eastAsia" w:ascii="宋体" w:hAnsi="宋体" w:eastAsia="宋体" w:cs="宋体"/>
                <w:color w:val="auto"/>
              </w:rPr>
            </w:r>
            <w:r>
              <w:rPr>
                <w:color w:val="auto"/>
              </w:rP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系统参数检查备份</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VLAN管理参数检查备份</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端口参数检查备份</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冗余配置管理参数检查备份</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00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光缆、双绞线</w:t>
            </w:r>
            <w:r>
              <w:rPr>
                <w:rFonts w:hint="eastAsia" w:ascii="宋体" w:hAnsi="宋体" w:eastAsia="宋体" w:cs="宋体"/>
                <w:color w:val="auto"/>
              </w:rPr>
            </w:r>
            <w:r>
              <w:rPr>
                <w:color w:val="auto"/>
              </w:rPr>
            </w:r>
          </w:p>
        </w:tc>
        <w:tc>
          <w:tcPr>
            <w:gridSpan w:val="2"/>
            <w:tcW w:w="550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性能测试</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正常通讯/测试报告</w:t>
            </w:r>
            <w:r>
              <w:rPr>
                <w:rFonts w:hint="eastAsia" w:ascii="宋体" w:hAnsi="宋体" w:eastAsia="宋体" w:cs="宋体"/>
                <w:color w:val="auto"/>
              </w:rPr>
            </w:r>
            <w:r>
              <w:rPr>
                <w:color w:val="auto"/>
              </w:rPr>
            </w:r>
          </w:p>
        </w:tc>
      </w:tr>
    </w:tbl>
    <w:p>
      <w:pPr>
        <w:pStyle w:val="853"/>
        <w:ind w:left="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（4）显示系统</w:t>
      </w:r>
      <w:r>
        <w:rPr>
          <w:rFonts w:hint="eastAsia" w:ascii="宋体" w:hAnsi="宋体" w:eastAsia="宋体" w:cs="宋体"/>
          <w:color w:val="auto"/>
        </w:rPr>
      </w:r>
      <w:r>
        <w:rPr>
          <w:color w:val="auto"/>
        </w:rP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rFonts w:hint="eastAsia" w:ascii="宋体" w:hAnsi="宋体" w:eastAsia="宋体" w:cs="宋体"/>
                <w:b/>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rFonts w:hint="eastAsia" w:ascii="宋体" w:hAnsi="宋体" w:eastAsia="宋体" w:cs="宋体"/>
                <w:b/>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rFonts w:hint="eastAsia" w:ascii="宋体" w:hAnsi="宋体" w:eastAsia="宋体" w:cs="宋体"/>
                <w:b/>
                <w:color w:val="auto"/>
              </w:rPr>
            </w:r>
            <w:r>
              <w:rPr>
                <w:color w:val="auto"/>
              </w:rP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显示单元</w:t>
            </w:r>
            <w:r>
              <w:rPr>
                <w:rFonts w:hint="eastAsia" w:ascii="宋体" w:hAnsi="宋体" w:eastAsia="宋体" w:cs="宋体"/>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作为常规使用性维护，连接状态、工作状态、清洁保养、环境温湿度检测等检查；</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w:t>
            </w:r>
            <w:r>
              <w:rPr>
                <w:rFonts w:hint="eastAsia" w:ascii="宋体" w:hAnsi="宋体" w:eastAsia="宋体" w:cs="宋体"/>
                <w:color w:val="auto"/>
              </w:rPr>
            </w:r>
            <w:r>
              <w:rPr>
                <w:color w:val="auto"/>
              </w:rP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图像处理器</w:t>
            </w:r>
            <w:r>
              <w:rPr>
                <w:rFonts w:hint="eastAsia" w:ascii="宋体" w:hAnsi="宋体" w:eastAsia="宋体" w:cs="宋体"/>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功能完整性测试</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显示管理软件</w:t>
            </w:r>
            <w:r>
              <w:rPr>
                <w:rFonts w:hint="eastAsia" w:ascii="宋体" w:hAnsi="宋体" w:eastAsia="宋体" w:cs="宋体"/>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功能完整性测试</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bl>
    <w:p>
      <w:pPr>
        <w:pStyle w:val="853"/>
        <w:ind w:left="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（5）综合管理平台（Infovision PVIA (DN)）</w:t>
      </w:r>
      <w:r>
        <w:rPr>
          <w:rFonts w:hint="eastAsia" w:ascii="宋体" w:hAnsi="宋体" w:eastAsia="宋体" w:cs="宋体"/>
          <w:color w:val="auto"/>
        </w:rPr>
      </w:r>
      <w:r>
        <w:rPr>
          <w:color w:val="auto"/>
        </w:rP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rFonts w:hint="eastAsia" w:ascii="宋体" w:hAnsi="宋体" w:eastAsia="宋体" w:cs="宋体"/>
                <w:b/>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rFonts w:hint="eastAsia" w:ascii="宋体" w:hAnsi="宋体" w:eastAsia="宋体" w:cs="宋体"/>
                <w:b/>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rFonts w:hint="eastAsia" w:ascii="宋体" w:hAnsi="宋体" w:eastAsia="宋体" w:cs="宋体"/>
                <w:b/>
                <w:color w:val="auto"/>
              </w:rPr>
            </w:r>
            <w:r>
              <w:rPr>
                <w:color w:val="auto"/>
              </w:rP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应用管理服务</w:t>
            </w:r>
            <w:r>
              <w:rPr>
                <w:rFonts w:hint="eastAsia" w:ascii="宋体" w:hAnsi="宋体" w:eastAsia="宋体" w:cs="宋体"/>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视频应用、电子地图、查询中心、布控中心、统计中心、人脸应用、车辆应用、探针应用、视频解析、案件研判、运维应用等</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rFonts w:hint="eastAsia" w:ascii="宋体" w:hAnsi="宋体" w:eastAsia="宋体" w:cs="宋体"/>
                <w:color w:val="auto"/>
              </w:rPr>
            </w:r>
            <w:r>
              <w:rPr>
                <w:color w:val="auto"/>
              </w:rP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视频应用服务</w:t>
            </w:r>
            <w:r>
              <w:rPr>
                <w:rFonts w:hint="eastAsia" w:ascii="宋体" w:hAnsi="宋体" w:eastAsia="宋体" w:cs="宋体"/>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流媒体服务、管理服务、接入服务、存储管理、大屏管理服务、视频联网服务、报警管理服务、卡口分析服务、人脸比对服务、对外接口服务</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rFonts w:hint="eastAsia" w:ascii="宋体" w:hAnsi="宋体" w:eastAsia="宋体" w:cs="宋体"/>
                <w:color w:val="auto"/>
              </w:rPr>
            </w:r>
            <w:r>
              <w:rPr>
                <w:color w:val="auto"/>
              </w:rP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应用功能模块</w:t>
            </w:r>
            <w:r>
              <w:rPr>
                <w:rFonts w:hint="eastAsia" w:ascii="宋体" w:hAnsi="宋体" w:eastAsia="宋体" w:cs="宋体"/>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视频应用、电子地图、查询中心、布控功能、统计功能、人脸应用、车辆应用、视频解析应用</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rFonts w:hint="eastAsia" w:ascii="宋体" w:hAnsi="宋体" w:eastAsia="宋体" w:cs="宋体"/>
                <w:color w:val="auto"/>
              </w:rPr>
            </w:r>
            <w:r>
              <w:rPr>
                <w:color w:val="auto"/>
              </w:rP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配置管理模块</w:t>
            </w:r>
            <w:r>
              <w:rPr>
                <w:rFonts w:hint="eastAsia" w:ascii="宋体" w:hAnsi="宋体" w:eastAsia="宋体" w:cs="宋体"/>
                <w:color w:val="auto"/>
              </w:rPr>
            </w:r>
            <w:r>
              <w:rPr>
                <w:color w:val="auto"/>
              </w:rP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用户管理、日志管理、组织管理、卡口管理、人脸管理、结构化分析管理、报警管理、帮助中心等</w:t>
            </w:r>
            <w:r>
              <w:rPr>
                <w:rFonts w:hint="eastAsia" w:ascii="宋体" w:hAnsi="宋体" w:eastAsia="宋体" w:cs="宋体"/>
                <w:color w:val="auto"/>
              </w:rPr>
            </w:r>
            <w:r>
              <w:rPr>
                <w:color w:val="auto"/>
              </w:rP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rFonts w:hint="eastAsia" w:ascii="宋体" w:hAnsi="宋体" w:eastAsia="宋体" w:cs="宋体"/>
                <w:color w:val="auto"/>
              </w:rPr>
            </w:r>
            <w:r>
              <w:rPr>
                <w:color w:val="auto"/>
              </w:rPr>
            </w:r>
          </w:p>
        </w:tc>
      </w:tr>
    </w:tbl>
    <w:p>
      <w:pPr>
        <w:pStyle w:val="853"/>
        <w:ind w:left="40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（6）软件系统含第三方软件系统</w:t>
      </w:r>
      <w:r>
        <w:rPr>
          <w:rFonts w:hint="eastAsia" w:ascii="宋体" w:hAnsi="宋体" w:eastAsia="宋体" w:cs="宋体"/>
          <w:color w:val="auto"/>
        </w:rPr>
      </w:r>
      <w:r>
        <w:rPr>
          <w:color w:val="auto"/>
        </w:rPr>
      </w:r>
    </w:p>
    <w:tbl>
      <w:tblPr>
        <w:tblW w:w="9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4"/>
        <w:gridCol w:w="5478"/>
        <w:gridCol w:w="2182"/>
      </w:tblGrid>
      <w:tr>
        <w:trPr>
          <w:cantSplit/>
          <w:tblHeader/>
        </w:trPr>
        <w:tc>
          <w:tcPr>
            <w:tcW w:w="2164"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rFonts w:hint="eastAsia" w:ascii="宋体" w:hAnsi="宋体" w:eastAsia="宋体" w:cs="宋体"/>
                <w:b/>
                <w:color w:val="auto"/>
              </w:rPr>
            </w:r>
            <w:r>
              <w:rPr>
                <w:color w:val="auto"/>
              </w:rPr>
            </w:r>
          </w:p>
        </w:tc>
        <w:tc>
          <w:tcPr>
            <w:tcW w:w="547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rFonts w:hint="eastAsia" w:ascii="宋体" w:hAnsi="宋体" w:eastAsia="宋体" w:cs="宋体"/>
                <w:b/>
                <w:color w:val="auto"/>
              </w:rPr>
            </w:r>
            <w:r>
              <w:rPr>
                <w:color w:val="auto"/>
              </w:rPr>
            </w:r>
          </w:p>
        </w:tc>
        <w:tc>
          <w:tcPr>
            <w:tcW w:w="2182"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rFonts w:hint="eastAsia" w:ascii="宋体" w:hAnsi="宋体" w:eastAsia="宋体" w:cs="宋体"/>
                <w:b/>
                <w:color w:val="auto"/>
              </w:rPr>
            </w:r>
            <w:r>
              <w:rPr>
                <w:color w:val="auto"/>
              </w:rP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运行环境检查</w:t>
            </w:r>
            <w:r>
              <w:rPr>
                <w:rFonts w:hint="eastAsia" w:ascii="宋体" w:hAnsi="宋体" w:eastAsia="宋体" w:cs="宋体"/>
                <w:color w:val="auto"/>
              </w:rPr>
            </w:r>
            <w:r>
              <w:rPr>
                <w:color w:val="auto"/>
              </w:rP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通用类运行环境检查，如：tomcat、IIS等</w:t>
            </w:r>
            <w:r>
              <w:rPr>
                <w:rFonts w:hint="eastAsia" w:ascii="宋体" w:hAnsi="宋体" w:eastAsia="宋体" w:cs="宋体"/>
                <w:color w:val="auto"/>
              </w:rPr>
            </w:r>
            <w:r>
              <w:rPr>
                <w:color w:val="auto"/>
              </w:rP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运行正常无报错</w:t>
            </w:r>
            <w:r>
              <w:rPr>
                <w:rFonts w:hint="eastAsia" w:ascii="宋体" w:hAnsi="宋体" w:eastAsia="宋体" w:cs="宋体"/>
                <w:color w:val="auto"/>
              </w:rPr>
            </w:r>
            <w:r>
              <w:rPr>
                <w:color w:val="auto"/>
              </w:rP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缓存检查</w:t>
            </w:r>
            <w:r>
              <w:rPr>
                <w:rFonts w:hint="eastAsia" w:ascii="宋体" w:hAnsi="宋体" w:eastAsia="宋体" w:cs="宋体"/>
                <w:color w:val="auto"/>
              </w:rPr>
            </w:r>
            <w:r>
              <w:rPr>
                <w:color w:val="auto"/>
              </w:rP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定期缓存清理</w:t>
            </w:r>
            <w:r>
              <w:rPr>
                <w:rFonts w:hint="eastAsia" w:ascii="宋体" w:hAnsi="宋体" w:eastAsia="宋体" w:cs="宋体"/>
                <w:color w:val="auto"/>
              </w:rPr>
            </w:r>
            <w:r>
              <w:rPr>
                <w:color w:val="auto"/>
              </w:rP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rFonts w:hint="eastAsia" w:ascii="宋体" w:hAnsi="宋体" w:eastAsia="宋体" w:cs="宋体"/>
                <w:color w:val="auto"/>
              </w:rPr>
            </w:r>
            <w:r>
              <w:rPr>
                <w:color w:val="auto"/>
              </w:rP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数据库备份</w:t>
            </w:r>
            <w:r>
              <w:rPr>
                <w:rFonts w:hint="eastAsia" w:ascii="宋体" w:hAnsi="宋体" w:eastAsia="宋体" w:cs="宋体"/>
                <w:color w:val="auto"/>
              </w:rPr>
            </w:r>
            <w:r>
              <w:rPr>
                <w:color w:val="auto"/>
              </w:rP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定期数据库备份、检查错误日志</w:t>
            </w:r>
            <w:r>
              <w:rPr>
                <w:rFonts w:hint="eastAsia" w:ascii="宋体" w:hAnsi="宋体" w:eastAsia="宋体" w:cs="宋体"/>
                <w:color w:val="auto"/>
              </w:rPr>
            </w:r>
            <w:r>
              <w:rPr>
                <w:color w:val="auto"/>
              </w:rP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每月一次</w:t>
            </w:r>
            <w:r>
              <w:rPr>
                <w:rFonts w:hint="eastAsia" w:ascii="宋体" w:hAnsi="宋体" w:eastAsia="宋体" w:cs="宋体"/>
                <w:color w:val="auto"/>
              </w:rPr>
            </w:r>
            <w:r>
              <w:rPr>
                <w:color w:val="auto"/>
              </w:rP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功能性检查</w:t>
            </w:r>
            <w:r>
              <w:rPr>
                <w:rFonts w:hint="eastAsia" w:ascii="宋体" w:hAnsi="宋体" w:eastAsia="宋体" w:cs="宋体"/>
                <w:color w:val="auto"/>
              </w:rPr>
            </w:r>
            <w:r>
              <w:rPr>
                <w:color w:val="auto"/>
              </w:rP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现有功能的完整性检查，发生短缺、报错等故障，第一时间上报原厂家解决</w:t>
            </w:r>
            <w:r>
              <w:rPr>
                <w:rFonts w:hint="eastAsia" w:ascii="宋体" w:hAnsi="宋体" w:eastAsia="宋体" w:cs="宋体"/>
                <w:color w:val="auto"/>
              </w:rPr>
            </w:r>
            <w:r>
              <w:rPr>
                <w:color w:val="auto"/>
              </w:rP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功能正常</w:t>
            </w:r>
            <w:r>
              <w:rPr>
                <w:rFonts w:hint="eastAsia" w:ascii="宋体" w:hAnsi="宋体" w:eastAsia="宋体" w:cs="宋体"/>
                <w:color w:val="auto"/>
              </w:rPr>
            </w:r>
            <w:r>
              <w:rPr>
                <w:color w:val="auto"/>
              </w:rP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功能性拓展</w:t>
            </w:r>
            <w:r>
              <w:rPr>
                <w:rFonts w:hint="eastAsia" w:ascii="宋体" w:hAnsi="宋体" w:eastAsia="宋体" w:cs="宋体"/>
                <w:color w:val="auto"/>
              </w:rPr>
            </w:r>
            <w:r>
              <w:rPr>
                <w:color w:val="auto"/>
              </w:rP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提供必要的生产环境、协助软件生产厂家做好系统升级等工作</w:t>
            </w:r>
            <w:r>
              <w:rPr>
                <w:rFonts w:hint="eastAsia" w:ascii="宋体" w:hAnsi="宋体" w:eastAsia="宋体" w:cs="宋体"/>
                <w:color w:val="auto"/>
              </w:rPr>
            </w:r>
            <w:r>
              <w:rPr>
                <w:color w:val="auto"/>
              </w:rP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配合协助</w:t>
            </w:r>
            <w:r>
              <w:rPr>
                <w:rFonts w:hint="eastAsia" w:ascii="宋体" w:hAnsi="宋体" w:eastAsia="宋体" w:cs="宋体"/>
                <w:color w:val="auto"/>
              </w:rPr>
            </w:r>
            <w:r>
              <w:rPr>
                <w:color w:val="auto"/>
              </w:rP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服务器日志检查</w:t>
            </w:r>
            <w:r>
              <w:rPr>
                <w:rFonts w:hint="eastAsia" w:ascii="宋体" w:hAnsi="宋体" w:eastAsia="宋体" w:cs="宋体"/>
                <w:color w:val="auto"/>
              </w:rPr>
            </w:r>
            <w:r>
              <w:rPr>
                <w:color w:val="auto"/>
              </w:rP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定期检查服务器运行日志，发现数据异常、受攻击等情况时，第一时间上报原厂家解决</w:t>
            </w:r>
            <w:r>
              <w:rPr>
                <w:rFonts w:hint="eastAsia" w:ascii="宋体" w:hAnsi="宋体" w:eastAsia="宋体" w:cs="宋体"/>
                <w:color w:val="auto"/>
              </w:rPr>
            </w:r>
            <w:r>
              <w:rPr>
                <w:color w:val="auto"/>
              </w:rP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检查协助</w:t>
            </w:r>
            <w:r>
              <w:rPr>
                <w:rFonts w:hint="eastAsia" w:ascii="宋体" w:hAnsi="宋体" w:eastAsia="宋体" w:cs="宋体"/>
                <w:color w:val="auto"/>
              </w:rPr>
            </w:r>
            <w:r>
              <w:rPr>
                <w:color w:val="auto"/>
              </w:rPr>
            </w:r>
          </w:p>
        </w:tc>
      </w:tr>
    </w:tbl>
    <w:p>
      <w:pPr>
        <w:pStyle w:val="889"/>
        <w:ind w:left="0" w:firstLine="0"/>
        <w:jc w:val="both"/>
        <w:rPr>
          <w:rFonts w:hint="eastAsia" w:ascii="宋体" w:hAnsi="宋体" w:eastAsia="宋体" w:cs="宋体"/>
          <w:b/>
          <w:bCs/>
          <w:color w:val="auto"/>
        </w:rPr>
      </w:pPr>
      <w:r>
        <w:rPr>
          <w:rFonts w:hint="eastAsia" w:ascii="宋体" w:hAnsi="宋体" w:eastAsia="宋体" w:cs="宋体"/>
          <w:b/>
          <w:bCs/>
          <w:color w:val="auto"/>
        </w:rPr>
        <w:t xml:space="preserve">（</w:t>
      </w:r>
      <w:r>
        <w:rPr>
          <w:rFonts w:hint="eastAsia" w:ascii="宋体" w:hAnsi="宋体" w:eastAsia="宋体" w:cs="宋体"/>
          <w:b/>
          <w:bCs/>
          <w:color w:val="auto"/>
          <w:lang w:val="en-US" w:eastAsia="zh-CN"/>
        </w:rPr>
        <w:t xml:space="preserve">五</w:t>
      </w:r>
      <w:r>
        <w:rPr>
          <w:rFonts w:hint="eastAsia" w:ascii="宋体" w:hAnsi="宋体" w:eastAsia="宋体" w:cs="宋体"/>
          <w:b/>
          <w:bCs/>
          <w:color w:val="auto"/>
        </w:rPr>
        <w:t xml:space="preserve">）服务考核表</w:t>
      </w:r>
      <w:r>
        <w:rPr>
          <w:rFonts w:hint="eastAsia" w:ascii="宋体" w:hAnsi="宋体" w:eastAsia="宋体" w:cs="宋体"/>
          <w:b/>
          <w:bCs/>
          <w:color w:val="auto"/>
        </w:rPr>
      </w:r>
      <w:r>
        <w:rPr>
          <w:color w:val="auto"/>
        </w:rPr>
      </w:r>
    </w:p>
    <w:tbl>
      <w:tblPr>
        <w:tblW w:w="526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3"/>
        <w:gridCol w:w="1273"/>
        <w:gridCol w:w="791"/>
        <w:gridCol w:w="2733"/>
        <w:gridCol w:w="4202"/>
      </w:tblGrid>
      <w:tr>
        <w:trPr>
          <w:tblHeader/>
        </w:trPr>
        <w:tc>
          <w:tcPr>
            <w:gridSpan w:val="2"/>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考核项目</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105" w:right="-105"/>
              <w:jc w:val="center"/>
              <w:keepLines w:val="0"/>
              <w:keepNext w:val="0"/>
              <w:pageBreakBefore w:val="0"/>
              <w:spacing w:line="240" w:lineRule="auto"/>
              <w:widowControl w:val="off"/>
              <w:tabs>
                <w:tab w:val="left" w:pos="6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考核内容</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考核标准</w:t>
            </w:r>
            <w:r>
              <w:rPr>
                <w:rFonts w:hint="eastAsia" w:ascii="宋体" w:hAnsi="宋体" w:eastAsia="宋体" w:cs="宋体"/>
                <w:b/>
                <w:bCs/>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一、基础管理（共计25分）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1.工作计划管理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由维保维护单位按要求提交年度整体工作计划方案，结合方案完整性、合理性、可落地性、针对性综合评分：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方案内容完整、规划清晰、贴合实际运维工作，得5分；内容基本完整、规划较合理，略有瑕疵，得3分；内容简略、规划笼统、可执行性差，得1分；未按时提交、拒不提交年度工作计划，得0分。</w:t>
            </w:r>
            <w:r>
              <w:rPr>
                <w:rFonts w:hint="eastAsia" w:ascii="宋体" w:hAnsi="宋体" w:eastAsia="宋体" w:cs="宋体"/>
                <w:color w:val="auto"/>
                <w:sz w:val="21"/>
                <w:szCs w:val="21"/>
                <w:lang w:bidi="ar"/>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2.设备运行状况检查记录</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要求每月完成1次设备运行状况现场检查，规范填写检查记录表，并经使用单位现场签字确认：</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全月记录表齐全、填写规范、确认手续完整，得10分；</w:t>
            </w:r>
            <w:r>
              <w:rPr>
                <w:rFonts w:hint="eastAsia" w:ascii="宋体" w:hAnsi="宋体" w:eastAsia="宋体" w:cs="宋体"/>
                <w:color w:val="auto"/>
                <w:sz w:val="21"/>
                <w:szCs w:val="21"/>
                <w:lang w:bidi="ar"/>
              </w:rPr>
            </w:r>
            <w:r>
              <w:rPr>
                <w:color w:val="auto"/>
              </w:rPr>
            </w:r>
          </w:p>
          <w:p>
            <w:pPr>
              <w:pStyle w:val="853"/>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每缺失1张月度检查记录表，扣2分；本项分数扣完为止。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3.故障报修修复确认记录</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针对用户主动上报故障，完成维修后留存修复确认记录，以使用单位反馈评价为准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所有报修故障均及时修复、用户评价满意，得10分；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出现1起及以上用户反馈维修服务、修复效果不满意情况，每起扣2分；本项分数扣完为止。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二、质量管理（共计55分）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1.硬件设备完好率</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考核周期内，公安监控硬件设备综合完好率标准为≥95%：</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设备完好率达标（95%及以上），得15分；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完好率每低于标准1个百分点，扣2分；本项分数扣完为止。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2.故障限时修复</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严格按照合同约定时限处置、修复各类设备及系统故障（不可抗力、甲方/上级指令等特殊原因除外）</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所有故障均在合同规定时限内完成修复，得10分；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无正当理由，每出现1起故障超时修复，扣2分；本项分数扣完为止。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3.监控图像及字符标准合规</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监控画面质量、画面字符叠加内容、格式严格遵照市局统一标准执行：</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全程合规，未收到上级部门通报，得10分；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每被上级部门通报1次图像、字符不合规问题，扣2分；本项分数扣完为止。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4.软件系统运行保障</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保障各类运维范围内软件系统稳定运行（因上级平台、网络、线路等外部原因引发故障除外）</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考核期内无软件系统重大故障，得10分；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每发生1起软件系统重大故障，扣2分；本项分数扣完为止。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5.网络用规范管理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严格遵守公安网管理规定，严禁出现网络混接、一机两用等违规行为：</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无网络违规行为、未被上级部门通报，得10分；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每发生1起网络混接、一机两用行为，或因此被上级部门通报，单次扣10分；本项分数扣完为止。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三、人员管理（共计20分）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1.人员仪容仪表与服务态度</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现场维保作业人员统一着装、仪容整洁，服务沟通态度文明友善：</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全员规范着装、服务态度良好，无违规情况，得10分；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每出现1人次着装不规范、言行态度恶劣、服务生硬等违规情况，扣2分；本项分数扣完为止。</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2.保密纪律管理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维保人员严格遵守公安保密规定，严禁泄露工作中接触、听闻、目睹的案件信息、涉密事件及其他无关涉密内容：</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考核期内无泄密、违规传播情况，得10分；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无意或故意向外透露涉密信息、案件、内部事件，每发现1起，扣2分；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因信息泄露造成不良社会影响、单位负面影响的，本项直接扣10分；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若泄密行为造成严重违法后果，除考核扣分外，依法追究当事人相关法律责任。</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四、加分项（最高10分）</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1.平台零故障运行</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维保期间，系统相关平台、软件系统运行稳定零故障</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整个维保考核周期内，所辖业务平台、配套软件系统全程稳定运行、零故障，一次性加5分；出现故障则本项不予加分。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所有加分项均需附书面说明，写明加分事由、任务详情、完成情况，无说明不予计分。</w:t>
            </w:r>
            <w:r>
              <w:rPr>
                <w:rFonts w:hint="eastAsia" w:ascii="宋体" w:hAnsi="宋体" w:eastAsia="宋体" w:cs="宋体"/>
                <w:color w:val="auto"/>
                <w:sz w:val="21"/>
                <w:szCs w:val="21"/>
              </w:rPr>
            </w:r>
            <w:r>
              <w:rPr>
                <w:color w:val="auto"/>
              </w:rP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2.配合维稳处突工作</w:t>
            </w:r>
            <w:r>
              <w:rPr>
                <w:rFonts w:hint="eastAsia" w:ascii="宋体" w:hAnsi="宋体" w:eastAsia="宋体" w:cs="宋体"/>
                <w:b/>
                <w:bCs/>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维保单位及人员主动配合甲方开展维稳、应急处突等专项工作，按时保质完成任务，按任务等级计分</w:t>
            </w:r>
            <w:r>
              <w:rPr>
                <w:rFonts w:hint="eastAsia" w:ascii="宋体" w:hAnsi="宋体" w:eastAsia="宋体" w:cs="宋体"/>
                <w:color w:val="auto"/>
                <w:sz w:val="21"/>
                <w:szCs w:val="21"/>
              </w:rPr>
            </w:r>
            <w:r>
              <w:rPr>
                <w:color w:val="auto"/>
              </w:rP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配合甲方完成维稳处突任务，按任务重要性单次加1-5分；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常规一般处突任务，圆满完成加1-2分；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重点、紧急维稳处突任务，高效圆满完成加3-5分；</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本项累计加分上限5分，加分需书面注明事由。</w:t>
            </w:r>
            <w:r>
              <w:rPr>
                <w:rFonts w:hint="eastAsia" w:ascii="宋体" w:hAnsi="宋体" w:eastAsia="宋体" w:cs="宋体"/>
                <w:color w:val="auto"/>
                <w:sz w:val="21"/>
                <w:szCs w:val="21"/>
                <w:lang w:bidi="ar"/>
              </w:rPr>
            </w:r>
            <w:r>
              <w:rPr>
                <w:color w:val="auto"/>
              </w:rP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所有加分项均需附书面说明，写明加分事由、任务详情、完成情况，无说明不予计分。</w:t>
            </w:r>
            <w:r>
              <w:rPr>
                <w:rFonts w:hint="eastAsia" w:ascii="宋体" w:hAnsi="宋体" w:eastAsia="宋体" w:cs="宋体"/>
                <w:color w:val="auto"/>
                <w:sz w:val="21"/>
                <w:szCs w:val="21"/>
              </w:rPr>
            </w:r>
            <w:r>
              <w:rPr>
                <w:color w:val="auto"/>
              </w:rPr>
            </w:r>
          </w:p>
        </w:tc>
      </w:tr>
    </w:tbl>
    <w:p>
      <w:pPr>
        <w:pStyle w:val="853"/>
        <w:ind w:left="0" w:firstLine="420"/>
        <w:spacing w:line="360" w:lineRule="auto"/>
        <w:rPr>
          <w:rFonts w:hint="eastAsia" w:ascii="宋体" w:hAnsi="宋体" w:cs="宋体"/>
          <w:color w:val="auto"/>
          <w:szCs w:val="21"/>
        </w:rPr>
      </w:pPr>
      <w:r>
        <w:rPr>
          <w:rFonts w:hint="eastAsia" w:ascii="宋体" w:hAnsi="宋体" w:cs="宋体"/>
          <w:color w:val="auto"/>
          <w:sz w:val="21"/>
          <w:szCs w:val="21"/>
        </w:rPr>
        <w:t xml:space="preserve">1）当考核结果≥9</w:t>
      </w:r>
      <w:r>
        <w:rPr>
          <w:rFonts w:hint="eastAsia" w:ascii="宋体" w:hAnsi="宋体" w:cs="宋体"/>
          <w:color w:val="auto"/>
          <w:szCs w:val="21"/>
        </w:rPr>
        <w:t xml:space="preserve">0</w:t>
      </w:r>
      <w:r>
        <w:rPr>
          <w:rFonts w:hint="eastAsia" w:ascii="宋体" w:hAnsi="宋体" w:cs="宋体"/>
          <w:color w:val="auto"/>
          <w:sz w:val="21"/>
          <w:szCs w:val="21"/>
        </w:rPr>
        <w:t xml:space="preserve">分时，甲方可按合同全额付款。</w:t>
      </w:r>
      <w:r>
        <w:rPr>
          <w:rFonts w:hint="eastAsia" w:ascii="宋体" w:hAnsi="宋体" w:cs="宋体"/>
          <w:color w:val="auto"/>
          <w:szCs w:val="21"/>
        </w:rPr>
      </w:r>
      <w:r>
        <w:rPr>
          <w:color w:val="auto"/>
        </w:rPr>
      </w:r>
    </w:p>
    <w:p>
      <w:pPr>
        <w:pStyle w:val="853"/>
        <w:ind w:left="0" w:firstLine="420"/>
        <w:spacing w:line="360" w:lineRule="auto"/>
        <w:rPr>
          <w:rFonts w:hint="eastAsia" w:ascii="宋体" w:hAnsi="宋体" w:cs="宋体"/>
          <w:color w:val="auto"/>
          <w:szCs w:val="21"/>
        </w:rPr>
      </w:pPr>
      <w:r>
        <w:rPr>
          <w:rFonts w:hint="eastAsia" w:ascii="宋体" w:hAnsi="宋体" w:cs="宋体"/>
          <w:color w:val="auto"/>
          <w:sz w:val="21"/>
          <w:szCs w:val="21"/>
        </w:rPr>
        <w:t xml:space="preserve">2）当考评结果＜9</w:t>
      </w:r>
      <w:r>
        <w:rPr>
          <w:rFonts w:hint="eastAsia" w:ascii="宋体" w:hAnsi="宋体" w:cs="宋体"/>
          <w:color w:val="auto"/>
          <w:szCs w:val="21"/>
        </w:rPr>
        <w:t xml:space="preserve">0</w:t>
      </w:r>
      <w:r>
        <w:rPr>
          <w:rFonts w:hint="eastAsia" w:ascii="宋体" w:hAnsi="宋体" w:cs="宋体"/>
          <w:color w:val="auto"/>
          <w:sz w:val="21"/>
          <w:szCs w:val="21"/>
        </w:rPr>
        <w:t xml:space="preserve">分，甲方按照考核分比例付款。（例：考核结果为85分，即应付款*0.85）</w:t>
      </w:r>
      <w:r>
        <w:rPr>
          <w:rFonts w:hint="eastAsia" w:ascii="宋体" w:hAnsi="宋体" w:cs="宋体"/>
          <w:color w:val="auto"/>
          <w:szCs w:val="21"/>
        </w:rPr>
      </w:r>
      <w:r>
        <w:rPr>
          <w:color w:val="auto"/>
        </w:rPr>
      </w:r>
    </w:p>
    <w:p>
      <w:pPr>
        <w:pStyle w:val="853"/>
        <w:ind w:left="0" w:firstLine="420"/>
        <w:spacing w:line="360" w:lineRule="auto"/>
        <w:rPr>
          <w:rFonts w:hint="eastAsia" w:ascii="宋体" w:hAnsi="宋体" w:cs="宋体"/>
          <w:color w:val="auto"/>
          <w:szCs w:val="21"/>
        </w:rPr>
      </w:pPr>
      <w:r>
        <w:rPr>
          <w:rFonts w:hint="eastAsia" w:ascii="宋体" w:hAnsi="宋体" w:cs="宋体"/>
          <w:color w:val="auto"/>
          <w:sz w:val="21"/>
          <w:szCs w:val="21"/>
        </w:rPr>
        <w:t xml:space="preserve">3）当考评结果＜60分，甲方有权拒绝支付所有款项。</w:t>
      </w:r>
      <w:r>
        <w:rPr>
          <w:rFonts w:hint="eastAsia" w:ascii="宋体" w:hAnsi="宋体" w:cs="宋体"/>
          <w:color w:val="auto"/>
          <w:szCs w:val="21"/>
        </w:rPr>
      </w:r>
      <w:r>
        <w:rPr>
          <w:color w:val="auto"/>
        </w:rPr>
      </w:r>
    </w:p>
    <w:p>
      <w:pPr>
        <w:pStyle w:val="853"/>
        <w:jc w:val="left"/>
        <w:spacing w:line="360" w:lineRule="auto"/>
        <w:tabs>
          <w:tab w:val="left" w:pos="720" w:leader="none"/>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、综合说明及其它要求：</w:t>
      </w:r>
      <w:r>
        <w:rPr>
          <w:rFonts w:hint="eastAsia" w:ascii="宋体" w:hAnsi="宋体" w:eastAsia="宋体" w:cs="宋体"/>
          <w:b/>
          <w:bCs/>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必须承诺采购文件中提出的全部技术规格与要求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如果其中某些条款不响应时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应在文件中逐条列出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未列出的视同响应。</w:t>
      </w:r>
      <w:r>
        <w:rPr>
          <w:rFonts w:hint="eastAsia" w:ascii="宋体" w:hAnsi="宋体" w:eastAsia="宋体" w:cs="宋体"/>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须保障采购方在使用</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或其任何一部分时不受到第三方关于侵犯专利权、商标权或工业设计权的指控。如果任何第三方提出侵权指控</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须与第三方交涉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并承担由此而产生的索赔、损失、损害、支出等一切费用（含律师费）。如采购方因此而遭致损失的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成交方应赔偿该损失。</w:t>
      </w:r>
      <w:r>
        <w:rPr>
          <w:rFonts w:hint="eastAsia" w:ascii="宋体" w:hAnsi="宋体" w:eastAsia="宋体" w:cs="宋体"/>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采购单位有权不定期对</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质量进行查看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如果发现成交单位存在违反本次采购要求的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采购单位有权终止合同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相关损失由成交单位承担。</w:t>
      </w:r>
      <w:r>
        <w:rPr>
          <w:rFonts w:hint="eastAsia" w:ascii="宋体" w:hAnsi="宋体" w:eastAsia="宋体" w:cs="宋体"/>
          <w:color w:val="auto"/>
          <w:sz w:val="24"/>
          <w:szCs w:val="24"/>
          <w:highlight w:val="none"/>
        </w:rPr>
      </w:r>
      <w:r>
        <w:rPr>
          <w:color w:val="auto"/>
        </w:rPr>
      </w:r>
    </w:p>
    <w:p>
      <w:pPr>
        <w:pStyle w:val="853"/>
        <w:ind w:left="0" w:firstLine="42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.报价应</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b w:val="0"/>
          <w:bCs w:val="0"/>
          <w:color w:val="auto"/>
          <w:sz w:val="24"/>
          <w:szCs w:val="24"/>
          <w:highlight w:val="none"/>
          <w:lang w:eastAsia="zh-CN"/>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出现下列情形之一的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应当终止</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重新开展采购活动：</w:t>
      </w:r>
      <w:r>
        <w:rPr>
          <w:rFonts w:hint="eastAsia" w:ascii="宋体" w:hAnsi="宋体" w:eastAsia="宋体" w:cs="宋体"/>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不再符合规定的</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采购单位式适用情形的；</w:t>
      </w:r>
      <w:r>
        <w:rPr>
          <w:rFonts w:hint="eastAsia" w:ascii="宋体" w:hAnsi="宋体" w:eastAsia="宋体" w:cs="宋体"/>
          <w:color w:val="auto"/>
          <w:sz w:val="24"/>
          <w:szCs w:val="24"/>
          <w:highlight w:val="none"/>
        </w:rPr>
      </w:r>
      <w:r>
        <w:rPr>
          <w:color w:val="auto"/>
        </w:rP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rPr>
          <w:rFonts w:hint="eastAsia" w:ascii="宋体" w:hAnsi="宋体" w:eastAsia="宋体" w:cs="宋体"/>
          <w:color w:val="auto"/>
          <w:sz w:val="24"/>
          <w:szCs w:val="24"/>
          <w:highlight w:val="none"/>
        </w:rPr>
      </w:r>
      <w:r>
        <w:rPr>
          <w:color w:val="auto"/>
        </w:rP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（3）在采购过程中符合竞争要求的</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或者报价未超过采购预算的供应商不足3家的。</w:t>
      </w:r>
      <w:r>
        <w:rPr>
          <w:rFonts w:hint="eastAsia" w:ascii="宋体" w:hAnsi="宋体" w:eastAsia="宋体" w:cs="宋体"/>
          <w:color w:val="auto"/>
          <w:sz w:val="24"/>
          <w:szCs w:val="24"/>
          <w:highlight w:val="none"/>
        </w:rPr>
      </w:r>
      <w:r>
        <w:rPr>
          <w:color w:val="auto"/>
        </w:rP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rPr>
        <w:t xml:space="preserve">成交</w:t>
      </w:r>
      <w:r>
        <w:rPr>
          <w:rFonts w:hint="eastAsia" w:ascii="宋体" w:hAnsi="宋体" w:eastAsia="宋体" w:cs="宋体"/>
          <w:color w:val="auto"/>
          <w:sz w:val="24"/>
          <w:szCs w:val="24"/>
          <w:highlight w:val="none"/>
          <w:lang w:val="zh-TW" w:eastAsia="zh-TW"/>
        </w:rPr>
        <w:t xml:space="preserve">服务费</w:t>
      </w:r>
      <w:r>
        <w:rPr>
          <w:rFonts w:hint="eastAsia" w:ascii="宋体" w:hAnsi="宋体" w:eastAsia="宋体" w:cs="宋体"/>
          <w:color w:val="auto"/>
          <w:sz w:val="24"/>
          <w:szCs w:val="24"/>
          <w:highlight w:val="none"/>
          <w:lang w:val="zh-TW" w:eastAsia="zh-TW"/>
        </w:rPr>
      </w:r>
      <w:r>
        <w:rPr>
          <w:color w:val="auto"/>
        </w:rPr>
      </w:r>
    </w:p>
    <w:p>
      <w:pPr>
        <w:pStyle w:val="853"/>
        <w:ind w:left="0" w:firstLine="42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本项目代理服务费，由</w:t>
      </w:r>
      <w:r>
        <w:rPr>
          <w:rFonts w:hint="eastAsia" w:ascii="宋体" w:hAnsi="宋体" w:eastAsia="宋体" w:cs="宋体"/>
          <w:color w:val="auto"/>
          <w:sz w:val="24"/>
          <w:szCs w:val="24"/>
          <w:highlight w:val="none"/>
        </w:rPr>
        <w:t xml:space="preserve">采购人支付</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r>
      <w:r>
        <w:rPr>
          <w:color w:val="auto"/>
        </w:rP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服务费率：预算金额100万元以下部分</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费率为该部分预算金额的1.5%</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预算金额100万元（含）－500万元部分</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费率为该部分预算金额的1.1%</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本项目服务费</w:t>
      </w:r>
      <w:r>
        <w:rPr>
          <w:rFonts w:hint="eastAsia" w:ascii="宋体" w:hAnsi="宋体" w:eastAsia="宋体" w:cs="宋体"/>
          <w:color w:val="auto"/>
          <w:sz w:val="24"/>
          <w:szCs w:val="24"/>
          <w:highlight w:val="none"/>
          <w:lang w:val="en-US" w:eastAsia="zh-CN"/>
        </w:rPr>
        <w:t xml:space="preserve">37070</w:t>
      </w:r>
      <w:r>
        <w:rPr>
          <w:rFonts w:hint="eastAsia" w:ascii="宋体" w:hAnsi="宋体" w:eastAsia="宋体" w:cs="宋体"/>
          <w:color w:val="auto"/>
          <w:sz w:val="24"/>
          <w:szCs w:val="24"/>
          <w:highlight w:val="none"/>
          <w:lang w:val="zh-TW"/>
        </w:rPr>
        <w:t xml:space="preserve">元。</w:t>
      </w:r>
      <w:r>
        <w:rPr>
          <w:rFonts w:hint="eastAsia" w:ascii="宋体" w:hAnsi="宋体" w:eastAsia="宋体" w:cs="宋体"/>
          <w:color w:val="auto"/>
          <w:sz w:val="24"/>
          <w:szCs w:val="24"/>
          <w:highlight w:val="none"/>
          <w:lang w:val="zh-TW"/>
        </w:rPr>
      </w:r>
      <w:r>
        <w:rPr>
          <w:color w:val="auto"/>
        </w:rP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服务费账号</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30530188000070877</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账户名：</w:t>
      </w:r>
      <w:r>
        <w:rPr>
          <w:rFonts w:hint="eastAsia" w:ascii="宋体" w:hAnsi="宋体" w:eastAsia="宋体" w:cs="宋体"/>
          <w:color w:val="auto"/>
          <w:sz w:val="24"/>
          <w:szCs w:val="24"/>
          <w:highlight w:val="none"/>
          <w:lang w:val="zh-TW"/>
        </w:rPr>
        <w:t xml:space="preserve">苏州华厦招投标代理有限公司</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开户行：江苏银行苏州科技城支行  </w:t>
      </w:r>
      <w:r>
        <w:rPr>
          <w:rFonts w:hint="eastAsia" w:ascii="宋体" w:hAnsi="宋体" w:eastAsia="宋体" w:cs="宋体"/>
          <w:color w:val="auto"/>
          <w:sz w:val="24"/>
          <w:szCs w:val="24"/>
          <w:highlight w:val="none"/>
          <w:lang w:val="zh-TW" w:eastAsia="zh-TW"/>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.本次磋商采取</w:t>
      </w:r>
      <w:r>
        <w:rPr>
          <w:rFonts w:hint="eastAsia" w:ascii="宋体" w:hAnsi="宋体" w:eastAsia="宋体" w:cs="宋体"/>
          <w:b/>
          <w:bCs/>
          <w:color w:val="auto"/>
          <w:sz w:val="24"/>
          <w:szCs w:val="24"/>
          <w:highlight w:val="none"/>
        </w:rPr>
        <w:t xml:space="preserve">二次报价</w:t>
      </w:r>
      <w:r>
        <w:rPr>
          <w:rFonts w:hint="eastAsia" w:ascii="宋体" w:hAnsi="宋体" w:eastAsia="宋体" w:cs="宋体"/>
          <w:color w:val="auto"/>
          <w:sz w:val="24"/>
          <w:szCs w:val="24"/>
          <w:highlight w:val="none"/>
        </w:rPr>
        <w:t xml:space="preserve">的方式，即提交磋商文件中的报价为首次报价，磋商过程中再作一次最终报价。</w:t>
      </w:r>
      <w:r>
        <w:rPr>
          <w:rFonts w:hint="eastAsia" w:ascii="宋体" w:hAnsi="宋体" w:eastAsia="宋体" w:cs="宋体"/>
          <w:color w:val="auto"/>
          <w:sz w:val="24"/>
          <w:szCs w:val="24"/>
          <w:highlight w:val="none"/>
        </w:rPr>
      </w:r>
      <w:r>
        <w:rPr>
          <w:color w:val="auto"/>
        </w:rP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TW"/>
        </w:rPr>
        <w:t xml:space="preserve">凡</w:t>
      </w:r>
      <w:r>
        <w:rPr>
          <w:rFonts w:hint="eastAsia" w:ascii="宋体" w:hAnsi="宋体" w:eastAsia="宋体" w:cs="宋体"/>
          <w:color w:val="auto"/>
          <w:sz w:val="24"/>
          <w:szCs w:val="24"/>
          <w:highlight w:val="none"/>
        </w:rPr>
        <w:t xml:space="preserve">涉及</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文件的补充说明和修改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均以苏州市政府采购网上的通知为准。</w:t>
      </w:r>
      <w:r>
        <w:rPr>
          <w:rFonts w:hint="eastAsia" w:ascii="宋体" w:hAnsi="宋体" w:eastAsia="宋体" w:cs="宋体"/>
          <w:color w:val="auto"/>
          <w:sz w:val="24"/>
          <w:szCs w:val="24"/>
          <w:highlight w:val="none"/>
        </w:rPr>
      </w:r>
      <w:r>
        <w:rPr>
          <w:color w:val="auto"/>
        </w:rPr>
      </w:r>
    </w:p>
    <w:p>
      <w:pPr>
        <w:pStyle w:val="853"/>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zh-CN"/>
        </w:rPr>
        <w:t xml:space="preserve">、磋商响应文件的组成</w:t>
      </w:r>
      <w:r>
        <w:rPr>
          <w:rFonts w:hint="eastAsia" w:ascii="宋体" w:hAnsi="宋体" w:eastAsia="宋体" w:cs="宋体"/>
          <w:b/>
          <w:bCs/>
          <w:color w:val="auto"/>
          <w:sz w:val="24"/>
          <w:szCs w:val="24"/>
          <w:highlight w:val="none"/>
          <w:lang w:val="zh-CN"/>
        </w:rPr>
      </w:r>
      <w:r>
        <w:rPr>
          <w:color w:val="auto"/>
        </w:rPr>
      </w:r>
    </w:p>
    <w:p>
      <w:pPr>
        <w:pStyle w:val="863"/>
        <w:ind w:left="0" w:firstLine="422"/>
        <w:spacing w:line="360" w:lineRule="auto"/>
        <w:rPr>
          <w:rFonts w:hint="eastAsia" w:ascii="宋体" w:hAnsi="宋体" w:eastAsia="宋体" w:cs="宋体"/>
          <w:b/>
          <w:color w:val="auto"/>
          <w:sz w:val="24"/>
          <w:szCs w:val="24"/>
          <w:highlight w:val="none"/>
        </w:rPr>
      </w:pPr>
      <w:r>
        <w:rPr>
          <w:color w:val="auto"/>
        </w:rPr>
      </w:r>
      <w:bookmarkEnd w:id="0"/>
      <w:r>
        <w:rPr>
          <w:rFonts w:hint="eastAsia" w:ascii="宋体" w:hAnsi="宋体" w:eastAsia="宋体" w:cs="宋体"/>
          <w:b/>
          <w:color w:val="auto"/>
          <w:sz w:val="24"/>
          <w:szCs w:val="24"/>
          <w:highlight w:val="none"/>
        </w:rPr>
        <w:t xml:space="preserve">1、封面</w:t>
      </w:r>
      <w:r>
        <w:rPr>
          <w:rFonts w:hint="eastAsia" w:ascii="宋体" w:hAnsi="宋体" w:eastAsia="宋体" w:cs="宋体"/>
          <w:b/>
          <w:color w:val="auto"/>
          <w:sz w:val="24"/>
          <w:szCs w:val="24"/>
          <w:highlight w:val="none"/>
        </w:rPr>
      </w:r>
      <w:r>
        <w:rPr>
          <w:color w:val="auto"/>
        </w:rP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2、开标一览表</w:t>
      </w:r>
      <w:r>
        <w:rPr>
          <w:rFonts w:hint="eastAsia" w:ascii="宋体" w:hAnsi="宋体" w:eastAsia="宋体" w:cs="宋体"/>
          <w:b/>
          <w:color w:val="auto"/>
          <w:sz w:val="24"/>
          <w:szCs w:val="24"/>
          <w:highlight w:val="none"/>
        </w:rPr>
      </w:r>
      <w:r>
        <w:rPr>
          <w:color w:val="auto"/>
        </w:rP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3、资格审查响应文件</w:t>
      </w:r>
      <w:r>
        <w:rPr>
          <w:rFonts w:hint="eastAsia" w:ascii="宋体" w:hAnsi="宋体" w:eastAsia="宋体" w:cs="宋体"/>
          <w:b/>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3.1关于资格文件的声明函；</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3.2磋商响应单位法定代表人身份证复印件；</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3.3法定代表人授权委托书（如有授权）；</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3.4磋商响应单位授权代理人身份证复印件（如有授权）；</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3.5合格供应商的基本条件</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3.5.1具有独立承担民事责任的能力证明。包括法人或者其他组织的营业执照等；</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3.5.2具有良好的商业信誉和健全的财务会计制度证明</w:t>
      </w:r>
      <w:r>
        <w:rPr>
          <w:rFonts w:hint="eastAsia" w:ascii="宋体" w:hAnsi="宋体" w:eastAsia="宋体" w:cs="宋体"/>
          <w:b/>
          <w:color w:val="auto"/>
          <w:sz w:val="24"/>
          <w:szCs w:val="24"/>
          <w:highlight w:val="none"/>
        </w:rPr>
        <w:t xml:space="preserve">（法人应提供最近一期财务报告，其他组织、自然人及成立未满一年的法人应提供银行出具的资信证明）；</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3.5.3履行合同所必需的设备和专业技术能力的证明材料或承诺；</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3.5.4有依法缴纳税收和社会保障资金的良好记录</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auto"/>
          <w:sz w:val="24"/>
          <w:szCs w:val="24"/>
          <w:highlight w:val="none"/>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3.5.5参加政府采购活动前三年内在经营活动中没有重大违法记录的书面声明函；</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3.6其它有关资格证明的文件；</w:t>
      </w:r>
      <w:r>
        <w:rPr>
          <w:rFonts w:hint="eastAsia" w:ascii="宋体" w:hAnsi="宋体" w:eastAsia="宋体" w:cs="宋体"/>
          <w:bCs/>
          <w:color w:val="auto"/>
          <w:sz w:val="24"/>
          <w:szCs w:val="24"/>
          <w:highlight w:val="none"/>
        </w:rPr>
      </w:r>
      <w:r>
        <w:rPr>
          <w:color w:val="auto"/>
        </w:rP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4、符合性审查响应文件</w:t>
      </w:r>
      <w:r>
        <w:rPr>
          <w:rFonts w:hint="eastAsia" w:ascii="宋体" w:hAnsi="宋体" w:eastAsia="宋体" w:cs="宋体"/>
          <w:b/>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4.1磋商响应函；</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4.2磋商报价分析表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格式如下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4.3偏离表；</w:t>
      </w:r>
      <w:r>
        <w:rPr>
          <w:rFonts w:hint="eastAsia" w:ascii="宋体" w:hAnsi="宋体" w:eastAsia="宋体" w:cs="宋体"/>
          <w:bCs/>
          <w:color w:val="auto"/>
          <w:sz w:val="24"/>
          <w:szCs w:val="24"/>
          <w:highlight w:val="none"/>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4.4项目服务</w:t>
      </w:r>
      <w:r>
        <w:rPr>
          <w:rFonts w:hint="eastAsia" w:ascii="宋体" w:hAnsi="宋体" w:eastAsia="宋体" w:cs="宋体"/>
          <w:color w:val="auto"/>
          <w:sz w:val="24"/>
          <w:szCs w:val="24"/>
          <w:highlight w:val="none"/>
        </w:rPr>
        <w:t xml:space="preserve">人员配置表；</w:t>
      </w:r>
      <w:r>
        <w:rPr>
          <w:rFonts w:hint="eastAsia" w:ascii="宋体" w:hAnsi="宋体" w:eastAsia="宋体" w:cs="宋体"/>
          <w:color w:val="auto"/>
          <w:sz w:val="24"/>
          <w:szCs w:val="24"/>
          <w:highlight w:val="none"/>
        </w:rPr>
      </w:r>
      <w:r>
        <w:rPr>
          <w:color w:val="auto"/>
        </w:rPr>
      </w:r>
    </w:p>
    <w:p>
      <w:pPr>
        <w:pStyle w:val="863"/>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5、综合评审响应文件</w:t>
      </w:r>
      <w:r>
        <w:rPr>
          <w:rFonts w:hint="eastAsia" w:ascii="宋体" w:hAnsi="宋体" w:eastAsia="宋体" w:cs="宋体"/>
          <w:color w:val="auto"/>
          <w:sz w:val="24"/>
          <w:szCs w:val="24"/>
          <w:highlight w:val="none"/>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售后服务效率比较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针对本项目的</w:t>
      </w:r>
      <w:bookmarkStart w:id="8" w:name="OLE_LINK9"/>
      <w:r>
        <w:rPr>
          <w:rFonts w:hint="eastAsia" w:ascii="宋体" w:hAnsi="宋体" w:eastAsia="宋体" w:cs="宋体"/>
          <w:color w:val="auto"/>
          <w:sz w:val="24"/>
          <w:szCs w:val="24"/>
          <w:highlight w:val="none"/>
        </w:rPr>
        <w:t xml:space="preserve">运维客户端功能性演示</w:t>
      </w:r>
      <w:bookmarkEnd w:id="8"/>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针对本项目配备人员比较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响应单位综合能力比较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4"/>
          <w:szCs w:val="24"/>
          <w:highlight w:val="none"/>
        </w:rPr>
      </w:r>
      <w:r>
        <w:rPr>
          <w:color w:val="auto"/>
        </w:rP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7、对属于《节能产品政府采购品目清单》政府强制采购产品的，需提供该产品有效期内的认证等相关证明材料（如有）。</w:t>
      </w:r>
      <w:r>
        <w:rPr>
          <w:rFonts w:hint="eastAsia" w:ascii="宋体" w:hAnsi="宋体" w:eastAsia="宋体" w:cs="宋体"/>
          <w:color w:val="auto"/>
          <w:sz w:val="24"/>
          <w:szCs w:val="24"/>
          <w:highlight w:val="none"/>
        </w:rPr>
      </w:r>
      <w:r>
        <w:rPr>
          <w:color w:val="auto"/>
        </w:rPr>
      </w:r>
    </w:p>
    <w:p>
      <w:pPr>
        <w:pStyle w:val="863"/>
        <w:ind w:left="0"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（1）以上3.1-3.6为资格审查要求提供的材料，是作为对供应商资格审查、质疑身份认定的依据，响应供应商必须提供并加盖电子公章。否则，磋商响应文件将被认定为不符合资格审查要求。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auto"/>
          <w:sz w:val="24"/>
          <w:szCs w:val="24"/>
          <w:highlight w:val="none"/>
        </w:rPr>
      </w:r>
      <w:r>
        <w:rPr>
          <w:color w:val="auto"/>
        </w:rPr>
      </w:r>
    </w:p>
    <w:p>
      <w:pPr>
        <w:pStyle w:val="863"/>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（2）以上4.1-4.</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color w:val="auto"/>
          <w:sz w:val="24"/>
          <w:szCs w:val="24"/>
          <w:highlight w:val="none"/>
        </w:rPr>
      </w:r>
      <w:r>
        <w:rPr>
          <w:color w:val="auto"/>
        </w:rP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auto"/>
          <w:sz w:val="24"/>
          <w:szCs w:val="24"/>
          <w:highlight w:val="none"/>
        </w:rPr>
      </w:r>
      <w:r>
        <w:rPr>
          <w:color w:val="auto"/>
        </w:rP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zh-CN"/>
        </w:rPr>
        <w:t xml:space="preserve">电子响应文件要求：</w:t>
      </w:r>
      <w:r>
        <w:rPr>
          <w:rFonts w:hint="eastAsia" w:ascii="宋体" w:hAnsi="宋体" w:eastAsia="宋体" w:cs="宋体"/>
          <w:b/>
          <w:color w:val="auto"/>
          <w:sz w:val="24"/>
          <w:szCs w:val="24"/>
          <w:highlight w:val="none"/>
          <w:lang w:val="zh-CN"/>
        </w:rPr>
      </w:r>
      <w:r>
        <w:rPr>
          <w:color w:val="auto"/>
        </w:rP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auto"/>
          <w:sz w:val="24"/>
          <w:szCs w:val="24"/>
          <w:highlight w:val="none"/>
        </w:rPr>
        <w:t xml:space="preserve">电子响应文件制作完成后请在截止时间前完成提交（上传），否则视为放弃参加该采购项目。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auto"/>
          <w:sz w:val="24"/>
          <w:szCs w:val="24"/>
          <w:highlight w:val="none"/>
        </w:rPr>
      </w:r>
      <w:r>
        <w:rPr>
          <w:color w:val="auto"/>
        </w:rP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电子响应文件材料中要求加盖公章的必须加盖响应单位电子公章。</w:t>
      </w:r>
      <w:r>
        <w:rPr>
          <w:rFonts w:hint="eastAsia" w:ascii="宋体" w:hAnsi="宋体" w:eastAsia="宋体" w:cs="宋体"/>
          <w:color w:val="auto"/>
          <w:sz w:val="24"/>
          <w:szCs w:val="24"/>
          <w:highlight w:val="none"/>
        </w:rPr>
      </w:r>
      <w:r>
        <w:rPr>
          <w:color w:val="auto"/>
        </w:rPr>
      </w:r>
    </w:p>
    <w:p>
      <w:pPr>
        <w:pStyle w:val="85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供应商应当在磋商文件要求的截止时间前，</w:t>
      </w:r>
      <w:r>
        <w:rPr>
          <w:rFonts w:hint="eastAsia" w:ascii="宋体" w:hAnsi="宋体" w:eastAsia="宋体" w:cs="宋体"/>
          <w:b/>
          <w:color w:val="auto"/>
          <w:sz w:val="24"/>
          <w:szCs w:val="24"/>
          <w:highlight w:val="none"/>
        </w:rPr>
        <w:t xml:space="preserve">将响应文件上传苏釆云系统，否则视为放弃参加该采购项目。</w:t>
      </w:r>
      <w:r>
        <w:rPr>
          <w:rFonts w:hint="eastAsia" w:ascii="宋体" w:hAnsi="宋体" w:eastAsia="宋体" w:cs="宋体"/>
          <w:color w:val="auto"/>
          <w:sz w:val="24"/>
          <w:szCs w:val="24"/>
          <w:highlight w:val="none"/>
        </w:rPr>
        <w:t xml:space="preserve">供应商在提交响应文件截止时间前，可以对所提交的响应文件进行补充、修改或者撤回。</w:t>
      </w:r>
      <w:r>
        <w:rPr>
          <w:rFonts w:hint="eastAsia" w:ascii="宋体" w:hAnsi="宋体" w:eastAsia="宋体" w:cs="宋体"/>
          <w:color w:val="auto"/>
          <w:sz w:val="24"/>
          <w:szCs w:val="24"/>
          <w:highlight w:val="none"/>
        </w:rPr>
      </w:r>
      <w:r>
        <w:rPr>
          <w:color w:val="auto"/>
        </w:rPr>
      </w:r>
    </w:p>
    <w:p>
      <w:pPr>
        <w:pStyle w:val="853"/>
        <w:ind w:firstLine="480"/>
        <w:keepLines w:val="0"/>
        <w:keepNext w:val="0"/>
        <w:pageBreakBefore w:val="0"/>
        <w:spacing w:line="360" w:lineRule="auto"/>
        <w:widowControl w:val="off"/>
        <w:tabs>
          <w:tab w:val="left" w:pos="50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供应商应当按照磋商文件的要求编制响应文件，并对其提交的响应文件的真实性、合法性承担法律责任。</w:t>
      </w:r>
      <w:r>
        <w:rPr>
          <w:rFonts w:hint="eastAsia" w:ascii="宋体" w:hAnsi="宋体" w:eastAsia="宋体" w:cs="宋体"/>
          <w:color w:val="auto"/>
          <w:sz w:val="24"/>
          <w:szCs w:val="24"/>
          <w:highlight w:val="none"/>
        </w:rPr>
      </w:r>
      <w:r>
        <w:rPr>
          <w:color w:val="auto"/>
        </w:rP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机器码检查中，不同响应单位使用同一台电脑编制响应文件的，响应文件将被认定为无效响应。</w:t>
      </w:r>
      <w:r>
        <w:rPr>
          <w:rFonts w:hint="eastAsia" w:ascii="宋体" w:hAnsi="宋体" w:eastAsia="宋体" w:cs="宋体"/>
          <w:b/>
          <w:bCs/>
          <w:color w:val="auto"/>
          <w:sz w:val="24"/>
          <w:szCs w:val="24"/>
          <w:highlight w:val="none"/>
          <w:lang w:val="zh-CN"/>
        </w:rPr>
      </w:r>
      <w:r>
        <w:rPr>
          <w:color w:val="auto"/>
        </w:rP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响应文件的制作要求：</w:t>
      </w:r>
      <w:r>
        <w:rPr>
          <w:rFonts w:hint="eastAsia" w:ascii="宋体" w:hAnsi="宋体" w:eastAsia="宋体" w:cs="宋体"/>
          <w:b/>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磋商响应文件有效期为自磋商之日起90日。</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rPr>
          <w:rFonts w:hint="eastAsia" w:ascii="宋体" w:hAnsi="宋体" w:eastAsia="宋体" w:cs="宋体"/>
          <w:b/>
          <w:color w:val="auto"/>
          <w:sz w:val="24"/>
          <w:szCs w:val="24"/>
          <w:highlight w:val="none"/>
        </w:rPr>
      </w:r>
      <w:r>
        <w:rPr>
          <w:color w:val="auto"/>
        </w:rPr>
      </w:r>
    </w:p>
    <w:p>
      <w:pPr>
        <w:pStyle w:val="868"/>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、综合说明：</w:t>
      </w:r>
      <w:r>
        <w:rPr>
          <w:rFonts w:hint="eastAsia" w:ascii="宋体" w:hAnsi="宋体" w:eastAsia="宋体" w:cs="宋体"/>
          <w:b/>
          <w:bCs/>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（一）响应内容必须符合国家相关标准，必须满足本次磋商文件的要求，若造成的损失和后果由单位负全责。</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2.2磋商小组负责具体的磋商事务，并独立履行以下职责：</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2.2.1确认或者制定磋商文件； </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2.2.2从符合相应资格条件的供应商名单中确定不少于3家的供应商参加磋商；</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2.2.3审查供应商的响应文件并作出评价；</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2.2.4要求供应商解释或者澄清其响应文件；</w:t>
      </w:r>
      <w:r>
        <w:rPr>
          <w:rFonts w:hint="eastAsia" w:ascii="宋体" w:hAnsi="宋体" w:eastAsia="宋体" w:cs="宋体"/>
          <w:color w:val="auto"/>
          <w:sz w:val="24"/>
          <w:szCs w:val="24"/>
          <w:highlight w:val="none"/>
        </w:rPr>
      </w:r>
      <w:r>
        <w:rPr>
          <w:color w:val="auto"/>
        </w:rPr>
      </w:r>
    </w:p>
    <w:p>
      <w:pPr>
        <w:pStyle w:val="853"/>
        <w:ind w:firstLine="48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2.2.5编写评分报告；</w:t>
      </w:r>
      <w:r>
        <w:rPr>
          <w:rFonts w:hint="eastAsia" w:ascii="宋体" w:hAnsi="宋体" w:eastAsia="宋体" w:cs="宋体"/>
          <w:color w:val="auto"/>
          <w:sz w:val="24"/>
          <w:szCs w:val="24"/>
          <w:highlight w:val="none"/>
        </w:rPr>
      </w:r>
      <w:r>
        <w:rPr>
          <w:color w:val="auto"/>
        </w:rPr>
      </w:r>
    </w:p>
    <w:p>
      <w:pPr>
        <w:pStyle w:val="853"/>
        <w:ind w:firstLine="48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2.2.6告知采购人、采购代理机构在评审过程中发现的供应商的违法违规行为。</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2.3磋商小组成员应当履行下列义务：</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2.3.1遵纪守法，客观、公正、廉洁地履行职责；</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2.3.2按照磋商文件规定的评审办法独立进行评审，对个人的评审意见承担法律责任；</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2.3.3参与评分报告的起草；</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2.3.4配合采购人、采购代理机构答复供应商提出的质疑；</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2.3.5配合财政部门的投诉处理和监督检查工作。</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（三）评审内容的保密</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3.2在响应文件的审查、澄清、评价和比较以及授予合同的过程中，供应商对磋商采购单位和磋商小组施加影响的任何行为，都将取消其成交资格。</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3.3在评审期间，磋商采购单位将通过指定联络人与供应商进行联系。</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（四）响应文件的澄清、说明和更正</w:t>
      </w:r>
      <w:r>
        <w:rPr>
          <w:rFonts w:hint="eastAsia" w:ascii="宋体" w:hAnsi="宋体" w:eastAsia="宋体" w:cs="宋体"/>
          <w:color w:val="auto"/>
          <w:sz w:val="24"/>
          <w:szCs w:val="24"/>
          <w:highlight w:val="none"/>
        </w:rPr>
      </w:r>
      <w:r>
        <w:rPr>
          <w:color w:val="auto"/>
        </w:rPr>
      </w:r>
    </w:p>
    <w:p>
      <w:pPr>
        <w:pStyle w:val="853"/>
        <w:ind w:firstLine="3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auto"/>
          <w:sz w:val="24"/>
          <w:szCs w:val="24"/>
          <w:highlight w:val="none"/>
        </w:rPr>
      </w:r>
      <w:r>
        <w:rPr>
          <w:color w:val="auto"/>
        </w:rPr>
      </w:r>
    </w:p>
    <w:p>
      <w:pPr>
        <w:pStyle w:val="85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rPr>
          <w:rFonts w:hint="eastAsia" w:ascii="宋体" w:hAnsi="宋体" w:eastAsia="宋体" w:cs="宋体"/>
          <w:color w:val="auto"/>
          <w:sz w:val="24"/>
          <w:szCs w:val="24"/>
          <w:highlight w:val="none"/>
        </w:rPr>
      </w:r>
      <w:r>
        <w:rPr>
          <w:color w:val="auto"/>
        </w:rPr>
      </w:r>
    </w:p>
    <w:p>
      <w:pPr>
        <w:pStyle w:val="85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注：本项目供应商的澄清、说明或者补正采用线上澄清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6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（五）信用记录查询</w:t>
      </w:r>
      <w:r>
        <w:rPr>
          <w:rFonts w:hint="eastAsia" w:ascii="宋体" w:hAnsi="宋体" w:eastAsia="宋体" w:cs="宋体"/>
          <w:color w:val="auto"/>
          <w:sz w:val="24"/>
          <w:szCs w:val="24"/>
          <w:highlight w:val="none"/>
        </w:rPr>
      </w:r>
      <w:r>
        <w:rPr>
          <w:color w:val="auto"/>
        </w:rP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rPr>
          <w:rFonts w:hint="eastAsia" w:ascii="宋体" w:hAnsi="宋体" w:eastAsia="宋体" w:cs="宋体"/>
          <w:color w:val="auto"/>
          <w:sz w:val="24"/>
          <w:szCs w:val="24"/>
          <w:highlight w:val="none"/>
        </w:rPr>
      </w:r>
      <w:r>
        <w:rPr>
          <w:color w:val="auto"/>
        </w:rP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5.1.查询截止时点：响应文件接收截止时间。</w:t>
      </w:r>
      <w:r>
        <w:rPr>
          <w:rFonts w:hint="eastAsia" w:ascii="宋体" w:hAnsi="宋体" w:eastAsia="宋体" w:cs="宋体"/>
          <w:color w:val="auto"/>
          <w:sz w:val="24"/>
          <w:szCs w:val="24"/>
          <w:highlight w:val="none"/>
        </w:rPr>
      </w:r>
      <w:r>
        <w:rPr>
          <w:color w:val="auto"/>
        </w:rP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5.2.查询渠道：采购代理机构会在接收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截止时间后，登录信用中国网站（www.creditchina.gov.cn）和中国政府采购网（www.ccgp.gov.cn/）查询供应商的信用记录，并将查询结果递交评标委员会。</w:t>
      </w:r>
      <w:r>
        <w:rPr>
          <w:rFonts w:hint="eastAsia" w:ascii="宋体" w:hAnsi="宋体" w:eastAsia="宋体" w:cs="宋体"/>
          <w:color w:val="auto"/>
          <w:sz w:val="24"/>
          <w:szCs w:val="24"/>
          <w:highlight w:val="none"/>
        </w:rPr>
      </w:r>
      <w:r>
        <w:rPr>
          <w:color w:val="auto"/>
        </w:rP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auto"/>
          <w:sz w:val="24"/>
          <w:szCs w:val="24"/>
          <w:highlight w:val="none"/>
        </w:rPr>
      </w:r>
      <w:r>
        <w:rPr>
          <w:color w:val="auto"/>
        </w:rP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5.4.信用记录使用规则：评标委员会在对供应商进行资格性审查时，应根据查询结果对供应商的不良信用记录逐项甄别确认。</w:t>
      </w:r>
      <w:r>
        <w:rPr>
          <w:rFonts w:hint="eastAsia" w:ascii="宋体" w:hAnsi="宋体" w:eastAsia="宋体" w:cs="宋体"/>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三、合同主要条款</w:t>
      </w:r>
      <w:r>
        <w:rPr>
          <w:rFonts w:hint="eastAsia" w:ascii="宋体" w:hAnsi="宋体" w:eastAsia="宋体" w:cs="宋体"/>
          <w:b/>
          <w:bCs/>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使用单位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一、定义</w:t>
      </w:r>
      <w:r>
        <w:rPr>
          <w:rFonts w:hint="eastAsia" w:ascii="宋体" w:hAnsi="宋体" w:eastAsia="宋体" w:cs="宋体"/>
          <w:b/>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以下术语有特定的含义：</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服务是指根据合同规定乙方应承担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等工作和合同中规定乙方应承担的其它义务。</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合同价款是指根据成交单位的响应文件和合同规定，乙方在正确地履行合同义务后甲方应支付给乙方的价款。</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甲方是指合同中明确规定的实际购买和接受服务的单位。</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乙方是指合同中规定的提供服务的单位。</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二、合同项目及期限</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2.1乙方负责</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的服务工作。</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2.2服务期限：</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2.3服务地点：根据甲方指定地点。</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三、合同总价款：</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。合同总价款</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四、付款方式</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1.付款步骤：</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（1）合同签订后支付合同价款的30%</w:t>
      </w:r>
      <w:r>
        <w:rPr>
          <w:rFonts w:hint="eastAsia" w:ascii="宋体" w:hAnsi="宋体" w:eastAsia="宋体" w:cs="宋体"/>
          <w:color w:val="auto"/>
          <w:sz w:val="24"/>
          <w:szCs w:val="24"/>
          <w:lang w:val="en-US" w:eastAsia="zh-CN"/>
        </w:rPr>
        <w:t xml:space="preserve">为预付款</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每半年支付一次合同款项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需</w:t>
      </w:r>
      <w:r>
        <w:rPr>
          <w:rFonts w:hint="eastAsia" w:ascii="宋体" w:hAnsi="宋体" w:eastAsia="宋体" w:cs="宋体"/>
          <w:color w:val="auto"/>
          <w:sz w:val="24"/>
          <w:szCs w:val="24"/>
        </w:rPr>
        <w:t xml:space="preserve">根据服务的质量、效率、专业性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定期量化考核</w:t>
      </w:r>
      <w:r>
        <w:rPr>
          <w:rFonts w:hint="eastAsia" w:ascii="宋体" w:hAnsi="宋体" w:eastAsia="宋体" w:cs="宋体"/>
          <w:color w:val="auto"/>
          <w:sz w:val="24"/>
          <w:szCs w:val="24"/>
          <w:lang w:val="en-US" w:eastAsia="zh-CN"/>
        </w:rPr>
        <w:t xml:space="preserve">及监理审核后支付</w:t>
      </w:r>
      <w:r>
        <w:rPr>
          <w:rFonts w:hint="eastAsia" w:ascii="宋体" w:hAnsi="宋体" w:eastAsia="宋体" w:cs="宋体"/>
          <w:color w:val="auto"/>
          <w:sz w:val="24"/>
          <w:szCs w:val="24"/>
        </w:rPr>
        <w:t xml:space="preserve">，绩效考核分与服务费用相关联。</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（2）在签订合同时，乙方明确表示无需预付款或者主动要求降低预付款比例的，甲方可不适用上述关于预付款的规定。</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3.支付方式：本次货款以数字人民币形式支付。乙方账户信息如下：</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开户名称：</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数字人民币账户（数币钱包ID）：</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五、甲、乙双方的责任</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1.甲方责任：</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1.1依本合同约定按期支付合同款项；</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1.2依本合同约定及时组织验收；</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1.3协助乙方进行项目的相关协调工作及约定期限内提供相关资料以利于开展项目。</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2.乙方责任：</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六、违约责任</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1.甲方违约责任：</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1.2甲方逾期付款的应按照逾期付款金额的每天万分之四支付逾期付款违约金，总额不超总价款的5%。</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2.乙方的违约责任：</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2.3乙方必须自己完成合同内容，不得自行分包，否则，甲方有权按乙方不能完成合同处理。</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2.5乙方负有对自己员工的安全责任，甲方不承担任何相关责任。</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七、不可抗力</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八、争端的解决 </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2.如果调解不成，双方中的任何一方可向人民法院提起诉讼。诉讼由合同签订地人民法院管辖。 </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3.诉讼费由败诉方负担。</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4.因合同部分履行引发诉讼的，在诉讼期间，除正在进行诉讼的部分外，本合同的其它部分应继续执行。</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九、违约终止合同</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如果乙方未能在合同规定的限期或甲方同意延长的限期内提供部分或全部服务。</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 如果乙方未能履行合同规定的其它任何义务。</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3.如果甲方违约，应承担相应的违约责任。 </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十、破产终止合同：</w:t>
      </w:r>
      <w:r>
        <w:rPr>
          <w:rFonts w:hint="eastAsia" w:ascii="宋体" w:hAnsi="宋体" w:eastAsia="宋体" w:cs="宋体"/>
          <w:color w:val="auto"/>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十一、政府采购法对政府采购合同变更终止的规定：</w:t>
      </w:r>
      <w:r>
        <w:rPr>
          <w:rFonts w:hint="eastAsia" w:ascii="宋体" w:hAnsi="宋体" w:eastAsia="宋体" w:cs="宋体"/>
          <w:color w:val="auto"/>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十二、合同转让和分包：</w:t>
      </w:r>
      <w:r>
        <w:rPr>
          <w:rFonts w:hint="eastAsia" w:ascii="宋体" w:hAnsi="宋体" w:eastAsia="宋体" w:cs="宋体"/>
          <w:color w:val="auto"/>
          <w:sz w:val="24"/>
          <w:szCs w:val="24"/>
        </w:rPr>
        <w:t xml:space="preserve">本项目不得转让和分包。</w:t>
      </w:r>
      <w:r>
        <w:rPr>
          <w:rFonts w:hint="eastAsia" w:ascii="宋体" w:hAnsi="宋体" w:eastAsia="宋体" w:cs="宋体"/>
          <w:color w:val="auto"/>
          <w:sz w:val="24"/>
          <w:szCs w:val="24"/>
        </w:rPr>
      </w:r>
      <w:r>
        <w:rPr>
          <w:color w:val="auto"/>
        </w:rP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十三、需要补充的合同条款：</w:t>
      </w:r>
      <w:r>
        <w:rPr>
          <w:rFonts w:hint="eastAsia" w:ascii="宋体" w:hAnsi="宋体" w:eastAsia="宋体" w:cs="宋体"/>
          <w:color w:val="auto"/>
          <w:sz w:val="24"/>
          <w:szCs w:val="24"/>
        </w:rPr>
        <w:t xml:space="preserve">（根据评审过程中或者商务谈判时商定的条款和条件在订立合同时标明）。</w:t>
      </w:r>
      <w:r>
        <w:rPr>
          <w:rFonts w:hint="eastAsia" w:ascii="宋体" w:hAnsi="宋体" w:eastAsia="宋体" w:cs="宋体"/>
          <w:color w:val="auto"/>
          <w:sz w:val="24"/>
          <w:szCs w:val="24"/>
        </w:rPr>
      </w:r>
      <w:r>
        <w:rPr>
          <w:color w:val="auto"/>
        </w:rPr>
      </w:r>
    </w:p>
    <w:p>
      <w:pPr>
        <w:pStyle w:val="853"/>
        <w:ind w:lef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十四、合同生效</w:t>
      </w:r>
      <w:r>
        <w:rPr>
          <w:rFonts w:hint="eastAsia" w:ascii="宋体" w:hAnsi="宋体" w:eastAsia="宋体" w:cs="宋体"/>
          <w:b/>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1.双方签约人为各自法定代表人或被授权代表。</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3.本合同自甲乙双方签字盖章之日起生效。</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4.本合同壹式</w:t>
      </w:r>
      <w:r>
        <w:rPr>
          <w:rFonts w:hint="eastAsia" w:ascii="宋体" w:hAnsi="宋体" w:eastAsia="宋体" w:cs="宋体"/>
          <w:b/>
          <w:bCs w:val="0"/>
          <w:color w:val="auto"/>
          <w:sz w:val="24"/>
          <w:szCs w:val="24"/>
          <w:u w:val="single"/>
          <w:lang w:val="en-US" w:eastAsia="zh-CN"/>
        </w:rPr>
        <w:t xml:space="preserve">伍</w:t>
      </w:r>
      <w:r>
        <w:rPr>
          <w:rFonts w:hint="eastAsia" w:ascii="宋体" w:hAnsi="宋体" w:eastAsia="宋体" w:cs="宋体"/>
          <w:b/>
          <w:bCs w:val="0"/>
          <w:color w:val="auto"/>
          <w:sz w:val="24"/>
          <w:szCs w:val="24"/>
          <w:u w:val="single"/>
        </w:rPr>
        <w:t xml:space="preserve">份</w:t>
      </w:r>
      <w:r>
        <w:rPr>
          <w:rFonts w:hint="eastAsia" w:ascii="宋体" w:hAnsi="宋体" w:eastAsia="宋体" w:cs="宋体"/>
          <w:color w:val="auto"/>
          <w:sz w:val="24"/>
          <w:szCs w:val="24"/>
        </w:rPr>
        <w:t xml:space="preserve">，甲乙双方各执</w:t>
      </w:r>
      <w:r>
        <w:rPr>
          <w:rFonts w:hint="eastAsia" w:ascii="宋体" w:hAnsi="宋体" w:eastAsia="宋体" w:cs="宋体"/>
          <w:b/>
          <w:bCs w:val="0"/>
          <w:color w:val="auto"/>
          <w:sz w:val="24"/>
          <w:szCs w:val="24"/>
          <w:u w:val="single"/>
        </w:rPr>
        <w:t xml:space="preserve">贰份</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代理机构执</w:t>
      </w:r>
      <w:r>
        <w:rPr>
          <w:rFonts w:hint="eastAsia" w:ascii="宋体" w:hAnsi="宋体" w:eastAsia="宋体" w:cs="宋体"/>
          <w:b/>
          <w:bCs/>
          <w:color w:val="auto"/>
          <w:sz w:val="24"/>
          <w:szCs w:val="24"/>
          <w:u w:val="single"/>
          <w:lang w:val="en-US" w:eastAsia="zh-CN"/>
        </w:rPr>
        <w:t xml:space="preserve">壹份</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各份具有同等法律效力。</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5.本合同应按照中华人民共和国的现行法律进行解释。</w:t>
      </w:r>
      <w:r>
        <w:rPr>
          <w:rFonts w:hint="eastAsia" w:ascii="宋体" w:hAnsi="宋体" w:eastAsia="宋体" w:cs="宋体"/>
          <w:color w:val="auto"/>
          <w:sz w:val="24"/>
          <w:szCs w:val="24"/>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6.合同修改：除甲乙双方签署书面修改、补充协议，并成为本合同不可分割的一部分之外，本合同条件不得有任何变化或修改。 </w:t>
      </w:r>
      <w:r>
        <w:rPr>
          <w:rFonts w:hint="eastAsia" w:ascii="宋体" w:hAnsi="宋体" w:eastAsia="宋体" w:cs="宋体"/>
          <w:color w:val="auto"/>
          <w:sz w:val="24"/>
          <w:szCs w:val="24"/>
        </w:rPr>
      </w:r>
      <w:r>
        <w:rPr>
          <w:color w:val="auto"/>
        </w:rPr>
      </w:r>
    </w:p>
    <w:p>
      <w:pPr>
        <w:pStyle w:val="889"/>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853"/>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乙方（公章）：</w:t>
      </w:r>
      <w:r>
        <w:rPr>
          <w:rFonts w:hint="eastAsia" w:ascii="宋体" w:hAnsi="宋体" w:eastAsia="宋体" w:cs="宋体"/>
          <w:color w:val="auto"/>
          <w:sz w:val="24"/>
          <w:szCs w:val="24"/>
        </w:rPr>
      </w:r>
      <w:r>
        <w:rPr>
          <w:color w:val="auto"/>
        </w:rPr>
      </w:r>
    </w:p>
    <w:p>
      <w:pPr>
        <w:pStyle w:val="853"/>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法定代表人或授权代表（签字或盖章）：      法定代表人或授权代表（签字或盖章）： </w:t>
      </w:r>
      <w:r>
        <w:rPr>
          <w:rFonts w:hint="eastAsia" w:ascii="宋体" w:hAnsi="宋体" w:eastAsia="宋体" w:cs="宋体"/>
          <w:color w:val="auto"/>
          <w:sz w:val="24"/>
          <w:szCs w:val="24"/>
        </w:rPr>
      </w:r>
      <w:r>
        <w:rPr>
          <w:color w:val="auto"/>
        </w:rPr>
      </w:r>
    </w:p>
    <w:p>
      <w:pPr>
        <w:pStyle w:val="853"/>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                                签约日期： </w:t>
      </w:r>
      <w:r>
        <w:rPr>
          <w:rFonts w:hint="eastAsia" w:ascii="宋体" w:hAnsi="宋体" w:eastAsia="宋体" w:cs="宋体"/>
          <w:color w:val="auto"/>
          <w:sz w:val="24"/>
          <w:szCs w:val="24"/>
        </w:rPr>
      </w:r>
      <w:r>
        <w:rPr>
          <w:color w:val="auto"/>
        </w:rPr>
      </w:r>
    </w:p>
    <w:p>
      <w:pPr>
        <w:pStyle w:val="853"/>
        <w:ind w:left="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合同签订地：</w:t>
      </w:r>
      <w:r>
        <w:rPr>
          <w:rFonts w:hint="eastAsia" w:ascii="宋体" w:hAnsi="宋体" w:eastAsia="宋体" w:cs="宋体"/>
          <w:b w:val="0"/>
          <w:bCs/>
          <w:color w:val="auto"/>
          <w:sz w:val="24"/>
          <w:szCs w:val="24"/>
          <w:highlight w:val="none"/>
          <w:lang w:eastAsia="zh-CN"/>
        </w:rPr>
        <w:t xml:space="preserve">苏州市吴中区甪直镇人民政府</w:t>
      </w:r>
      <w:r>
        <w:rPr>
          <w:rFonts w:hint="eastAsia" w:ascii="宋体" w:hAnsi="宋体" w:eastAsia="宋体" w:cs="宋体"/>
          <w:b w:val="0"/>
          <w:bCs/>
          <w:color w:val="auto"/>
          <w:sz w:val="24"/>
          <w:szCs w:val="24"/>
          <w:highlight w:val="none"/>
          <w:lang w:eastAsia="zh-CN"/>
        </w:rPr>
      </w:r>
      <w:r>
        <w:rPr>
          <w:color w:val="auto"/>
        </w:rPr>
      </w:r>
    </w:p>
    <w:p>
      <w:pPr>
        <w:pStyle w:val="884"/>
        <w:jc w:val="center"/>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r>
      <w:r>
        <w:rPr>
          <w:color w:val="auto"/>
        </w:rPr>
      </w:r>
    </w:p>
    <w:p>
      <w:pPr>
        <w:pStyle w:val="884"/>
        <w:jc w:val="center"/>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四、竞争性磋商程序及磋商小组成员组成</w:t>
      </w:r>
      <w:r>
        <w:rPr>
          <w:rFonts w:hint="eastAsia" w:ascii="宋体" w:hAnsi="宋体" w:eastAsia="宋体" w:cs="宋体"/>
          <w:b/>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（一）程序： </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1.采购代理机构按本须知规定的时间、地点主持磋商采购活动。</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2.由磋商小组审查供应商提交的响应文件。</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.磋商小组所有成员集中与单一供应商分别进行磋商，并给予所有参加磋商的供应商平等的磋商机会。</w:t>
      </w:r>
      <w:r>
        <w:rPr>
          <w:rFonts w:hint="eastAsia" w:ascii="宋体" w:hAnsi="宋体" w:eastAsia="宋体" w:cs="宋体"/>
          <w:color w:val="auto"/>
          <w:sz w:val="24"/>
          <w:szCs w:val="24"/>
          <w:highlight w:val="none"/>
        </w:rPr>
      </w:r>
      <w:r>
        <w:rPr>
          <w:color w:val="auto"/>
        </w:rPr>
      </w:r>
    </w:p>
    <w:p>
      <w:pPr>
        <w:pStyle w:val="853"/>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auto"/>
          <w:sz w:val="24"/>
          <w:szCs w:val="24"/>
          <w:highlight w:val="none"/>
        </w:rPr>
      </w:r>
      <w:r>
        <w:rPr>
          <w:color w:val="auto"/>
        </w:rPr>
      </w:r>
    </w:p>
    <w:p>
      <w:pPr>
        <w:pStyle w:val="853"/>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r>
      <w:r>
        <w:rPr>
          <w:color w:val="auto"/>
        </w:rPr>
      </w:r>
    </w:p>
    <w:p>
      <w:pPr>
        <w:pStyle w:val="853"/>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auto"/>
          <w:sz w:val="24"/>
          <w:szCs w:val="24"/>
          <w:highlight w:val="none"/>
        </w:rPr>
      </w:r>
      <w:r>
        <w:rPr>
          <w:color w:val="auto"/>
        </w:rPr>
      </w:r>
    </w:p>
    <w:p>
      <w:pPr>
        <w:pStyle w:val="853"/>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.磋商小组根据磋商成交原则确定成交供应商，并将结果通知服务承接商。</w:t>
      </w:r>
      <w:r>
        <w:rPr>
          <w:rFonts w:hint="eastAsia" w:ascii="宋体" w:hAnsi="宋体" w:eastAsia="宋体" w:cs="宋体"/>
          <w:color w:val="auto"/>
          <w:sz w:val="24"/>
          <w:szCs w:val="24"/>
          <w:highlight w:val="none"/>
        </w:rPr>
      </w:r>
      <w:r>
        <w:rPr>
          <w:color w:val="auto"/>
        </w:rPr>
      </w:r>
    </w:p>
    <w:p>
      <w:pPr>
        <w:pStyle w:val="853"/>
        <w:ind w:firstLine="4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bCs/>
          <w:color w:val="auto"/>
          <w:sz w:val="24"/>
          <w:szCs w:val="24"/>
          <w:highlight w:val="none"/>
        </w:rPr>
      </w:pPr>
      <w:r>
        <w:rPr>
          <w:color w:val="auto"/>
        </w:rPr>
      </w:r>
      <w:bookmarkStart w:id="9" w:name="_Toc258365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发出成交通知书</w:t>
      </w:r>
      <w:bookmarkEnd w:id="9"/>
      <w:r>
        <w:rPr>
          <w:rFonts w:hint="eastAsia" w:ascii="宋体" w:hAnsi="宋体" w:eastAsia="宋体" w:cs="宋体"/>
          <w:bCs/>
          <w:color w:val="auto"/>
          <w:sz w:val="24"/>
          <w:szCs w:val="24"/>
          <w:highlight w:val="none"/>
          <w:lang w:val="zh-CN"/>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rPr>
          <w:rFonts w:hint="eastAsia" w:ascii="宋体" w:hAnsi="宋体" w:eastAsia="宋体" w:cs="宋体"/>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（二）磋商小组成员组成：</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auto"/>
          <w:sz w:val="24"/>
          <w:szCs w:val="24"/>
          <w:highlight w:val="none"/>
        </w:rPr>
      </w:r>
      <w:r>
        <w:rPr>
          <w:color w:val="auto"/>
        </w:rPr>
      </w:r>
    </w:p>
    <w:p>
      <w:pPr>
        <w:pStyle w:val="85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2.磋商小组成员：采购单位1名，专家2名。</w:t>
      </w:r>
      <w:r>
        <w:rPr>
          <w:rFonts w:hint="eastAsia" w:ascii="宋体" w:hAnsi="宋体" w:eastAsia="宋体" w:cs="宋体"/>
          <w:color w:val="auto"/>
          <w:sz w:val="24"/>
          <w:szCs w:val="24"/>
          <w:highlight w:val="none"/>
        </w:rPr>
      </w:r>
      <w:r>
        <w:rPr>
          <w:color w:val="auto"/>
        </w:rPr>
      </w:r>
    </w:p>
    <w:p>
      <w:pPr>
        <w:pStyle w:val="853"/>
        <w:ind w:firstLine="22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p>
    <w:p>
      <w:pPr>
        <w:pStyle w:val="853"/>
        <w:ind w:firstLine="22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p>
    <w:p>
      <w:pPr>
        <w:pStyle w:val="853"/>
        <w:ind w:firstLine="22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p>
    <w:p>
      <w:pPr>
        <w:pStyle w:val="91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p>
    <w:p>
      <w:pPr>
        <w:pStyle w:val="853"/>
        <w:jc w:val="center"/>
        <w:spacing w:line="360" w:lineRule="auto"/>
        <w:tabs>
          <w:tab w:val="left" w:pos="45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五、评 分 标 准</w:t>
      </w:r>
      <w:r>
        <w:rPr>
          <w:rFonts w:hint="eastAsia" w:ascii="宋体" w:hAnsi="宋体" w:eastAsia="宋体" w:cs="宋体"/>
          <w:color w:val="auto"/>
          <w:sz w:val="24"/>
          <w:szCs w:val="24"/>
          <w:highlight w:val="none"/>
        </w:rPr>
      </w:r>
      <w:r>
        <w:rPr>
          <w:color w:val="auto"/>
        </w:rPr>
      </w:r>
    </w:p>
    <w:p>
      <w:pPr>
        <w:pStyle w:val="853"/>
        <w:spacing w:line="360" w:lineRule="auto"/>
        <w:tabs>
          <w:tab w:val="left" w:pos="28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一、竞争性磋商成交原则：</w:t>
      </w:r>
      <w:r>
        <w:rPr>
          <w:rFonts w:hint="eastAsia" w:ascii="宋体" w:hAnsi="宋体" w:eastAsia="宋体" w:cs="宋体"/>
          <w:b/>
          <w:color w:val="auto"/>
          <w:sz w:val="24"/>
          <w:szCs w:val="24"/>
          <w:highlight w:val="none"/>
        </w:rPr>
      </w:r>
      <w:r>
        <w:rPr>
          <w:color w:val="auto"/>
        </w:rPr>
      </w:r>
    </w:p>
    <w:p>
      <w:pPr>
        <w:pStyle w:val="85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经磋商确定</w:t>
      </w:r>
      <w:r>
        <w:rPr>
          <w:rFonts w:hint="eastAsia" w:ascii="宋体" w:hAnsi="宋体" w:eastAsia="宋体" w:cs="宋体"/>
          <w:bCs/>
          <w:color w:val="auto"/>
          <w:sz w:val="24"/>
          <w:szCs w:val="24"/>
          <w:highlight w:val="none"/>
        </w:rPr>
        <w:t xml:space="preserve">最终采购需求和提交最后报价的供应商后，由磋商小组采用综合评分法对提交最后报价的供应商的响应文件和最后报价进行综合评分。</w:t>
      </w:r>
      <w:r>
        <w:rPr>
          <w:rFonts w:hint="eastAsia" w:ascii="宋体" w:hAnsi="宋体" w:eastAsia="宋体" w:cs="宋体"/>
          <w:bCs/>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rPr>
          <w:rFonts w:hint="eastAsia" w:ascii="宋体" w:hAnsi="宋体" w:eastAsia="宋体" w:cs="宋体"/>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auto"/>
          <w:sz w:val="24"/>
          <w:szCs w:val="24"/>
          <w:highlight w:val="none"/>
        </w:rPr>
      </w:r>
      <w:r>
        <w:rPr>
          <w:color w:val="auto"/>
        </w:rP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磋商报价得分=（磋商基准价/最后磋商报价）×价格权值×100（项目评审过程中，不得去掉最后报价中的最高报价和最低报价）。</w:t>
      </w:r>
      <w:r>
        <w:rPr>
          <w:rFonts w:hint="eastAsia" w:ascii="宋体" w:hAnsi="宋体" w:eastAsia="宋体" w:cs="宋体"/>
          <w:color w:val="auto"/>
          <w:sz w:val="24"/>
          <w:szCs w:val="24"/>
          <w:highlight w:val="none"/>
        </w:rPr>
      </w:r>
      <w:r>
        <w:rPr>
          <w:color w:val="auto"/>
        </w:rP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折扣</w:t>
      </w:r>
      <w:r>
        <w:rPr>
          <w:rFonts w:hint="eastAsia" w:ascii="宋体" w:hAnsi="宋体" w:eastAsia="宋体" w:cs="宋体"/>
          <w:color w:val="auto"/>
          <w:sz w:val="24"/>
          <w:szCs w:val="24"/>
          <w:highlight w:val="none"/>
          <w:lang w:val="en-US" w:eastAsia="zh-CN"/>
        </w:rPr>
      </w:r>
      <w:r>
        <w:rPr>
          <w:color w:val="auto"/>
        </w:rPr>
      </w:r>
    </w:p>
    <w:p>
      <w:pPr>
        <w:pStyle w:val="853"/>
        <w:ind w:left="0" w:right="0" w:firstLine="420"/>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auto"/>
          <w:sz w:val="24"/>
          <w:szCs w:val="24"/>
          <w:highlight w:val="none"/>
        </w:rPr>
        <w:t xml:space="preserve">20%</w:t>
      </w:r>
      <w:r>
        <w:rPr>
          <w:rFonts w:hint="eastAsia" w:ascii="宋体" w:hAnsi="宋体" w:eastAsia="宋体" w:cs="宋体"/>
          <w:color w:val="auto"/>
          <w:sz w:val="24"/>
          <w:szCs w:val="24"/>
          <w:highlight w:val="none"/>
        </w:rPr>
        <w:t xml:space="preserve">的扣除，用扣除后的价格参与评审，如扣除后的价格为最低价的，则作为评标基准价，</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金额则以实际报价为准。残疾人福利性单位属于小型、微型企业的，不重复享受政策。</w:t>
      </w:r>
      <w:r>
        <w:rPr>
          <w:rFonts w:hint="eastAsia" w:ascii="宋体" w:hAnsi="宋体" w:eastAsia="宋体" w:cs="宋体"/>
          <w:b/>
          <w:bCs/>
          <w:color w:val="auto"/>
          <w:sz w:val="24"/>
          <w:szCs w:val="24"/>
          <w:highlight w:val="none"/>
        </w:rPr>
        <w:t xml:space="preserve">本项目所属行业为：软件和信息技术服务业。</w:t>
      </w:r>
      <w:r>
        <w:rPr>
          <w:rFonts w:hint="eastAsia" w:ascii="宋体" w:hAnsi="宋体" w:eastAsia="宋体" w:cs="宋体"/>
          <w:b/>
          <w:bCs/>
          <w:color w:val="auto"/>
          <w:sz w:val="24"/>
          <w:szCs w:val="24"/>
          <w:highlight w:val="none"/>
        </w:rPr>
      </w:r>
      <w:r>
        <w:rPr>
          <w:color w:val="auto"/>
        </w:rPr>
      </w:r>
    </w:p>
    <w:p>
      <w:pPr>
        <w:pStyle w:val="853"/>
        <w:ind w:left="0" w:right="0" w:firstLine="42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监狱企业属于小型、微型企业的，不重复享受政策。</w:t>
      </w:r>
      <w:r>
        <w:rPr>
          <w:rFonts w:hint="eastAsia" w:ascii="宋体" w:hAnsi="宋体" w:eastAsia="宋体" w:cs="宋体"/>
          <w:color w:val="auto"/>
          <w:sz w:val="24"/>
          <w:szCs w:val="24"/>
          <w:highlight w:val="none"/>
        </w:rPr>
      </w:r>
      <w:r>
        <w:rPr>
          <w:color w:val="auto"/>
        </w:rPr>
      </w:r>
    </w:p>
    <w:p>
      <w:pPr>
        <w:pStyle w:val="853"/>
        <w:ind w:left="0" w:right="0" w:firstLine="420"/>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auto"/>
          <w:sz w:val="24"/>
          <w:szCs w:val="24"/>
          <w:highlight w:val="none"/>
        </w:rPr>
      </w:r>
      <w:r>
        <w:rPr>
          <w:color w:val="auto"/>
        </w:rPr>
      </w:r>
    </w:p>
    <w:p>
      <w:pPr>
        <w:pStyle w:val="853"/>
        <w:ind w:left="0" w:right="0" w:firstLine="420"/>
        <w:keepLines w:val="0"/>
        <w:keepNext w:val="0"/>
        <w:spacing w:line="360" w:lineRule="auto"/>
        <w:rPr>
          <w:rFonts w:hint="eastAsia" w:ascii="宋体" w:hAnsi="宋体" w:eastAsia="宋体" w:cs="宋体"/>
          <w:color w:val="auto"/>
          <w:sz w:val="24"/>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rPr>
        <w:t xml:space="preserve">评</w:t>
      </w:r>
      <w:r>
        <w:rPr>
          <w:rFonts w:hint="eastAsia" w:ascii="宋体" w:hAnsi="宋体" w:eastAsia="宋体" w:cs="宋体"/>
          <w:color w:val="auto"/>
          <w:sz w:val="24"/>
        </w:rPr>
        <w:t xml:space="preserve">审过程中出现下列情形之一的，评审委员会应当启动异常低价投标（响应）审查程序：</w:t>
      </w:r>
      <w:r>
        <w:rPr>
          <w:rFonts w:hint="eastAsia" w:ascii="宋体" w:hAnsi="宋体" w:eastAsia="宋体" w:cs="宋体"/>
          <w:color w:val="auto"/>
          <w:sz w:val="24"/>
        </w:rPr>
      </w:r>
      <w:r>
        <w:rPr>
          <w:color w:val="auto"/>
        </w:rP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auto"/>
          <w:sz w:val="24"/>
        </w:rPr>
      </w:r>
      <w:r>
        <w:rPr>
          <w:color w:val="auto"/>
        </w:rP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auto"/>
          <w:sz w:val="24"/>
        </w:rPr>
      </w:r>
      <w:r>
        <w:rPr>
          <w:color w:val="auto"/>
        </w:rP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投标（响应）报价低于采购项目最高限价45%的，即投标（响应）报价&lt;采购项目最高限价×45%；</w:t>
      </w:r>
      <w:r>
        <w:rPr>
          <w:rFonts w:hint="eastAsia" w:ascii="宋体" w:hAnsi="宋体" w:eastAsia="宋体" w:cs="宋体"/>
          <w:color w:val="auto"/>
          <w:sz w:val="24"/>
        </w:rPr>
      </w:r>
      <w:r>
        <w:rPr>
          <w:color w:val="auto"/>
        </w:rP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评审委员会基于专业判断，认为供应商报价过低，有可能影响产品质量或者不能诚信履约的其他情形。</w:t>
      </w:r>
      <w:r>
        <w:rPr>
          <w:rFonts w:hint="eastAsia" w:ascii="宋体" w:hAnsi="宋体" w:eastAsia="宋体" w:cs="宋体"/>
          <w:color w:val="auto"/>
          <w:sz w:val="24"/>
        </w:rPr>
      </w:r>
      <w:r>
        <w:rPr>
          <w:color w:val="auto"/>
        </w:rPr>
      </w:r>
    </w:p>
    <w:p>
      <w:pPr>
        <w:pStyle w:val="853"/>
        <w:ind w:firstLine="480"/>
        <w:spacing w:line="460" w:lineRule="exact"/>
        <w:rPr>
          <w:rFonts w:hint="eastAsia" w:ascii="宋体" w:hAnsi="宋体" w:eastAsia="宋体" w:cs="宋体"/>
          <w:b/>
          <w:color w:val="auto"/>
          <w:sz w:val="24"/>
          <w:szCs w:val="24"/>
        </w:rPr>
      </w:pPr>
      <w:r>
        <w:rPr>
          <w:rFonts w:hint="eastAsia" w:ascii="宋体" w:hAnsi="宋体" w:eastAsia="宋体" w:cs="宋体"/>
          <w:color w:val="auto"/>
          <w:sz w:val="24"/>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ascii="宋体" w:hAnsi="宋体" w:eastAsia="宋体" w:cs="宋体"/>
          <w:color w:val="auto"/>
          <w:sz w:val="24"/>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auto"/>
          <w:sz w:val="24"/>
          <w:szCs w:val="24"/>
        </w:rPr>
      </w:r>
      <w:r>
        <w:rPr>
          <w:color w:val="auto"/>
        </w:rPr>
      </w:r>
    </w:p>
    <w:p>
      <w:pPr>
        <w:pStyle w:val="889"/>
        <w:rPr>
          <w:rFonts w:hint="eastAsia" w:ascii="宋体" w:hAnsi="宋体" w:eastAsia="宋体" w:cs="宋体"/>
          <w:color w:val="auto"/>
        </w:rPr>
      </w:pPr>
      <w:r>
        <w:rPr>
          <w:rFonts w:hint="eastAsia" w:ascii="宋体" w:hAnsi="宋体" w:eastAsia="宋体" w:cs="宋体"/>
          <w:color w:val="auto"/>
        </w:rPr>
      </w:r>
      <w:r>
        <w:rPr>
          <w:color w:val="auto"/>
        </w:rP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rPr>
          <w:rFonts w:hint="eastAsia" w:ascii="宋体" w:hAnsi="宋体" w:eastAsia="宋体" w:cs="宋体"/>
          <w:b/>
          <w:color w:val="auto"/>
          <w:sz w:val="24"/>
          <w:szCs w:val="24"/>
          <w:highlight w:val="none"/>
        </w:rPr>
      </w:r>
      <w:r>
        <w:rPr>
          <w:color w:val="auto"/>
        </w:rPr>
      </w:r>
    </w:p>
    <w:p>
      <w:pPr>
        <w:pStyle w:val="853"/>
        <w:ind w:firstLine="5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分，技术部分、响应单位资质部分等为</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r>
      <w:r>
        <w:rPr>
          <w:color w:val="auto"/>
        </w:rPr>
      </w:r>
    </w:p>
    <w:p>
      <w:pPr>
        <w:pStyle w:val="85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0分）</w:t>
      </w:r>
      <w:r>
        <w:rPr>
          <w:rFonts w:hint="eastAsia" w:ascii="宋体" w:hAnsi="宋体" w:eastAsia="宋体" w:cs="宋体"/>
          <w:b/>
          <w:bCs/>
          <w:color w:val="auto"/>
          <w:sz w:val="24"/>
          <w:szCs w:val="24"/>
          <w:highlight w:val="none"/>
        </w:rPr>
      </w:r>
      <w:r>
        <w:rPr>
          <w:color w:val="auto"/>
        </w:rPr>
      </w:r>
    </w:p>
    <w:p>
      <w:pPr>
        <w:pStyle w:val="853"/>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第一步：响应报价低于或等于预算价格的，为有效响应报价。超出此范围的响应报价为无效响应报价。无效响应报价的响应文件不进行评审，也不得标。</w:t>
      </w:r>
      <w:r>
        <w:rPr>
          <w:rFonts w:hint="eastAsia" w:ascii="宋体" w:hAnsi="宋体" w:eastAsia="宋体" w:cs="宋体"/>
          <w:color w:val="auto"/>
          <w:sz w:val="24"/>
          <w:szCs w:val="24"/>
          <w:highlight w:val="none"/>
        </w:rPr>
      </w:r>
      <w:r>
        <w:rPr>
          <w:color w:val="auto"/>
        </w:rPr>
      </w:r>
    </w:p>
    <w:p>
      <w:pPr>
        <w:pStyle w:val="853"/>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第二步：在所有有效响应报价中选择报价最低的确定为基准报价。</w:t>
      </w:r>
      <w:r>
        <w:rPr>
          <w:rFonts w:hint="eastAsia" w:ascii="宋体" w:hAnsi="宋体" w:eastAsia="宋体" w:cs="宋体"/>
          <w:color w:val="auto"/>
          <w:sz w:val="24"/>
          <w:szCs w:val="24"/>
          <w:highlight w:val="none"/>
        </w:rPr>
      </w:r>
      <w:r>
        <w:rPr>
          <w:color w:val="auto"/>
        </w:rPr>
      </w:r>
    </w:p>
    <w:p>
      <w:pPr>
        <w:pStyle w:val="853"/>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第三步：将所有有效报价与基准报价相比较：等于基准报价的得10分，其他响应单位的价格分按照下列公式计算（计算结果四舍五入保留两位小数）：</w:t>
      </w:r>
      <w:r>
        <w:rPr>
          <w:rFonts w:hint="eastAsia" w:ascii="宋体" w:hAnsi="宋体" w:eastAsia="宋体" w:cs="宋体"/>
          <w:color w:val="auto"/>
          <w:sz w:val="24"/>
          <w:szCs w:val="24"/>
          <w:highlight w:val="none"/>
        </w:rPr>
      </w:r>
      <w:r>
        <w:rPr>
          <w:color w:val="auto"/>
        </w:rPr>
      </w:r>
    </w:p>
    <w:p>
      <w:pPr>
        <w:pStyle w:val="853"/>
        <w:ind w:firstLine="42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响应报价得分＝（基准报价/响应报价）×</w:t>
      </w:r>
      <w:r>
        <w:rPr>
          <w:rFonts w:hint="eastAsia" w:ascii="宋体" w:hAnsi="宋体" w:eastAsia="宋体" w:cs="宋体"/>
          <w:b/>
          <w:color w:val="auto"/>
          <w:sz w:val="24"/>
          <w:szCs w:val="24"/>
          <w:highlight w:val="none"/>
          <w:u w:val="single"/>
          <w:lang w:val="en-US" w:eastAsia="zh-CN"/>
        </w:rPr>
        <w:t xml:space="preserve">1</w:t>
      </w:r>
      <w:r>
        <w:rPr>
          <w:rFonts w:hint="eastAsia" w:ascii="宋体" w:hAnsi="宋体" w:eastAsia="宋体" w:cs="宋体"/>
          <w:b/>
          <w:color w:val="auto"/>
          <w:sz w:val="24"/>
          <w:szCs w:val="24"/>
          <w:highlight w:val="none"/>
          <w:u w:val="single"/>
        </w:rPr>
        <w:t xml:space="preserve">0％×100</w:t>
      </w:r>
      <w:r>
        <w:rPr>
          <w:rFonts w:hint="eastAsia" w:ascii="宋体" w:hAnsi="宋体" w:eastAsia="宋体" w:cs="宋体"/>
          <w:b/>
          <w:color w:val="auto"/>
          <w:sz w:val="24"/>
          <w:szCs w:val="24"/>
          <w:highlight w:val="none"/>
          <w:u w:val="single"/>
        </w:rPr>
      </w:r>
      <w:r>
        <w:rPr>
          <w:color w:val="auto"/>
        </w:rP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（二）技术方案（</w:t>
      </w:r>
      <w:r>
        <w:rPr>
          <w:rFonts w:hint="eastAsia" w:ascii="宋体" w:hAnsi="宋体" w:cs="宋体"/>
          <w:b/>
          <w:color w:val="auto"/>
          <w:sz w:val="24"/>
          <w:szCs w:val="24"/>
          <w:lang w:val="en-US" w:eastAsia="zh-CN"/>
        </w:rPr>
        <w:t xml:space="preserve">51</w:t>
      </w:r>
      <w:r>
        <w:rPr>
          <w:rFonts w:hint="eastAsia" w:ascii="宋体" w:hAnsi="宋体" w:eastAsia="宋体" w:cs="宋体"/>
          <w:b/>
          <w:color w:val="auto"/>
          <w:sz w:val="24"/>
          <w:szCs w:val="24"/>
        </w:rPr>
        <w:t xml:space="preserve">分）</w:t>
      </w:r>
      <w:r>
        <w:rPr>
          <w:rFonts w:hint="eastAsia" w:ascii="宋体" w:hAnsi="宋体" w:eastAsia="宋体" w:cs="宋体"/>
          <w:b/>
          <w:color w:val="auto"/>
          <w:sz w:val="24"/>
          <w:szCs w:val="24"/>
        </w:rPr>
      </w:r>
      <w:r>
        <w:rPr>
          <w:color w:val="auto"/>
        </w:rP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1.常见故障与处理流程方案（8分）</w:t>
      </w:r>
      <w:r>
        <w:rPr>
          <w:rFonts w:hint="eastAsia" w:ascii="宋体" w:hAnsi="宋体" w:eastAsia="宋体" w:cs="宋体"/>
          <w:b/>
          <w:color w:val="auto"/>
          <w:sz w:val="24"/>
          <w:szCs w:val="24"/>
        </w:rPr>
      </w:r>
      <w:r>
        <w:rPr>
          <w:color w:val="auto"/>
        </w:rP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符合现阶段道路监控的常见故障分析与处理流程图方案，方案包含但不限于：常见故障的快速定位、无图像处理流程、通讯故障排查流程、常见网络排查命令及使用方法、设备故障排查流程；质量管理体系完善、各控制要点明确的方案全面、合理、科学的得8分；方案比较全面、合理、科学得5分；方案简单、合理性欠缺的得3分；不提供不得分。</w:t>
      </w:r>
      <w:r>
        <w:rPr>
          <w:rFonts w:hint="eastAsia" w:ascii="宋体" w:hAnsi="宋体" w:eastAsia="宋体" w:cs="宋体"/>
          <w:color w:val="auto"/>
          <w:sz w:val="24"/>
          <w:szCs w:val="24"/>
        </w:rPr>
      </w:r>
      <w:r>
        <w:rPr>
          <w:color w:val="auto"/>
        </w:rP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提供网络通讯保障方案（8分）</w:t>
      </w:r>
      <w:r>
        <w:rPr>
          <w:rFonts w:hint="eastAsia" w:ascii="宋体" w:hAnsi="宋体" w:eastAsia="宋体" w:cs="宋体"/>
          <w:b/>
          <w:color w:val="auto"/>
          <w:sz w:val="24"/>
          <w:szCs w:val="24"/>
        </w:rPr>
      </w:r>
      <w:r>
        <w:rPr>
          <w:color w:val="auto"/>
        </w:rPr>
      </w:r>
    </w:p>
    <w:p>
      <w:pPr>
        <w:pStyle w:val="853"/>
        <w:ind w:left="0" w:firstLine="42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道路监控网络通讯保障方案，包含但不限于：专网通讯保障，维护架构清晰、技术先进、维护简易、通讯保障处置能力得到保障的得8分；可满足使用要求、网络维护技术传统、故障难查找、解决时间得不到保障得5分；通讯保障方案结构复杂、执行效率低下的得3分；未提供不得分。</w:t>
      </w:r>
      <w:r>
        <w:rPr>
          <w:rFonts w:hint="eastAsia" w:ascii="宋体" w:hAnsi="宋体" w:eastAsia="宋体" w:cs="宋体"/>
          <w:color w:val="auto"/>
          <w:sz w:val="24"/>
          <w:szCs w:val="24"/>
        </w:rPr>
      </w:r>
      <w:r>
        <w:rPr>
          <w:color w:val="auto"/>
        </w:rP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3.针对本项目的理解（9分）</w:t>
      </w:r>
      <w:r>
        <w:rPr>
          <w:rFonts w:hint="eastAsia" w:ascii="宋体" w:hAnsi="宋体" w:eastAsia="宋体" w:cs="宋体"/>
          <w:b/>
          <w:color w:val="auto"/>
          <w:sz w:val="24"/>
          <w:szCs w:val="24"/>
        </w:rPr>
      </w:r>
      <w:r>
        <w:rPr>
          <w:color w:val="auto"/>
        </w:rP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本项目的阐述，对服务目标和要求充分理解，提供服务的范围和规划。掌握、理解分析准确、专业性强、深入程度高、与用户需求贴合度高的得9分；理解分析较准确、专业性较强、深入程度较高，与用户需求贴合度较高的得6分；理解分析不够准确、专业性不强、深入程度不够、与用户需求贴合度不强的得3分；未提供方案的不得分。</w:t>
      </w:r>
      <w:r>
        <w:rPr>
          <w:rFonts w:hint="eastAsia" w:ascii="宋体" w:hAnsi="宋体" w:eastAsia="宋体" w:cs="宋体"/>
          <w:color w:val="auto"/>
          <w:sz w:val="24"/>
          <w:szCs w:val="24"/>
        </w:rPr>
      </w:r>
      <w:r>
        <w:rPr>
          <w:color w:val="auto"/>
        </w:rP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4.监控应急保障方案（</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rPr>
        <w:t xml:space="preserve">分）</w:t>
      </w:r>
      <w:r>
        <w:rPr>
          <w:rFonts w:hint="eastAsia" w:ascii="宋体" w:hAnsi="宋体" w:eastAsia="宋体" w:cs="宋体"/>
          <w:b/>
          <w:color w:val="auto"/>
          <w:sz w:val="24"/>
          <w:szCs w:val="24"/>
        </w:rPr>
      </w:r>
      <w:r>
        <w:rPr>
          <w:color w:val="auto"/>
        </w:rP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供应商提供完善的应急保障方案，包括但不限于：保障人员、保障团队、保障内容（系统保障、应急保障措施、应急保障维护流程图、应急电源配备），方案详细、合理、科学的得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分；方案较详细、较合理、较科学得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分；方案简单不详细、合理性欠缺的得3分；不提供不得分。</w:t>
      </w:r>
      <w:r>
        <w:rPr>
          <w:rFonts w:hint="eastAsia" w:ascii="宋体" w:hAnsi="宋体" w:eastAsia="宋体" w:cs="宋体"/>
          <w:color w:val="auto"/>
          <w:sz w:val="24"/>
          <w:szCs w:val="24"/>
        </w:rPr>
      </w:r>
      <w:r>
        <w:rPr>
          <w:color w:val="auto"/>
        </w:rP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5.视频联网技术方案（8分）</w:t>
      </w:r>
      <w:r>
        <w:rPr>
          <w:rFonts w:hint="eastAsia" w:ascii="宋体" w:hAnsi="宋体" w:eastAsia="宋体" w:cs="宋体"/>
          <w:b/>
          <w:color w:val="auto"/>
          <w:sz w:val="24"/>
          <w:szCs w:val="24"/>
        </w:rPr>
      </w:r>
      <w:r>
        <w:rPr>
          <w:color w:val="auto"/>
        </w:rP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针对现有平台的联网方案，分别为视频设备接入与特征识别设备接入，方案包含但不限于：系统架构、安装场景、客观因素的影响、关键性作用、传输保障、安装规范、图像调节。描述准确、内容完整、与实际情况贴合度高的得8分；描述较准确、内容较完整、与实际情况贴合度较高的得5分；描述不准确、内容不完整、与实际情况贴合度不高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分；不提供不得分。</w:t>
      </w:r>
      <w:r>
        <w:rPr>
          <w:rFonts w:hint="eastAsia" w:ascii="宋体" w:hAnsi="宋体" w:eastAsia="宋体" w:cs="宋体"/>
          <w:color w:val="auto"/>
          <w:sz w:val="24"/>
          <w:szCs w:val="24"/>
        </w:rPr>
      </w:r>
      <w:r>
        <w:rPr>
          <w:color w:val="auto"/>
        </w:rP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w:t>
      </w:r>
      <w:bookmarkStart w:id="10" w:name="OLE_LINK5"/>
      <w:r>
        <w:rPr>
          <w:rFonts w:hint="eastAsia" w:ascii="宋体" w:hAnsi="宋体" w:eastAsia="宋体" w:cs="宋体"/>
          <w:b/>
          <w:color w:val="auto"/>
          <w:sz w:val="24"/>
          <w:szCs w:val="24"/>
        </w:rPr>
        <w:t xml:space="preserve">针对本项目的安全保密制度方案比较</w:t>
      </w:r>
      <w:bookmarkEnd w:id="10"/>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rPr>
        <w:t xml:space="preserve">分）</w:t>
      </w:r>
      <w:r>
        <w:rPr>
          <w:rFonts w:hint="eastAsia" w:ascii="宋体" w:hAnsi="宋体" w:eastAsia="宋体" w:cs="宋体"/>
          <w:b/>
          <w:color w:val="auto"/>
          <w:sz w:val="24"/>
          <w:szCs w:val="24"/>
        </w:rPr>
      </w:r>
      <w:r>
        <w:rPr>
          <w:color w:val="auto"/>
        </w:rP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供应商提供的针对本服务项目的安全保密方案，包含但不限于：项目安全的保密制度、培训机制、实操规则、安全档案管理方案的合理性、完善性、规范性、清晰性、可操作性高的得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分；管理制度方案的合理性、完善性、规范性、清晰性、可操作性较高的得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分；管理制度方案合理性、完善性、规范性、清晰性、可操作性不高的得3分；不提供不得分。</w:t>
      </w:r>
      <w:r>
        <w:rPr>
          <w:rFonts w:hint="eastAsia" w:ascii="宋体" w:hAnsi="宋体" w:eastAsia="宋体" w:cs="宋体"/>
          <w:color w:val="auto"/>
          <w:sz w:val="24"/>
          <w:szCs w:val="24"/>
        </w:rPr>
      </w:r>
      <w:r>
        <w:rPr>
          <w:color w:val="auto"/>
        </w:rP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（三）售后服务效率比较：（8分）</w:t>
      </w:r>
      <w:r>
        <w:rPr>
          <w:rFonts w:hint="eastAsia" w:ascii="宋体" w:hAnsi="宋体" w:eastAsia="宋体" w:cs="宋体"/>
          <w:b/>
          <w:color w:val="auto"/>
          <w:sz w:val="24"/>
          <w:szCs w:val="24"/>
        </w:rPr>
      </w:r>
      <w:r>
        <w:rPr>
          <w:color w:val="auto"/>
        </w:rPr>
      </w:r>
    </w:p>
    <w:p>
      <w:pPr>
        <w:pStyle w:val="853"/>
        <w:ind w:left="0" w:firstLine="422"/>
        <w:jc w:val="left"/>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供应商针对本项目实际提供售后服务方案，具有完整的售后服务三方框架（以流程图形式展示售后服务运维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 方案合理、实用性强、可操作性高、与用户需求贴合度高，</w:t>
      </w:r>
      <w:r>
        <w:rPr>
          <w:rFonts w:hint="eastAsia" w:ascii="宋体" w:hAnsi="宋体" w:eastAsia="宋体" w:cs="宋体"/>
          <w:color w:val="auto"/>
          <w:sz w:val="24"/>
          <w:szCs w:val="24"/>
        </w:rPr>
        <w:t xml:space="preserve">优于采购需求的得8分；方案较合理、实用性较强、可操作性较高、与用户需求贴合度较高的得5分；方案不够合理、实用性一般、可操作性一般、与用户需求贴合度一般的得3分；未提供不得分。</w:t>
      </w:r>
      <w:r>
        <w:rPr>
          <w:rFonts w:hint="eastAsia" w:ascii="宋体" w:hAnsi="宋体" w:eastAsia="宋体" w:cs="宋体"/>
          <w:color w:val="auto"/>
          <w:sz w:val="24"/>
          <w:szCs w:val="24"/>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（四）针对本项目的运维客户端功能展示（6分）</w:t>
      </w:r>
      <w:r>
        <w:rPr>
          <w:rFonts w:hint="eastAsia" w:ascii="宋体" w:hAnsi="宋体" w:eastAsia="宋体" w:cs="宋体"/>
          <w:b/>
          <w:bCs/>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运维客户端功能如下：</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1.实现服务内容中涉及流媒体的质量检测取样功能、检测能力的得2分，最高得2分。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2.实现在线率检测、颜色异常检测、亮度异常检测、噪点异常检测、清晰度检测、异物遮挡检测、视角移位检测的得2分，最高得2分。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3.显示界面可一图展示点位信息、视频接入数量、实时在线率、故障类型统计、故障时间超24小时统计的得2分，最高得2分。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提供与上述功能要求相符合的功能展示，展示方式不限于演示视频，PPT，功能截图（含技术说明）等，未提供或无法体现功能的不得分，展示内容确保真实且作为项目履约验收的重要参考依据。注：如提供演示视频，1.演示时间不超过10分钟，需在“苏采云”系统演示文件入口按系统要求上传演示文</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件。2.单个视频附件压缩包大小不得超过50M，整体附件压缩包不得超过300M，视频文件格式建议采用MP4、MKV、MOV、AVI格式。3.因</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供应商上传文件本身损坏等自身原因导致演示资料无法正常读取的视为无效演示，本项不得分，由供应商自行承担责任。</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（五）针对本项目配备人员比较（15分）</w:t>
      </w:r>
      <w:r>
        <w:rPr>
          <w:rFonts w:hint="eastAsia" w:ascii="宋体" w:hAnsi="宋体" w:eastAsia="宋体" w:cs="宋体"/>
          <w:b/>
          <w:bCs/>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1.项目经理（4分）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（1）具有信息系统项目管理师证书，注册信息安全专业人员（CISP）证书的，每提供1份得1分，最高2分；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（2）具有与本项目服务相关专业中级职称证书的得1分，高级及以上职称证书的，得2分；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2.项目技术负责人（3分）</w:t>
      </w:r>
      <w:r>
        <w:rPr>
          <w:rFonts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具有</w:t>
      </w:r>
      <w:r>
        <w:rPr>
          <w:rFonts w:hint="eastAsia" w:ascii="宋体" w:hAnsi="宋体" w:eastAsia="宋体" w:cs="宋体"/>
          <w:b w:val="0"/>
          <w:bCs w:val="0"/>
          <w:color w:val="auto"/>
          <w:sz w:val="24"/>
          <w:szCs w:val="24"/>
        </w:rPr>
        <w:t xml:space="preserve">注册信息安全工程师（CISE）证书</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ITSS IT服务项目经理证书</w:t>
      </w:r>
      <w:r>
        <w:rPr>
          <w:rFonts w:hint="eastAsia" w:ascii="宋体" w:hAnsi="宋体" w:eastAsia="宋体" w:cs="宋体"/>
          <w:b w:val="0"/>
          <w:bCs w:val="0"/>
          <w:color w:val="auto"/>
          <w:sz w:val="24"/>
          <w:szCs w:val="24"/>
          <w:lang w:eastAsia="zh-CN"/>
        </w:rPr>
        <w:t xml:space="preserve">的</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，每提供1份得1分，最高2分；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（2）具有与本项目服务相关专业中级及以上职称证书的，得1分；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3.项目组成员（除项目经理、技术负责人）（8分）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lang w:val="en-US" w:eastAsia="zh-CN"/>
        </w:rPr>
        <w:t xml:space="preserve">具有CISAW信息安全保障人员证书（安全运维），IT运维工程师证书，数据库系统工程师证书，网络工程师证书，注册信息安全专业人员（CISP）证书的，每提供1份得1分，最高8分；</w:t>
      </w:r>
      <w:r>
        <w:rPr>
          <w:rFonts w:hint="eastAsia" w:ascii="宋体" w:hAnsi="宋体" w:eastAsia="宋体" w:cs="宋体"/>
          <w:b w:val="0"/>
          <w:bCs w:val="0"/>
          <w:color w:val="auto"/>
          <w:sz w:val="24"/>
          <w:szCs w:val="24"/>
          <w:lang w:val="en-US" w:eastAsia="zh-CN"/>
        </w:rPr>
      </w:r>
      <w:r>
        <w:rPr>
          <w:color w:val="auto"/>
        </w:rP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（注：响应文件中需提供以上1.-3.人员证书及响应单位为该员工缴纳至少最近一个月的社保证明</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w:t>
      </w:r>
      <w:r>
        <w:rPr>
          <w:rFonts w:ascii="宋体" w:hAnsi="宋体" w:eastAsia="宋体" w:cs="宋体"/>
          <w:color w:val="auto"/>
          <w:sz w:val="24"/>
          <w:szCs w:val="24"/>
        </w:rPr>
        <w:t xml:space="preserve">集团</w:t>
      </w:r>
      <w:r>
        <w:rPr>
          <w:rFonts w:hint="eastAsia" w:ascii="宋体" w:hAnsi="宋体" w:eastAsia="宋体" w:cs="宋体"/>
          <w:color w:val="auto"/>
          <w:sz w:val="24"/>
          <w:szCs w:val="24"/>
          <w:lang w:val="en-US" w:eastAsia="zh-CN"/>
        </w:rPr>
        <w:t xml:space="preserve">或</w:t>
      </w:r>
      <w:r>
        <w:rPr>
          <w:rFonts w:ascii="宋体" w:hAnsi="宋体" w:eastAsia="宋体" w:cs="宋体"/>
          <w:color w:val="auto"/>
          <w:sz w:val="24"/>
          <w:szCs w:val="24"/>
        </w:rPr>
        <w:t xml:space="preserve">分支机构</w:t>
      </w:r>
      <w:r>
        <w:rPr>
          <w:rFonts w:hint="eastAsia" w:ascii="宋体" w:hAnsi="宋体" w:eastAsia="宋体" w:cs="宋体"/>
          <w:color w:val="auto"/>
          <w:sz w:val="24"/>
          <w:szCs w:val="24"/>
          <w:lang w:val="en-US" w:eastAsia="zh-CN"/>
        </w:rPr>
        <w:t xml:space="preserve">缴纳</w:t>
      </w:r>
      <w:r>
        <w:rPr>
          <w:rFonts w:ascii="宋体" w:hAnsi="宋体" w:eastAsia="宋体" w:cs="宋体"/>
          <w:color w:val="auto"/>
          <w:sz w:val="24"/>
          <w:szCs w:val="24"/>
        </w:rPr>
        <w:t xml:space="preserve">、异地社保均可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依法无需缴纳社保人员需提供证明</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不提供相关证明不得分。）</w:t>
      </w:r>
      <w:r>
        <w:rPr>
          <w:rFonts w:hint="eastAsia" w:ascii="宋体" w:hAnsi="宋体" w:eastAsia="宋体" w:cs="宋体"/>
          <w:b w:val="0"/>
          <w:bCs w:val="0"/>
          <w:i w:val="0"/>
          <w:iCs w:val="0"/>
          <w:caps w:val="0"/>
          <w:color w:val="auto"/>
          <w:spacing w:val="0"/>
          <w:sz w:val="24"/>
          <w:szCs w:val="24"/>
          <w:shd w:val="clear" w:color="auto" w:fill="ffffff"/>
          <w:lang w:val="en-US" w:eastAsia="zh-CN" w:bidi="ar"/>
        </w:rPr>
      </w:r>
      <w:r>
        <w:rPr>
          <w:color w:val="auto"/>
        </w:rP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（六）响应单位综合能力比较（</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分）</w:t>
      </w:r>
      <w:r>
        <w:rPr>
          <w:rFonts w:hint="eastAsia" w:ascii="宋体" w:hAnsi="宋体" w:eastAsia="宋体" w:cs="宋体"/>
          <w:b/>
          <w:color w:val="auto"/>
          <w:sz w:val="24"/>
          <w:szCs w:val="24"/>
        </w:rPr>
      </w:r>
      <w:r>
        <w:rPr>
          <w:color w:val="auto"/>
        </w:rP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Cs/>
          <w:color w:val="auto"/>
          <w:sz w:val="24"/>
          <w:szCs w:val="24"/>
        </w:rPr>
        <w:t xml:space="preserve">1.供应商具有质量管理体系认证证书、信息安全管理体系认证证书、信息技术服务管理体系认证证书，每提供一项得2分，最高得6分。</w:t>
      </w:r>
      <w:r>
        <w:rPr>
          <w:rFonts w:hint="eastAsia" w:ascii="宋体" w:hAnsi="宋体" w:eastAsia="宋体" w:cs="宋体"/>
          <w:b/>
          <w:color w:val="auto"/>
          <w:sz w:val="24"/>
          <w:szCs w:val="24"/>
        </w:rPr>
      </w:r>
      <w:r>
        <w:rPr>
          <w:color w:val="auto"/>
        </w:rP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注：响应文件中需提供以上相关证书复印件或网络查询截图，并加盖供应商公章；未按要求提供或未提供不得分。</w:t>
      </w:r>
      <w:r>
        <w:rPr>
          <w:rFonts w:hint="eastAsia" w:ascii="宋体" w:hAnsi="宋体" w:eastAsia="宋体" w:cs="宋体"/>
          <w:b/>
          <w:color w:val="auto"/>
          <w:sz w:val="24"/>
          <w:szCs w:val="24"/>
        </w:rPr>
      </w:r>
      <w:r>
        <w:rPr>
          <w:color w:val="auto"/>
        </w:rP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（七）类似项目业绩（4分）</w:t>
      </w:r>
      <w:r>
        <w:rPr>
          <w:rFonts w:hint="eastAsia" w:ascii="宋体" w:hAnsi="宋体" w:eastAsia="宋体" w:cs="宋体"/>
          <w:b/>
          <w:color w:val="auto"/>
          <w:sz w:val="24"/>
          <w:szCs w:val="24"/>
        </w:rPr>
      </w:r>
      <w:r>
        <w:rPr>
          <w:color w:val="auto"/>
        </w:rP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2023年1月1日（以合同签订日期为准）响应单位具有类似服务项目业绩的，每提供一个得1分，最高得4分。</w:t>
      </w:r>
      <w:r>
        <w:rPr>
          <w:rFonts w:hint="eastAsia" w:ascii="宋体" w:hAnsi="宋体" w:eastAsia="宋体" w:cs="宋体"/>
          <w:b/>
          <w:color w:val="auto"/>
          <w:sz w:val="24"/>
          <w:szCs w:val="24"/>
        </w:rPr>
        <w:t xml:space="preserve">（注：</w:t>
      </w:r>
      <w:r>
        <w:rPr>
          <w:rFonts w:hint="eastAsia" w:ascii="宋体" w:hAnsi="宋体" w:eastAsia="宋体" w:cs="宋体"/>
          <w:b/>
          <w:bCs/>
          <w:color w:val="auto"/>
          <w:sz w:val="24"/>
          <w:szCs w:val="24"/>
        </w:rPr>
        <w:t xml:space="preserve">提供完整合同复印件并加盖供应商公章，不提供相关证明不得分。</w:t>
      </w:r>
      <w:r>
        <w:rPr>
          <w:rFonts w:hint="eastAsia" w:ascii="宋体" w:hAnsi="宋体" w:eastAsia="宋体" w:cs="宋体"/>
          <w:b/>
          <w:color w:val="auto"/>
          <w:sz w:val="24"/>
          <w:szCs w:val="24"/>
        </w:rPr>
        <w:t xml:space="preserve">）</w:t>
      </w:r>
      <w:r>
        <w:rPr>
          <w:rFonts w:hint="eastAsia" w:ascii="宋体" w:hAnsi="宋体" w:eastAsia="宋体" w:cs="宋体"/>
          <w:color w:val="auto"/>
          <w:sz w:val="24"/>
          <w:szCs w:val="24"/>
        </w:rPr>
      </w:r>
      <w:r>
        <w:rPr>
          <w:color w:val="auto"/>
        </w:rPr>
      </w:r>
    </w:p>
    <w:p>
      <w:pPr>
        <w:pStyle w:val="919"/>
        <w:ind w:left="426" w:hanging="426"/>
        <w:spacing w:line="360" w:lineRule="auto"/>
        <w:tabs>
          <w:tab w:val="left" w:pos="2700" w:leader="none"/>
        </w:tabs>
        <w:rPr>
          <w:rFonts w:hint="eastAsia" w:ascii="宋体" w:hAnsi="宋体" w:eastAsia="宋体" w:cs="宋体"/>
          <w:b/>
          <w:bCs/>
          <w:color w:val="auto"/>
          <w:sz w:val="24"/>
          <w:szCs w:val="24"/>
          <w:highlight w:val="none"/>
        </w:rPr>
        <w:framePr w:wrap="auto" w:vAnchor="margin" w:hAnchor="text"/>
      </w:pPr>
      <w:r>
        <w:rPr>
          <w:rFonts w:hint="eastAsia" w:ascii="宋体" w:hAnsi="宋体" w:eastAsia="宋体" w:cs="宋体"/>
          <w:b/>
          <w:bCs/>
          <w:color w:val="auto"/>
          <w:sz w:val="24"/>
          <w:szCs w:val="24"/>
          <w:highlight w:val="none"/>
          <w:lang w:val="zh-TW" w:eastAsia="zh-TW"/>
        </w:rPr>
        <w:t xml:space="preserve">注：</w:t>
      </w:r>
      <w:r>
        <w:rPr>
          <w:rFonts w:hint="eastAsia" w:ascii="宋体" w:hAnsi="宋体" w:eastAsia="宋体" w:cs="宋体"/>
          <w:b/>
          <w:bCs/>
          <w:color w:val="auto"/>
          <w:sz w:val="24"/>
          <w:szCs w:val="24"/>
          <w:highlight w:val="none"/>
          <w:lang w:val="zh-TW" w:eastAsia="zh-TW"/>
        </w:rPr>
      </w:r>
      <w:r>
        <w:rPr>
          <w:color w:val="auto"/>
        </w:rPr>
      </w:r>
    </w:p>
    <w:p>
      <w:pPr>
        <w:pStyle w:val="919"/>
        <w:spacing w:line="360" w:lineRule="auto"/>
        <w:tabs>
          <w:tab w:val="left" w:pos="509" w:leader="none"/>
        </w:tabs>
        <w:rPr>
          <w:rFonts w:hint="eastAsia" w:ascii="宋体" w:hAnsi="宋体" w:eastAsia="宋体" w:cs="宋体"/>
          <w:color w:val="auto"/>
          <w:sz w:val="24"/>
          <w:szCs w:val="24"/>
          <w:highlight w:val="none"/>
        </w:rPr>
        <w:framePr w:wrap="auto" w:vAnchor="margin" w:hAnchor="text"/>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lang w:val="zh-TW" w:eastAsia="zh-TW"/>
        </w:rPr>
        <w:t xml:space="preserve">评标时，未能按以上要求提供相应证明的，不作为评标依据，仅以按上述要求实际提供相关证明的数量作为评标依据。</w:t>
      </w:r>
      <w:r>
        <w:rPr>
          <w:rFonts w:hint="eastAsia" w:ascii="宋体" w:hAnsi="宋体" w:eastAsia="宋体" w:cs="宋体"/>
          <w:color w:val="auto"/>
          <w:sz w:val="24"/>
          <w:szCs w:val="24"/>
          <w:highlight w:val="none"/>
          <w:lang w:eastAsia="zh-TW"/>
        </w:rPr>
      </w:r>
      <w:r>
        <w:rPr>
          <w:color w:val="auto"/>
        </w:rPr>
      </w:r>
    </w:p>
    <w:p>
      <w:pPr>
        <w:pStyle w:val="919"/>
        <w:spacing w:line="360" w:lineRule="auto"/>
        <w:tabs>
          <w:tab w:val="left" w:pos="509" w:leader="none"/>
        </w:tabs>
        <w:rPr>
          <w:rFonts w:hint="eastAsia" w:ascii="宋体" w:hAnsi="宋体" w:eastAsia="宋体" w:cs="宋体"/>
          <w:color w:val="auto"/>
          <w:sz w:val="24"/>
          <w:szCs w:val="24"/>
          <w:highlight w:val="none"/>
        </w:rPr>
        <w:framePr w:wrap="auto" w:vAnchor="margin" w:hAnchor="text"/>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lang w:val="zh-TW" w:eastAsia="zh-TW"/>
        </w:rPr>
        <w:t xml:space="preserve">针对评分标准中评分的每一条，</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val="zh-TW" w:eastAsia="zh-TW"/>
        </w:rPr>
        <w:t xml:space="preserve">均应提供相关资料并作出相应说明供评委评判，不提供相关资料的视为不具备该项得分的条件。</w:t>
      </w:r>
      <w:r>
        <w:rPr>
          <w:rFonts w:hint="eastAsia" w:ascii="宋体" w:hAnsi="宋体" w:eastAsia="宋体" w:cs="宋体"/>
          <w:color w:val="auto"/>
          <w:sz w:val="24"/>
          <w:szCs w:val="24"/>
          <w:highlight w:val="none"/>
          <w:lang w:val="zh-TW" w:eastAsia="zh-TW"/>
        </w:rPr>
      </w:r>
      <w:r>
        <w:rPr>
          <w:color w:val="auto"/>
        </w:rPr>
      </w:r>
    </w:p>
    <w:p>
      <w:pPr>
        <w:pStyle w:val="919"/>
        <w:spacing w:line="360" w:lineRule="auto"/>
        <w:tabs>
          <w:tab w:val="left" w:pos="509" w:leader="none"/>
        </w:tabs>
        <w:rPr>
          <w:rFonts w:hint="eastAsia" w:ascii="宋体" w:hAnsi="宋体" w:eastAsia="宋体" w:cs="宋体"/>
          <w:color w:val="auto"/>
          <w:sz w:val="24"/>
          <w:szCs w:val="24"/>
          <w:highlight w:val="none"/>
        </w:rPr>
        <w:framePr w:wrap="auto" w:vAnchor="margin" w:hAnchor="text"/>
      </w:pPr>
      <w:r>
        <w:rPr>
          <w:rFonts w:hint="eastAsia" w:ascii="宋体" w:hAnsi="宋体" w:eastAsia="宋体" w:cs="宋体"/>
          <w:color w:val="auto"/>
          <w:sz w:val="24"/>
          <w:szCs w:val="24"/>
          <w:highlight w:val="none"/>
        </w:rPr>
      </w:r>
      <w:r>
        <w:rPr>
          <w:color w:val="auto"/>
        </w:rPr>
      </w:r>
    </w:p>
    <w:p>
      <w:pPr>
        <w:pStyle w:val="8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853"/>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六、附   件</w:t>
      </w:r>
      <w:r>
        <w:rPr>
          <w:rFonts w:hint="eastAsia" w:ascii="宋体" w:hAnsi="宋体" w:eastAsia="宋体" w:cs="宋体"/>
          <w:b/>
          <w:color w:val="auto"/>
          <w:sz w:val="24"/>
          <w:szCs w:val="24"/>
          <w:highlight w:val="none"/>
        </w:rPr>
      </w:r>
      <w:r>
        <w:rPr>
          <w:color w:val="auto"/>
        </w:rPr>
      </w:r>
    </w:p>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参考格式，磋商响应单位可根据下述格式自制表格进行响应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p>
    <w:p>
      <w:pPr>
        <w:pStyle w:val="853"/>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磋商响应报价表</w:t>
      </w:r>
      <w:r>
        <w:rPr>
          <w:rFonts w:hint="eastAsia" w:ascii="宋体" w:hAnsi="宋体" w:eastAsia="宋体" w:cs="宋体"/>
          <w:b/>
          <w:bCs/>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rPr>
          <w:rFonts w:hint="eastAsia" w:ascii="宋体" w:hAnsi="宋体" w:eastAsia="宋体" w:cs="宋体"/>
          <w:b/>
          <w:bCs/>
          <w:color w:val="auto"/>
          <w:sz w:val="24"/>
          <w:szCs w:val="24"/>
          <w:highlight w:val="none"/>
        </w:rPr>
      </w:r>
      <w:r>
        <w:rPr>
          <w:color w:val="auto"/>
        </w:rP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p>
    <w:p>
      <w:pPr>
        <w:pStyle w:val="853"/>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2026年度全镇监控安防设备维护保养服务</w:t>
      </w:r>
      <w:r>
        <w:rPr>
          <w:rFonts w:hint="eastAsia" w:ascii="宋体" w:hAnsi="宋体" w:eastAsia="宋体" w:cs="宋体"/>
          <w:color w:val="auto"/>
          <w:sz w:val="24"/>
          <w:szCs w:val="24"/>
          <w:highlight w:val="none"/>
          <w:lang w:eastAsia="zh-CN"/>
        </w:rPr>
      </w:r>
      <w:r>
        <w:rPr>
          <w:color w:val="auto"/>
        </w:rPr>
      </w:r>
    </w:p>
    <w:p>
      <w:pPr>
        <w:pStyle w:val="853"/>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lang w:eastAsia="zh-CN"/>
        </w:rPr>
        <w:t xml:space="preserve">JSZC-320506-DLHX-C2026-0007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4249"/>
        <w:gridCol w:w="2111"/>
        <w:gridCol w:w="1234"/>
      </w:tblGrid>
      <w:tr>
        <w:trPr>
          <w:cantSplit/>
          <w:trHeight w:val="830"/>
        </w:trPr>
        <w:tc>
          <w:tcPr>
            <w:tcW w:w="12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rFonts w:hint="eastAsia" w:ascii="宋体" w:hAnsi="宋体" w:eastAsia="宋体" w:cs="宋体"/>
                <w:color w:val="auto"/>
                <w:sz w:val="24"/>
                <w:szCs w:val="24"/>
                <w:highlight w:val="none"/>
              </w:rPr>
            </w:r>
            <w:r>
              <w:rPr>
                <w:color w:val="auto"/>
              </w:rPr>
            </w:r>
          </w:p>
        </w:tc>
        <w:tc>
          <w:tcPr>
            <w:tcW w:w="4249"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rPr>
            </w:r>
            <w:r>
              <w:rPr>
                <w:color w:val="auto"/>
              </w:rPr>
            </w:r>
          </w:p>
        </w:tc>
        <w:tc>
          <w:tcPr>
            <w:tcW w:w="2111"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tc>
        <w:tc>
          <w:tcPr>
            <w:tcW w:w="123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rPr>
            </w:r>
            <w:r>
              <w:rPr>
                <w:color w:val="auto"/>
              </w:rPr>
            </w:r>
          </w:p>
        </w:tc>
      </w:tr>
      <w:tr>
        <w:trPr>
          <w:cantSplit/>
          <w:trHeight w:val="770"/>
        </w:trPr>
        <w:tc>
          <w:tcPr>
            <w:tcW w:w="12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r>
            <w:r>
              <w:rPr>
                <w:color w:val="auto"/>
              </w:rPr>
            </w:r>
          </w:p>
        </w:tc>
        <w:tc>
          <w:tcPr>
            <w:tcW w:w="4249"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2026年度全镇监控安防设备维护保养服务</w:t>
            </w:r>
            <w:r>
              <w:rPr>
                <w:rFonts w:hint="eastAsia" w:ascii="宋体" w:hAnsi="宋体" w:eastAsia="宋体" w:cs="宋体"/>
                <w:color w:val="auto"/>
                <w:sz w:val="24"/>
                <w:szCs w:val="24"/>
                <w:highlight w:val="none"/>
              </w:rPr>
            </w:r>
            <w:r>
              <w:rPr>
                <w:color w:val="auto"/>
              </w:rPr>
            </w:r>
          </w:p>
        </w:tc>
        <w:tc>
          <w:tcPr>
            <w:tcW w:w="2111"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23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728"/>
        </w:trPr>
        <w:tc>
          <w:tcPr>
            <w:tcW w:w="12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rPr>
            </w:r>
            <w:r>
              <w:rPr>
                <w:color w:val="auto"/>
              </w:rPr>
            </w:r>
          </w:p>
        </w:tc>
        <w:tc>
          <w:tcPr>
            <w:gridSpan w:val="3"/>
            <w:tcW w:w="7594" w:type="dxa"/>
            <w:vAlign w:val="center"/>
            <w:textDirection w:val="lrTb"/>
            <w:noWrap w:val="false"/>
          </w:tcPr>
          <w:p>
            <w:pPr>
              <w:pStyle w:val="853"/>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lang w:eastAsia="zh-CN"/>
              </w:rPr>
              <w:t xml:space="preserve">一年（具体起始时间甲方书面通知为准）</w:t>
            </w:r>
            <w:r>
              <w:rPr>
                <w:rFonts w:hint="eastAsia" w:ascii="宋体" w:hAnsi="宋体" w:eastAsia="宋体" w:cs="宋体"/>
                <w:color w:val="auto"/>
                <w:spacing w:val="20"/>
                <w:sz w:val="24"/>
                <w:szCs w:val="24"/>
                <w:highlight w:val="none"/>
              </w:rPr>
            </w:r>
            <w:r>
              <w:rPr>
                <w:color w:val="auto"/>
              </w:rPr>
            </w:r>
          </w:p>
        </w:tc>
      </w:tr>
    </w:tbl>
    <w:p>
      <w:pPr>
        <w:pStyle w:val="929"/>
        <w:ind w:left="0"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rPr>
      </w:r>
      <w:r>
        <w:rPr>
          <w:color w:val="auto"/>
        </w:rP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auto"/>
          <w:sz w:val="24"/>
          <w:szCs w:val="24"/>
          <w:highlight w:val="none"/>
        </w:rPr>
      </w:r>
      <w:r>
        <w:rPr>
          <w:color w:val="auto"/>
        </w:rP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r>
      <w:r>
        <w:rPr>
          <w:color w:val="auto"/>
        </w:rPr>
      </w:r>
    </w:p>
    <w:p>
      <w:pPr>
        <w:pStyle w:val="8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auto"/>
          <w:sz w:val="24"/>
          <w:szCs w:val="24"/>
          <w:highlight w:val="none"/>
          <w:lang w:eastAsia="en-US"/>
        </w:rPr>
      </w:r>
      <w:r>
        <w:rPr>
          <w:color w:val="auto"/>
        </w:rPr>
      </w:r>
    </w:p>
    <w:p>
      <w:pPr>
        <w:pStyle w:val="88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color w:val="auto"/>
        </w:rPr>
      </w:r>
    </w:p>
    <w:p>
      <w:pPr>
        <w:pStyle w:val="863"/>
        <w:ind w:left="0" w:firstLine="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磋商响应</w:t>
      </w:r>
      <w:r>
        <w:rPr>
          <w:rFonts w:hint="eastAsia" w:ascii="宋体" w:hAnsi="宋体" w:eastAsia="宋体" w:cs="宋体"/>
          <w:b/>
          <w:color w:val="auto"/>
          <w:sz w:val="24"/>
          <w:szCs w:val="24"/>
          <w:highlight w:val="none"/>
        </w:rPr>
        <w:t xml:space="preserve">承诺书</w:t>
      </w:r>
      <w:r>
        <w:rPr>
          <w:rFonts w:hint="eastAsia" w:ascii="宋体" w:hAnsi="宋体" w:eastAsia="宋体" w:cs="宋体"/>
          <w:b/>
          <w:color w:val="auto"/>
          <w:sz w:val="24"/>
          <w:szCs w:val="24"/>
          <w:highlight w:val="none"/>
        </w:rPr>
      </w:r>
      <w:r>
        <w:rPr>
          <w:color w:val="auto"/>
        </w:rPr>
      </w:r>
    </w:p>
    <w:p>
      <w:pPr>
        <w:pStyle w:val="863"/>
        <w:ind w:firstLine="0"/>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磋商响应</w:t>
      </w:r>
      <w:r>
        <w:rPr>
          <w:rFonts w:hint="eastAsia" w:ascii="宋体" w:hAnsi="宋体" w:eastAsia="宋体" w:cs="宋体"/>
          <w:b/>
          <w:bCs/>
          <w:color w:val="auto"/>
          <w:sz w:val="24"/>
          <w:szCs w:val="24"/>
          <w:highlight w:val="none"/>
        </w:rPr>
        <w:t xml:space="preserve">承诺书</w:t>
      </w:r>
      <w:r>
        <w:rPr>
          <w:rFonts w:hint="eastAsia" w:ascii="宋体" w:hAnsi="宋体" w:eastAsia="宋体" w:cs="宋体"/>
          <w:b/>
          <w:bCs/>
          <w:color w:val="auto"/>
          <w:sz w:val="24"/>
          <w:szCs w:val="24"/>
          <w:highlight w:val="none"/>
        </w:rPr>
      </w:r>
      <w:r>
        <w:rPr>
          <w:color w:val="auto"/>
        </w:rPr>
      </w:r>
    </w:p>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苏州华厦招投标代理有限公司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JSZC-320506-DLHX-C2026-0007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号磋商邀请函，经仔细阅读和研究，我们决定参加该次磋商活动。</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1、我们愿意按照磋商邀请函的一切要求，提供包括完成该项目的各项应有费用。</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2、如果我们磋商商务被接受，我们将严格履行磋商邀请函中规定的每一项要求，按期、按质、按量履行合同的义务。</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3、我们愿意提供邀请方在磋商邀请函中要求的所有资料。</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4、我们认为你们有权决定成交人者，还认为你们有权接受或拒绝所有的磋商供应商。</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5、我们愿意遵守磋商邀请函中所列的收费标准。</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6、如果我们成交后未履行以上承诺，我公司愿意接受有关部门的处理：</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A、取消成交资格</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B、列入不诚信企业名录予以曝光</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、综合说明：</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      </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      </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（3）其它说明。</w:t>
      </w:r>
      <w:r>
        <w:rPr>
          <w:rFonts w:hint="eastAsia" w:ascii="宋体" w:hAnsi="宋体" w:eastAsia="宋体" w:cs="宋体"/>
          <w:color w:val="auto"/>
          <w:sz w:val="24"/>
          <w:szCs w:val="24"/>
          <w:highlight w:val="none"/>
        </w:rPr>
      </w:r>
      <w:r>
        <w:rPr>
          <w:color w:val="auto"/>
        </w:rPr>
      </w:r>
    </w:p>
    <w:p>
      <w:pPr>
        <w:pStyle w:val="863"/>
        <w:ind w:firstLine="7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所有有关标书的函电，请按下列地址联系：</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 </w:t>
      </w:r>
      <w:r>
        <w:rPr>
          <w:rFonts w:hint="eastAsia" w:ascii="宋体" w:hAnsi="宋体" w:eastAsia="宋体" w:cs="宋体"/>
          <w:color w:val="auto"/>
          <w:sz w:val="24"/>
          <w:szCs w:val="24"/>
          <w:highlight w:val="none"/>
        </w:rPr>
      </w:r>
      <w:r>
        <w:rPr>
          <w:color w:val="auto"/>
        </w:rP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传真：</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rFonts w:hint="eastAsia" w:ascii="宋体" w:hAnsi="宋体" w:eastAsia="宋体" w:cs="宋体"/>
          <w:color w:val="auto"/>
          <w:sz w:val="24"/>
          <w:szCs w:val="24"/>
          <w:highlight w:val="none"/>
        </w:rPr>
      </w:r>
      <w:r>
        <w:rPr>
          <w:color w:val="auto"/>
        </w:rP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r>
      <w:r>
        <w:rPr>
          <w:color w:val="auto"/>
        </w:rPr>
      </w:r>
    </w:p>
    <w:p>
      <w:pPr>
        <w:pStyle w:val="85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3、（磋商方）法定代表人授权委托书 </w:t>
      </w:r>
      <w:r>
        <w:rPr>
          <w:rFonts w:hint="eastAsia" w:ascii="宋体" w:hAnsi="宋体" w:eastAsia="宋体" w:cs="宋体"/>
          <w:b/>
          <w:color w:val="auto"/>
          <w:sz w:val="24"/>
          <w:szCs w:val="24"/>
          <w:highlight w:val="none"/>
        </w:rPr>
      </w:r>
      <w:r>
        <w:rPr>
          <w:color w:val="auto"/>
        </w:rPr>
      </w:r>
    </w:p>
    <w:p>
      <w:pPr>
        <w:pStyle w:val="929"/>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92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w:t>
      </w:r>
      <w:r>
        <w:rPr>
          <w:rFonts w:hint="eastAsia" w:ascii="宋体" w:hAnsi="宋体" w:eastAsia="宋体" w:cs="宋体"/>
          <w:color w:val="auto"/>
          <w:sz w:val="24"/>
          <w:szCs w:val="24"/>
          <w:highlight w:val="none"/>
        </w:rPr>
      </w:r>
      <w:r>
        <w:rPr>
          <w:color w:val="auto"/>
        </w:rP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（磋商单位名称）的法定代表人，现授权委托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（姓名）为我公司被授权人，以本公司的名义参加苏州华厦招投标代理有限公司组织实施的编号为</w:t>
      </w:r>
      <w:r>
        <w:rPr>
          <w:rFonts w:hint="eastAsia" w:ascii="宋体" w:hAnsi="宋体" w:eastAsia="宋体" w:cs="宋体"/>
          <w:color w:val="auto"/>
          <w:sz w:val="24"/>
          <w:szCs w:val="24"/>
          <w:highlight w:val="none"/>
          <w:u w:val="single"/>
          <w:lang w:eastAsia="zh-CN"/>
        </w:rPr>
        <w:t xml:space="preserve">JSZC-320506-DLHX-C2026-0007</w:t>
      </w:r>
      <w:r>
        <w:rPr>
          <w:rFonts w:hint="eastAsia" w:ascii="宋体" w:hAnsi="宋体" w:eastAsia="宋体" w:cs="宋体"/>
          <w:bCs/>
          <w:color w:val="auto"/>
          <w:sz w:val="24"/>
          <w:szCs w:val="24"/>
          <w:highlight w:val="none"/>
          <w:u w:val="single"/>
        </w:rPr>
        <w:t xml:space="preserve">号</w:t>
      </w:r>
      <w:r>
        <w:rPr>
          <w:rFonts w:hint="eastAsia" w:ascii="宋体" w:hAnsi="宋体" w:eastAsia="宋体" w:cs="宋体"/>
          <w:color w:val="auto"/>
          <w:sz w:val="24"/>
          <w:szCs w:val="24"/>
          <w:highlight w:val="none"/>
        </w:rPr>
        <w:t xml:space="preserve">的竞争性磋商活动。被授权人在开标、评标、合同磋商过程中所签署的一切文件和处理与这有关的一切事务，我均予以承认。</w:t>
      </w:r>
      <w:r>
        <w:rPr>
          <w:rFonts w:hint="eastAsia" w:ascii="宋体" w:hAnsi="宋体" w:eastAsia="宋体" w:cs="宋体"/>
          <w:color w:val="auto"/>
          <w:sz w:val="24"/>
          <w:szCs w:val="24"/>
          <w:highlight w:val="none"/>
        </w:rPr>
      </w:r>
      <w:r>
        <w:rPr>
          <w:color w:val="auto"/>
        </w:rP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被授权人在授权委托书有效期内签署的所有文件不因授权委托的撤销而失效，除非有撤销授权委托的书面通知，本授权委托书自响应开始至合同履行完毕止。</w:t>
      </w:r>
      <w:r>
        <w:rPr>
          <w:rFonts w:hint="eastAsia" w:ascii="宋体" w:hAnsi="宋体" w:eastAsia="宋体" w:cs="宋体"/>
          <w:color w:val="auto"/>
          <w:sz w:val="24"/>
          <w:szCs w:val="24"/>
          <w:highlight w:val="none"/>
        </w:rPr>
      </w:r>
      <w:r>
        <w:rPr>
          <w:color w:val="auto"/>
        </w:rP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被授权人无转委托权。特此委托。</w:t>
      </w:r>
      <w:r>
        <w:rPr>
          <w:rFonts w:hint="eastAsia" w:ascii="宋体" w:hAnsi="宋体" w:eastAsia="宋体" w:cs="宋体"/>
          <w:color w:val="auto"/>
          <w:sz w:val="24"/>
          <w:szCs w:val="24"/>
          <w:highlight w:val="none"/>
        </w:rPr>
      </w:r>
      <w:r>
        <w:rPr>
          <w:color w:val="auto"/>
        </w:rP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rFonts w:hint="eastAsia" w:ascii="宋体" w:hAnsi="宋体" w:eastAsia="宋体" w:cs="宋体"/>
          <w:color w:val="auto"/>
          <w:sz w:val="24"/>
          <w:szCs w:val="24"/>
          <w:highlight w:val="none"/>
        </w:rPr>
      </w:r>
      <w:r>
        <w:rPr>
          <w:color w:val="auto"/>
        </w:rP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r>
      <w:r>
        <w:rPr>
          <w:color w:val="auto"/>
        </w:rPr>
      </w:r>
    </w:p>
    <w:p>
      <w:pPr>
        <w:pStyle w:val="929"/>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left="0"/>
        <w:jc w:val="both"/>
        <w:spacing w:line="480" w:lineRule="exact"/>
        <w:rPr>
          <w:rFonts w:ascii="Times New Roman" w:hAnsi="Times New Roman"/>
          <w:b/>
          <w:color w:val="auto"/>
          <w:sz w:val="21"/>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rPr>
        <w:t xml:space="preserve">偏离表（技术、商务）</w:t>
      </w:r>
      <w:r>
        <w:rPr>
          <w:rFonts w:ascii="Times New Roman" w:hAnsi="Times New Roman"/>
          <w:b/>
          <w:color w:val="auto"/>
          <w:sz w:val="21"/>
        </w:rPr>
      </w:r>
      <w:r>
        <w:rPr>
          <w:color w:val="auto"/>
        </w:rPr>
      </w:r>
    </w:p>
    <w:p>
      <w:pPr>
        <w:pStyle w:val="889"/>
        <w:ind w:left="4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偏离表</w:t>
      </w:r>
      <w:r>
        <w:rPr>
          <w:rFonts w:hint="eastAsia" w:ascii="宋体" w:hAnsi="宋体" w:eastAsia="宋体" w:cs="宋体"/>
          <w:b/>
          <w:color w:val="auto"/>
          <w:sz w:val="24"/>
          <w:szCs w:val="24"/>
        </w:rPr>
      </w:r>
      <w:r>
        <w:rPr>
          <w:color w:val="auto"/>
        </w:rPr>
      </w:r>
    </w:p>
    <w:p>
      <w:pPr>
        <w:pStyle w:val="889"/>
        <w:ind w:left="4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r>
      <w:r>
        <w:rPr>
          <w:color w:val="auto"/>
        </w:rPr>
      </w:r>
    </w:p>
    <w:tbl>
      <w:tblPr>
        <w:tblW w:w="95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0"/>
        <w:gridCol w:w="2450"/>
        <w:gridCol w:w="1842"/>
        <w:gridCol w:w="1418"/>
      </w:tblGrid>
      <w:tr>
        <w:trPr>
          <w:trHeight w:val="760"/>
        </w:trPr>
        <w:tc>
          <w:tcPr>
            <w:tcW w:w="724" w:type="dxa"/>
            <w:vAlign w:val="center"/>
            <w:textDirection w:val="lrTb"/>
            <w:noWrap w:val="false"/>
          </w:tcPr>
          <w:p>
            <w:pPr>
              <w:pStyle w:val="853"/>
              <w:ind w:left="0"/>
              <w:widowControl w:val="off"/>
              <w:rPr>
                <w:rFonts w:ascii="宋体" w:hAnsi="宋体"/>
                <w:color w:val="auto"/>
                <w:sz w:val="21"/>
                <w:szCs w:val="21"/>
              </w:rPr>
            </w:pPr>
            <w:r>
              <w:rPr>
                <w:rFonts w:hint="eastAsia" w:ascii="宋体" w:hAnsi="宋体"/>
                <w:color w:val="auto"/>
                <w:sz w:val="21"/>
                <w:szCs w:val="21"/>
              </w:rPr>
              <w:t xml:space="preserve">序号</w:t>
            </w: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hint="eastAsia" w:ascii="宋体" w:hAnsi="宋体"/>
                <w:color w:val="auto"/>
                <w:sz w:val="21"/>
                <w:szCs w:val="21"/>
              </w:rPr>
              <w:t xml:space="preserve">采购要求</w:t>
            </w: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hint="eastAsia" w:ascii="宋体" w:hAnsi="宋体"/>
                <w:color w:val="auto"/>
                <w:sz w:val="21"/>
                <w:szCs w:val="21"/>
              </w:rPr>
              <w:t xml:space="preserve">响应情况</w:t>
            </w: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hint="eastAsia" w:ascii="宋体" w:hAnsi="宋体"/>
                <w:color w:val="auto"/>
                <w:sz w:val="21"/>
                <w:szCs w:val="21"/>
              </w:rPr>
              <w:t xml:space="preserve">偏离说明</w:t>
            </w:r>
            <w:r>
              <w:rPr>
                <w:rFonts w:ascii="宋体" w:hAnsi="宋体"/>
                <w:color w:val="auto"/>
                <w:sz w:val="21"/>
                <w:szCs w:val="21"/>
              </w:rPr>
            </w:r>
            <w:r>
              <w:rPr>
                <w:color w:val="auto"/>
              </w:rPr>
            </w:r>
          </w:p>
        </w:tc>
        <w:tc>
          <w:tcPr>
            <w:tcW w:w="1418" w:type="dxa"/>
            <w:vAlign w:val="top"/>
            <w:textDirection w:val="lrTb"/>
            <w:noWrap w:val="false"/>
          </w:tcPr>
          <w:p>
            <w:pPr>
              <w:pStyle w:val="853"/>
              <w:ind w:left="0"/>
              <w:jc w:val="center"/>
              <w:spacing w:line="600" w:lineRule="auto"/>
              <w:widowControl w:val="off"/>
              <w:rPr>
                <w:rFonts w:hint="eastAsia" w:ascii="宋体" w:hAnsi="宋体" w:eastAsia="宋体"/>
                <w:color w:val="auto"/>
                <w:sz w:val="21"/>
                <w:szCs w:val="21"/>
              </w:rPr>
            </w:pPr>
            <w:r>
              <w:rPr>
                <w:rFonts w:hint="eastAsia" w:ascii="宋体" w:hAnsi="宋体"/>
                <w:color w:val="auto"/>
                <w:sz w:val="21"/>
                <w:szCs w:val="21"/>
                <w:lang w:val="en-US" w:eastAsia="zh-CN"/>
              </w:rPr>
              <w:t xml:space="preserve">备注</w:t>
            </w:r>
            <w:r>
              <w:rPr>
                <w:rFonts w:hint="eastAsia" w:ascii="宋体" w:hAnsi="宋体" w:eastAsia="宋体"/>
                <w:color w:val="auto"/>
                <w:sz w:val="21"/>
                <w:szCs w:val="21"/>
                <w:lang w:eastAsia="zh-CN"/>
              </w:rPr>
            </w:r>
            <w:r>
              <w:rPr>
                <w:color w:val="auto"/>
              </w:rP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p>
        </w:tc>
      </w:tr>
    </w:tbl>
    <w:p>
      <w:pPr>
        <w:pStyle w:val="853"/>
        <w:ind w:left="0"/>
        <w:jc w:val="left"/>
        <w:spacing w:line="380" w:lineRule="exact"/>
        <w:rPr>
          <w:rFonts w:ascii="Times New Roman" w:hAnsi="Times New Roman"/>
          <w:color w:val="auto"/>
          <w:sz w:val="21"/>
        </w:rPr>
      </w:pPr>
      <w:r>
        <w:rPr>
          <w:rFonts w:ascii="Times New Roman" w:hAnsi="Times New Roman"/>
          <w:color w:val="auto"/>
          <w:sz w:val="21"/>
        </w:rPr>
      </w:r>
      <w:r>
        <w:rPr>
          <w:color w:val="auto"/>
        </w:rPr>
      </w:r>
    </w:p>
    <w:p>
      <w:pPr>
        <w:pStyle w:val="853"/>
        <w:ind w:firstLine="611"/>
        <w:spacing w:line="360" w:lineRule="auto"/>
        <w:rPr>
          <w:rFonts w:hint="eastAsia" w:ascii="宋体" w:hAnsi="宋体" w:eastAsia="宋体" w:cs="宋体"/>
          <w:color w:val="auto"/>
          <w:sz w:val="24"/>
          <w:szCs w:val="24"/>
          <w:highlight w:val="none"/>
        </w:rPr>
      </w:pPr>
      <w:r>
        <w:rPr>
          <w:rFonts w:hint="eastAsia" w:ascii="宋体" w:hAnsi="宋体" w:cs="宋体"/>
          <w:color w:val="auto"/>
          <w:sz w:val="21"/>
          <w:szCs w:val="21"/>
        </w:rPr>
        <w:t xml:space="preserve"> </w:t>
      </w:r>
      <w:r>
        <w:rPr>
          <w:rFonts w:hint="eastAsia" w:ascii="宋体" w:hAnsi="宋体" w:eastAsia="宋体" w:cs="宋体"/>
          <w:color w:val="auto"/>
          <w:sz w:val="24"/>
          <w:szCs w:val="24"/>
          <w:highlight w:val="none"/>
        </w:rPr>
        <w:t xml:space="preserve">磋商响应单位：盖章）</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rFonts w:hint="eastAsia" w:ascii="宋体" w:hAnsi="宋体" w:eastAsia="宋体" w:cs="宋体"/>
          <w:color w:val="auto"/>
          <w:sz w:val="24"/>
          <w:szCs w:val="24"/>
          <w:highlight w:val="none"/>
        </w:rPr>
      </w:r>
      <w:r>
        <w:rPr>
          <w:color w:val="auto"/>
        </w:rPr>
      </w:r>
    </w:p>
    <w:p>
      <w:pPr>
        <w:pStyle w:val="853"/>
        <w:ind w:firstLine="698"/>
        <w:jc w:val="left"/>
        <w:spacing w:line="360" w:lineRule="auto"/>
        <w:rPr>
          <w:rFonts w:ascii="宋体" w:cs="宋体"/>
          <w:color w:val="auto"/>
          <w:sz w:val="22"/>
          <w:szCs w:val="22"/>
        </w:rPr>
      </w:pPr>
      <w:r>
        <w:rPr>
          <w:rFonts w:hint="eastAsia" w:ascii="宋体" w:hAnsi="宋体" w:eastAsia="宋体" w:cs="宋体"/>
          <w:color w:val="auto"/>
          <w:sz w:val="24"/>
          <w:szCs w:val="24"/>
          <w:highlight w:val="none"/>
        </w:rPr>
        <w:t xml:space="preserve">日期：         年         月       日</w:t>
      </w:r>
      <w:r>
        <w:rPr>
          <w:rFonts w:hint="eastAsia" w:ascii="宋体" w:cs="宋体"/>
          <w:color w:val="auto"/>
          <w:sz w:val="22"/>
          <w:szCs w:val="22"/>
          <w:lang w:val="zh-CN"/>
        </w:rPr>
        <w:t xml:space="preserve"> </w:t>
      </w:r>
      <w:r>
        <w:rPr>
          <w:rFonts w:ascii="宋体" w:cs="宋体"/>
          <w:color w:val="auto"/>
          <w:sz w:val="22"/>
          <w:szCs w:val="22"/>
          <w:lang w:val="zh-CN"/>
        </w:rPr>
      </w:r>
      <w:r>
        <w:rPr>
          <w:color w:val="auto"/>
        </w:rPr>
      </w:r>
    </w:p>
    <w:p>
      <w:pPr>
        <w:pStyle w:val="853"/>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r>
      <w:r>
        <w:rPr>
          <w:color w:val="auto"/>
        </w:rPr>
      </w:r>
    </w:p>
    <w:p>
      <w:pPr>
        <w:pStyle w:val="853"/>
        <w:numPr>
          <w:ilvl w:val="0"/>
          <w:numId w:val="0"/>
        </w:num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在本表中对照采购文件要求对应列出响应内容，并在“偏离说明”项下填写以下内容：优于的，填写“正偏离”；符合的，填写“无偏离”；低于的，填写“负偏离”。</w:t>
      </w:r>
      <w:r>
        <w:rPr>
          <w:rFonts w:hint="eastAsia" w:ascii="宋体" w:hAnsi="宋体" w:eastAsia="宋体" w:cs="宋体"/>
          <w:color w:val="auto"/>
          <w:sz w:val="24"/>
          <w:szCs w:val="24"/>
          <w:highlight w:val="none"/>
        </w:rPr>
      </w:r>
      <w:r>
        <w:rPr>
          <w:color w:val="auto"/>
        </w:rPr>
      </w:r>
    </w:p>
    <w:p>
      <w:pPr>
        <w:pStyle w:val="853"/>
        <w:numPr>
          <w:ilvl w:val="0"/>
          <w:numId w:val="0"/>
        </w:num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未在上表中说明的，如在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文件其他内容中已有文字说明的，则以已有文字说明为准，否则，将被认为完全响应</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w:t>
      </w:r>
      <w:r>
        <w:rPr>
          <w:rFonts w:hint="eastAsia" w:ascii="宋体" w:hAnsi="宋体" w:eastAsia="宋体" w:cs="宋体"/>
          <w:color w:val="auto"/>
          <w:sz w:val="24"/>
          <w:szCs w:val="24"/>
          <w:highlight w:val="none"/>
          <w:lang w:val="en-US" w:eastAsia="zh-CN"/>
        </w:rPr>
        <w:t xml:space="preserve">要求及规定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rPr>
      </w:r>
    </w:p>
    <w:p>
      <w:pPr>
        <w:pStyle w:val="853"/>
        <w:numPr>
          <w:ilvl w:val="0"/>
          <w:numId w:val="0"/>
        </w:num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若事项较多，供应商可根据实际情况另纸说明。</w:t>
      </w:r>
      <w:r>
        <w:rPr>
          <w:rFonts w:hint="eastAsia" w:ascii="宋体" w:hAnsi="宋体" w:eastAsia="宋体" w:cs="宋体"/>
          <w:color w:val="auto"/>
          <w:sz w:val="24"/>
          <w:szCs w:val="24"/>
          <w:highlight w:val="none"/>
        </w:rPr>
      </w:r>
      <w:r>
        <w:rPr>
          <w:color w:val="auto"/>
        </w:rPr>
      </w:r>
    </w:p>
    <w:p>
      <w:pPr>
        <w:pStyle w:val="85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br w:type="page" w:clear="all"/>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服务人员表 </w:t>
      </w:r>
      <w:r>
        <w:rPr>
          <w:rFonts w:hint="eastAsia" w:ascii="宋体" w:hAnsi="宋体" w:eastAsia="宋体" w:cs="宋体"/>
          <w:b/>
          <w:color w:val="auto"/>
          <w:sz w:val="24"/>
          <w:szCs w:val="24"/>
          <w:highlight w:val="none"/>
        </w:rPr>
      </w:r>
      <w:r>
        <w:rPr>
          <w:color w:val="auto"/>
        </w:rPr>
      </w:r>
    </w:p>
    <w:p>
      <w:pPr>
        <w:pStyle w:val="853"/>
        <w:ind w:firstLine="38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服务人员表</w:t>
      </w:r>
      <w:r>
        <w:rPr>
          <w:rFonts w:hint="eastAsia" w:ascii="宋体" w:hAnsi="宋体" w:eastAsia="宋体" w:cs="宋体"/>
          <w:color w:val="auto"/>
          <w:sz w:val="24"/>
          <w:szCs w:val="24"/>
          <w:highlight w:val="none"/>
        </w:rPr>
      </w:r>
      <w:r>
        <w:rPr>
          <w:color w:val="auto"/>
        </w:rPr>
      </w:r>
    </w:p>
    <w:p>
      <w:pPr>
        <w:pStyle w:val="853"/>
        <w:jc w:val="center"/>
        <w:spacing w:line="360" w:lineRule="auto"/>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r>
      <w:r>
        <w:rPr>
          <w:color w:val="auto"/>
        </w:rPr>
      </w:r>
    </w:p>
    <w:p>
      <w:pPr>
        <w:pStyle w:val="853"/>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采购内容：</w:t>
      </w:r>
      <w:r>
        <w:rPr>
          <w:rFonts w:hint="eastAsia" w:ascii="宋体" w:hAnsi="宋体" w:eastAsia="宋体" w:cs="宋体"/>
          <w:b w:val="0"/>
          <w:bCs/>
          <w:color w:val="auto"/>
          <w:sz w:val="24"/>
          <w:szCs w:val="24"/>
          <w:highlight w:val="none"/>
          <w:u w:val="none"/>
          <w:lang w:eastAsia="zh-CN"/>
        </w:rPr>
        <w:t xml:space="preserve">2026年度全镇监控安防设备维护保养服务</w:t>
      </w:r>
      <w:r>
        <w:rPr>
          <w:rFonts w:hint="eastAsia" w:ascii="宋体" w:hAnsi="宋体" w:eastAsia="宋体" w:cs="宋体"/>
          <w:b w:val="0"/>
          <w:bCs/>
          <w:color w:val="auto"/>
          <w:sz w:val="24"/>
          <w:szCs w:val="24"/>
          <w:highlight w:val="none"/>
          <w:u w:val="single"/>
          <w:lang w:eastAsia="zh-CN"/>
        </w:rPr>
      </w:r>
      <w:r>
        <w:rPr>
          <w:color w:val="auto"/>
        </w:rPr>
      </w:r>
    </w:p>
    <w:p>
      <w:pPr>
        <w:pStyle w:val="853"/>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lang w:eastAsia="zh-CN"/>
        </w:rPr>
        <w:t xml:space="preserve">JSZC-320506-DLHX-C2026-0007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bl>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注：请按以上格式自制表格填写后响应。</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rFonts w:hint="eastAsia" w:ascii="宋体" w:hAnsi="宋体" w:eastAsia="宋体" w:cs="宋体"/>
          <w:color w:val="auto"/>
          <w:sz w:val="24"/>
          <w:szCs w:val="24"/>
          <w:highlight w:val="none"/>
        </w:rPr>
      </w:r>
      <w:r>
        <w:rPr>
          <w:color w:val="auto"/>
        </w:rP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5、类似项目业绩清单表 </w:t>
      </w:r>
      <w:r>
        <w:rPr>
          <w:rFonts w:hint="eastAsia" w:ascii="宋体" w:hAnsi="宋体" w:eastAsia="宋体" w:cs="宋体"/>
          <w:b/>
          <w:color w:val="auto"/>
          <w:sz w:val="24"/>
          <w:szCs w:val="24"/>
          <w:highlight w:val="none"/>
        </w:rPr>
      </w:r>
      <w:r>
        <w:rPr>
          <w:color w:val="auto"/>
        </w:rPr>
      </w:r>
    </w:p>
    <w:p>
      <w:pPr>
        <w:pStyle w:val="853"/>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rPr>
      </w:r>
    </w:p>
    <w:p>
      <w:pPr>
        <w:pStyle w:val="853"/>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类似项目业绩清单表</w:t>
      </w:r>
      <w:r>
        <w:rPr>
          <w:rFonts w:hint="eastAsia" w:ascii="宋体" w:hAnsi="宋体" w:eastAsia="宋体" w:cs="宋体"/>
          <w:bCs/>
          <w:color w:val="auto"/>
          <w:sz w:val="24"/>
          <w:szCs w:val="24"/>
          <w:highlight w:val="none"/>
        </w:rPr>
      </w:r>
      <w:r>
        <w:rPr>
          <w:color w:val="auto"/>
        </w:rP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项目名</w:t>
      </w:r>
      <w:r>
        <w:rPr>
          <w:rFonts w:hint="eastAsia" w:ascii="宋体" w:hAnsi="宋体" w:eastAsia="宋体" w:cs="宋体"/>
          <w:color w:val="auto"/>
          <w:sz w:val="24"/>
          <w:szCs w:val="24"/>
          <w:highlight w:val="none"/>
          <w:u w:val="none"/>
        </w:rPr>
        <w:t xml:space="preserve">称：</w:t>
      </w:r>
      <w:r>
        <w:rPr>
          <w:rFonts w:hint="eastAsia" w:ascii="宋体" w:hAnsi="宋体" w:eastAsia="宋体" w:cs="宋体"/>
          <w:b w:val="0"/>
          <w:bCs/>
          <w:color w:val="auto"/>
          <w:sz w:val="24"/>
          <w:szCs w:val="24"/>
          <w:highlight w:val="none"/>
          <w:u w:val="none"/>
          <w:lang w:eastAsia="zh-CN"/>
        </w:rPr>
        <w:t xml:space="preserve">2026年度全镇监控安防设备维护保养服务</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r>
      <w:r>
        <w:rPr>
          <w:color w:val="auto"/>
        </w:rPr>
      </w:r>
    </w:p>
    <w:p>
      <w:pPr>
        <w:pStyle w:val="853"/>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采购编号：</w:t>
      </w:r>
      <w:r>
        <w:rPr>
          <w:rFonts w:hint="eastAsia" w:ascii="宋体" w:hAnsi="宋体" w:eastAsia="宋体" w:cs="宋体"/>
          <w:color w:val="auto"/>
          <w:sz w:val="24"/>
          <w:szCs w:val="24"/>
          <w:highlight w:val="none"/>
          <w:u w:val="none"/>
          <w:lang w:eastAsia="zh-CN"/>
        </w:rPr>
        <w:t xml:space="preserve">JSZC-320506-DLHX-C2026-00</w:t>
      </w:r>
      <w:r>
        <w:rPr>
          <w:rFonts w:hint="eastAsia" w:ascii="宋体" w:hAnsi="宋体" w:eastAsia="宋体" w:cs="宋体"/>
          <w:color w:val="auto"/>
          <w:sz w:val="24"/>
          <w:szCs w:val="24"/>
          <w:highlight w:val="none"/>
          <w:lang w:eastAsia="zh-CN"/>
        </w:rPr>
        <w:t xml:space="preserve">07</w:t>
      </w:r>
      <w:r>
        <w:rPr>
          <w:rFonts w:hint="eastAsia" w:ascii="宋体" w:hAnsi="宋体" w:eastAsia="宋体" w:cs="宋体"/>
          <w:color w:val="auto"/>
          <w:sz w:val="24"/>
          <w:szCs w:val="24"/>
          <w:highlight w:val="none"/>
          <w:u w:val="single"/>
        </w:rPr>
      </w:r>
      <w:r>
        <w:rPr>
          <w:color w:val="auto"/>
        </w:rP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w:t>
            </w: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服务范围</w:t>
            </w: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合同金额（万元）</w:t>
            </w: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tbRlV"/>
            <w:noWrap w:val="false"/>
          </w:tcPr>
          <w:p>
            <w:pPr>
              <w:pStyle w:val="853"/>
              <w:ind w:left="113" w:right="11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7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91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bl>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rFonts w:hint="eastAsia" w:ascii="宋体" w:hAnsi="宋体" w:eastAsia="宋体" w:cs="宋体"/>
          <w:color w:val="auto"/>
          <w:sz w:val="24"/>
          <w:szCs w:val="24"/>
          <w:highlight w:val="none"/>
        </w:rPr>
      </w:r>
      <w:r>
        <w:rPr>
          <w:color w:val="auto"/>
        </w:rP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rFonts w:hint="eastAsia" w:ascii="宋体" w:hAnsi="宋体" w:eastAsia="宋体" w:cs="宋体"/>
          <w:color w:val="auto"/>
          <w:sz w:val="24"/>
          <w:szCs w:val="24"/>
          <w:highlight w:val="none"/>
        </w:rPr>
      </w:r>
      <w:r>
        <w:rPr>
          <w:color w:val="auto"/>
        </w:rP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r>
      <w:r>
        <w:rPr>
          <w:color w:val="auto"/>
        </w:rPr>
      </w:r>
    </w:p>
    <w:p>
      <w:pPr>
        <w:pStyle w:val="853"/>
        <w:ind w:left="420" w:right="357" w:hanging="400"/>
        <w:spacing w:before="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注：磋商响应单位应提供双方签订的合同复印件。</w:t>
      </w:r>
      <w:r>
        <w:rPr>
          <w:rFonts w:hint="eastAsia" w:ascii="宋体" w:hAnsi="宋体" w:eastAsia="宋体" w:cs="宋体"/>
          <w:b/>
          <w:color w:val="auto"/>
          <w:sz w:val="24"/>
          <w:szCs w:val="24"/>
          <w:highlight w:val="none"/>
        </w:rPr>
      </w:r>
      <w:r>
        <w:rPr>
          <w:color w:val="auto"/>
        </w:rP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63"/>
        <w:ind w:firstLine="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6、磋商响应单位情况表</w:t>
      </w:r>
      <w:r>
        <w:rPr>
          <w:rFonts w:hint="eastAsia" w:ascii="宋体" w:hAnsi="宋体" w:eastAsia="宋体" w:cs="宋体"/>
          <w:b/>
          <w:color w:val="auto"/>
          <w:sz w:val="24"/>
          <w:szCs w:val="24"/>
          <w:highlight w:val="none"/>
        </w:rPr>
      </w:r>
      <w:r>
        <w:rPr>
          <w:color w:val="auto"/>
        </w:rPr>
      </w:r>
    </w:p>
    <w:p>
      <w:pPr>
        <w:pStyle w:val="863"/>
        <w:ind w:firstLine="480"/>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磋商响应单位情况表</w:t>
      </w:r>
      <w:r>
        <w:rPr>
          <w:rFonts w:hint="eastAsia" w:ascii="宋体" w:hAnsi="宋体" w:eastAsia="宋体" w:cs="宋体"/>
          <w:bCs/>
          <w:color w:val="auto"/>
          <w:sz w:val="24"/>
          <w:szCs w:val="24"/>
          <w:highlight w:val="none"/>
        </w:rPr>
      </w:r>
      <w:r>
        <w:rPr>
          <w:color w:val="auto"/>
        </w:rP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r>
      <w:r>
        <w:rPr>
          <w:color w:val="auto"/>
        </w:rP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r>
            <w:r>
              <w:rPr>
                <w:color w:val="auto"/>
              </w:rPr>
            </w:r>
          </w:p>
        </w:tc>
        <w:tc>
          <w:tcPr>
            <w:tcW w:w="184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企业法定代表人</w:t>
            </w:r>
            <w:r>
              <w:rPr>
                <w:rFonts w:hint="eastAsia" w:ascii="宋体" w:hAnsi="宋体" w:eastAsia="宋体" w:cs="宋体"/>
                <w:color w:val="auto"/>
                <w:sz w:val="24"/>
                <w:szCs w:val="24"/>
                <w:highlight w:val="none"/>
              </w:rPr>
            </w:r>
            <w:r>
              <w:rPr>
                <w:color w:val="auto"/>
              </w:rPr>
            </w:r>
          </w:p>
        </w:tc>
        <w:tc>
          <w:tcPr>
            <w:gridSpan w:val="3"/>
            <w:tcW w:w="2212" w:type="dxa"/>
            <w:vAlign w:val="center"/>
            <w:textDirection w:val="lrTb"/>
            <w:noWrap w:val="false"/>
          </w:tcPr>
          <w:p>
            <w:pPr>
              <w:pStyle w:val="863"/>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gridSpan w:val="2"/>
            <w:tcW w:w="1835"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公司成立日期</w:t>
            </w:r>
            <w:r>
              <w:rPr>
                <w:rFonts w:hint="eastAsia" w:ascii="宋体" w:hAnsi="宋体" w:eastAsia="宋体" w:cs="宋体"/>
                <w:color w:val="auto"/>
                <w:sz w:val="24"/>
                <w:szCs w:val="24"/>
                <w:highlight w:val="none"/>
              </w:rPr>
            </w:r>
            <w:r>
              <w:rPr>
                <w:color w:val="auto"/>
              </w:rPr>
            </w:r>
          </w:p>
        </w:tc>
        <w:tc>
          <w:tcPr>
            <w:gridSpan w:val="2"/>
            <w:tcW w:w="1923"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r>
            <w:r>
              <w:rPr>
                <w:color w:val="auto"/>
              </w:rPr>
            </w:r>
          </w:p>
        </w:tc>
        <w:tc>
          <w:tcPr>
            <w:tcW w:w="184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总部地址</w:t>
            </w:r>
            <w:r>
              <w:rPr>
                <w:rFonts w:hint="eastAsia" w:ascii="宋体" w:hAnsi="宋体" w:eastAsia="宋体" w:cs="宋体"/>
                <w:color w:val="auto"/>
                <w:sz w:val="24"/>
                <w:szCs w:val="24"/>
                <w:highlight w:val="none"/>
              </w:rPr>
            </w:r>
            <w:r>
              <w:rPr>
                <w:color w:val="auto"/>
              </w:rPr>
            </w:r>
          </w:p>
        </w:tc>
        <w:tc>
          <w:tcPr>
            <w:gridSpan w:val="7"/>
            <w:tcW w:w="5970" w:type="dxa"/>
            <w:vAlign w:val="center"/>
            <w:textDirection w:val="lrTb"/>
            <w:noWrap w:val="false"/>
          </w:tcPr>
          <w:p>
            <w:pPr>
              <w:pStyle w:val="863"/>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r>
            <w:r>
              <w:rPr>
                <w:color w:val="auto"/>
              </w:rPr>
            </w:r>
          </w:p>
        </w:tc>
        <w:tc>
          <w:tcPr>
            <w:tcW w:w="184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当地代表处地址</w:t>
            </w:r>
            <w:r>
              <w:rPr>
                <w:rFonts w:hint="eastAsia" w:ascii="宋体" w:hAnsi="宋体" w:eastAsia="宋体" w:cs="宋体"/>
                <w:color w:val="auto"/>
                <w:sz w:val="24"/>
                <w:szCs w:val="24"/>
                <w:highlight w:val="none"/>
              </w:rPr>
            </w:r>
            <w:r>
              <w:rPr>
                <w:color w:val="auto"/>
              </w:rPr>
            </w:r>
          </w:p>
        </w:tc>
        <w:tc>
          <w:tcPr>
            <w:gridSpan w:val="7"/>
            <w:tcW w:w="5970"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r>
            <w:r>
              <w:rPr>
                <w:color w:val="auto"/>
              </w:rPr>
            </w:r>
          </w:p>
        </w:tc>
        <w:tc>
          <w:tcPr>
            <w:tcW w:w="184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rPr>
            </w:r>
            <w:r>
              <w:rPr>
                <w:color w:val="auto"/>
              </w:rP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gridSpan w:val="2"/>
            <w:tcW w:w="1088"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rPr>
            </w:r>
            <w:r>
              <w:rPr>
                <w:color w:val="auto"/>
              </w:rPr>
            </w:r>
          </w:p>
        </w:tc>
        <w:tc>
          <w:tcPr>
            <w:gridSpan w:val="3"/>
            <w:tcW w:w="3070"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2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r>
            <w:r>
              <w:rPr>
                <w:color w:val="auto"/>
              </w:rPr>
            </w:r>
          </w:p>
        </w:tc>
        <w:tc>
          <w:tcPr>
            <w:tcW w:w="184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rPr>
            </w:r>
            <w:r>
              <w:rPr>
                <w:color w:val="auto"/>
              </w:rP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gridSpan w:val="2"/>
            <w:tcW w:w="1088"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rPr>
                <w:rFonts w:hint="eastAsia" w:ascii="宋体" w:hAnsi="宋体" w:eastAsia="宋体" w:cs="宋体"/>
                <w:color w:val="auto"/>
                <w:sz w:val="24"/>
                <w:szCs w:val="24"/>
                <w:highlight w:val="none"/>
              </w:rPr>
            </w:r>
            <w:r>
              <w:rPr>
                <w:color w:val="auto"/>
              </w:rPr>
            </w:r>
          </w:p>
        </w:tc>
        <w:tc>
          <w:tcPr>
            <w:gridSpan w:val="3"/>
            <w:tcW w:w="3070"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r>
            <w:r>
              <w:rPr>
                <w:color w:val="auto"/>
              </w:rPr>
            </w:r>
          </w:p>
        </w:tc>
        <w:tc>
          <w:tcPr>
            <w:tcW w:w="184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w:t>
            </w:r>
            <w:r>
              <w:rPr>
                <w:rFonts w:hint="eastAsia" w:ascii="宋体" w:hAnsi="宋体" w:eastAsia="宋体" w:cs="宋体"/>
                <w:color w:val="auto"/>
                <w:sz w:val="24"/>
                <w:szCs w:val="24"/>
                <w:highlight w:val="none"/>
              </w:rPr>
            </w:r>
            <w:r>
              <w:rPr>
                <w:color w:val="auto"/>
              </w:rP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gridSpan w:val="2"/>
            <w:tcW w:w="1088"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注册年份</w:t>
            </w:r>
            <w:r>
              <w:rPr>
                <w:rFonts w:hint="eastAsia" w:ascii="宋体" w:hAnsi="宋体" w:eastAsia="宋体" w:cs="宋体"/>
                <w:color w:val="auto"/>
                <w:sz w:val="24"/>
                <w:szCs w:val="24"/>
                <w:highlight w:val="none"/>
              </w:rPr>
            </w:r>
            <w:r>
              <w:rPr>
                <w:color w:val="auto"/>
              </w:rPr>
            </w:r>
          </w:p>
        </w:tc>
        <w:tc>
          <w:tcPr>
            <w:gridSpan w:val="3"/>
            <w:tcW w:w="3070" w:type="dxa"/>
            <w:vAlign w:val="center"/>
            <w:textDirection w:val="lrTb"/>
            <w:noWrap w:val="false"/>
          </w:tcPr>
          <w:p>
            <w:pPr>
              <w:pStyle w:val="863"/>
              <w:ind w:left="437"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r>
            <w:r>
              <w:rPr>
                <w:color w:val="auto"/>
              </w:rPr>
            </w:r>
          </w:p>
        </w:tc>
        <w:tc>
          <w:tcPr>
            <w:tcW w:w="1844"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单位职工人数</w:t>
            </w:r>
            <w:r>
              <w:rPr>
                <w:rFonts w:hint="eastAsia" w:ascii="宋体" w:hAnsi="宋体" w:eastAsia="宋体" w:cs="宋体"/>
                <w:color w:val="auto"/>
                <w:sz w:val="24"/>
                <w:szCs w:val="24"/>
                <w:highlight w:val="none"/>
              </w:rPr>
            </w:r>
            <w:r>
              <w:rPr>
                <w:color w:val="auto"/>
              </w:rP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r>
            <w:r>
              <w:rPr>
                <w:color w:val="auto"/>
              </w:rPr>
            </w:r>
          </w:p>
        </w:tc>
        <w:tc>
          <w:tcPr>
            <w:gridSpan w:val="4"/>
            <w:tcW w:w="2581"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最近一</w:t>
            </w:r>
            <w:r>
              <w:rPr>
                <w:rFonts w:hint="eastAsia" w:ascii="宋体" w:hAnsi="宋体" w:eastAsia="宋体" w:cs="宋体"/>
                <w:color w:val="auto"/>
                <w:sz w:val="24"/>
                <w:szCs w:val="24"/>
                <w:highlight w:val="none"/>
              </w:rPr>
              <w:t xml:space="preserve">年总营业收入</w:t>
            </w:r>
            <w:r>
              <w:rPr>
                <w:rFonts w:hint="eastAsia" w:ascii="宋体" w:hAnsi="宋体" w:eastAsia="宋体" w:cs="宋体"/>
                <w:color w:val="auto"/>
                <w:sz w:val="24"/>
                <w:szCs w:val="24"/>
                <w:highlight w:val="none"/>
              </w:rPr>
            </w:r>
            <w:r>
              <w:rPr>
                <w:color w:val="auto"/>
              </w:rPr>
            </w:r>
          </w:p>
        </w:tc>
        <w:tc>
          <w:tcPr>
            <w:tcW w:w="1577"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r>
            <w:r>
              <w:rPr>
                <w:color w:val="auto"/>
              </w:rPr>
            </w:r>
          </w:p>
        </w:tc>
      </w:tr>
      <w:tr>
        <w:trPr>
          <w:cantSplit/>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r>
            <w:r>
              <w:rPr>
                <w:color w:val="auto"/>
              </w:rPr>
            </w:r>
          </w:p>
        </w:tc>
        <w:tc>
          <w:tcPr>
            <w:gridSpan w:val="8"/>
            <w:tcW w:w="781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企业或社会团体办公场所的面积：</w:t>
            </w:r>
            <w:r>
              <w:rPr>
                <w:rFonts w:hint="eastAsia" w:ascii="宋体" w:hAnsi="宋体" w:eastAsia="宋体" w:cs="宋体"/>
                <w:color w:val="auto"/>
                <w:sz w:val="24"/>
                <w:szCs w:val="24"/>
                <w:highlight w:val="none"/>
              </w:rPr>
            </w:r>
            <w:r>
              <w:rPr>
                <w:color w:val="auto"/>
              </w:rPr>
            </w:r>
          </w:p>
        </w:tc>
      </w:tr>
      <w:tr>
        <w:trPr>
          <w:trHeight w:val="1767"/>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r>
            <w:r>
              <w:rPr>
                <w:color w:val="auto"/>
              </w:rPr>
            </w:r>
          </w:p>
        </w:tc>
        <w:tc>
          <w:tcPr>
            <w:gridSpan w:val="8"/>
            <w:tcW w:w="781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主营范围</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1、_____________________________________</w:t>
            </w:r>
            <w:r>
              <w:rPr>
                <w:rFonts w:hint="eastAsia" w:ascii="宋体" w:hAnsi="宋体" w:eastAsia="宋体" w:cs="宋体"/>
                <w:color w:val="auto"/>
                <w:sz w:val="24"/>
                <w:szCs w:val="24"/>
                <w:highlight w:val="none"/>
              </w:rPr>
            </w:r>
            <w:r>
              <w:rPr>
                <w:color w:val="auto"/>
              </w:rP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2、____________________________________</w:t>
            </w:r>
            <w:r>
              <w:rPr>
                <w:rFonts w:hint="eastAsia" w:ascii="宋体" w:hAnsi="宋体" w:eastAsia="宋体" w:cs="宋体"/>
                <w:color w:val="auto"/>
                <w:sz w:val="24"/>
                <w:szCs w:val="24"/>
                <w:highlight w:val="none"/>
              </w:rPr>
            </w:r>
            <w:r>
              <w:rPr>
                <w:color w:val="auto"/>
              </w:rPr>
            </w:r>
          </w:p>
        </w:tc>
      </w:tr>
      <w:tr>
        <w:trPr>
          <w:trHeight w:val="1013"/>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r>
            <w:r>
              <w:rPr>
                <w:color w:val="auto"/>
              </w:rPr>
            </w:r>
          </w:p>
        </w:tc>
        <w:tc>
          <w:tcPr>
            <w:gridSpan w:val="2"/>
            <w:tcW w:w="2253" w:type="dxa"/>
            <w:vAlign w:val="top"/>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rPr>
                <w:rFonts w:hint="eastAsia" w:ascii="宋体" w:hAnsi="宋体" w:eastAsia="宋体" w:cs="宋体"/>
                <w:color w:val="auto"/>
                <w:sz w:val="24"/>
                <w:szCs w:val="24"/>
                <w:highlight w:val="none"/>
              </w:rPr>
            </w:r>
            <w:r>
              <w:rPr>
                <w:color w:val="auto"/>
              </w:rPr>
            </w:r>
          </w:p>
        </w:tc>
        <w:tc>
          <w:tcPr>
            <w:gridSpan w:val="6"/>
            <w:tcW w:w="5561" w:type="dxa"/>
            <w:vAlign w:val="top"/>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18"/>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r>
            <w:r>
              <w:rPr>
                <w:color w:val="auto"/>
              </w:rPr>
            </w:r>
          </w:p>
        </w:tc>
        <w:tc>
          <w:tcPr>
            <w:gridSpan w:val="2"/>
            <w:tcW w:w="2253" w:type="dxa"/>
            <w:vAlign w:val="top"/>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rPr>
                <w:rFonts w:hint="eastAsia" w:ascii="宋体" w:hAnsi="宋体" w:eastAsia="宋体" w:cs="宋体"/>
                <w:color w:val="auto"/>
                <w:sz w:val="24"/>
                <w:szCs w:val="24"/>
                <w:highlight w:val="none"/>
              </w:rPr>
            </w:r>
            <w:r>
              <w:rPr>
                <w:color w:val="auto"/>
              </w:rPr>
            </w:r>
          </w:p>
        </w:tc>
        <w:tc>
          <w:tcPr>
            <w:gridSpan w:val="6"/>
            <w:tcW w:w="5561" w:type="dxa"/>
            <w:vAlign w:val="top"/>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618"/>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r>
            <w:r>
              <w:rPr>
                <w:color w:val="auto"/>
              </w:rPr>
            </w:r>
          </w:p>
        </w:tc>
        <w:tc>
          <w:tcPr>
            <w:gridSpan w:val="8"/>
            <w:tcW w:w="781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rPr>
                <w:rFonts w:hint="eastAsia" w:ascii="宋体" w:hAnsi="宋体" w:eastAsia="宋体" w:cs="宋体"/>
                <w:color w:val="auto"/>
                <w:sz w:val="24"/>
                <w:szCs w:val="24"/>
                <w:highlight w:val="none"/>
              </w:rPr>
            </w:r>
            <w:r>
              <w:rPr>
                <w:color w:val="auto"/>
              </w:rPr>
            </w:r>
          </w:p>
        </w:tc>
      </w:tr>
    </w:tbl>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中小企业声明函 </w:t>
      </w:r>
      <w:r>
        <w:rPr>
          <w:rFonts w:hint="eastAsia" w:ascii="宋体" w:hAnsi="宋体" w:eastAsia="宋体" w:cs="宋体"/>
          <w:b/>
          <w:color w:val="auto"/>
          <w:sz w:val="24"/>
          <w:szCs w:val="24"/>
          <w:highlight w:val="none"/>
        </w:rPr>
      </w:r>
      <w:r>
        <w:rPr>
          <w:color w:val="auto"/>
        </w:rPr>
      </w:r>
    </w:p>
    <w:p>
      <w:pPr>
        <w:pStyle w:val="853"/>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 企业发展管理办法》（财库﹝2020﹞46 号）的规定，本公司 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b w:val="0"/>
          <w:bCs/>
          <w:color w:val="auto"/>
          <w:sz w:val="24"/>
          <w:szCs w:val="24"/>
          <w:highlight w:val="none"/>
          <w:u w:val="single"/>
          <w:lang w:eastAsia="zh-CN"/>
        </w:rPr>
        <w:t xml:space="preserve">2026年度全镇监控安防设备维护保养服务</w:t>
      </w:r>
      <w:r>
        <w:rPr>
          <w:rFonts w:hint="eastAsia" w:ascii="宋体" w:hAnsi="宋体" w:eastAsia="宋体" w:cs="宋体"/>
          <w:color w:val="auto"/>
          <w:sz w:val="24"/>
          <w:szCs w:val="24"/>
          <w:highlight w:val="none"/>
        </w:rPr>
        <w:t xml:space="preserve">采购活动，服务全部由符合政策要求的中小企业承接。相关企业的具体情 况如下： </w:t>
      </w:r>
      <w:r>
        <w:rPr>
          <w:rFonts w:hint="eastAsia" w:ascii="宋体" w:hAnsi="宋体" w:eastAsia="宋体" w:cs="宋体"/>
          <w:color w:val="auto"/>
          <w:sz w:val="24"/>
          <w:szCs w:val="24"/>
          <w:highlight w:val="none"/>
        </w:rPr>
      </w:r>
      <w:r>
        <w:rPr>
          <w:color w:val="auto"/>
        </w:rPr>
      </w:r>
    </w:p>
    <w:p>
      <w:pPr>
        <w:pStyle w:val="853"/>
        <w:numPr>
          <w:ilvl w:val="0"/>
          <w:numId w:val="3"/>
        </w:numPr>
        <w:ind w:left="-6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软件和信息技术服务业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元，属于</w:t>
      </w:r>
      <w:r>
        <w:rPr>
          <w:rFonts w:hint="eastAsia" w:ascii="宋体" w:hAnsi="宋体" w:eastAsia="宋体" w:cs="宋体"/>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853"/>
        <w:numPr>
          <w:ilvl w:val="0"/>
          <w:numId w:val="3"/>
        </w:numPr>
        <w:ind w:left="-6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软件和信息技术服务业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元，属于</w:t>
      </w:r>
      <w:r>
        <w:rPr>
          <w:rFonts w:hint="eastAsia" w:ascii="宋体" w:hAnsi="宋体" w:eastAsia="宋体" w:cs="宋体"/>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rPr>
          <w:color w:val="auto"/>
        </w:rP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auto"/>
          <w:sz w:val="24"/>
          <w:szCs w:val="24"/>
          <w:highlight w:val="none"/>
        </w:rPr>
      </w:r>
      <w:r>
        <w:rPr>
          <w:color w:val="auto"/>
        </w:rP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 法承担相应责任。</w:t>
      </w:r>
      <w:r>
        <w:rPr>
          <w:rFonts w:hint="eastAsia" w:ascii="宋体" w:hAnsi="宋体" w:eastAsia="宋体" w:cs="宋体"/>
          <w:color w:val="auto"/>
          <w:sz w:val="24"/>
          <w:szCs w:val="24"/>
          <w:highlight w:val="none"/>
        </w:rPr>
      </w:r>
      <w:r>
        <w:rPr>
          <w:color w:val="auto"/>
        </w:rPr>
      </w:r>
    </w:p>
    <w:p>
      <w:pPr>
        <w:pStyle w:val="853"/>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rPr>
          <w:rFonts w:hint="eastAsia" w:ascii="宋体" w:hAnsi="宋体" w:eastAsia="宋体" w:cs="宋体"/>
          <w:b/>
          <w:color w:val="auto"/>
          <w:sz w:val="24"/>
          <w:szCs w:val="24"/>
          <w:highlight w:val="none"/>
        </w:rPr>
      </w:r>
      <w:r>
        <w:rPr>
          <w:color w:val="auto"/>
        </w:rP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rPr>
        <w:t xml:space="preserve">残疾人福利性单位声明函 </w:t>
      </w:r>
      <w:r>
        <w:rPr>
          <w:rFonts w:hint="eastAsia" w:ascii="宋体" w:hAnsi="宋体" w:eastAsia="宋体" w:cs="宋体"/>
          <w:b/>
          <w:color w:val="auto"/>
          <w:sz w:val="24"/>
          <w:szCs w:val="24"/>
          <w:highlight w:val="none"/>
        </w:rPr>
      </w:r>
      <w:r>
        <w:rPr>
          <w:color w:val="auto"/>
        </w:rPr>
      </w:r>
    </w:p>
    <w:p>
      <w:pPr>
        <w:pStyle w:val="884"/>
        <w:jc w:val="center"/>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84"/>
        <w:jc w:val="center"/>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rPr>
      </w:r>
      <w:r>
        <w:rPr>
          <w:color w:val="auto"/>
        </w:rPr>
      </w:r>
    </w:p>
    <w:p>
      <w:pPr>
        <w:pStyle w:val="884"/>
        <w:jc w:val="center"/>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84"/>
        <w:ind w:firstLine="48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auto"/>
          <w:sz w:val="24"/>
          <w:szCs w:val="24"/>
          <w:highlight w:val="none"/>
        </w:rPr>
      </w:r>
      <w:r>
        <w:rPr>
          <w:color w:val="auto"/>
        </w:rPr>
      </w:r>
    </w:p>
    <w:p>
      <w:pPr>
        <w:pStyle w:val="884"/>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rPr>
          <w:rFonts w:hint="eastAsia" w:ascii="宋体" w:hAnsi="宋体" w:eastAsia="宋体" w:cs="宋体"/>
          <w:color w:val="auto"/>
          <w:sz w:val="24"/>
          <w:szCs w:val="24"/>
          <w:highlight w:val="none"/>
        </w:rPr>
      </w:r>
      <w:r>
        <w:rPr>
          <w:color w:val="auto"/>
        </w:rPr>
      </w:r>
    </w:p>
    <w:p>
      <w:pPr>
        <w:pStyle w:val="884"/>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84"/>
        <w:jc w:val="righ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rPr>
          <w:rFonts w:hint="eastAsia" w:ascii="宋体" w:hAnsi="宋体" w:eastAsia="宋体" w:cs="宋体"/>
          <w:color w:val="auto"/>
          <w:sz w:val="24"/>
          <w:szCs w:val="24"/>
          <w:highlight w:val="none"/>
        </w:rPr>
      </w:r>
      <w:r>
        <w:rPr>
          <w:color w:val="auto"/>
        </w:rPr>
      </w:r>
    </w:p>
    <w:p>
      <w:pPr>
        <w:pStyle w:val="884"/>
        <w:jc w:val="righ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sz w:val="24"/>
          <w:szCs w:val="24"/>
          <w:highlight w:val="none"/>
        </w:rPr>
      </w:r>
      <w:r>
        <w:rPr>
          <w:color w:val="auto"/>
        </w:rPr>
      </w:r>
    </w:p>
    <w:p>
      <w:pPr>
        <w:pStyle w:val="863"/>
        <w:ind w:left="0" w:firstLine="0"/>
        <w:jc w:val="both"/>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关于资格文件的声明函</w:t>
      </w:r>
      <w:r>
        <w:rPr>
          <w:rFonts w:hint="eastAsia" w:ascii="宋体" w:hAnsi="宋体" w:eastAsia="宋体" w:cs="宋体"/>
          <w:b/>
          <w:bCs/>
          <w:color w:val="auto"/>
          <w:sz w:val="24"/>
          <w:szCs w:val="24"/>
        </w:rPr>
      </w:r>
      <w:r>
        <w:rPr>
          <w:color w:val="auto"/>
        </w:rPr>
      </w:r>
    </w:p>
    <w:p>
      <w:pPr>
        <w:pStyle w:val="863"/>
        <w:ind w:firstLine="0"/>
        <w:jc w:val="center"/>
        <w:keepLines w:val="0"/>
        <w:keepNext w:val="0"/>
        <w:pageBreakBefore w:val="0"/>
        <w:spacing w:line="360" w:lineRule="exact"/>
        <w:widowControl w:val="off"/>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 xml:space="preserve">关于资格文件的声明函</w:t>
      </w:r>
      <w:r>
        <w:rPr>
          <w:rFonts w:hint="eastAsia" w:ascii="宋体" w:hAnsi="宋体" w:eastAsia="宋体" w:cs="宋体"/>
          <w:b w:val="0"/>
          <w:bCs w:val="0"/>
          <w:color w:val="auto"/>
          <w:sz w:val="24"/>
          <w:szCs w:val="24"/>
          <w:u w:val="single"/>
        </w:rPr>
      </w:r>
      <w:r>
        <w:rPr>
          <w:color w:val="auto"/>
        </w:rPr>
      </w:r>
    </w:p>
    <w:p>
      <w:pPr>
        <w:pStyle w:val="863"/>
        <w:ind w:firstLine="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rPr>
          <w:color w:val="auto"/>
        </w:rPr>
      </w:r>
    </w:p>
    <w:p>
      <w:pPr>
        <w:pStyle w:val="863"/>
        <w:ind w:firstLine="48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本公司愿就由贵公司组织实施的编号为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号的采购活动进行投标。本公司所提交的响应文件中所有关于响应资格的文件、证明和陈述均是真实的、有效的。若与真实情况不符，本公司愿意承担由此而产生的一切后果。</w:t>
      </w:r>
      <w:r>
        <w:rPr>
          <w:rFonts w:hint="eastAsia" w:ascii="宋体" w:hAnsi="宋体" w:eastAsia="宋体" w:cs="宋体"/>
          <w:color w:val="auto"/>
          <w:sz w:val="24"/>
          <w:szCs w:val="24"/>
        </w:rPr>
      </w:r>
      <w:r>
        <w:rPr>
          <w:color w:val="auto"/>
        </w:rPr>
      </w:r>
    </w:p>
    <w:p>
      <w:pPr>
        <w:pStyle w:val="863"/>
        <w:ind w:firstLine="48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863"/>
        <w:ind w:left="0" w:firstLine="0"/>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磋商响应单位法定代表人：（签字或盖章）</w:t>
      </w:r>
      <w:r>
        <w:rPr>
          <w:rFonts w:hint="eastAsia" w:ascii="宋体" w:hAnsi="宋体" w:eastAsia="宋体" w:cs="宋体"/>
          <w:color w:val="auto"/>
          <w:sz w:val="24"/>
          <w:szCs w:val="24"/>
        </w:rPr>
      </w:r>
      <w:r>
        <w:rPr>
          <w:color w:val="auto"/>
        </w:rPr>
      </w:r>
    </w:p>
    <w:p>
      <w:pPr>
        <w:pStyle w:val="863"/>
        <w:ind w:left="0" w:firstLine="0"/>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磋商响应单位：（公章）         </w:t>
      </w:r>
      <w:r>
        <w:rPr>
          <w:rFonts w:hint="eastAsia" w:ascii="宋体" w:hAnsi="宋体" w:eastAsia="宋体" w:cs="宋体"/>
          <w:color w:val="auto"/>
          <w:sz w:val="24"/>
          <w:szCs w:val="24"/>
        </w:rPr>
      </w:r>
      <w:r>
        <w:rPr>
          <w:color w:val="auto"/>
        </w:rPr>
      </w:r>
    </w:p>
    <w:p>
      <w:pPr>
        <w:pStyle w:val="863"/>
        <w:ind w:left="0" w:firstLine="0"/>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 月 </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rPr>
      </w:r>
      <w:r>
        <w:rPr>
          <w:color w:val="auto"/>
        </w:rPr>
      </w:r>
    </w:p>
    <w:p>
      <w:pPr>
        <w:pStyle w:val="853"/>
        <w:ind w:left="0"/>
        <w:jc w:val="left"/>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color w:val="auto"/>
        </w:rPr>
      </w:r>
    </w:p>
    <w:p>
      <w:pPr>
        <w:pStyle w:val="853"/>
        <w:ind w:left="0"/>
        <w:jc w:val="left"/>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rPr>
        <w:t xml:space="preserve">磋商报价分析表</w:t>
      </w:r>
      <w:r>
        <w:rPr>
          <w:rFonts w:hint="eastAsia" w:ascii="宋体" w:hAnsi="宋体" w:eastAsia="宋体" w:cs="宋体"/>
          <w:b/>
          <w:bCs/>
          <w:color w:val="auto"/>
          <w:sz w:val="24"/>
          <w:szCs w:val="24"/>
        </w:rPr>
      </w:r>
      <w:r>
        <w:rPr>
          <w:color w:val="auto"/>
        </w:rPr>
      </w:r>
    </w:p>
    <w:p>
      <w:pPr>
        <w:pStyle w:val="853"/>
        <w:ind w:left="0"/>
        <w:jc w:val="center"/>
        <w:keepLines w:val="0"/>
        <w:keepNext w:val="0"/>
        <w:pageBreakBefore w:val="0"/>
        <w:spacing w:line="36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磋商报价分析表</w:t>
      </w:r>
      <w:r>
        <w:rPr>
          <w:rFonts w:hint="eastAsia" w:ascii="宋体" w:hAnsi="宋体" w:eastAsia="宋体" w:cs="宋体"/>
          <w:b/>
          <w:color w:val="auto"/>
          <w:sz w:val="24"/>
          <w:szCs w:val="24"/>
        </w:rPr>
      </w:r>
      <w:r>
        <w:rPr>
          <w:color w:val="auto"/>
        </w:rP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rFonts w:hint="eastAsia" w:ascii="宋体" w:hAnsi="宋体" w:eastAsia="宋体" w:cs="宋体"/>
                <w:color w:val="auto"/>
                <w:sz w:val="24"/>
                <w:szCs w:val="24"/>
              </w:rPr>
            </w:r>
            <w:r>
              <w:rPr>
                <w:color w:val="auto"/>
              </w:rP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费用项目</w:t>
            </w:r>
            <w:r>
              <w:rPr>
                <w:rFonts w:hint="eastAsia" w:ascii="宋体" w:hAnsi="宋体" w:eastAsia="宋体" w:cs="宋体"/>
                <w:color w:val="auto"/>
                <w:sz w:val="24"/>
                <w:szCs w:val="24"/>
              </w:rPr>
            </w:r>
            <w:r>
              <w:rPr>
                <w:color w:val="auto"/>
              </w:rPr>
            </w:r>
          </w:p>
        </w:tc>
        <w:tc>
          <w:tcPr>
            <w:tcW w:w="140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单位/数量</w:t>
            </w:r>
            <w:r>
              <w:rPr>
                <w:rFonts w:hint="eastAsia" w:ascii="宋体" w:hAnsi="宋体" w:eastAsia="宋体" w:cs="宋体"/>
                <w:color w:val="auto"/>
                <w:sz w:val="24"/>
                <w:szCs w:val="24"/>
              </w:rPr>
            </w:r>
            <w:r>
              <w:rPr>
                <w:color w:val="auto"/>
              </w:rP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rPr>
                <w:rFonts w:hint="eastAsia" w:ascii="宋体" w:hAnsi="宋体" w:eastAsia="宋体" w:cs="宋体"/>
                <w:color w:val="auto"/>
                <w:sz w:val="24"/>
                <w:szCs w:val="24"/>
              </w:rPr>
            </w:r>
            <w:r>
              <w:rPr>
                <w:color w:val="auto"/>
              </w:rP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w:t>
            </w:r>
            <w:r>
              <w:rPr>
                <w:rFonts w:hint="eastAsia" w:ascii="宋体" w:hAnsi="宋体" w:eastAsia="宋体" w:cs="宋体"/>
                <w:color w:val="auto"/>
                <w:sz w:val="24"/>
                <w:szCs w:val="24"/>
              </w:rPr>
            </w:r>
            <w:r>
              <w:rPr>
                <w:color w:val="auto"/>
              </w:rP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rPr>
            </w:r>
            <w:r>
              <w:rPr>
                <w:color w:val="auto"/>
              </w:rPr>
            </w:r>
          </w:p>
        </w:tc>
      </w:tr>
      <w:tr>
        <w:trPr>
          <w:cantSplit/>
          <w:trHeight w:val="427"/>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r>
            <w:r>
              <w:rPr>
                <w:color w:val="auto"/>
              </w:rP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39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r>
            <w:r>
              <w:rPr>
                <w:color w:val="auto"/>
              </w:rP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44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r>
            <w:r>
              <w:rPr>
                <w:color w:val="auto"/>
              </w:rP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44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w:t>
            </w:r>
            <w:r>
              <w:rPr>
                <w:rFonts w:ascii="宋体" w:hAnsi="宋体" w:eastAsia="宋体" w:cs="宋体"/>
                <w:color w:val="auto"/>
                <w:sz w:val="24"/>
                <w:szCs w:val="24"/>
                <w:lang w:val="en-US" w:eastAsia="zh-CN"/>
              </w:rPr>
            </w:r>
            <w:r>
              <w:rPr>
                <w:color w:val="auto"/>
              </w:rP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18"/>
        </w:trPr>
        <w:tc>
          <w:tcPr>
            <w:gridSpan w:val="2"/>
            <w:tcW w:w="3266"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合计总报价</w:t>
            </w:r>
            <w:r>
              <w:rPr>
                <w:rFonts w:hint="eastAsia" w:ascii="宋体" w:hAnsi="宋体" w:eastAsia="宋体" w:cs="宋体"/>
                <w:color w:val="auto"/>
                <w:sz w:val="24"/>
                <w:szCs w:val="24"/>
              </w:rPr>
            </w:r>
            <w:r>
              <w:rPr>
                <w:color w:val="auto"/>
              </w:rPr>
            </w:r>
          </w:p>
        </w:tc>
        <w:tc>
          <w:tcPr>
            <w:gridSpan w:val="4"/>
            <w:tcW w:w="65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人民币（小写）       元</w:t>
            </w:r>
            <w:r>
              <w:rPr>
                <w:rFonts w:hint="eastAsia" w:ascii="宋体" w:hAnsi="宋体" w:eastAsia="宋体" w:cs="宋体"/>
                <w:color w:val="auto"/>
                <w:sz w:val="24"/>
                <w:szCs w:val="24"/>
              </w:rPr>
            </w:r>
            <w:r>
              <w:rPr>
                <w:color w:val="auto"/>
              </w:rPr>
            </w:r>
          </w:p>
        </w:tc>
      </w:tr>
    </w:tbl>
    <w:p>
      <w:pPr>
        <w:pStyle w:val="853"/>
        <w:ind w:firstLine="69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rFonts w:hint="eastAsia" w:ascii="宋体" w:hAnsi="宋体" w:eastAsia="宋体" w:cs="宋体"/>
          <w:color w:val="auto"/>
          <w:sz w:val="24"/>
          <w:szCs w:val="24"/>
          <w:highlight w:val="none"/>
        </w:rPr>
      </w:r>
      <w:r>
        <w:rPr>
          <w:color w:val="auto"/>
        </w:rPr>
      </w:r>
    </w:p>
    <w:p>
      <w:pPr>
        <w:pStyle w:val="853"/>
        <w:ind w:firstLine="69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rFonts w:hint="eastAsia" w:ascii="宋体" w:hAnsi="宋体" w:eastAsia="宋体" w:cs="宋体"/>
          <w:color w:val="auto"/>
          <w:sz w:val="24"/>
          <w:szCs w:val="24"/>
          <w:highlight w:val="none"/>
        </w:rPr>
      </w:r>
      <w:r>
        <w:rPr>
          <w:color w:val="auto"/>
        </w:rPr>
      </w:r>
    </w:p>
    <w:p>
      <w:pPr>
        <w:pStyle w:val="853"/>
        <w:ind w:firstLine="698"/>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r>
      <w:r>
        <w:rPr>
          <w:color w:val="auto"/>
        </w:rPr>
      </w:r>
    </w:p>
    <w:p>
      <w:pPr>
        <w:pStyle w:val="853"/>
        <w:ind w:left="0"/>
        <w:keepLines w:val="0"/>
        <w:keepNext w:val="0"/>
        <w:pageBreakBefore w:val="0"/>
        <w:spacing w:line="360" w:lineRule="exact"/>
        <w:widowControl w:val="off"/>
        <w:tabs>
          <w:tab w:val="left" w:pos="13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注：1.本表中的报价为综合报价，</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rPr>
          <w:color w:val="auto"/>
        </w:rPr>
      </w:r>
    </w:p>
    <w:p>
      <w:pPr>
        <w:pStyle w:val="853"/>
        <w:ind w:left="0"/>
        <w:keepLines w:val="0"/>
        <w:keepNext w:val="0"/>
        <w:pageBreakBefore w:val="0"/>
        <w:spacing w:line="360" w:lineRule="exact"/>
        <w:widowControl w:val="off"/>
        <w:tabs>
          <w:tab w:val="left" w:pos="13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2.磋商报价分析表包含响应单位各项成本核算和投入的成本明细，合计金额应与开标一览表金额一致；否则，以开标一览表为准。</w:t>
      </w:r>
      <w:r>
        <w:rPr>
          <w:rFonts w:hint="eastAsia" w:ascii="宋体" w:hAnsi="宋体" w:eastAsia="宋体" w:cs="宋体"/>
          <w:color w:val="auto"/>
          <w:sz w:val="24"/>
          <w:szCs w:val="24"/>
        </w:rPr>
      </w:r>
      <w:r>
        <w:rPr>
          <w:color w:val="auto"/>
        </w:rPr>
      </w:r>
    </w:p>
    <w:p>
      <w:pPr>
        <w:pStyle w:val="853"/>
        <w:ind w:left="0"/>
        <w:keepLines w:val="0"/>
        <w:keepNext w:val="0"/>
        <w:pageBreakBefore w:val="0"/>
        <w:spacing w:line="360" w:lineRule="exact"/>
        <w:widowControl w:val="off"/>
        <w:tabs>
          <w:tab w:val="left" w:pos="1320"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若事</w:t>
      </w:r>
      <w:r>
        <w:rPr>
          <w:rFonts w:hint="eastAsia" w:ascii="宋体" w:hAnsi="宋体" w:eastAsia="宋体" w:cs="宋体"/>
          <w:color w:val="auto"/>
          <w:sz w:val="24"/>
          <w:szCs w:val="24"/>
        </w:rPr>
        <w:t xml:space="preserve">项较多，供应商可根据实际情况</w:t>
      </w:r>
      <w:r>
        <w:rPr>
          <w:rFonts w:hint="eastAsia" w:ascii="宋体" w:hAnsi="宋体" w:eastAsia="宋体" w:cs="宋体"/>
          <w:color w:val="auto"/>
          <w:sz w:val="24"/>
          <w:szCs w:val="24"/>
          <w:lang w:val="en-US" w:eastAsia="zh-CN"/>
        </w:rPr>
        <w:t xml:space="preserve">增加</w:t>
      </w:r>
      <w:r>
        <w:rPr>
          <w:rFonts w:hint="eastAsia" w:ascii="宋体" w:hAnsi="宋体" w:eastAsia="宋体" w:cs="宋体"/>
          <w:color w:val="auto"/>
          <w:sz w:val="24"/>
          <w:szCs w:val="24"/>
        </w:rPr>
        <w:t xml:space="preserve">说明。</w:t>
      </w:r>
      <w:r>
        <w:rPr>
          <w:rFonts w:hint="eastAsia" w:ascii="宋体" w:hAnsi="宋体" w:eastAsia="宋体" w:cs="宋体"/>
          <w:color w:val="auto"/>
          <w:sz w:val="24"/>
          <w:szCs w:val="24"/>
        </w:rPr>
      </w:r>
      <w:r>
        <w:rPr>
          <w:color w:val="auto"/>
        </w:rPr>
      </w:r>
    </w:p>
    <w:p>
      <w:pPr>
        <w:pStyle w:val="884"/>
        <w:jc w:val="righ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p>
      <w:pPr>
        <w:pStyle w:val="853"/>
        <w:jc w:val="center"/>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rPr>
          <w:color w:val="auto"/>
        </w:rP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JSZC-320506-DLHX-C2026-0007</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3"/>
        <w:ind w:left="-60" w:firstLine="0"/>
      </w:pPr>
    </w:lvl>
    <w:lvl w:ilvl="1">
      <w:start w:val="1"/>
      <w:numFmt w:val="decimal"/>
      <w:isLgl w:val="false"/>
      <w:suff w:val="tab"/>
      <w:lvlText w:val="%2."/>
      <w:lvlJc w:val="left"/>
      <w:pPr>
        <w:pStyle w:val="853"/>
        <w:ind w:left="1380" w:hanging="360"/>
        <w:tabs>
          <w:tab w:val="num" w:pos="1440" w:leader="none"/>
        </w:tabs>
      </w:pPr>
    </w:lvl>
    <w:lvl w:ilvl="2">
      <w:start w:val="1"/>
      <w:numFmt w:val="decimal"/>
      <w:isLgl w:val="false"/>
      <w:suff w:val="tab"/>
      <w:lvlText w:val="%3."/>
      <w:lvlJc w:val="left"/>
      <w:pPr>
        <w:pStyle w:val="853"/>
        <w:ind w:left="2100" w:hanging="360"/>
        <w:tabs>
          <w:tab w:val="num" w:pos="2160" w:leader="none"/>
        </w:tabs>
      </w:pPr>
    </w:lvl>
    <w:lvl w:ilvl="3">
      <w:start w:val="1"/>
      <w:numFmt w:val="decimal"/>
      <w:isLgl w:val="false"/>
      <w:suff w:val="tab"/>
      <w:lvlText w:val="%4."/>
      <w:lvlJc w:val="left"/>
      <w:pPr>
        <w:pStyle w:val="853"/>
        <w:ind w:left="2820" w:hanging="360"/>
        <w:tabs>
          <w:tab w:val="num" w:pos="2880" w:leader="none"/>
        </w:tabs>
      </w:pPr>
    </w:lvl>
    <w:lvl w:ilvl="4">
      <w:start w:val="1"/>
      <w:numFmt w:val="decimal"/>
      <w:isLgl w:val="false"/>
      <w:suff w:val="tab"/>
      <w:lvlText w:val="%5."/>
      <w:lvlJc w:val="left"/>
      <w:pPr>
        <w:pStyle w:val="853"/>
        <w:ind w:left="3540" w:hanging="360"/>
        <w:tabs>
          <w:tab w:val="num" w:pos="3600" w:leader="none"/>
        </w:tabs>
      </w:pPr>
    </w:lvl>
    <w:lvl w:ilvl="5">
      <w:start w:val="1"/>
      <w:numFmt w:val="decimal"/>
      <w:isLgl w:val="false"/>
      <w:suff w:val="tab"/>
      <w:lvlText w:val="%6."/>
      <w:lvlJc w:val="left"/>
      <w:pPr>
        <w:pStyle w:val="853"/>
        <w:ind w:left="4260" w:hanging="360"/>
        <w:tabs>
          <w:tab w:val="num" w:pos="4320" w:leader="none"/>
        </w:tabs>
      </w:pPr>
    </w:lvl>
    <w:lvl w:ilvl="6">
      <w:start w:val="1"/>
      <w:numFmt w:val="decimal"/>
      <w:isLgl w:val="false"/>
      <w:suff w:val="tab"/>
      <w:lvlText w:val="%7."/>
      <w:lvlJc w:val="left"/>
      <w:pPr>
        <w:pStyle w:val="853"/>
        <w:ind w:left="4980" w:hanging="360"/>
        <w:tabs>
          <w:tab w:val="num" w:pos="5040" w:leader="none"/>
        </w:tabs>
      </w:pPr>
    </w:lvl>
    <w:lvl w:ilvl="7">
      <w:start w:val="1"/>
      <w:numFmt w:val="decimal"/>
      <w:isLgl w:val="false"/>
      <w:suff w:val="tab"/>
      <w:lvlText w:val="%8."/>
      <w:lvlJc w:val="left"/>
      <w:pPr>
        <w:pStyle w:val="853"/>
        <w:ind w:left="5700" w:hanging="360"/>
        <w:tabs>
          <w:tab w:val="num" w:pos="5760" w:leader="none"/>
        </w:tabs>
      </w:pPr>
    </w:lvl>
    <w:lvl w:ilvl="8">
      <w:start w:val="1"/>
      <w:numFmt w:val="decimal"/>
      <w:isLgl w:val="false"/>
      <w:suff w:val="tab"/>
      <w:lvlText w:val="%9."/>
      <w:lvlJc w:val="left"/>
      <w:pPr>
        <w:pStyle w:val="853"/>
        <w:ind w:left="6420" w:hanging="360"/>
        <w:tabs>
          <w:tab w:val="num" w:pos="6480" w:leader="none"/>
        </w:tabs>
      </w:pPr>
    </w:lvl>
  </w:abstractNum>
  <w:abstractNum w:abstractNumId="1">
    <w:multiLevelType w:val="hybridMultilevel"/>
    <w:lvl w:ilvl="0">
      <w:start w:val="1"/>
      <w:numFmt w:val="japaneseCounting"/>
      <w:isLgl w:val="false"/>
      <w:suff w:val="tab"/>
      <w:lvlText w:val="%1、"/>
      <w:lvlJc w:val="left"/>
      <w:pPr>
        <w:pStyle w:val="853"/>
        <w:ind w:left="720" w:hanging="720"/>
        <w:tabs>
          <w:tab w:val="num" w:pos="720" w:leader="none"/>
        </w:tabs>
      </w:pPr>
      <w:rPr>
        <w:rFonts w:hint="eastAsia"/>
      </w:rPr>
    </w:lvl>
    <w:lvl w:ilvl="1">
      <w:start w:val="1"/>
      <w:numFmt w:val="decimal"/>
      <w:isLgl w:val="false"/>
      <w:suff w:val="tab"/>
      <w:lvlText w:val="%2．"/>
      <w:lvlJc w:val="left"/>
      <w:pPr>
        <w:pStyle w:val="853"/>
        <w:ind w:left="1140" w:hanging="720"/>
        <w:tabs>
          <w:tab w:val="num" w:pos="1140" w:leader="none"/>
        </w:tabs>
      </w:pPr>
      <w:rPr>
        <w:rFonts w:hint="eastAsia"/>
      </w:rPr>
    </w:lvl>
    <w:lvl w:ilvl="2">
      <w:start w:val="5"/>
      <w:numFmt w:val="decimal"/>
      <w:isLgl w:val="false"/>
      <w:suff w:val="tab"/>
      <w:lvlText w:val="%3."/>
      <w:lvlJc w:val="left"/>
      <w:pPr>
        <w:pStyle w:val="853"/>
        <w:ind w:left="1200" w:hanging="360"/>
        <w:tabs>
          <w:tab w:val="num" w:pos="120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2">
    <w:multiLevelType w:val="hybridMultilevel"/>
    <w:lvl w:ilvl="0">
      <w:start w:val="1"/>
      <w:numFmt w:val="bullet"/>
      <w:pStyle w:val="910"/>
      <w:isLgl w:val="false"/>
      <w:suff w:val="tab"/>
      <w:lvlText w:val=""/>
      <w:lvlJc w:val="left"/>
      <w:pPr>
        <w:pStyle w:val="853"/>
        <w:ind w:left="840" w:hanging="420"/>
        <w:tabs>
          <w:tab w:val="num" w:pos="840" w:leader="none"/>
        </w:tabs>
      </w:pPr>
      <w:rPr>
        <w:rFonts w:ascii="Wingdings" w:hAnsi="Wingdings"/>
      </w:rPr>
    </w:lvl>
    <w:lvl w:ilvl="1">
      <w:start w:val="1"/>
      <w:numFmt w:val="bullet"/>
      <w:isLgl w:val="false"/>
      <w:suff w:val="tab"/>
      <w:lvlText w:val=""/>
      <w:lvlJc w:val="left"/>
      <w:pPr>
        <w:pStyle w:val="853"/>
        <w:ind w:left="1260" w:hanging="420"/>
        <w:tabs>
          <w:tab w:val="num" w:pos="1260" w:leader="none"/>
        </w:tabs>
      </w:pPr>
      <w:rPr>
        <w:rFonts w:ascii="Wingdings" w:hAnsi="Wingdings"/>
      </w:rPr>
    </w:lvl>
    <w:lvl w:ilvl="2">
      <w:start w:val="1"/>
      <w:numFmt w:val="bullet"/>
      <w:isLgl w:val="false"/>
      <w:suff w:val="tab"/>
      <w:lvlText w:val=""/>
      <w:lvlJc w:val="left"/>
      <w:pPr>
        <w:pStyle w:val="853"/>
        <w:ind w:left="1680" w:hanging="420"/>
        <w:tabs>
          <w:tab w:val="num" w:pos="1680" w:leader="none"/>
        </w:tabs>
      </w:pPr>
      <w:rPr>
        <w:rFonts w:ascii="Wingdings" w:hAnsi="Wingdings"/>
      </w:rPr>
    </w:lvl>
    <w:lvl w:ilvl="3">
      <w:start w:val="1"/>
      <w:numFmt w:val="bullet"/>
      <w:isLgl w:val="false"/>
      <w:suff w:val="tab"/>
      <w:lvlText w:val=""/>
      <w:lvlJc w:val="left"/>
      <w:pPr>
        <w:pStyle w:val="853"/>
        <w:ind w:left="2100" w:hanging="420"/>
        <w:tabs>
          <w:tab w:val="num" w:pos="2100" w:leader="none"/>
        </w:tabs>
      </w:pPr>
      <w:rPr>
        <w:rFonts w:ascii="Wingdings" w:hAnsi="Wingdings"/>
      </w:rPr>
    </w:lvl>
    <w:lvl w:ilvl="4">
      <w:start w:val="1"/>
      <w:numFmt w:val="bullet"/>
      <w:isLgl w:val="false"/>
      <w:suff w:val="tab"/>
      <w:lvlText w:val=""/>
      <w:lvlJc w:val="left"/>
      <w:pPr>
        <w:pStyle w:val="853"/>
        <w:ind w:left="2520" w:hanging="420"/>
        <w:tabs>
          <w:tab w:val="num" w:pos="2520" w:leader="none"/>
        </w:tabs>
      </w:pPr>
      <w:rPr>
        <w:rFonts w:ascii="Wingdings" w:hAnsi="Wingdings"/>
      </w:rPr>
    </w:lvl>
    <w:lvl w:ilvl="5">
      <w:start w:val="1"/>
      <w:numFmt w:val="bullet"/>
      <w:isLgl w:val="false"/>
      <w:suff w:val="tab"/>
      <w:lvlText w:val=""/>
      <w:lvlJc w:val="left"/>
      <w:pPr>
        <w:pStyle w:val="853"/>
        <w:ind w:left="2940" w:hanging="420"/>
        <w:tabs>
          <w:tab w:val="num" w:pos="2940" w:leader="none"/>
        </w:tabs>
      </w:pPr>
      <w:rPr>
        <w:rFonts w:ascii="Wingdings" w:hAnsi="Wingdings"/>
      </w:rPr>
    </w:lvl>
    <w:lvl w:ilvl="6">
      <w:start w:val="1"/>
      <w:numFmt w:val="bullet"/>
      <w:isLgl w:val="false"/>
      <w:suff w:val="tab"/>
      <w:lvlText w:val=""/>
      <w:lvlJc w:val="left"/>
      <w:pPr>
        <w:pStyle w:val="853"/>
        <w:ind w:left="3360" w:hanging="420"/>
        <w:tabs>
          <w:tab w:val="num" w:pos="3360" w:leader="none"/>
        </w:tabs>
      </w:pPr>
      <w:rPr>
        <w:rFonts w:ascii="Wingdings" w:hAnsi="Wingdings"/>
      </w:rPr>
    </w:lvl>
    <w:lvl w:ilvl="7">
      <w:start w:val="1"/>
      <w:numFmt w:val="bullet"/>
      <w:isLgl w:val="false"/>
      <w:suff w:val="tab"/>
      <w:lvlText w:val=""/>
      <w:lvlJc w:val="left"/>
      <w:pPr>
        <w:pStyle w:val="853"/>
        <w:ind w:left="3780" w:hanging="420"/>
        <w:tabs>
          <w:tab w:val="num" w:pos="3780" w:leader="none"/>
        </w:tabs>
      </w:pPr>
      <w:rPr>
        <w:rFonts w:ascii="Wingdings" w:hAnsi="Wingdings"/>
      </w:rPr>
    </w:lvl>
    <w:lvl w:ilvl="8">
      <w:start w:val="1"/>
      <w:numFmt w:val="bullet"/>
      <w:isLgl w:val="false"/>
      <w:suff w:val="tab"/>
      <w:lvlText w:val=""/>
      <w:lvlJc w:val="left"/>
      <w:pPr>
        <w:pStyle w:val="853"/>
        <w:ind w:left="4200" w:hanging="420"/>
        <w:tabs>
          <w:tab w:val="num"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3"/>
    <w:next w:val="853"/>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3"/>
    <w:next w:val="853"/>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3"/>
    <w:next w:val="85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53"/>
    <w:next w:val="853"/>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53"/>
    <w:next w:val="853"/>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53"/>
    <w:next w:val="853"/>
    <w:link w:val="700"/>
    <w:uiPriority w:val="29"/>
    <w:qFormat/>
    <w:pPr>
      <w:ind w:left="720" w:right="720"/>
    </w:pPr>
    <w:rPr>
      <w:i/>
    </w:rPr>
  </w:style>
  <w:style w:type="character" w:styleId="700">
    <w:name w:val="Quote Char"/>
    <w:link w:val="699"/>
    <w:uiPriority w:val="29"/>
    <w:rPr>
      <w:i/>
    </w:rPr>
  </w:style>
  <w:style w:type="paragraph" w:styleId="701">
    <w:name w:val="Intense Quote"/>
    <w:basedOn w:val="853"/>
    <w:next w:val="853"/>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53"/>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53"/>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53"/>
    <w:next w:val="853"/>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rFonts w:ascii="Calibri" w:hAnsi="Calibri" w:eastAsia="宋体" w:cs="Times New Roman"/>
      <w:sz w:val="21"/>
      <w:szCs w:val="24"/>
      <w:lang w:val="en-US" w:eastAsia="zh-CN" w:bidi="ar-SA"/>
    </w:rPr>
  </w:style>
  <w:style w:type="paragraph" w:styleId="854">
    <w:name w:val="标题 1"/>
    <w:basedOn w:val="853"/>
    <w:next w:val="853"/>
    <w:link w:val="860"/>
    <w:qFormat/>
    <w:pPr>
      <w:jc w:val="center"/>
      <w:keepLines/>
      <w:keepNext/>
      <w:tabs>
        <w:tab w:val="left" w:pos="1134" w:leader="none"/>
      </w:tabs>
      <w:outlineLvl w:val="0"/>
    </w:pPr>
    <w:rPr>
      <w:rFonts w:ascii="宋体" w:hAnsi="宋体"/>
      <w:b/>
      <w:sz w:val="24"/>
      <w:szCs w:val="20"/>
    </w:rPr>
  </w:style>
  <w:style w:type="paragraph" w:styleId="855">
    <w:name w:val="标题 2"/>
    <w:basedOn w:val="853"/>
    <w:next w:val="853"/>
    <w:link w:val="861"/>
    <w:qFormat/>
    <w:pPr>
      <w:keepLines/>
      <w:keepNext/>
      <w:spacing w:before="260" w:after="260" w:line="416" w:lineRule="auto"/>
      <w:outlineLvl w:val="1"/>
    </w:pPr>
    <w:rPr>
      <w:rFonts w:ascii="Arial" w:hAnsi="Arial" w:eastAsia="黑体"/>
      <w:b/>
      <w:bCs/>
      <w:sz w:val="32"/>
      <w:szCs w:val="32"/>
    </w:rPr>
  </w:style>
  <w:style w:type="paragraph" w:styleId="856">
    <w:name w:val="标题 3"/>
    <w:basedOn w:val="853"/>
    <w:next w:val="853"/>
    <w:link w:val="853"/>
    <w:qFormat/>
    <w:pPr>
      <w:keepLines/>
      <w:keepNext/>
      <w:spacing w:line="360" w:lineRule="auto"/>
      <w:outlineLvl w:val="2"/>
    </w:pPr>
    <w:rPr>
      <w:b/>
      <w:bCs/>
      <w:sz w:val="26"/>
      <w:szCs w:val="26"/>
    </w:rPr>
  </w:style>
  <w:style w:type="paragraph" w:styleId="857">
    <w:name w:val="标题 6"/>
    <w:basedOn w:val="853"/>
    <w:next w:val="853"/>
    <w:link w:val="862"/>
    <w:qFormat/>
    <w:pPr>
      <w:keepLines/>
      <w:keepNext/>
      <w:spacing w:before="240" w:after="64" w:line="320" w:lineRule="auto"/>
      <w:outlineLvl w:val="5"/>
    </w:pPr>
    <w:rPr>
      <w:rFonts w:ascii="Arial" w:hAnsi="Arial" w:eastAsia="黑体"/>
      <w:b/>
      <w:bCs/>
      <w:sz w:val="24"/>
    </w:rPr>
  </w:style>
  <w:style w:type="character" w:styleId="858">
    <w:name w:val="默认段落字体"/>
    <w:next w:val="858"/>
    <w:link w:val="853"/>
    <w:uiPriority w:val="1"/>
    <w:unhideWhenUsed/>
    <w:qFormat/>
  </w:style>
  <w:style w:type="table" w:styleId="859">
    <w:name w:val="普通表格"/>
    <w:next w:val="859"/>
    <w:link w:val="853"/>
    <w:uiPriority w:val="99"/>
    <w:unhideWhenUsed/>
    <w:qFormat/>
    <w:tblPr/>
  </w:style>
  <w:style w:type="character" w:styleId="860">
    <w:name w:val="标题 1 Char"/>
    <w:next w:val="860"/>
    <w:link w:val="854"/>
    <w:qFormat/>
    <w:rPr>
      <w:rFonts w:ascii="宋体" w:hAnsi="宋体" w:eastAsia="宋体"/>
      <w:b/>
      <w:sz w:val="24"/>
      <w:lang w:val="en-US" w:eastAsia="zh-CN" w:bidi="ar-SA"/>
    </w:rPr>
  </w:style>
  <w:style w:type="character" w:styleId="861">
    <w:name w:val="标题 2 Char"/>
    <w:next w:val="861"/>
    <w:link w:val="855"/>
    <w:qFormat/>
    <w:rPr>
      <w:rFonts w:ascii="Arial" w:hAnsi="Arial" w:eastAsia="黑体"/>
      <w:b/>
      <w:bCs/>
      <w:sz w:val="32"/>
      <w:szCs w:val="32"/>
      <w:lang w:val="en-US" w:eastAsia="zh-CN" w:bidi="ar-SA"/>
    </w:rPr>
  </w:style>
  <w:style w:type="character" w:styleId="862">
    <w:name w:val="标题 6 Char"/>
    <w:next w:val="862"/>
    <w:link w:val="857"/>
    <w:qFormat/>
    <w:rPr>
      <w:rFonts w:ascii="Arial" w:hAnsi="Arial" w:eastAsia="黑体"/>
      <w:b/>
      <w:bCs/>
      <w:sz w:val="24"/>
      <w:szCs w:val="24"/>
    </w:rPr>
  </w:style>
  <w:style w:type="paragraph" w:styleId="863">
    <w:name w:val="正文缩进"/>
    <w:basedOn w:val="853"/>
    <w:next w:val="853"/>
    <w:link w:val="853"/>
    <w:qFormat/>
    <w:pPr>
      <w:ind w:firstLine="420"/>
      <w:jc w:val="left"/>
    </w:pPr>
    <w:rPr>
      <w:rFonts w:eastAsia="楷体_GB2312"/>
      <w:sz w:val="24"/>
      <w:szCs w:val="20"/>
    </w:rPr>
  </w:style>
  <w:style w:type="paragraph" w:styleId="864">
    <w:name w:val="文档结构图"/>
    <w:basedOn w:val="853"/>
    <w:next w:val="864"/>
    <w:link w:val="865"/>
    <w:qFormat/>
    <w:rPr>
      <w:rFonts w:ascii="宋体"/>
      <w:sz w:val="18"/>
      <w:szCs w:val="18"/>
    </w:rPr>
  </w:style>
  <w:style w:type="character" w:styleId="865">
    <w:name w:val="文档结构图 Char"/>
    <w:next w:val="865"/>
    <w:link w:val="864"/>
    <w:qFormat/>
    <w:rPr>
      <w:rFonts w:ascii="宋体"/>
      <w:sz w:val="18"/>
      <w:szCs w:val="18"/>
    </w:rPr>
  </w:style>
  <w:style w:type="paragraph" w:styleId="866">
    <w:name w:val="批注文字"/>
    <w:basedOn w:val="853"/>
    <w:next w:val="866"/>
    <w:link w:val="867"/>
    <w:qFormat/>
    <w:pPr>
      <w:jc w:val="left"/>
    </w:pPr>
  </w:style>
  <w:style w:type="character" w:styleId="867">
    <w:name w:val="批注文字 Char"/>
    <w:next w:val="867"/>
    <w:link w:val="866"/>
    <w:qFormat/>
    <w:rPr>
      <w:sz w:val="21"/>
      <w:szCs w:val="24"/>
    </w:rPr>
  </w:style>
  <w:style w:type="paragraph" w:styleId="868">
    <w:name w:val="正文文本"/>
    <w:basedOn w:val="853"/>
    <w:next w:val="863"/>
    <w:link w:val="853"/>
    <w:qFormat/>
    <w:pPr>
      <w:tabs>
        <w:tab w:val="left" w:pos="5250" w:leader="none"/>
      </w:tabs>
    </w:pPr>
    <w:rPr>
      <w:sz w:val="28"/>
    </w:rPr>
  </w:style>
  <w:style w:type="paragraph" w:styleId="869">
    <w:name w:val="正文文本缩进"/>
    <w:basedOn w:val="853"/>
    <w:next w:val="853"/>
    <w:link w:val="853"/>
    <w:qFormat/>
    <w:pPr>
      <w:ind w:left="570"/>
      <w:spacing w:line="520" w:lineRule="exact"/>
    </w:pPr>
    <w:rPr>
      <w:rFonts w:ascii="方正仿宋简体" w:hAnsi="创艺简仿宋" w:eastAsia="方正仿宋简体"/>
      <w:sz w:val="24"/>
      <w:szCs w:val="20"/>
    </w:rPr>
  </w:style>
  <w:style w:type="paragraph" w:styleId="870">
    <w:name w:val="列表 2"/>
    <w:basedOn w:val="853"/>
    <w:next w:val="870"/>
    <w:link w:val="853"/>
    <w:qFormat/>
    <w:pPr>
      <w:ind w:left="100" w:hanging="200"/>
    </w:pPr>
  </w:style>
  <w:style w:type="paragraph" w:styleId="871">
    <w:name w:val="纯文本"/>
    <w:basedOn w:val="853"/>
    <w:next w:val="871"/>
    <w:link w:val="872"/>
    <w:qFormat/>
    <w:rPr>
      <w:rFonts w:ascii="宋体" w:hAnsi="Courier New" w:eastAsia="楷体_GB2312"/>
      <w:sz w:val="28"/>
      <w:szCs w:val="20"/>
    </w:rPr>
  </w:style>
  <w:style w:type="character" w:styleId="872">
    <w:name w:val="纯文本 Char"/>
    <w:next w:val="872"/>
    <w:link w:val="871"/>
    <w:qFormat/>
    <w:rPr>
      <w:rFonts w:ascii="宋体" w:hAnsi="Courier New" w:eastAsia="楷体_GB2312"/>
      <w:sz w:val="28"/>
    </w:rPr>
  </w:style>
  <w:style w:type="paragraph" w:styleId="873">
    <w:name w:val="日期"/>
    <w:basedOn w:val="853"/>
    <w:next w:val="853"/>
    <w:link w:val="853"/>
    <w:qFormat/>
    <w:pPr>
      <w:ind w:left="100"/>
    </w:pPr>
    <w:rPr>
      <w:sz w:val="28"/>
    </w:rPr>
  </w:style>
  <w:style w:type="paragraph" w:styleId="874">
    <w:name w:val="正文文本缩进 2"/>
    <w:basedOn w:val="853"/>
    <w:next w:val="874"/>
    <w:link w:val="853"/>
    <w:qFormat/>
    <w:pPr>
      <w:ind w:firstLine="570"/>
      <w:spacing w:line="520" w:lineRule="exact"/>
    </w:pPr>
    <w:rPr>
      <w:rFonts w:ascii="方正仿宋简体" w:hAnsi="创艺简仿宋" w:eastAsia="方正仿宋简体"/>
      <w:bCs/>
      <w:sz w:val="24"/>
      <w:szCs w:val="20"/>
    </w:rPr>
  </w:style>
  <w:style w:type="paragraph" w:styleId="875">
    <w:name w:val="批注框文本"/>
    <w:basedOn w:val="853"/>
    <w:next w:val="875"/>
    <w:link w:val="853"/>
    <w:semiHidden/>
    <w:qFormat/>
    <w:rPr>
      <w:sz w:val="18"/>
      <w:szCs w:val="18"/>
    </w:rPr>
  </w:style>
  <w:style w:type="paragraph" w:styleId="876">
    <w:name w:val="页脚"/>
    <w:basedOn w:val="853"/>
    <w:next w:val="876"/>
    <w:link w:val="853"/>
    <w:qFormat/>
    <w:pPr>
      <w:jc w:val="left"/>
      <w:tabs>
        <w:tab w:val="center" w:pos="4153" w:leader="none"/>
        <w:tab w:val="right" w:pos="8306" w:leader="none"/>
      </w:tabs>
    </w:pPr>
    <w:rPr>
      <w:sz w:val="18"/>
      <w:szCs w:val="18"/>
    </w:rPr>
  </w:style>
  <w:style w:type="paragraph" w:styleId="877">
    <w:name w:val="寄信人地址"/>
    <w:basedOn w:val="853"/>
    <w:next w:val="877"/>
    <w:link w:val="853"/>
    <w:qFormat/>
    <w:pPr>
      <w:jc w:val="both"/>
      <w:widowControl w:val="off"/>
    </w:pPr>
    <w:rPr>
      <w:rFonts w:ascii="Arial" w:hAnsi="Arial" w:eastAsia="宋体" w:cs="Times New Roman"/>
      <w:sz w:val="21"/>
      <w:szCs w:val="24"/>
      <w:lang w:val="en-US" w:eastAsia="zh-CN" w:bidi="ar-SA"/>
    </w:rPr>
  </w:style>
  <w:style w:type="paragraph" w:styleId="878">
    <w:name w:val="页眉"/>
    <w:basedOn w:val="853"/>
    <w:next w:val="878"/>
    <w:link w:val="853"/>
    <w:qFormat/>
    <w:pPr>
      <w:jc w:val="center"/>
      <w:tabs>
        <w:tab w:val="center" w:pos="4153" w:leader="none"/>
        <w:tab w:val="right" w:pos="8306" w:leader="none"/>
      </w:tabs>
      <w:pBdr>
        <w:bottom w:val="single" w:color="000000" w:sz="6" w:space="1"/>
      </w:pBdr>
    </w:pPr>
    <w:rPr>
      <w:sz w:val="18"/>
      <w:szCs w:val="18"/>
    </w:rPr>
  </w:style>
  <w:style w:type="paragraph" w:styleId="879">
    <w:name w:val="索引标题"/>
    <w:basedOn w:val="853"/>
    <w:next w:val="880"/>
    <w:link w:val="853"/>
    <w:qFormat/>
    <w:pPr>
      <w:ind w:firstLine="0"/>
      <w:jc w:val="left"/>
      <w:spacing w:line="300" w:lineRule="exact"/>
    </w:pPr>
    <w:rPr>
      <w:rFonts w:ascii="仿宋_GB2312" w:hAnsi="仿宋_GB2312" w:cs="仿宋_GB2312"/>
      <w:sz w:val="30"/>
      <w:szCs w:val="30"/>
    </w:rPr>
  </w:style>
  <w:style w:type="paragraph" w:styleId="880">
    <w:name w:val="索引 1"/>
    <w:basedOn w:val="853"/>
    <w:next w:val="853"/>
    <w:link w:val="853"/>
    <w:qFormat/>
    <w:pPr>
      <w:spacing w:line="240" w:lineRule="exact"/>
    </w:pPr>
  </w:style>
  <w:style w:type="paragraph" w:styleId="881">
    <w:name w:val="脚注文本"/>
    <w:basedOn w:val="853"/>
    <w:next w:val="881"/>
    <w:link w:val="853"/>
    <w:qFormat/>
    <w:pPr>
      <w:jc w:val="left"/>
    </w:pPr>
    <w:rPr>
      <w:sz w:val="18"/>
      <w:szCs w:val="18"/>
    </w:rPr>
  </w:style>
  <w:style w:type="paragraph" w:styleId="882">
    <w:name w:val="正文文本缩进 3"/>
    <w:basedOn w:val="853"/>
    <w:next w:val="882"/>
    <w:link w:val="853"/>
    <w:qFormat/>
    <w:pPr>
      <w:ind w:left="420"/>
      <w:spacing w:after="120"/>
    </w:pPr>
    <w:rPr>
      <w:sz w:val="16"/>
      <w:szCs w:val="16"/>
    </w:rPr>
  </w:style>
  <w:style w:type="paragraph" w:styleId="883">
    <w:name w:val="目录 2"/>
    <w:basedOn w:val="853"/>
    <w:next w:val="853"/>
    <w:link w:val="853"/>
    <w:uiPriority w:val="39"/>
    <w:qFormat/>
    <w:pPr>
      <w:ind w:left="210"/>
      <w:jc w:val="left"/>
    </w:pPr>
    <w:rPr>
      <w:rFonts w:ascii="Times New Roman" w:hAnsi="Times New Roman"/>
      <w:smallCaps/>
      <w:sz w:val="20"/>
      <w:szCs w:val="20"/>
    </w:rPr>
  </w:style>
  <w:style w:type="paragraph" w:styleId="884">
    <w:name w:val="普通(网站)"/>
    <w:basedOn w:val="853"/>
    <w:next w:val="884"/>
    <w:link w:val="853"/>
    <w:uiPriority w:val="99"/>
    <w:unhideWhenUsed/>
    <w:qFormat/>
    <w:pPr>
      <w:jc w:val="left"/>
      <w:spacing w:before="100" w:beforeAutospacing="1" w:after="100" w:afterAutospacing="1"/>
      <w:widowControl/>
    </w:pPr>
    <w:rPr>
      <w:rFonts w:ascii="宋体" w:hAnsi="宋体" w:cs="宋体"/>
      <w:sz w:val="24"/>
    </w:rPr>
  </w:style>
  <w:style w:type="paragraph" w:styleId="885">
    <w:name w:val="标题"/>
    <w:basedOn w:val="853"/>
    <w:next w:val="853"/>
    <w:link w:val="853"/>
    <w:qFormat/>
    <w:pPr>
      <w:jc w:val="center"/>
      <w:spacing w:before="240" w:after="60"/>
      <w:outlineLvl w:val="0"/>
    </w:pPr>
    <w:rPr>
      <w:rFonts w:ascii="Arial" w:hAnsi="Arial"/>
      <w:b/>
      <w:sz w:val="32"/>
    </w:rPr>
  </w:style>
  <w:style w:type="paragraph" w:styleId="886">
    <w:name w:val="批注主题"/>
    <w:basedOn w:val="866"/>
    <w:next w:val="866"/>
    <w:link w:val="887"/>
    <w:qFormat/>
    <w:rPr>
      <w:b/>
      <w:bCs/>
    </w:rPr>
  </w:style>
  <w:style w:type="character" w:styleId="887">
    <w:name w:val="批注主题 Char"/>
    <w:next w:val="887"/>
    <w:link w:val="886"/>
    <w:qFormat/>
    <w:rPr>
      <w:b/>
      <w:bCs/>
      <w:sz w:val="21"/>
      <w:szCs w:val="24"/>
    </w:rPr>
  </w:style>
  <w:style w:type="paragraph" w:styleId="888">
    <w:name w:val="正文首行缩进"/>
    <w:basedOn w:val="868"/>
    <w:next w:val="888"/>
    <w:link w:val="853"/>
    <w:qFormat/>
    <w:pPr>
      <w:ind w:firstLine="200"/>
      <w:spacing w:line="360" w:lineRule="auto"/>
      <w:tabs>
        <w:tab w:val="left" w:pos="5250" w:leader="none"/>
      </w:tabs>
    </w:pPr>
    <w:rPr>
      <w:rFonts w:ascii="仿宋_GB2312" w:hAnsi="Arial" w:eastAsia="仿宋_GB2312"/>
      <w:sz w:val="30"/>
      <w:szCs w:val="30"/>
    </w:rPr>
  </w:style>
  <w:style w:type="paragraph" w:styleId="889">
    <w:name w:val="正文首行缩进 2"/>
    <w:basedOn w:val="869"/>
    <w:next w:val="889"/>
    <w:link w:val="853"/>
    <w:uiPriority w:val="99"/>
    <w:unhideWhenUsed/>
    <w:qFormat/>
    <w:pPr>
      <w:ind w:firstLine="420"/>
    </w:pPr>
  </w:style>
  <w:style w:type="table" w:styleId="890">
    <w:name w:val="网格型"/>
    <w:basedOn w:val="859"/>
    <w:next w:val="890"/>
    <w:link w:val="853"/>
    <w:uiPriority w:val="99"/>
    <w:unhideWhenUsed/>
    <w:qFormat/>
    <w:pPr>
      <w:jc w:val="both"/>
      <w:widowControl w:val="off"/>
    </w:pPr>
    <w:tblPr/>
  </w:style>
  <w:style w:type="character" w:styleId="891">
    <w:name w:val="要点"/>
    <w:next w:val="891"/>
    <w:link w:val="853"/>
    <w:qFormat/>
    <w:rPr>
      <w:b/>
    </w:rPr>
  </w:style>
  <w:style w:type="character" w:styleId="892">
    <w:name w:val="页码"/>
    <w:basedOn w:val="858"/>
    <w:next w:val="892"/>
    <w:link w:val="853"/>
    <w:qFormat/>
  </w:style>
  <w:style w:type="character" w:styleId="893">
    <w:name w:val="已访问的超链接"/>
    <w:next w:val="893"/>
    <w:link w:val="853"/>
    <w:qFormat/>
    <w:rPr>
      <w:color w:val="999999"/>
      <w:u w:val="none"/>
    </w:rPr>
  </w:style>
  <w:style w:type="character" w:styleId="894">
    <w:name w:val="强调"/>
    <w:next w:val="894"/>
    <w:link w:val="853"/>
    <w:qFormat/>
  </w:style>
  <w:style w:type="character" w:styleId="895">
    <w:name w:val="超链接"/>
    <w:next w:val="895"/>
    <w:link w:val="853"/>
    <w:qFormat/>
    <w:rPr>
      <w:color w:val="333333"/>
      <w:u w:val="none"/>
    </w:rPr>
  </w:style>
  <w:style w:type="character" w:styleId="896">
    <w:name w:val="批注引用"/>
    <w:next w:val="896"/>
    <w:link w:val="853"/>
    <w:qFormat/>
    <w:rPr>
      <w:sz w:val="21"/>
      <w:szCs w:val="21"/>
    </w:rPr>
  </w:style>
  <w:style w:type="character" w:styleId="897">
    <w:name w:val="脚注引用"/>
    <w:next w:val="897"/>
    <w:link w:val="853"/>
    <w:qFormat/>
    <w:rPr>
      <w:vertAlign w:val="superscript"/>
    </w:rPr>
  </w:style>
  <w:style w:type="paragraph" w:styleId="898">
    <w:name w:val="段"/>
    <w:next w:val="853"/>
    <w:link w:val="853"/>
    <w:qFormat/>
    <w:pPr>
      <w:ind w:firstLine="200"/>
      <w:jc w:val="both"/>
    </w:pPr>
    <w:rPr>
      <w:rFonts w:ascii="宋体" w:hAnsi="Calibri" w:eastAsia="宋体" w:cs="Times New Roman"/>
      <w:sz w:val="21"/>
      <w:lang w:val="en-US" w:eastAsia="zh-CN" w:bidi="ar-SA"/>
    </w:rPr>
  </w:style>
  <w:style w:type="paragraph" w:styleId="899">
    <w:name w:val="首行缩进"/>
    <w:basedOn w:val="853"/>
    <w:next w:val="899"/>
    <w:link w:val="853"/>
    <w:qFormat/>
    <w:pPr>
      <w:ind w:firstLine="200"/>
      <w:spacing w:line="500" w:lineRule="exact"/>
    </w:pPr>
  </w:style>
  <w:style w:type="paragraph" w:styleId="900">
    <w:name w:val="p18"/>
    <w:basedOn w:val="853"/>
    <w:next w:val="900"/>
    <w:link w:val="853"/>
    <w:qFormat/>
    <w:pPr>
      <w:ind w:firstLine="570"/>
      <w:spacing w:line="520" w:lineRule="atLeast"/>
      <w:widowControl/>
    </w:pPr>
    <w:rPr>
      <w:rFonts w:ascii="方正仿宋简体" w:hAnsi="方正仿宋简体" w:cs="宋体"/>
      <w:sz w:val="24"/>
    </w:rPr>
  </w:style>
  <w:style w:type="paragraph" w:styleId="901">
    <w:name w:val="正文段落"/>
    <w:basedOn w:val="853"/>
    <w:next w:val="901"/>
    <w:link w:val="853"/>
    <w:qFormat/>
    <w:pPr>
      <w:ind w:firstLine="440"/>
      <w:spacing w:line="360" w:lineRule="auto"/>
      <w:widowControl/>
    </w:pPr>
    <w:rPr>
      <w:sz w:val="22"/>
      <w:szCs w:val="22"/>
      <w:lang w:val="de-DE"/>
    </w:rPr>
  </w:style>
  <w:style w:type="paragraph" w:styleId="902">
    <w:name w:val="【正文】"/>
    <w:basedOn w:val="853"/>
    <w:next w:val="902"/>
    <w:link w:val="853"/>
    <w:qFormat/>
    <w:pPr>
      <w:ind w:firstLine="420"/>
      <w:spacing w:line="360" w:lineRule="auto"/>
    </w:pPr>
    <w:rPr>
      <w:rFonts w:cs="黑体"/>
      <w:sz w:val="24"/>
    </w:rPr>
  </w:style>
  <w:style w:type="paragraph" w:styleId="903">
    <w:name w:val="样式 (西文) 宋体 小四 首行缩进:  0.95 厘米 段前: 5 磅 段后: 5 磅 行距: 1.5 倍行距"/>
    <w:basedOn w:val="853"/>
    <w:next w:val="903"/>
    <w:link w:val="853"/>
    <w:qFormat/>
    <w:pPr>
      <w:ind w:firstLine="540"/>
      <w:jc w:val="left"/>
      <w:spacing w:before="100" w:after="100" w:line="360" w:lineRule="auto"/>
      <w:widowControl/>
    </w:pPr>
    <w:rPr>
      <w:rFonts w:ascii="宋体" w:hAnsi="宋体" w:cs="宋体"/>
      <w:sz w:val="24"/>
      <w:szCs w:val="20"/>
    </w:rPr>
  </w:style>
  <w:style w:type="paragraph" w:styleId="904">
    <w:name w:val="列表段落1"/>
    <w:basedOn w:val="853"/>
    <w:next w:val="904"/>
    <w:link w:val="853"/>
    <w:qFormat/>
    <w:pPr>
      <w:ind w:firstLine="420"/>
    </w:pPr>
  </w:style>
  <w:style w:type="paragraph" w:styleId="905">
    <w:name w:val="179"/>
    <w:basedOn w:val="853"/>
    <w:next w:val="905"/>
    <w:link w:val="853"/>
    <w:qFormat/>
    <w:pPr>
      <w:ind w:firstLine="420"/>
    </w:pPr>
    <w:rPr>
      <w:sz w:val="28"/>
      <w:szCs w:val="20"/>
    </w:rPr>
  </w:style>
  <w:style w:type="paragraph" w:styleId="906">
    <w:name w:val="_Style 12"/>
    <w:basedOn w:val="864"/>
    <w:next w:val="906"/>
    <w:link w:val="853"/>
    <w:qFormat/>
    <w:pPr>
      <w:spacing w:line="360" w:lineRule="auto"/>
      <w:shd w:val="clear" w:color="auto" w:fill="000080"/>
    </w:pPr>
    <w:rPr>
      <w:rFonts w:ascii="Times New Roman"/>
      <w:sz w:val="21"/>
      <w:szCs w:val="24"/>
    </w:rPr>
  </w:style>
  <w:style w:type="paragraph" w:styleId="907">
    <w:name w:val="List Paragraph1"/>
    <w:basedOn w:val="853"/>
    <w:next w:val="907"/>
    <w:link w:val="853"/>
    <w:uiPriority w:val="34"/>
    <w:qFormat/>
    <w:pPr>
      <w:ind w:firstLine="420"/>
    </w:pPr>
  </w:style>
  <w:style w:type="paragraph" w:styleId="908">
    <w:name w:val="正文2"/>
    <w:basedOn w:val="853"/>
    <w:next w:val="908"/>
    <w:link w:val="853"/>
    <w:qFormat/>
    <w:pPr>
      <w:ind w:firstLine="200"/>
      <w:jc w:val="left"/>
      <w:spacing w:after="160" w:line="360" w:lineRule="auto"/>
      <w:widowControl/>
    </w:pPr>
    <w:rPr>
      <w:szCs w:val="20"/>
    </w:rPr>
  </w:style>
  <w:style w:type="paragraph" w:styleId="909">
    <w:name w:val="纯文本1"/>
    <w:basedOn w:val="853"/>
    <w:next w:val="909"/>
    <w:link w:val="853"/>
    <w:qFormat/>
    <w:rPr>
      <w:rFonts w:ascii="宋体" w:hAnsi="Courier New"/>
    </w:rPr>
  </w:style>
  <w:style w:type="paragraph" w:styleId="910">
    <w:name w:val="正文文本缩进 2 + 仿宋_GB2312"/>
    <w:basedOn w:val="874"/>
    <w:next w:val="910"/>
    <w:link w:val="853"/>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911">
    <w:name w:val="列表段落11"/>
    <w:basedOn w:val="853"/>
    <w:next w:val="911"/>
    <w:link w:val="853"/>
    <w:qFormat/>
    <w:pPr>
      <w:ind w:firstLine="420"/>
    </w:pPr>
    <w:rPr>
      <w:rFonts w:eastAsia="等线"/>
    </w:rPr>
  </w:style>
  <w:style w:type="paragraph" w:styleId="912">
    <w:name w:val="+正文"/>
    <w:basedOn w:val="853"/>
    <w:next w:val="912"/>
    <w:link w:val="853"/>
    <w:uiPriority w:val="99"/>
    <w:qFormat/>
    <w:pPr>
      <w:ind w:firstLine="200"/>
      <w:spacing w:line="360" w:lineRule="auto"/>
    </w:pPr>
    <w:rPr>
      <w:rFonts w:ascii="Times New Roman" w:hAnsi="Times New Roman"/>
      <w:sz w:val="24"/>
      <w:szCs w:val="28"/>
    </w:rPr>
  </w:style>
  <w:style w:type="paragraph" w:styleId="913">
    <w:name w:val="List Paragraph"/>
    <w:basedOn w:val="853"/>
    <w:next w:val="913"/>
    <w:link w:val="853"/>
    <w:uiPriority w:val="34"/>
    <w:qFormat/>
    <w:pPr>
      <w:ind w:firstLine="420"/>
    </w:pPr>
    <w:rPr>
      <w:sz w:val="28"/>
      <w:szCs w:val="20"/>
    </w:rPr>
  </w:style>
  <w:style w:type="paragraph" w:styleId="914">
    <w:name w:val="p0"/>
    <w:basedOn w:val="853"/>
    <w:next w:val="914"/>
    <w:link w:val="853"/>
    <w:qFormat/>
    <w:pPr>
      <w:widowControl/>
    </w:pPr>
    <w:rPr>
      <w:szCs w:val="21"/>
    </w:rPr>
  </w:style>
  <w:style w:type="paragraph" w:styleId="915">
    <w:name w:val="列出段落1"/>
    <w:basedOn w:val="853"/>
    <w:next w:val="915"/>
    <w:link w:val="853"/>
    <w:uiPriority w:val="34"/>
    <w:qFormat/>
    <w:pPr>
      <w:ind w:firstLine="420"/>
    </w:pPr>
    <w:rPr>
      <w:rFonts w:ascii="Times New Roman" w:hAnsi="Times New Roman"/>
    </w:rPr>
  </w:style>
  <w:style w:type="paragraph" w:styleId="916">
    <w:name w:val="Char Char Char Char Char Char Char Char Char Char Char Char Char"/>
    <w:basedOn w:val="853"/>
    <w:next w:val="916"/>
    <w:link w:val="853"/>
    <w:qFormat/>
    <w:pPr>
      <w:ind w:firstLine="480"/>
      <w:spacing w:line="360" w:lineRule="auto"/>
    </w:pPr>
    <w:rPr>
      <w:rFonts w:hAnsi="宋体"/>
      <w:color w:val="000000"/>
      <w:sz w:val="18"/>
      <w:szCs w:val="18"/>
    </w:rPr>
  </w:style>
  <w:style w:type="paragraph" w:styleId="917">
    <w:name w:val="纯文本2"/>
    <w:basedOn w:val="853"/>
    <w:next w:val="917"/>
    <w:link w:val="853"/>
    <w:qFormat/>
    <w:rPr>
      <w:rFonts w:hint="eastAsia" w:ascii="宋体" w:hAnsi="Courier New" w:eastAsia="楷体_GB2312"/>
      <w:sz w:val="28"/>
      <w:szCs w:val="20"/>
    </w:rPr>
  </w:style>
  <w:style w:type="paragraph" w:styleId="918">
    <w:name w:val="Default"/>
    <w:next w:val="918"/>
    <w:link w:val="853"/>
    <w:uiPriority w:val="99"/>
    <w:qFormat/>
    <w:pPr>
      <w:widowControl w:val="off"/>
    </w:pPr>
    <w:rPr>
      <w:rFonts w:ascii="宋体" w:hAnsi="Calibri" w:eastAsia="宋体" w:cs="宋体"/>
      <w:color w:val="000000"/>
      <w:sz w:val="24"/>
      <w:szCs w:val="24"/>
      <w:lang w:val="en-US" w:eastAsia="zh-CN" w:bidi="ar-SA"/>
    </w:rPr>
  </w:style>
  <w:style w:type="paragraph" w:styleId="919">
    <w:name w:val="正文 A"/>
    <w:next w:val="919"/>
    <w:link w:val="853"/>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920">
    <w:name w:val="dt2"/>
    <w:basedOn w:val="853"/>
    <w:next w:val="920"/>
    <w:link w:val="853"/>
    <w:qFormat/>
    <w:pPr>
      <w:jc w:val="left"/>
    </w:pPr>
  </w:style>
  <w:style w:type="paragraph" w:styleId="921">
    <w:name w:val="111111"/>
    <w:basedOn w:val="853"/>
    <w:next w:val="921"/>
    <w:link w:val="853"/>
    <w:qFormat/>
    <w:pPr>
      <w:jc w:val="center"/>
      <w:spacing w:before="120" w:after="120"/>
    </w:pPr>
    <w:rPr>
      <w:rFonts w:ascii="宋体" w:hAnsi="宋体" w:eastAsia="黑体"/>
      <w:b/>
      <w:bCs/>
      <w:szCs w:val="21"/>
    </w:rPr>
  </w:style>
  <w:style w:type="character" w:styleId="922">
    <w:name w:val="Char Char1"/>
    <w:next w:val="922"/>
    <w:link w:val="853"/>
    <w:qFormat/>
    <w:rPr>
      <w:rFonts w:ascii="宋体" w:hAnsi="Courier New"/>
      <w:szCs w:val="20"/>
    </w:rPr>
  </w:style>
  <w:style w:type="character" w:styleId="923">
    <w:name w:val="style4"/>
    <w:basedOn w:val="858"/>
    <w:next w:val="923"/>
    <w:link w:val="853"/>
    <w:qFormat/>
  </w:style>
  <w:style w:type="character" w:styleId="924">
    <w:name w:val="fontstyle01"/>
    <w:next w:val="924"/>
    <w:link w:val="853"/>
    <w:qFormat/>
    <w:rPr>
      <w:rFonts w:ascii="宋体" w:hAnsi="宋体" w:eastAsia="宋体" w:cs="宋体"/>
      <w:color w:val="000000"/>
      <w:sz w:val="24"/>
      <w:szCs w:val="24"/>
    </w:rPr>
  </w:style>
  <w:style w:type="character" w:styleId="925">
    <w:name w:val="NormalCharacter1"/>
    <w:next w:val="925"/>
    <w:link w:val="853"/>
    <w:qFormat/>
  </w:style>
  <w:style w:type="character" w:styleId="926">
    <w:name w:val="font11"/>
    <w:next w:val="926"/>
    <w:link w:val="853"/>
    <w:qFormat/>
    <w:rPr>
      <w:rFonts w:hint="eastAsia" w:ascii="宋体" w:hAnsi="宋体" w:eastAsia="宋体" w:cs="宋体"/>
      <w:color w:val="000000"/>
      <w:sz w:val="20"/>
      <w:szCs w:val="20"/>
      <w:u w:val="none"/>
    </w:rPr>
  </w:style>
  <w:style w:type="character" w:styleId="927">
    <w:name w:val="font01"/>
    <w:next w:val="927"/>
    <w:link w:val="853"/>
    <w:qFormat/>
    <w:rPr>
      <w:rFonts w:hint="eastAsia" w:ascii="宋体" w:hAnsi="宋体" w:eastAsia="宋体" w:cs="宋体"/>
      <w:b/>
      <w:color w:val="ff0000"/>
      <w:sz w:val="22"/>
      <w:szCs w:val="22"/>
      <w:u w:val="none"/>
    </w:rPr>
  </w:style>
  <w:style w:type="paragraph" w:styleId="928">
    <w:name w:val="标题 21"/>
    <w:next w:val="919"/>
    <w:link w:val="853"/>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929">
    <w:name w:val="正文缩进 Char Char"/>
    <w:basedOn w:val="853"/>
    <w:next w:val="929"/>
    <w:link w:val="853"/>
    <w:qFormat/>
    <w:pPr>
      <w:ind w:firstLine="420"/>
    </w:pPr>
  </w:style>
  <w:style w:type="paragraph" w:styleId="930">
    <w:name w:val="Table Paragraph"/>
    <w:basedOn w:val="853"/>
    <w:next w:val="930"/>
    <w:link w:val="853"/>
    <w:uiPriority w:val="1"/>
    <w:qFormat/>
    <w:rPr>
      <w:sz w:val="26"/>
      <w:szCs w:val="20"/>
      <w:lang w:val="zh-CN" w:bidi="zh-CN"/>
    </w:rPr>
  </w:style>
  <w:style w:type="paragraph" w:styleId="931">
    <w:name w:val="纯文本3"/>
    <w:basedOn w:val="853"/>
    <w:next w:val="931"/>
    <w:link w:val="853"/>
    <w:qFormat/>
    <w:rPr>
      <w:rFonts w:ascii="宋体" w:hAnsi="Courier New" w:eastAsia="楷体_GB2312"/>
      <w:sz w:val="26"/>
      <w:szCs w:val="20"/>
    </w:rPr>
  </w:style>
  <w:style w:type="paragraph" w:styleId="932">
    <w:name w:val="p25"/>
    <w:basedOn w:val="853"/>
    <w:next w:val="932"/>
    <w:link w:val="853"/>
    <w:qFormat/>
    <w:rPr>
      <w:rFonts w:ascii="黑体" w:hAnsi="黑体" w:cs="黑体"/>
      <w:szCs w:val="26"/>
    </w:rPr>
  </w:style>
  <w:style w:type="paragraph" w:styleId="933">
    <w:name w:val="纯文本111"/>
    <w:basedOn w:val="853"/>
    <w:next w:val="933"/>
    <w:link w:val="853"/>
    <w:qFormat/>
    <w:rPr>
      <w:rFonts w:ascii="宋体" w:hAnsi="Courier New"/>
      <w:sz w:val="28"/>
      <w:szCs w:val="28"/>
    </w:rPr>
  </w:style>
  <w:style w:type="paragraph" w:styleId="934">
    <w:name w:val="纯文本21"/>
    <w:basedOn w:val="853"/>
    <w:next w:val="934"/>
    <w:link w:val="853"/>
    <w:qFormat/>
    <w:rPr>
      <w:rFonts w:hint="eastAsia" w:ascii="宋体" w:hAnsi="Courier New" w:eastAsia="楷体_GB2312"/>
      <w:sz w:val="28"/>
    </w:rPr>
  </w:style>
  <w:style w:type="paragraph" w:styleId="935">
    <w:name w:val="正文1"/>
    <w:next w:val="853"/>
    <w:link w:val="853"/>
    <w:qFormat/>
    <w:pPr>
      <w:jc w:val="both"/>
      <w:spacing w:line="312" w:lineRule="atLeast"/>
      <w:widowControl w:val="off"/>
    </w:pPr>
    <w:rPr>
      <w:rFonts w:ascii="宋体" w:hAnsi="Times New Roman" w:eastAsia="宋体" w:cs="Times New Roman"/>
      <w:sz w:val="34"/>
      <w:szCs w:val="22"/>
      <w:lang w:val="en-US" w:eastAsia="zh-CN" w:bidi="ar-SA"/>
    </w:rPr>
  </w:style>
  <w:style w:type="character" w:styleId="936">
    <w:name w:val="font21"/>
    <w:basedOn w:val="858"/>
    <w:next w:val="936"/>
    <w:link w:val="853"/>
    <w:qFormat/>
    <w:rPr>
      <w:rFonts w:hint="eastAsia" w:ascii="宋体" w:hAnsi="宋体" w:eastAsia="宋体" w:cs="宋体"/>
      <w:b/>
      <w:color w:val="000000"/>
      <w:sz w:val="20"/>
      <w:szCs w:val="20"/>
      <w:u w:val="none"/>
    </w:rPr>
  </w:style>
  <w:style w:type="character" w:styleId="937">
    <w:name w:val="font91"/>
    <w:next w:val="937"/>
    <w:link w:val="853"/>
    <w:qFormat/>
    <w:rPr>
      <w:rFonts w:ascii="Calibri" w:hAnsi="Calibri" w:cs="Calibri"/>
      <w:b/>
      <w:color w:val="000000"/>
      <w:sz w:val="20"/>
      <w:szCs w:val="20"/>
      <w:u w:val="none"/>
    </w:rPr>
  </w:style>
  <w:style w:type="character" w:styleId="938">
    <w:name w:val="font71"/>
    <w:next w:val="938"/>
    <w:link w:val="853"/>
    <w:qFormat/>
    <w:rPr>
      <w:rFonts w:hint="eastAsia" w:ascii="宋体" w:hAnsi="宋体" w:eastAsia="宋体" w:cs="宋体"/>
      <w:color w:val="000000"/>
      <w:sz w:val="20"/>
      <w:szCs w:val="20"/>
      <w:u w:val="none"/>
    </w:rPr>
  </w:style>
  <w:style w:type="paragraph" w:styleId="939">
    <w:name w:val="_Style 15"/>
    <w:basedOn w:val="869"/>
    <w:next w:val="889"/>
    <w:link w:val="853"/>
    <w:uiPriority w:val="99"/>
    <w:unhideWhenUsed/>
    <w:qFormat/>
    <w:pPr>
      <w:ind w:firstLine="420"/>
    </w:pPr>
  </w:style>
  <w:style w:type="character" w:styleId="940">
    <w:name w:val="font61"/>
    <w:basedOn w:val="858"/>
    <w:next w:val="940"/>
    <w:link w:val="853"/>
    <w:qFormat/>
    <w:rPr>
      <w:rFonts w:hint="eastAsia" w:ascii="仿宋_GB2312" w:eastAsia="仿宋_GB2312" w:cs="仿宋_GB2312"/>
      <w:color w:val="000000"/>
      <w:sz w:val="24"/>
      <w:szCs w:val="24"/>
      <w:u w:val="none"/>
    </w:rPr>
  </w:style>
  <w:style w:type="paragraph" w:styleId="941">
    <w:name w:val="索引 41"/>
    <w:basedOn w:val="853"/>
    <w:next w:val="853"/>
    <w:link w:val="853"/>
    <w:semiHidden/>
    <w:qFormat/>
    <w:pPr>
      <w:ind w:left="600"/>
    </w:pPr>
    <w:rPr>
      <w:rFonts w:ascii="Times New Roman" w:hAnsi="Times New Roman"/>
      <w:szCs w:val="20"/>
    </w:rPr>
  </w:style>
  <w:style w:type="character" w:styleId="942" w:default="1">
    <w:name w:val="Default Paragraph Font"/>
    <w:uiPriority w:val="1"/>
    <w:semiHidden/>
    <w:unhideWhenUsed/>
  </w:style>
  <w:style w:type="numbering" w:styleId="943" w:default="1">
    <w:name w:val="No List"/>
    <w:uiPriority w:val="99"/>
    <w:semiHidden/>
    <w:unhideWhenUsed/>
  </w:style>
  <w:style w:type="table" w:styleId="9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于文婷</cp:lastModifiedBy>
  <cp:revision>4</cp:revision>
  <dcterms:created xsi:type="dcterms:W3CDTF">2021-12-28T08:23:00Z</dcterms:created>
  <dcterms:modified xsi:type="dcterms:W3CDTF">2026-07-14T01:35:23Z</dcterms:modified>
</cp:coreProperties>
</file>