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spacing w:before="0" w:after="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line="539" w:lineRule="atLeast"/>
        <w:rPr>
          <w:rFonts w:ascii="Times New Roman" w:hAnsi="Times New Roman" w:eastAsia="Times New Roman" w:cs="Times New Roma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highlight w:val="none"/>
        </w:rPr>
      </w:r>
      <w:r>
        <w:rPr>
          <w:rFonts w:ascii="Times New Roman" w:hAnsi="Times New Roman" w:eastAsia="Times New Roman" w:cs="Times New Roman"/>
          <w:b/>
          <w:color w:val="000000"/>
          <w:sz w:val="32"/>
          <w:highlight w:val="none"/>
        </w:rPr>
      </w:r>
      <w:r/>
    </w:p>
    <w:p>
      <w:pPr>
        <w:ind w:left="0" w:right="0" w:firstLine="0"/>
        <w:spacing w:before="0" w:after="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0" w:after="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0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color w:val="000000"/>
          <w:sz w:val="30"/>
        </w:rPr>
        <w:t xml:space="preserve">：</w:t>
      </w:r>
      <w:r>
        <w:rPr>
          <w:rFonts w:ascii="Times New Roman" w:hAnsi="Times New Roman" w:eastAsia="Times New Roman" w:cs="Times New Roman"/>
          <w:b/>
          <w:color w:val="000000"/>
          <w:sz w:val="30"/>
        </w:rPr>
        <w:t xml:space="preserve">2025</w:t>
      </w:r>
      <w:r>
        <w:rPr>
          <w:rFonts w:ascii="SimSun" w:hAnsi="SimSun" w:eastAsia="SimSun" w:cs="SimSun"/>
          <w:b/>
          <w:color w:val="000000"/>
          <w:sz w:val="30"/>
        </w:rPr>
        <w:t xml:space="preserve">年区域性农业综合服务中心（农技）建设项目</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30"/>
        </w:rPr>
        <w:t xml:space="preserve"> </w:t>
      </w:r>
      <w:r/>
    </w:p>
    <w:p>
      <w:pPr>
        <w:ind w:left="0" w:right="0" w:firstLine="30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Times New Roman" w:hAnsi="Times New Roman" w:eastAsia="Times New Roman" w:cs="Times New Roman"/>
          <w:b/>
          <w:color w:val="000000"/>
          <w:sz w:val="30"/>
        </w:rPr>
        <w:t xml:space="preserve">JSZC-321283-RTZX-G2026-0013</w:t>
      </w:r>
      <w:r/>
    </w:p>
    <w:p>
      <w:pPr>
        <w:ind w:left="0" w:right="0" w:firstLine="723"/>
        <w:jc w:val="center"/>
        <w:spacing w:before="0" w:after="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jc w:val="center"/>
        <w:spacing w:before="0" w:after="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jc w:val="center"/>
        <w:spacing w:before="0" w:after="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jc w:val="center"/>
        <w:spacing w:before="0" w:after="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jc w:val="center"/>
        <w:spacing w:before="0" w:after="0" w:line="5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540"/>
        <w:jc w:val="both"/>
        <w:spacing w:before="0" w:after="0"/>
        <w:rPr>
          <w:rFonts w:ascii="SimSun" w:hAnsi="SimSun" w:eastAsia="SimSun" w:cs="SimSun"/>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
    </w:p>
    <w:p>
      <w:pPr>
        <w:ind w:left="0" w:right="0" w:firstLine="540"/>
        <w:jc w:val="both"/>
        <w:spacing w:before="0" w:after="0"/>
        <w:pBdr>
          <w:top w:val="none" w:color="000000" w:sz="4" w:space="0"/>
          <w:left w:val="none" w:color="000000" w:sz="4" w:space="0"/>
          <w:bottom w:val="none" w:color="000000" w:sz="4" w:space="0"/>
          <w:right w:val="none" w:color="000000" w:sz="4" w:space="0"/>
        </w:pBdr>
      </w:pPr>
      <w:r/>
      <w:r/>
    </w:p>
    <w:p>
      <w:pPr>
        <w:ind w:left="0" w:right="0" w:firstLine="540"/>
        <w:jc w:val="both"/>
        <w:spacing w:before="0" w:after="0"/>
        <w:pBdr>
          <w:top w:val="none" w:color="000000" w:sz="4" w:space="0"/>
          <w:left w:val="none" w:color="000000" w:sz="4" w:space="0"/>
          <w:bottom w:val="none" w:color="000000" w:sz="4" w:space="0"/>
          <w:right w:val="none" w:color="000000" w:sz="4" w:space="0"/>
        </w:pBdr>
      </w:pPr>
      <w:r/>
      <w:r/>
    </w:p>
    <w:p>
      <w:pPr>
        <w:ind w:left="0" w:right="0" w:firstLine="540"/>
        <w:jc w:val="both"/>
        <w:spacing w:before="0" w:after="0"/>
        <w:pBdr>
          <w:top w:val="none" w:color="000000" w:sz="4" w:space="0"/>
          <w:left w:val="none" w:color="000000" w:sz="4" w:space="0"/>
          <w:bottom w:val="none" w:color="000000" w:sz="4" w:space="0"/>
          <w:right w:val="none" w:color="000000" w:sz="4" w:space="0"/>
        </w:pBdr>
      </w:pPr>
      <w:r/>
      <w:r/>
    </w:p>
    <w:p>
      <w:pPr>
        <w:ind w:left="0" w:right="0" w:firstLine="540"/>
        <w:jc w:val="both"/>
        <w:spacing w:before="0" w:after="0"/>
        <w:pBdr>
          <w:top w:val="none" w:color="000000" w:sz="4" w:space="0"/>
          <w:left w:val="none" w:color="000000" w:sz="4" w:space="0"/>
          <w:bottom w:val="none" w:color="000000" w:sz="4" w:space="0"/>
          <w:right w:val="none" w:color="000000" w:sz="4" w:space="0"/>
        </w:pBdr>
      </w:pPr>
      <w:r/>
      <w:r/>
    </w:p>
    <w:p>
      <w:pPr>
        <w:ind w:left="0" w:right="0" w:firstLine="540"/>
        <w:jc w:val="both"/>
        <w:spacing w:before="0" w:after="0"/>
        <w:pBdr>
          <w:top w:val="none" w:color="000000" w:sz="4" w:space="0"/>
          <w:left w:val="none" w:color="000000" w:sz="4" w:space="0"/>
          <w:bottom w:val="none" w:color="000000" w:sz="4" w:space="0"/>
          <w:right w:val="none" w:color="000000" w:sz="4" w:space="0"/>
        </w:pBdr>
      </w:pPr>
      <w:r/>
      <w:r/>
    </w:p>
    <w:p>
      <w:pPr>
        <w:ind w:left="0" w:right="0" w:firstLine="540"/>
        <w:jc w:val="both"/>
        <w:spacing w:before="0" w:after="0"/>
        <w:pBdr>
          <w:top w:val="none" w:color="000000" w:sz="4" w:space="0"/>
          <w:left w:val="none" w:color="000000" w:sz="4" w:space="0"/>
          <w:bottom w:val="none" w:color="000000" w:sz="4" w:space="0"/>
          <w:right w:val="none" w:color="000000" w:sz="4" w:space="0"/>
        </w:pBdr>
      </w:pPr>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none"/>
        </w:rPr>
      </w:r>
      <w:r>
        <w:rPr>
          <w:rFonts w:ascii="SimSun" w:hAnsi="SimSun" w:eastAsia="SimSun" w:cs="SimSun"/>
          <w:color w:val="000000"/>
          <w:sz w:val="36"/>
          <w:highlight w:val="none"/>
        </w:rPr>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泰兴市农业技术推广中心</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江苏润泰工程项目管理咨询有限公司</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二○二六年六月</w:t>
      </w:r>
      <w:r/>
    </w:p>
    <w:p>
      <w:pPr>
        <w:ind w:left="0" w:right="0" w:firstLine="72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项目概况</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2025年区域性农业综合服务中心（农技）建设</w:t>
            </w:r>
            <w:r>
              <w:rPr>
                <w:rFonts w:ascii="SimSun" w:hAnsi="SimSun" w:eastAsia="SimSun" w:cs="SimSun"/>
                <w:color w:val="000000"/>
                <w:sz w:val="28"/>
              </w:rPr>
              <w:t xml:space="preserve">招标项目的潜在投标人应在苏采云获取招标文件，并于</w:t>
            </w:r>
            <w:r>
              <w:rPr>
                <w:rFonts w:ascii="SimSun" w:hAnsi="SimSun" w:eastAsia="SimSun" w:cs="SimSun"/>
                <w:color w:val="000000"/>
                <w:sz w:val="28"/>
                <w:u w:val="single"/>
              </w:rPr>
              <w:t xml:space="preserve">2026-7-2  9:00</w:t>
            </w:r>
            <w:r>
              <w:rPr>
                <w:rFonts w:ascii="SimSun" w:hAnsi="SimSun" w:eastAsia="SimSun" w:cs="SimSun"/>
                <w:color w:val="000000"/>
                <w:sz w:val="28"/>
              </w:rPr>
              <w:t xml:space="preserve">（北京时间）前递交投标文件。</w:t>
            </w:r>
            <w:r/>
          </w:p>
        </w:tc>
      </w:tr>
    </w:tbl>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项目编号：JSZC-321283-RTZX-G2026-0013</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项目名称：2025年区域性农业综合服务中心（农技）建设项目</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预算金额：145万元</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最高限价：145</w:t>
      </w:r>
      <w:r>
        <w:rPr>
          <w:rFonts w:ascii="SimSun" w:hAnsi="SimSun" w:eastAsia="SimSun" w:cs="SimSun"/>
          <w:color w:val="000000"/>
          <w:sz w:val="28"/>
          <w:u w:val="none"/>
        </w:rPr>
        <w:t xml:space="preserve">万元，投标报价不得超过采购预算价，否则作无效标处理。</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采购方式：公开招标</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需求：土壤监测站、农业小环境气象监测站、农情、苗情监测站、显示屏、小虫体智能测报灯、农业遥感无人机、5G智能无人巡田眼、农产品快检设备、无人机智能巡田飞控分析软件服务等建设、开发、采购、安装、调试、人员培训、售后服务等。具体内容详见招标文件。</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合同履行期限：合同签订后30日历天交付使用。</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本项目（是/否）接受联合体投标：不接受。</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（一）满足《中华人民共和国政府采购法》第二十二条规定；</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基本资格条件的承诺（根据投标人提供的承诺函，内容完整且具有法人及法定代表人的印章）。</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（二）落实政府采购政策需满足的资格要求：本项目为非专门面向中小企业的项目。</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（三）本项目的特定资格要求：</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次招标的核心产品是农业遥感无人机（含机巢及数据分析管理系统），投标人须至少具有核心产品的供货业绩（时间为自2023年1月1日以来。以合同签订时间为准，提供合同扫描件，若合同中不能体现产品名称，须提供辅助证明材料）；</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（2）所有监测数据要能够上传苏农云及招标人指定的相关系统（提供承诺函并加盖投标人公章）。</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时间：2026-6-12－2026-6-18，每天上午00:00-12:00,下午12:00-23:59 （北京时间，法定节假日除外） </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地点：苏采云</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方式：线上获取</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售价：0.00元</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时间：2026-7-2   9:00 （北京时间）</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地点：苏采云。</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自本公告发布之日起5个工作日。</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1.投标保证金：无。</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2.公告发布媒介：江苏政府采购网（www.ccgp-jiangsu.gov.cn）</w:t>
      </w:r>
      <w:r/>
    </w:p>
    <w:p>
      <w:pPr>
        <w:ind w:left="0" w:right="0" w:firstLine="562"/>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 注意事项：</w:t>
      </w:r>
      <w:r/>
    </w:p>
    <w:p>
      <w:pPr>
        <w:ind w:left="0" w:right="0" w:firstLine="562"/>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left="0" w:right="0" w:firstLine="562"/>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left="0" w:right="0" w:firstLine="562"/>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（3）有关本次招标的事项若存在变动或修改，敬请及时关注“江苏政府采购网”发布的更正公告。</w:t>
      </w:r>
      <w:r/>
    </w:p>
    <w:p>
      <w:pPr>
        <w:ind w:left="0" w:right="0" w:firstLine="562"/>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如潜在投标人未按上述要求操作，将自行承担所产生的风险。</w:t>
      </w:r>
      <w:r/>
    </w:p>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七、对本次招标提出询问，请按以下方式联系。</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1.招标人信息</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招标人：</w:t>
      </w:r>
      <w:r>
        <w:rPr>
          <w:rFonts w:ascii="SimSun" w:hAnsi="SimSun" w:eastAsia="SimSun" w:cs="SimSun"/>
          <w:color w:val="000000"/>
          <w:sz w:val="28"/>
          <w:u w:val="single"/>
        </w:rPr>
        <w:t xml:space="preserve">泰兴市农业技术推广中心</w:t>
      </w:r>
      <w:r/>
    </w:p>
    <w:p>
      <w:pPr>
        <w:ind w:left="1580" w:right="0" w:hanging="9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 址：</w:t>
      </w:r>
      <w:r>
        <w:rPr>
          <w:rFonts w:ascii="SimSun" w:hAnsi="SimSun" w:eastAsia="SimSun" w:cs="SimSun"/>
          <w:color w:val="000000"/>
          <w:sz w:val="28"/>
          <w:u w:val="single"/>
        </w:rPr>
        <w:t xml:space="preserve">泰兴市板桥路159号</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联系方式：</w:t>
      </w:r>
      <w:r>
        <w:rPr>
          <w:rFonts w:ascii="SimSun" w:hAnsi="SimSun" w:eastAsia="SimSun" w:cs="SimSun"/>
          <w:color w:val="000000"/>
          <w:sz w:val="28"/>
          <w:u w:val="single"/>
        </w:rPr>
        <w:t xml:space="preserve">0523-82060413</w:t>
      </w:r>
      <w:r/>
    </w:p>
    <w:p>
      <w:pPr>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2.采购代理机构信息</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 称：</w:t>
      </w:r>
      <w:r>
        <w:rPr>
          <w:rFonts w:ascii="SimSun" w:hAnsi="SimSun" w:eastAsia="SimSun" w:cs="SimSun"/>
          <w:color w:val="000000"/>
          <w:sz w:val="28"/>
          <w:u w:val="single"/>
        </w:rPr>
        <w:t xml:space="preserve">江苏润泰工程项目管理咨询有限公司</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　址：</w:t>
      </w:r>
      <w:r>
        <w:rPr>
          <w:rFonts w:ascii="SimSun" w:hAnsi="SimSun" w:eastAsia="SimSun" w:cs="SimSun"/>
          <w:color w:val="000000"/>
          <w:sz w:val="28"/>
          <w:u w:val="single"/>
        </w:rPr>
        <w:t xml:space="preserve">泰兴市科政路39号</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联系方式：</w:t>
      </w:r>
      <w:r>
        <w:rPr>
          <w:rFonts w:ascii="SimSun" w:hAnsi="SimSun" w:eastAsia="SimSun" w:cs="SimSun"/>
          <w:color w:val="000000"/>
          <w:sz w:val="28"/>
          <w:u w:val="single"/>
        </w:rPr>
        <w:t xml:space="preserve">0523-87723388</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4.项目联系方式</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项目联系人：</w:t>
      </w:r>
      <w:r>
        <w:rPr>
          <w:rFonts w:ascii="SimSun" w:hAnsi="SimSun" w:eastAsia="SimSun" w:cs="SimSun"/>
          <w:color w:val="000000"/>
          <w:sz w:val="28"/>
          <w:u w:val="single"/>
        </w:rPr>
        <w:t xml:space="preserve">泰兴市农业技术推广中心  殷先生</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　话：</w:t>
      </w:r>
      <w:r>
        <w:rPr>
          <w:rFonts w:ascii="SimSun" w:hAnsi="SimSun" w:eastAsia="SimSun" w:cs="SimSun"/>
          <w:color w:val="000000"/>
          <w:sz w:val="28"/>
          <w:u w:val="single"/>
        </w:rPr>
        <w:t xml:space="preserve">0523-82060413</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项目联系人：</w:t>
      </w:r>
      <w:r>
        <w:rPr>
          <w:rFonts w:ascii="SimSun" w:hAnsi="SimSun" w:eastAsia="SimSun" w:cs="SimSun"/>
          <w:color w:val="000000"/>
          <w:sz w:val="28"/>
          <w:u w:val="single"/>
        </w:rPr>
        <w:t xml:space="preserve">江苏润泰工程项目管理咨询有限公司 杨云  成洁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第二章投标人须知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投标人须知前附表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8"/>
        <w:gridCol w:w="2261"/>
        <w:gridCol w:w="35"/>
        <w:gridCol w:w="5630"/>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条款号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编列内容</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详见招标公告</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详见招标公告</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项目名称及</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详见招标公告</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合同签订后支付合同价的30%，验收合格交付使用后付至合同价的90%，余款三年后付清（所有款项均不计利息）。</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详见第四章采购需求</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详见招标公告</w:t>
            </w:r>
            <w:r/>
          </w:p>
        </w:tc>
      </w:tr>
      <w:tr>
        <w:trPr>
          <w:trHeight w:val="7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要求投标人具备的特定资格要求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详见招标公告</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根据本项目评标办法自行考虑。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构成招标文件的其他材料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投标人要求澄清招标文件的截止时间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2026</w:t>
            </w: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22</w:t>
            </w:r>
            <w:r>
              <w:rPr>
                <w:rFonts w:ascii="SimSun" w:hAnsi="SimSun" w:eastAsia="SimSun" w:cs="SimSun"/>
                <w:color w:val="000000"/>
                <w:sz w:val="28"/>
              </w:rPr>
              <w:t xml:space="preserve">日</w:t>
            </w:r>
            <w:r>
              <w:rPr>
                <w:rFonts w:ascii="Times New Roman" w:hAnsi="Times New Roman" w:eastAsia="Times New Roman" w:cs="Times New Roman"/>
                <w:color w:val="000000"/>
                <w:sz w:val="28"/>
              </w:rPr>
              <w:t xml:space="preserve">17</w:t>
            </w:r>
            <w:r>
              <w:rPr>
                <w:rFonts w:ascii="SimSun" w:hAnsi="SimSun" w:eastAsia="SimSun" w:cs="SimSun"/>
                <w:color w:val="000000"/>
                <w:sz w:val="28"/>
              </w:rPr>
              <w:t xml:space="preserve">时</w:t>
            </w:r>
            <w:r>
              <w:rPr>
                <w:rFonts w:ascii="Times New Roman" w:hAnsi="Times New Roman" w:eastAsia="Times New Roman" w:cs="Times New Roman"/>
                <w:color w:val="000000"/>
                <w:sz w:val="28"/>
              </w:rPr>
              <w:t xml:space="preserve">30</w:t>
            </w:r>
            <w:r>
              <w:rPr>
                <w:rFonts w:ascii="SimSun" w:hAnsi="SimSun" w:eastAsia="SimSun" w:cs="SimSun"/>
                <w:color w:val="000000"/>
                <w:sz w:val="28"/>
              </w:rPr>
              <w:t xml:space="preserve">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（1）开标一览表；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（3）中小企业声明函（如有）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（4）关于符合本国产品标准的声明函（如有）；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（5）投标报价明细表及分析说明；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（6）资格性审查和符合性评审文件；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（7）采购需求响应表；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（8）对照第三章评标办法，认为应列入投标文件的其他材料。</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60天</w:t>
            </w:r>
            <w:r/>
          </w:p>
        </w:tc>
      </w:tr>
      <w:tr>
        <w:trPr>
          <w:trHeight w:val="9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电子投标文件壹份。中标人提供两份与电子投标文件完全一致的纸质投标文件。</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投标文件的签署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投标函、投标人基本资格条件承诺函中须加盖投标人法人章并经法定代表人签字或签章。</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开标时间：同投标截止时间</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开标地点：“苏采云”系统“开标大厅”</w:t>
            </w:r>
            <w:r/>
          </w:p>
        </w:tc>
      </w:tr>
      <w:tr>
        <w:trPr>
          <w:trHeight w:val="10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投标人参与开标要求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开标活动将在招标公告中规定的时间和地点进行。投标人应当按照</w:t>
            </w:r>
            <w:r>
              <w:rPr>
                <w:rFonts w:ascii="SimSun" w:hAnsi="SimSun" w:eastAsia="SimSun" w:cs="SimSun"/>
                <w:b/>
                <w:color w:val="000000"/>
                <w:sz w:val="28"/>
              </w:rPr>
              <w:t xml:space="preserve">《江苏省政府采购管理交易系统（苏采云）投标人操作手册》</w:t>
            </w:r>
            <w:r>
              <w:rPr>
                <w:rFonts w:ascii="SimSun" w:hAnsi="SimSun" w:eastAsia="SimSun" w:cs="SimSun"/>
                <w:color w:val="000000"/>
                <w:sz w:val="28"/>
              </w:rPr>
              <w:t xml:space="preserve">规定，参加开标活动。</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评标委员会人数：</w:t>
            </w:r>
            <w:r>
              <w:rPr>
                <w:rFonts w:ascii="SimSun" w:hAnsi="SimSun" w:eastAsia="SimSun" w:cs="SimSun"/>
                <w:color w:val="000000"/>
                <w:sz w:val="28"/>
                <w:u w:val="single"/>
              </w:rPr>
              <w:t xml:space="preserve">  5  </w:t>
            </w:r>
            <w:r>
              <w:rPr>
                <w:rFonts w:ascii="SimSun" w:hAnsi="SimSun" w:eastAsia="SimSun" w:cs="SimSun"/>
                <w:color w:val="000000"/>
                <w:sz w:val="28"/>
              </w:rPr>
              <w:t xml:space="preserve">人（含）以上单数。</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中标公告媒介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江苏政府采购网（www.ccgp-jiangsu.gov.cn）</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150" w:after="15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（1）形式：中标单位需提供由金融机构、担保机构出具的保函。</w:t>
            </w:r>
            <w:r/>
          </w:p>
          <w:p>
            <w:pPr>
              <w:ind w:left="0" w:right="0" w:firstLine="0"/>
              <w:spacing w:before="150" w:after="15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（2）金额：合同价的10%</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（3）缴纳时间：在确定成交投标人之后，签订采购合同前。</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签订合同的</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时间要求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自中标通知书发出之日起</w:t>
            </w:r>
            <w:r>
              <w:rPr>
                <w:rFonts w:ascii="SimSun" w:hAnsi="SimSun" w:eastAsia="SimSun" w:cs="SimSun"/>
                <w:color w:val="000000"/>
                <w:sz w:val="28"/>
                <w:u w:val="single"/>
              </w:rPr>
              <w:t xml:space="preserve">30</w:t>
            </w:r>
            <w:r>
              <w:rPr>
                <w:rFonts w:ascii="SimSun" w:hAnsi="SimSun" w:eastAsia="SimSun" w:cs="SimSun"/>
                <w:color w:val="000000"/>
                <w:sz w:val="28"/>
              </w:rPr>
              <w:t xml:space="preserve">天内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需要补充的其他内容</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质疑和投诉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按照《政府采购质疑和投诉办法》（财政部第94号令）处理</w:t>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招标文件的解释</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由招标人负责</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落实政府采购政策</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4" w:type="dxa"/>
            <w:vAlign w:val="top"/>
            <w:textDirection w:val="lrTb"/>
            <w:noWrap w:val="false"/>
          </w:tcPr>
          <w:p>
            <w:pPr>
              <w:numPr>
                <w:ilvl w:val="0"/>
                <w:numId w:val="1"/>
              </w:numPr>
              <w:spacing w:before="0" w:after="0" w:line="38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政府采购促进中小企业发展管理办法》（财库【2020】46号）规定，对小型和微型生产企业生产的产品或承接的服务价格给予10%的扣除，用扣除后的价格参与评审。投标人应当提供《中小企业声明函》（格式见附件）</w:t>
            </w:r>
            <w:r/>
          </w:p>
          <w:p>
            <w:pPr>
              <w:numPr>
                <w:ilvl w:val="0"/>
                <w:numId w:val="1"/>
              </w:numPr>
              <w:spacing w:before="0" w:after="0" w:line="38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国务院办公厅关于在政府采购中实施本国产品标准及相关政策的通知》（国办发[2025]34号）规定，对本国产品的报价给予20%的价格扣除，用扣除后的价格参与评审。投标人应当提供《关于符合本国产品标准的声明函》（格式见附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投标报价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1.投标人应仔细阅读和充分理解招标文件的采购需求和合同主要条款，根据自身实际情况并综合考虑合同履行过程中的各类风险，理性报价。</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2.异常的低价可能会导致投标无效。</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核心产品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农业遥感无人机（含机巢及数据分析管理系统）</w:t>
            </w:r>
            <w:r/>
          </w:p>
        </w:tc>
      </w:tr>
      <w:tr>
        <w:trPr>
          <w:trHeight w:val="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标的所属行业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工业。</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补充条款</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9.7.1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5"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本项目招标代理服务费按照苏政采协[2024]20号文件规定的80%计算，由中标人在领取中标通知书前支付给招标代理机构，招标人不另外支付。</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9.7.2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5"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评标办法中要求上传的视频文件大小须满足开评标系统的要求。单个视频附件压缩包大小不得超过50M，整体附件压缩包不得超过300M，压缩包文件格式为zip格式。建议提前测试或咨询软件公司。</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9.7.3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5"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人须在领取中标通知书后10天内提交以下设备的原厂质保函：5G智能无人巡田眼、农业遥感无人机（含机巢）、智能虫情测报灯（小虫体）。若未按要求提供，招标人有权取消其中标资格，按中标候选人的顺序重新确定中标人或重新组织招投标。</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7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6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630" w:type="dxa"/>
            <w:vAlign w:val="center"/>
            <w:textDirection w:val="lrTb"/>
            <w:noWrap w:val="false"/>
          </w:tcPr>
          <w:p>
            <w:pPr>
              <w:spacing w:before="0" w:after="0" w:line="57" w:lineRule="atLeast"/>
            </w:pPr>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1.总则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 项目概况</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1.1.1根据《中华人民共和国政府采购法》、《中华人民共和国政府采购法实施条例》等有关法律、法规和规章的规定，本采购项目已具备采购条件，现对本项目进行公开招标。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1.1.2 招标人：见投标人须知前附表。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1.1.3 采购代理机构：见投标人须知前附表。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1.1.4 项目名称及项目编号：见投标人须知前附表。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1.2付款方式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1.2.1付款方式：见投标人须知前附表。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 采购范围与合同履行期限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1.3.1 采购范围：见投标人须知前附表。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1.3.2 合同履行期限：见投标人须知前附表。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 投标人资格要求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1.4.1 投标人参加政府采购活动应当具备下列条件：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（4）有依法缴纳税收和社会保障资金的良好记录；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（5）参加政府采购活动前三年内，在经营活动中没有重大违法记录，无贿赂工作人员等违法记录；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（6）法律、行政法规规定的其他条件。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1.4.2根据采购项目特殊要求，要求投标人具备的特定资格要求：见投</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标人须知前附表。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1.4.3投标人不得存在下列情形之一：</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（l）与招标人或采购代理机构存在隶属关系或者其他利害关系；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（2）为采购项目提供了整体设计、规范编制或者项目管理、监理、检测等服务；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（3）单位负责人为同一人或者存在直接控股、管理关系的不同投标人，参加同一合同项下的政府采购活动。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（4）法律、行政法规规定的其他条件。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1.5费用承担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无论采购结果如何，投标人为准备和参加投标活动发生的费用自理。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1.6语言文字</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招投标文件使用的语言文字为中文。专用术语使用外文的，应附有中文注释。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1.7计量单位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所有计量均采用中华人民共和国法定计量单位。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1.8偏离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1.8.1偏离是指投标文件中的内容与招标文件中规定的技术参数、标准、服务要求等不一致的情形。优于招标文件规定的技术参数、标准、服务要求的为正偏离，反之为负偏离。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1.8.2偏离的具体要求见投标人须知前附表。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 招标文件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 招标文件的组成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2.1.1 本招标文件包括：</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（1）招标公告；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（2）投标人须知；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（3）评标办法；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（4）采购需求；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（5）投标文件的编制要求及参考格式；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（6）投标人须知前附表规定的构成招标文件的其他材料；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（7）合同条款及格式。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2.1.2根据本章第2.2款和第2.3款对招标文件所作的澄清、修改，构成招标文件的组成部分。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 招标文件的澄清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 招标文件的修改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2.4招标文件的重新发布</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招标文件的澄清或修改涉及到申请人的资格条件、评标办法、采购需求等实质性内容时，将重新发布招标公告。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3. 投标文件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3.1投标文件的组成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投标文件的组成：见投标人须知前附表。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3.2投标报价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3.2.1 投标人应按招标文件规定的供货及服务要求、责任范围和合同条件，以人民币进行报价。报价应包括但不限于：所投货物和服务、辅材（含专用工具）、软件开发、运用、维护、知识产权、税金、运输、装卸、保险、检测验收、人员培训、安装调试、交付后质保等所有费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3.2.2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3.2.3投标人对每种货物及服务只允许有一个报价，不接受选择性报价，否则，在评标时将其视为无效投标。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3.2.4投标人的投标报价不得超过采购项目最高限价。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3.2.5投标文件中标明的价格在合同执行过程中是固定不变的，不得以任何理由予以变更。任何包含价格调整要求和条件的投标，在评标时将其视为无效投标。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3.3投标有效期</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3.3.1在投标人须知前附表规定的投标有效期内，投标人不得要求撤销或修改其投标文件。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3.3.2出现特殊情况需要延长投标有效期的，招标人将以书面形式通知投标人。投标人拒绝延长投标有效期的，其投标失效。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3.4投标文件的编制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3.4.1投标人可以按照第五章“投标文件的编制要求及参考格式”要求编制投标文件。需另行增加的相关内容和材料应编入投标文件相应章节，作为投标文件的组成部分。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3.4.2投标人应对招标文件中的资格要求、合同履行期限、投标有效期、技术、服务标准和要求等实质性内容作出响应，并根据评审因素提供相应的证明材料。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3.4.3 投标文件的数量：见投标人须知前附表。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3.4.4投标文件的签署：见投标人须知前附表。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4.投标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4.1投标文件的上传</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4.2投标文件的修改与撤回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4.2.1在投标截止时间前，投标人可以修改或撤回已递交的投标文件。具体操作方法见《江苏省政府采购管理交易系统（苏采云）投标人操作手册》。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4.2.2修改的投标文件应按照本招标文件规定进行编制和重新上传。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4.3投标文件的确认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投标人可以通过江苏省政府采购管理交易系统（苏采云）多次上传投标文件，以招标文件规定的投标截止时间前，江苏省政府采购管理交易系统（苏采云）接受到的最后一份投标文件为准。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5. 开标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5.1 开标时间和地点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5.1.1开标时间和地点：见投标人须知前附表。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5.1.2开标活动在江苏政府采购“苏采云”系统“开标大厅”内公开进行，投标人应当按照《江苏省政府采购管理交易系统（苏采云）投标人操作手册》规定，参加开标活动。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5.2 不见面开标程序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（1）系统登录。投标人应在投标截止时间前登录开标大厅。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（2）投标人解密投标文件。按照系统内提示，在规定的时间内完成投标文件的解密。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（3）唱标。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（4）开标记录确认。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（5）开标结束。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5.3特殊情况的处置</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5.3.1在投标截止时间后，开标系统出现下列情况之一时，项目未开标的，暂停开标活动；正在开标的，立即暂停开标，待系统恢复正常后再组织开标。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（1）系统服务器发生故障，无法访问或无法使用系统；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（2）系统的软件或数据库出现错误，不能进行正常操作；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（3）系统发现有安全漏洞，有潜在的泄密危险；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（4）其他无法保证招投标过程公平和信息安全的情形。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5.3.2因投标人自身原因造成投标文件无法解密的，视为撤销投标文件。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5.3.3投标人对开标过程和开标记录有疑义的，可向招标人或者采购代理机构提出。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5.3.4投标人未在开标系统中确认开标结果的，视同认可开标结果。</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6. 评标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6.1 评标委员会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6.1.1评标由招标人依法组建的评标委员会负责。评标委员会由招标人代表，以及有关技术、经济等方面的专家组成。具体人数见投标人须知前附表。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6.1.2评标委员会成员有下列情形之一的，应当回避：</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（1）参加采购活动前三年内,与投标人存在劳动关系,或者担任过投标人的董事、监事,或者是投标人的控股股东或实际控制人；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（2）与投标人的法定代表人或者负责人有夫妻、直系血亲、三代以内旁系血亲或者近姻亲关系；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（3）与投标人有其他可能影响政府采购活动公平、公正进行的关系；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（4）法律、行政法规规定的其他条件。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6.2 评标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评标活动遵循公正、客观、审慎的原则。评标委员会严格按照第三章“评标办法”规定的评标方法、评标程序和评标标准进行独立评审。第三章“评标办法”没有规定的评标标准，不得作为评标依据。</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7.中标</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7.1确定中标人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7.1.1自收到评标报告之日起５个工作日内，在评标报告确定的中标候选人名单中按顺序确定中标人。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（1）因不可抗力或者自身原因不能履行合同的；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（2）经过财政部门处理投诉举报、监督检查，认定中标无效的；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（3）拒绝与招标人签订合同的。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7.2中标公告及中标通知书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7.2.1自中标人确定之日起2个工作日内，在投标人须知前附表规定的媒介上公告中标结果，公告期限为1个工作日。</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7.2.2在公告中标结果的同时，向中标人发出中标通知书。中标通知书对招标人和中标人具有同等法律效力。</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8.合同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8.1 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8.1.1中标人应按投标人须知前附表规定的履约保证金的形式、金额和提交时间向招标人提交履约保证金。</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8.1.2中标人不能按本招标文件要求提交履约保证金的，视为放弃中标，给招标人造成损失的，中标人还应当予以赔偿。</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8.2签订合同</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9. 需要补充的其他内容</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需要补充的其他内容：见投标人须知前附表。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2" w:right="0" w:firstLine="643"/>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第三章 资格审查及评标办法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资格审查和评标办法前附表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572"/>
        <w:gridCol w:w="293"/>
        <w:gridCol w:w="2522"/>
        <w:gridCol w:w="5328"/>
      </w:tblGrid>
      <w:tr>
        <w:trPr>
          <w:trHeight w:val="484"/>
        </w:trPr>
        <w:tc>
          <w:tcPr>
            <w:gridSpan w:val="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条款号</w:t>
            </w:r>
            <w:r/>
          </w:p>
        </w:tc>
        <w:tc>
          <w:tcPr>
            <w:gridSpan w:val="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63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605"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1.2</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5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tc>
        <w:tc>
          <w:tcPr>
            <w:gridSpan w:val="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1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基本资格条件的承诺</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根据投标人提供的承诺函，内容完整且具有法人及法定代表人的印章。（内容及格式参照第五章）</w:t>
            </w:r>
            <w:r/>
          </w:p>
        </w:tc>
      </w:tr>
      <w:tr>
        <w:trPr>
          <w:trHeight w:val="587"/>
        </w:trPr>
        <w:tc>
          <w:tcPr>
            <w:vMerge w:val="continue"/>
            <w:textDirection w:val="lrTb"/>
            <w:noWrap w:val="false"/>
          </w:tcPr>
          <w:p>
            <w:r/>
            <w:r/>
          </w:p>
        </w:tc>
        <w:tc>
          <w:tcPr>
            <w:vMerge w:val="continue"/>
            <w:textDirection w:val="lrTb"/>
            <w:noWrap w:val="false"/>
          </w:tcPr>
          <w:p>
            <w:r/>
            <w:r/>
          </w:p>
        </w:tc>
        <w:tc>
          <w:tcPr>
            <w:gridSpan w:val="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1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招标人根据本项目特点，要求投标人具备的条件</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8"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见招标公告</w:t>
            </w:r>
            <w:r/>
          </w:p>
        </w:tc>
      </w:tr>
      <w:tr>
        <w:trPr>
          <w:trHeight w:val="308"/>
        </w:trPr>
        <w:tc>
          <w:tcPr>
            <w:gridSpan w:val="5"/>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31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4"/>
              </w:rPr>
              <w:t xml:space="preserve">1.2项评审内容由招标人负责，投标文件不符合1.2项评审标准的，作无效标处理。</w:t>
            </w:r>
            <w:r/>
          </w:p>
        </w:tc>
      </w:tr>
      <w:tr>
        <w:trPr>
          <w:trHeight w:val="46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05"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2.2.2</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w:t>
            </w:r>
            <w:r/>
          </w:p>
        </w:tc>
        <w:tc>
          <w:tcPr>
            <w:gridSpan w:val="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15"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投标文件的签署</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8"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符合第二章第3.4.4项规定</w:t>
            </w:r>
            <w:r/>
          </w:p>
        </w:tc>
      </w:tr>
      <w:tr>
        <w:trPr>
          <w:trHeight w:val="460"/>
        </w:trPr>
        <w:tc>
          <w:tcPr>
            <w:vMerge w:val="continue"/>
            <w:textDirection w:val="lrTb"/>
            <w:noWrap w:val="false"/>
          </w:tcPr>
          <w:p>
            <w:r/>
            <w:r/>
          </w:p>
        </w:tc>
        <w:tc>
          <w:tcPr>
            <w:vMerge w:val="continue"/>
            <w:textDirection w:val="lrTb"/>
            <w:noWrap w:val="false"/>
          </w:tcPr>
          <w:p>
            <w:r/>
            <w:r/>
          </w:p>
        </w:tc>
        <w:tc>
          <w:tcPr>
            <w:gridSpan w:val="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15"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有且只有一个有效报价；未超过采购预算或最高限价；</w:t>
            </w:r>
            <w:r/>
          </w:p>
        </w:tc>
      </w:tr>
      <w:tr>
        <w:trPr>
          <w:trHeight w:val="460"/>
        </w:trPr>
        <w:tc>
          <w:tcPr>
            <w:vMerge w:val="continue"/>
            <w:textDirection w:val="lrTb"/>
            <w:noWrap w:val="false"/>
          </w:tcPr>
          <w:p>
            <w:r/>
            <w:r/>
          </w:p>
        </w:tc>
        <w:tc>
          <w:tcPr>
            <w:vMerge w:val="continue"/>
            <w:textDirection w:val="lrTb"/>
            <w:noWrap w:val="false"/>
          </w:tcPr>
          <w:p>
            <w:r/>
            <w:r/>
          </w:p>
        </w:tc>
        <w:tc>
          <w:tcPr>
            <w:gridSpan w:val="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15"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8"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符合第二章第1.3.2项规定</w:t>
            </w:r>
            <w:r/>
          </w:p>
        </w:tc>
      </w:tr>
      <w:tr>
        <w:trPr>
          <w:trHeight w:val="410"/>
        </w:trPr>
        <w:tc>
          <w:tcPr>
            <w:vMerge w:val="continue"/>
            <w:textDirection w:val="lrTb"/>
            <w:noWrap w:val="false"/>
          </w:tcPr>
          <w:p>
            <w:r/>
            <w:r/>
          </w:p>
        </w:tc>
        <w:tc>
          <w:tcPr>
            <w:vMerge w:val="continue"/>
            <w:textDirection w:val="lrTb"/>
            <w:noWrap w:val="false"/>
          </w:tcPr>
          <w:p>
            <w:r/>
            <w:r/>
          </w:p>
        </w:tc>
        <w:tc>
          <w:tcPr>
            <w:gridSpan w:val="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15"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8"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符合第二章第3.3.1项规定</w:t>
            </w:r>
            <w:r/>
          </w:p>
        </w:tc>
      </w:tr>
      <w:tr>
        <w:trPr>
          <w:trHeight w:val="346"/>
        </w:trPr>
        <w:tc>
          <w:tcPr>
            <w:vMerge w:val="continue"/>
            <w:textDirection w:val="lrTb"/>
            <w:noWrap w:val="false"/>
          </w:tcPr>
          <w:p>
            <w:r/>
            <w:r/>
          </w:p>
        </w:tc>
        <w:tc>
          <w:tcPr>
            <w:vMerge w:val="continue"/>
            <w:textDirection w:val="lrTb"/>
            <w:noWrap w:val="false"/>
          </w:tcPr>
          <w:p>
            <w:r/>
            <w:r/>
          </w:p>
        </w:tc>
        <w:tc>
          <w:tcPr>
            <w:gridSpan w:val="2"/>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15"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8" w:type="dxa"/>
            <w:vAlign w:val="center"/>
            <w:textDirection w:val="lrTb"/>
            <w:noWrap w:val="false"/>
          </w:tcPr>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符合第二章“投标人须知”第1.8项规定</w:t>
            </w:r>
            <w:r/>
          </w:p>
        </w:tc>
      </w:tr>
      <w:tr>
        <w:trPr>
          <w:trHeight w:val="378"/>
        </w:trPr>
        <w:tc>
          <w:tcPr>
            <w:gridSpan w:val="5"/>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31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4"/>
              </w:rPr>
              <w:t xml:space="preserve">2.2.2项评审内容由评标委员会负责，投标文件不符合2.2.2项评审标准的，作无效标处理。</w:t>
            </w:r>
            <w:r/>
          </w:p>
        </w:tc>
      </w:tr>
      <w:tr>
        <w:trPr>
          <w:trHeight w:val="276"/>
        </w:trPr>
        <w:tc>
          <w:tcPr>
            <w:gridSpan w:val="5"/>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31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2.3详细评审</w:t>
            </w:r>
            <w:r/>
          </w:p>
        </w:tc>
      </w:tr>
      <w:tr>
        <w:trPr>
          <w:trHeight w:val="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p>
            <w:pPr>
              <w:ind w:left="0" w:right="0" w:firstLine="2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及权重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0" w:type="dxa"/>
            <w:vAlign w:val="center"/>
            <w:textDirection w:val="lrTb"/>
            <w:noWrap w:val="false"/>
          </w:tcPr>
          <w:p>
            <w:pPr>
              <w:ind w:left="0" w:right="0" w:firstLine="28"/>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5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9" w:type="dxa"/>
            <w:vAlign w:val="center"/>
            <w:textDirection w:val="lrTb"/>
            <w:noWrap w:val="false"/>
          </w:tcPr>
          <w:p>
            <w:pPr>
              <w:ind w:left="0" w:right="0" w:firstLine="28"/>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报价部分（30分）</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28"/>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价格分统一采用低价优先法计算，即满足招标文件要求且投标价格最低的投标报价为评标基准价，其价格分为满分，其他招标人的价格分统一按照下列公式计算：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投标报价得分＝（评标基准价/投标报价）×30分。</w:t>
            </w:r>
            <w:r/>
          </w:p>
        </w:tc>
      </w:tr>
      <w:tr>
        <w:trPr>
          <w:trHeight w:val="27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9" w:type="dxa"/>
            <w:vAlign w:val="center"/>
            <w:textDirection w:val="lrTb"/>
            <w:noWrap w:val="false"/>
          </w:tcPr>
          <w:p>
            <w:pPr>
              <w:ind w:left="0" w:right="0" w:firstLine="28"/>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商务部分（23分）</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企业实力（16分）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0" w:type="dxa"/>
            <w:vAlign w:val="center"/>
            <w:textDirection w:val="lrTb"/>
            <w:noWrap w:val="false"/>
          </w:tcPr>
          <w:p>
            <w:pPr>
              <w:numPr>
                <w:ilvl w:val="0"/>
                <w:numId w:val="2"/>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投标人具有有效期内的质量管理、环境管理、职业健康安全管理认证证书，每具有一个证书得1分，最高得3分。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2、投标人具有有效的售后服务认证证书（认证范围须包含信息系统集成运维服务），得1分。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3、投标人具有农业无人机作业管控类（农业无人机作业、航线规划、指挥调度、飞控数据分析、智能巡田管理领域等与本项目建设内容相关）软件著作权登记证书，得1分。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4、投标人具有农业物联网与视频智能应用类（农业物联网数据管理、视频智能分析、数据存储传输、智能设备监控领域等与本项目建设内容相关）软件著作权登记证书，得1分。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5、投标人具有农业综合管理与生产服务类（农业生产管理、农技服务、农产品管控、农业供应链管理领域等与本项目建设内容相关）软件著作权登记证书，得1分。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6、投标人自2023年1月1日以来（以合同签订时间为准）承接过农业综合服务中心建设项目或智慧农业类项目的，有1个得3分，最高得9分。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注：序号1-5须提供证书原件扫描件，否则不得分。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序号6须提供中标（成交）通知书和合同的原件扫描件，否则不得分。</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服务团队实力</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1、项目负责人能力比较（2分）：具有信息系统项目管理师、电子信息类高级（含）以上职称的，每提供一个得1分，最高得2分。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部组成人员能力比较（5分）：具有网络工程师、软件设计师、软件测试工程师、信息安全保障人员、弱电系统工程师、弱电系统集成项目经理、售后服务管理师、IT运维服务工程师的，每提供一个得1分，最高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注：以上所有人员不得相互兼任，同一人员有多个证书的仅计算一次。须提供相关人员证书及近三个月内任意一个月在投标单位参保的社保缴费证明原件扫描件。</w:t>
            </w:r>
            <w:r/>
          </w:p>
        </w:tc>
      </w:tr>
      <w:tr>
        <w:trPr>
          <w:trHeight w:val="51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9" w:type="dxa"/>
            <w:vAlign w:val="center"/>
            <w:textDirection w:val="lrTb"/>
            <w:noWrap w:val="false"/>
          </w:tcPr>
          <w:p>
            <w:pPr>
              <w:ind w:left="0" w:right="0" w:firstLine="28"/>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技术部分（47分）</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根据投标单位所投产品的技术参数与招标文件要求比较，完全响应招标文件要求（即未偏离或正偏离）的得15分；标“▲”技术参数存在负偏离的，每有一项扣0.5分；其他标准和要求存在负偏离的，每有一项扣 0.2分。扣完为止。（要求提供检测报告的，出具检测报告的单位必须能够在国家市场监督管理总局网站全国认证认可信息公共服务平台可查询，并提供相关截图，否则视为负偏离。）</w:t>
            </w:r>
            <w:r/>
          </w:p>
        </w:tc>
      </w:tr>
      <w:tr>
        <w:trPr>
          <w:trHeight w:val="511"/>
        </w:trPr>
        <w:tc>
          <w:tcPr>
            <w:tcBorders>
              <w:top w:val="none" w:color="000000" w:sz="4" w:space="0"/>
              <w:left w:val="single" w:color="000000" w:sz="8" w:space="0"/>
              <w:bottom w:val="single" w:color="000000" w:sz="36" w:space="0"/>
              <w:right w:val="single" w:color="000000" w:sz="8" w:space="0"/>
            </w:tcBorders>
            <w:tcMar>
              <w:left w:w="108" w:type="dxa"/>
              <w:top w:w="0" w:type="dxa"/>
              <w:right w:w="108" w:type="dxa"/>
              <w:bottom w:w="0" w:type="dxa"/>
            </w:tcMar>
            <w:tcW w:w="605"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36" w:space="0"/>
              <w:right w:val="single" w:color="000000" w:sz="8" w:space="0"/>
            </w:tcBorders>
            <w:tcMar>
              <w:left w:w="108" w:type="dxa"/>
              <w:top w:w="0" w:type="dxa"/>
              <w:right w:w="108" w:type="dxa"/>
              <w:bottom w:w="0" w:type="dxa"/>
            </w:tcMar>
            <w:tcW w:w="865"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实施方案（32分）</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投标单位根据项目需求情况提供完善的项目技术方案，包括：项目概况、需求分析、技术路线、建设目标、建设思路、建设内容、对作物病虫害监测分析、农技指导服务。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方案内容全面、科学合理、可行性强的，得7分；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方案内容较全面、较为科学合理、可行性较强的，得5分；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方案内容不够全面、科学性合理性、可行性一般的，得2分；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未提供或者内容不全面、不合理的不得分。</w:t>
            </w:r>
            <w:r/>
          </w:p>
        </w:tc>
      </w:tr>
      <w:tr>
        <w:trPr>
          <w:trHeight w:val="511"/>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投标单位根据项目需求情况提供完善的设备进场、安装调试计划方案，包括：供货计划、设备安装计划、软硬件调试计划、质量保障措施。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方案内容全面、科学合理、可行性强的，得8分；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方案内容较全面、较为科学合理、可行性较强的，得5分；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方案内容不够全面、科学性合理性、可行性一般的，得2分；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未提供或者内容不全面、不合理的不得分。</w:t>
            </w:r>
            <w:r/>
          </w:p>
        </w:tc>
      </w:tr>
      <w:tr>
        <w:trPr>
          <w:trHeight w:val="511"/>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投标单位根据项目需求情况提供完善的项目培训和验收方案，包括：培训内容、培训人员配备、培训计划、培训方式、验收准备、验收标准。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方案内容全面、科学合理、可行性强的，得7分；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方案内容较全面、较为科学合理、可行性较强的，得5分；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方案内容不够全面、科学性合理性、可行性一般的，得2分；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未提供或者内容不全面、不合理的不得分。</w:t>
            </w:r>
            <w:r/>
          </w:p>
        </w:tc>
      </w:tr>
      <w:tr>
        <w:trPr>
          <w:trHeight w:val="511"/>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根据投标人提供的售后服务方案进行综合评审，包括但不限于以下部分:售后服务团队、服务流程、服务方式、服务承诺、响应及解决时间、定期性检查方案等。</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方案内容全面、科学合理、可行性强的，得8分；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方案内容较全面、较为科学合理、可行性较强的，得5分；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方案内容不够全面、科学性合理性、可行性一般的，得2分；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未提供或者内容不全面、不合理的不得分。</w:t>
            </w:r>
            <w:r/>
          </w:p>
        </w:tc>
      </w:tr>
      <w:tr>
        <w:trPr>
          <w:trHeight w:val="2257"/>
        </w:trPr>
        <w:tc>
          <w:tcPr>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演示：投标人需提供软件系统演示，演示农业作业管控，支持无人机巡田管控；支持无人机提供航线、任务设计与同步功能，支持按任务计划自动飞行，能实时监测无人机运行状态、任务执行进度及环境感知数据，并提供远程关舱、紧急返航等应急处置操作，实现巡飞过程视频实时监控与作业数据即时回传；支持无人机巢可视化呈现与设备信息维护；支持拍摄影像拼接制图一键式快速发起，可同步显示可见光、NDVI等部分常用多光谱拼图结果。</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演示内容功能全面、科学合理、可操作性强的，得2分；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演示内容功能较全面、较为科学合理、有操作性，得1分；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演示内容功能不够全面、布局一般、操作性一般的，得0.5分；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未提供演示视频或者功能不全面、不合理的不得分。</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0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2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328" w:type="dxa"/>
            <w:vAlign w:val="center"/>
            <w:textDirection w:val="lrTb"/>
            <w:noWrap w:val="false"/>
          </w:tcPr>
          <w:p>
            <w:pPr>
              <w:spacing w:before="0" w:after="0" w:line="57" w:lineRule="atLeast"/>
            </w:pPr>
            <w:r/>
            <w:r/>
          </w:p>
        </w:tc>
      </w:tr>
    </w:tbl>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评标采用综合评分法，评标委员会对满足招标文件实质要求的投标文件，按照本章规定的评分标准进行打分，并按得分由高到低顺序推荐中标候选人。</w:t>
      </w:r>
      <w:r>
        <w:rPr>
          <w:rFonts w:ascii="SimSun" w:hAnsi="SimSun" w:eastAsia="SimSun" w:cs="SimSun"/>
          <w:b/>
          <w:color w:val="000000"/>
          <w:sz w:val="28"/>
        </w:rPr>
        <w:t xml:space="preserve">招标人有权对第一中标候选人提交的所有资料的真实性进行考察、核实，若发现弄虚作假的，取消中标资格，并进行公示等相关处罚。</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1.资格审查</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1.1项目开标结束后，招标人对投标人的资格进行审查。</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1.2资格审查的内容和标准：见资格审查和评标办法前附表。</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2.评标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2.1评标方法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评标采用综合评分法，评标委员会对满足招标文件实质要求的投标文件，按照本章规定的程序和方法进行评审，并按总得分由高到低顺序推荐中标候选人。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2.2初步评审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2.2.1评标委员会对通过资格审查的投标人进行初步评审。</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2.2.2初步评审的内容为投标文件的符合性评审。符合性评审的内容及标准：见资格审查和评标办法前附表。</w:t>
      </w:r>
      <w:r/>
    </w:p>
    <w:p>
      <w:pPr>
        <w:ind w:left="0" w:right="0" w:firstLine="0"/>
        <w:jc w:val="both"/>
        <w:spacing w:before="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2.3详细评审</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2.3.1评标委员会对通过初步评审的投标人进行详细评审。</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2.3.2详细评审的内容及标准：见资格审查和评标办法前附表。</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2.3.3因落实政府采购政策进行价格调整的，以调整后的价格计算评标基准价和投标报价。</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2.3.3.1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2.3.3.2对本国产品的报价给予20%的价格扣除，用扣除后的价格参与评审。当采购项目或者采购包中含有多种产品，投标人为该采购项目或者采购包提供的符合本国产品标准的产品成本之和占投标人提供的全部产品成本之和的比例达到80%以上时，对投标人提供的全部产品给予价格评审优惠，即对投标人提供的全部产品的总报价给予20%的价格扣除，用扣除后的价格参与评审。本国产品标准、成本核算规则等规定详见《国务院办公厅关于在政府采购中实施本国产品标准及相关政策的通知》（国办发[2025]34号）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2.4评标报告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2.4.1详细评审结束后，评标委员会负责编写评标报告。</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2.4.2采购代理机构自评审结束之日起2个工作日内将评标报告送交招标人。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2.5澄清、说明或补正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2.5.1评标委员会在评审过程中，可以要求投标人对投标文件中含义不明确、同类问题表述不一致或者有明显文字和计算错误的内容等作出必要的澄清、说明或者更正。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2.5.2评标委员会要求投标人澄清、说明或者更正投标文件应当以书面形式作出。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2.5.3投标人的澄清、说明或者更正应当由法定代表人或其授权代表签字或者加盖公章。由授权代表签字的，应当附法定代表人授权书。投标人的书面澄清材料作为投标文件的补充。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2.5.4投标人的澄清、说明或者更正不得超出投标文件的范围或者改变投标文件的实质性内容。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2.5.5评标委员会不得接受投标人主动提出的澄清、说明或补正。</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3.评标过程中特殊情况的处理规定</w:t>
      </w:r>
      <w:r/>
    </w:p>
    <w:p>
      <w:pPr>
        <w:ind w:left="0" w:right="0" w:firstLine="0"/>
        <w:jc w:val="both"/>
        <w:spacing w:before="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3.1投标报价的修正</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投标文件报价出现前后不一致的，按照下列规定修正： </w:t>
      </w:r>
      <w:r/>
    </w:p>
    <w:p>
      <w:pPr>
        <w:ind w:left="0" w:right="0" w:firstLine="2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（1）投标文件中开标一览表内容与投标文件中相应内容不一致的，以开标一览表为准； </w:t>
      </w:r>
      <w:r/>
    </w:p>
    <w:p>
      <w:pPr>
        <w:ind w:left="0" w:right="0" w:firstLine="2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（2）大写金额和小写金额不一致的，以大写金额为准； </w:t>
      </w:r>
      <w:r/>
    </w:p>
    <w:p>
      <w:pPr>
        <w:ind w:left="0" w:right="0" w:firstLine="2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（3）单价金额小数点或者百分比有明显错位的，以开标一览表的总价为准，并修改单价； </w:t>
      </w:r>
      <w:r/>
    </w:p>
    <w:p>
      <w:pPr>
        <w:ind w:left="0" w:right="0" w:firstLine="2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（4）总价金额与按单价汇总金额不一致的，以单价金额计算结果为准。 </w:t>
      </w:r>
      <w:r/>
    </w:p>
    <w:p>
      <w:pPr>
        <w:ind w:left="0" w:right="0" w:firstLine="56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同时出现两种以上不一致的，按照前款规定的顺序修正。修正后的报价按照本章第2.5条的规定经投标人确认后产生约束力，投标人不确认的，其投标无效。</w:t>
      </w:r>
      <w:r/>
    </w:p>
    <w:p>
      <w:pPr>
        <w:ind w:left="0" w:right="0" w:firstLine="0"/>
        <w:jc w:val="both"/>
        <w:spacing w:before="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3.2评标委员会成员的更换</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3.2.2无法及时补足评标委员会成员的，招标人将停止评标活动，封存所有投标文件和开标、评标资料，依法重新组建评标委员会进行评标。原评标委员会所作出的评标意见无效。</w:t>
      </w:r>
      <w:r/>
    </w:p>
    <w:p>
      <w:pPr>
        <w:ind w:left="0" w:right="0" w:firstLine="0"/>
        <w:jc w:val="both"/>
        <w:spacing w:before="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3.3异常低价的处理</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各投标人应慎重报价，不得恶意降价，评审委员会在评审过程中认为投标人报价过低，有可能影响产品质量或者不能诚信履约的，评审委员会将启动异常低价投标审查程序。具体异常低价的情形及相关内容按照财库[2026]2号文件规定执行。</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若投标报价出现财库[2026]2号文件第二条（一）第1条投标（响应）报价低于全部通过符合性审查投标人投标（响应）报价平均值50%的，即投标（响应）报价&lt;全部通过符合性审查投标人投标（响应）报价平均值×50%；第2条投标（响应）报价低于通过符合性审查的次低报价投标人投标（响应）报价50%的，即投标（响应）报价&lt;通过符合性审查的次低报价投标人投标（响应）报价×50%；第3条投标（响应）报价低于采购项目最高限价65%的，即投标（响应）报价&lt;采购项目最高限价×65%情形及第4条评审委员会基于专业判断，认为投标人报价</w:t>
      </w:r>
      <w:r>
        <w:rPr>
          <w:rFonts w:ascii="SimSun" w:hAnsi="SimSun" w:eastAsia="SimSun" w:cs="SimSun"/>
          <w:color w:val="000000"/>
          <w:sz w:val="28"/>
        </w:rPr>
        <w:t xml:space="preserve">过低，有可能影响产品质量或者不能诚信履约的其他情形。</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委员会启动异常低价投标（响应）审查后，属于前述第1条至第4条情形的，应当要求相关投标人在评审现场合理的时间内对投标（响应）价格作出解释，提供项目具体成本测算等与报价合理性相关的书面说明及必要的证明材料，包括但不限于原材料成本、人工成本、制造费用等。其中，属于第3条情形，投标人已随投标（响应）文件一并提交相关书面说明及必要的证明材料的，在评审现场可不再重复提交。</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如果投标投标人未提供书面说明、证明材料，或者提供的书面说明、证明材料不能证明其报价合理性的，评标委员会应对其作为无效投标处理。</w:t>
      </w:r>
      <w:r/>
    </w:p>
    <w:p>
      <w:pPr>
        <w:ind w:left="0" w:right="0" w:firstLine="562"/>
        <w:jc w:val="both"/>
        <w:spacing w:before="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3.4争议解决</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评标委员会成员对需要共同认定的事项存在争议的，按照少数服从多数的原则作出结论。持不同意见的评标委员会成员须在评标报告上签署不同意见及理由。</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3.5评标终止</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3.6修改评标结果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评审组长负责汇总和核对各评标委员会成员的评审结果。在评标报告签署前，出现下列情形之一的，可以要求其当场修改评审结果：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（1）分值汇总计算错误；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（2）分项评分超出评分标准范围；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（3）评标委员会成员对客观评审因素评分不一致；</w:t>
      </w:r>
      <w:r/>
    </w:p>
    <w:p>
      <w:pPr>
        <w:ind w:left="0" w:right="0" w:firstLine="560"/>
        <w:jc w:val="both"/>
        <w:spacing w:before="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（4）经评标委员会认定评分畸高或畸低。</w:t>
      </w:r>
      <w:r/>
    </w:p>
    <w:p>
      <w:pPr>
        <w:ind w:left="0" w:right="0" w:firstLine="0"/>
        <w:jc w:val="both"/>
        <w:spacing w:before="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3.7 投标人总分相同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投标人总分相同时，投标报价低的排名优先；如投标报价也相同，由招标人抽签确定排序。</w:t>
      </w:r>
      <w:r/>
    </w:p>
    <w:p>
      <w:pPr>
        <w:ind w:left="0" w:right="0" w:firstLine="0"/>
        <w:jc w:val="both"/>
        <w:spacing w:before="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3.8评标报告签署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ind w:left="0" w:right="0" w:firstLine="0"/>
        <w:jc w:val="both"/>
        <w:spacing w:before="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4.判定无效投标的规定</w:t>
      </w:r>
      <w:r/>
    </w:p>
    <w:p>
      <w:pPr>
        <w:ind w:left="0" w:right="0" w:firstLine="0"/>
        <w:jc w:val="both"/>
        <w:spacing w:before="0" w:after="12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4.1开标过程中，有下列情形之一的，作无效投标处理。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（1）投标文件无法解密；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（2）投标文件未在规定的时间内解密成功。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4.2资格审查过程中，</w:t>
      </w:r>
      <w:r>
        <w:rPr>
          <w:rFonts w:ascii="KaiTi" w:hAnsi="KaiTi" w:eastAsia="KaiTi" w:cs="KaiTi"/>
          <w:b/>
          <w:color w:val="000000"/>
          <w:spacing w:val="-14"/>
          <w:sz w:val="28"/>
        </w:rPr>
        <w:t xml:space="preserve">投标文件出现不符合1.2项评审标准之一的，作无效标处理。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4"/>
          <w:sz w:val="28"/>
        </w:rPr>
        <w:t xml:space="preserve">4.3</w:t>
      </w:r>
      <w:r>
        <w:rPr>
          <w:rFonts w:ascii="KaiTi" w:hAnsi="KaiTi" w:eastAsia="KaiTi" w:cs="KaiTi"/>
          <w:b/>
          <w:color w:val="000000"/>
          <w:sz w:val="28"/>
        </w:rPr>
        <w:t xml:space="preserve">评标过程中，有下列情形之一的，作无效投标处理。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（1）符合性评审时，投标文件出现不符合2.2.2项评审标准之一的；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（2）投标人不确认评标委员会提出的投标报价修正意见的；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（3）未按照评标委员会要求提供书面说明及相关证明材料证明其报价合理性的；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（4）投标文件含有招标人不能接受的附加条件的。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4.4法律、法规规定的其他投标无效情形。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0" w:after="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第四章 </w:t>
      </w:r>
      <w:r>
        <w:rPr>
          <w:rFonts w:ascii="SimHei" w:hAnsi="SimHei" w:eastAsia="SimHei" w:cs="SimHei"/>
          <w:b/>
          <w:color w:val="000000"/>
          <w:sz w:val="32"/>
          <w:u w:val="none"/>
        </w:rPr>
        <w:t xml:space="preserve">采购需求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1、投标人所投所有设备必须具备标准化数据输出接口，支持与国家级、省级、市级、县级和当地相关信息调度管理系统对接。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2、中标人负责设备运输、安装、调试、质保期的运维等全过程安全，甲方不承担任何安全责任。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3、中标人承担三年内所有设备网络通讯费、无人机保险费、设备耗材等费用，以维持设备、软件系统三年内正常运行，甲方不承担任何费用。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中标人提供的设备参数不符、以次充好、无法正常运行、无法正常对接系统等情况，中标人必须无条件更换，如给招标人造成损失，则没收履约保证金，若履约保证金不够赔偿，招标人有权要求中标人对不足部分予以赔偿。</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5、所有监测数据必须能够上传苏农云及招标人指定的相关系统，质保期内所有数据通讯费用、软件升级费用由中标人承担，招标人在质保期内不承担其他任何费用。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6、本项目免费质保期三年。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中标人应保证在本项目使用的任何产品，不会产生因第三方提出侵犯其专利权、商标权或其它知识产权而引起的法律和经济纠纷，如因专利权、商标权或其它知识产权而引起法律和经济纠纷，由中标人承担所有责任。</w:t>
      </w:r>
      <w:r/>
    </w:p>
    <w:p>
      <w:pPr>
        <w:ind w:left="0" w:right="0" w:firstLine="0"/>
        <w:jc w:val="both"/>
        <w:spacing w:before="0" w:after="0"/>
        <w:rPr>
          <w:rFonts w:ascii="SimSun" w:hAnsi="SimSun" w:eastAsia="SimSun" w:cs="SimSun"/>
          <w:color w:val="ff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highlight w:val="none"/>
        </w:rPr>
      </w:r>
      <w:r>
        <w:rPr>
          <w:rFonts w:ascii="SimSun" w:hAnsi="SimSun" w:eastAsia="SimSun" w:cs="SimSun"/>
          <w:color w:val="ff0000"/>
          <w:sz w:val="28"/>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9"/>
        <w:gridCol w:w="627"/>
        <w:gridCol w:w="704"/>
        <w:gridCol w:w="6518"/>
        <w:gridCol w:w="453"/>
        <w:gridCol w:w="510"/>
        <w:gridCol w:w="2"/>
      </w:tblGrid>
      <w:tr>
        <w:trPr>
          <w:trHeight w:val="430"/>
        </w:trPr>
        <w:tc>
          <w:tcPr>
            <w:gridSpan w:val="6"/>
            <w:shd w:val="clear" w:color="e7e6e6" w:fill="e7e6e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采购清单</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430"/>
        </w:trPr>
        <w:tc>
          <w:tcPr>
            <w:shd w:val="clear" w:color="e7e6e6" w:fill="e7e6e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shd w:val="clear" w:color="e7e6e6" w:fill="e7e6e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项目名称</w:t>
            </w:r>
            <w:r/>
          </w:p>
        </w:tc>
        <w:tc>
          <w:tcPr>
            <w:shd w:val="clear" w:color="e7e6e6" w:fill="e7e6e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设备名称</w:t>
            </w:r>
            <w:r/>
          </w:p>
        </w:tc>
        <w:tc>
          <w:tcPr>
            <w:shd w:val="clear" w:color="e7e6e6" w:fill="e7e6e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参数</w:t>
            </w:r>
            <w:r/>
          </w:p>
        </w:tc>
        <w:tc>
          <w:tcPr>
            <w:shd w:val="clear" w:color="e7e6e6" w:fill="e7e6e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shd w:val="clear" w:color="e7e6e6" w:fill="e7e6e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33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5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土壤</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土壤</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监测站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numPr>
                <w:ilvl w:val="0"/>
                <w:numId w:val="3"/>
              </w:numP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土壤温湿度传感器：通过实时监测土壤温湿度情况，可以帮助种植户及时了解田间土壤墒情状况，合理施肥、灌溉，提高农作物的产量和品质。土壤湿度测量范围：0 - 100 %；土壤温度测量范围：-40 - 80 ºC。</w:t>
            </w:r>
            <w:r/>
          </w:p>
          <w:p>
            <w:pPr>
              <w:numPr>
                <w:ilvl w:val="0"/>
                <w:numId w:val="3"/>
              </w:numP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土壤pH值传感器：实时监测土壤pH情况，助力种植户及时了解田间土壤酸碱度状况，及时介入调控，助力农作物增产提质。量程：0~14PH；</w:t>
            </w:r>
            <w:r/>
          </w:p>
          <w:p>
            <w:pPr>
              <w:numPr>
                <w:ilvl w:val="0"/>
                <w:numId w:val="3"/>
              </w:numP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氮磷钾传感器：实时监测土壤氮磷钾情况，助力种植户及时了解田间土壤肥力状况，合理施肥，助力农作物增产提质。量程：0-1999mg/kg；</w:t>
            </w:r>
            <w:r/>
          </w:p>
          <w:p>
            <w:pPr>
              <w:numPr>
                <w:ilvl w:val="0"/>
                <w:numId w:val="3"/>
              </w:numP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管式多层土壤墒情监测仪：测量各土层温度。默认同时测量10cm（0cm-20cm）、30cm（20cm-40cm）、50cm（40cm-60cm)、80cm（60cm-100cm)土层的温度和湿度，适用于具有代表性土壤的长期不间断监测:</w:t>
              <w:br/>
              <w:t xml:space="preserve"> 4-1、土壤水分(体积含水量)测量范围:干土~水分饱和土，实验室测量精度:±3%，野外测量精度:±5%，湿度分辨率:0.1%；</w:t>
              <w:br/>
              <w:t xml:space="preserve"> 4-2、温度测量范围:-40℃~80℃，测量精度±2℃，温度分辨率:0.1°C；</w:t>
              <w:br/>
              <w:t xml:space="preserve"> 4-3、供电方式:太阳能供电;</w:t>
              <w:br/>
              <w:t xml:space="preserve"> 4-4、无线通讯。通讯方式</w:t>
            </w:r>
            <w:r>
              <w:rPr>
                <w:rFonts w:ascii="SimSun" w:hAnsi="SimSun" w:eastAsia="SimSun" w:cs="SimSun"/>
                <w:color w:val="000000"/>
                <w:sz w:val="18"/>
              </w:rPr>
              <w:t xml:space="preserve">:RS485通讯，MODBUS通讯协议，(波特率9600可设，地址0-255可设)；</w:t>
            </w:r>
            <w:r/>
          </w:p>
          <w:p>
            <w:pPr>
              <w:numPr>
                <w:ilvl w:val="0"/>
                <w:numId w:val="3"/>
              </w:numP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数据采集终端：采集模块，通过无线方式组建的局域网，将数据传输到数据采集网关位置，再由数据采集网关上传到云端，实现数据云监测。</w:t>
            </w:r>
            <w:r/>
          </w:p>
          <w:p>
            <w:pPr>
              <w:numPr>
                <w:ilvl w:val="0"/>
                <w:numId w:val="3"/>
              </w:numP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太阳能供电：传感器供电，太阳能板30W，电池12V9A。</w:t>
            </w:r>
            <w:r/>
          </w:p>
          <w:p>
            <w:pPr>
              <w:numPr>
                <w:ilvl w:val="0"/>
                <w:numId w:val="3"/>
              </w:numP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监测立杆：立杆高度1.5米，热镀锌防腐处理。</w:t>
            </w:r>
            <w:r/>
          </w:p>
          <w:p>
            <w:pPr>
              <w:numPr>
                <w:ilvl w:val="0"/>
                <w:numId w:val="3"/>
              </w:numP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监测柜：防水设计 300mm*250mm*150mm（含内部插座、空开等电器件）。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9、支架等辅材：配套安装需要的电线、套管、支架等辅材材料。</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10、通讯模块：物联网专用卡1G/月,3年。</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11、▲提供相关仪器校准报告原件彩色扫描件。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12、▲提供相关软件著作权登记证书原件彩色扫描件。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气象监测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农业小环境气象监测站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1、气象七合一传感器：1-1.气象站具备IP67级别防水，12-24V DC。</w:t>
              <w:br/>
              <w:t xml:space="preserve"> 1-2.风速：测量范围0-75 m/s，分辨率 0.1 m/s，测量精度±0.1 m/s。</w:t>
              <w:br/>
              <w:t xml:space="preserve"> 1-3.风向：测量范围0°~ 360°，分辨率 0.1°，测量精度±1°。 </w:t>
              <w:br/>
              <w:t xml:space="preserve"> 1-4.大气压力：测量范围 300-1250 hPa，分辨率0.1 hPa ，测量精度±1hPa 。</w:t>
              <w:br/>
              <w:t xml:space="preserve"> 1-5.空气温度:温度范围-40°C～85℃，分辨率0.01℃ ，测量精度 ±0.1℃。</w:t>
              <w:br/>
              <w:t xml:space="preserve"> 1-6.空气湿度:湿度测量范围0-100%RH ，分辨率0.</w:t>
            </w:r>
            <w:r>
              <w:rPr>
                <w:rFonts w:ascii="SimSun" w:hAnsi="SimSun" w:eastAsia="SimSun" w:cs="SimSun"/>
                <w:color w:val="000000"/>
                <w:sz w:val="18"/>
              </w:rPr>
              <w:t xml:space="preserve">01%RH ，测量精度±1.5%RH。</w:t>
              <w:br/>
              <w:t xml:space="preserve"> 1-7.光照强度：测量范围0-20W Lux，分辨率1 Lux ，测量精度±2%。</w:t>
              <w:br/>
              <w:t xml:space="preserve"> 1-8.雨量：测量范围0-9999mm，分辨率0.1mm ，测量精度±0.1mm。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2、数据采集终端：采集模块，通过无线方式组建的局域网，将数据传输到数据采集网关位置，再由数据采集网关上传到云端，实现数据云监测。</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3、设备监测箱：防水设计300mm*400mm*180mm（含内部插座、空开等电器件）。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4、专用立杆：立杆高度 3 米，热镀锌防腐处理。配套安装需要的电线、套管、支架等辅材材料。</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5、太阳能供电：DC24V太阳能板。100A蓄电池，蓄电池盒。</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6、通讯模块：物联网专用卡1G/月,3年。</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7、▲气象数据监测相关系统软件著作权登记证书原件彩色扫描件。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1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现场数据展示屏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室外大田数据显示屏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输出信号：RS485(标准ModBus通讯协议)。</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显示屏尺寸：1.05米*0.57米。</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规格：320*160模组，单块分辨率32*16。</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分辨率：整屏分辨率96*48。</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69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5G智能无人巡田眼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固定高清鹰眼摄像头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1600万180°鹰眼_400万40倍_卫星定位</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1600万180° 无盲区球型鹰眼，全景采用4个F1.0大光圈全彩镜头拼接而成，可输出180°大场景拼接画面</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全景画面可支持关注区域畸变矫正，细节内置40倍变焦镜头</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全景智能：Smart事件、人员密度、车辆拥堵；细节智能：全结构化、Smart事件、普通监控（高帧率）；</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1、全景摄像机 4个1/1.8＂ 4MP Progressive Scan CMOS，最高分辨率及帧率可达6072x2640@30fps</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视场角：水平180°，垂直110°</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星光级超低照度，0.0005Lux/F1.0（彩色），0.0001Lux/F1.0（黑白）</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2、细节摄像机 1/1.8＂ 4MP Progressive Scan CMOS，最高分辨率及帧率可达2688x1520@30fps</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星光级超低照度，0.0005Lux/F1.2（彩色），0.0001Lux/F1.2（黑白），0 Lux with IR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40倍光学变倍，16倍数字变倍</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水平360°连续旋转，垂直-15°-90°（自动翻转）</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采用高效红外阵列，低功耗，照射距离最远可达300m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3、系统参数</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【全景】支持区域入侵侦测、越界侦测、进入区域、离开区域事件侦测功能</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【全景】支持人员密度检测功能，检测覆盖范围半径100米</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【全景】支持车辆拥堵检测功能，检测覆盖范围半径150米，推荐：在封闭式道路中可以做拥堵事件检测，推荐在高速、环线、快速路或者主干线</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【细节】支持区域入侵侦测、越界侦测、进入区域、离开区域事件侦测功能</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【细节】支持全结构化：支持细节路混合目标检测，对检测区域内的人、非机动车、车进行同时抓拍上传，人脸人体关联输出，并实现对人脸、人体、车辆结构化属性特征信息提取</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支持点击联动功能，通过在客户端点击或者框选全景摄像机画面任意位置，细节跟踪摄像机可自动通过云台调整与变焦，将该区域置于画面中心。</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支持目标自动跟踪功能，通过设置智能事件规则，对设定区域内触发事件的运动目标在设定的跟踪时间内进行持续稳定跟踪。并可在跟踪过程中手动切换跟踪目标</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支持手动选择跟踪目标，在设定跟踪时间内进行持续稳定跟踪</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光口（FC）+电口(RJ-45)网络接口设计</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支持GB35114A级安全加密</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AI-ISP：细节球机采用去噪卷积神经网络将深度结构、学习算法用于图像去噪，最终使画面成像更新清晰，噪点更小图像更干净。</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支持北斗或其他卫星定位系统</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传感器类型：【全景】1/1.8＂ progressive scan CMOS,【细节】1/1.8＂ progressive scan CMOS</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最低照度：【全景】0.0005Lux/F1.0（彩色），0.0001Lux/F1.0（黑白）；【细节】星光级超低照度，0.0005Lux/F1.2（彩色），0.0001Lux/F1.2（黑白），0 Lux with IR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宽动态：全景不支持，细节支持120dB超宽动态</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光学变倍：40倍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焦距：【全景】2 mm；【细节】6~240 mm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视场角：水平视场角</w:t>
              <w:tab/>
              <w:t xml:space="preserve">56.6-1.8度(广角-望远)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垂直视场角</w:t>
              <w:tab/>
              <w:t xml:space="preserve">33.7-1.0度(广角-望远)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对角线视场角</w:t>
              <w:tab/>
              <w:t xml:space="preserve">63.4-2.0度(广角-望远)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红外照射距离：300m  防补光过曝：支持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水平范围：360°垂直范围：-15°-90°(自动翻转)</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水平速度：水平键控速度：0.1°-500°/s,速度可设;水平预置点速度：500°/s 垂直速度：垂直键控速度：0.1°-350°/s,速度可设;垂直预置点速度：350°/s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主码流帧率分辨率：全景：50Hz: 25fps (6072x2640,5520×2400, 4096×1800,3840×1680, 2784×1200) 60Hz: 30fps (6072x2640，5520×2400, 4096×1800，3840×1680, 2784×1200)</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细节：50Hz:25fps (2688x1520，2560x1440,1920×1080,1280×960,1280x720) 60Hz:30fps （2688x1520，2560x1440,1920x1080,1280x960,1280x720)</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视频压缩标准：H.265;H.264;MJPEG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卫星定位：支持北斗或其他卫星定位系统 陀螺仪：支持 电子罗盘：支持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SD卡扩展：内置Micro SD卡插槽，支持Micro SD/Micro SDHC/Micro SDXC卡（最大支持512G）</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RS485接口：采用半双工模式，支持自适应HIKVISION，PELCO-P和PELCO-D(可添加)协议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供电方式：DC36V；  整机平均功耗75w.最大功耗 90w</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工作温湿度：-40℃-70℃;湿度小于90%</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恢复出厂设置：支持 除雾：支持</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尺寸：Φ427.6x425.9mm 重量：净重 14.6kg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防护：IP67; 6000V 防雷、防浪涌、防突波，符合GB/T17626.2/3/4/5/6四级标准</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▲内置不少于3个GPU芯片。细节通道内置镜头支持不小于40倍光学变倍，镜头最大焦距不小于240mm。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▲设备具有不少于1个RJ45网络接口、1个光纤接口、7路报警输入、2路报警输出、1路音频输入、1路音频输出。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▲全景通道内置4个镜头、靶面尺寸不小于1/1.8英寸的CMOS传感器，细节通道内置1个镜头，靶面尺寸不小于1/1.8英寸的CMOS传感器。</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注：带▲号条款须提供公安部出具的检验报告证明原件彩色扫描件。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附件及辅材：</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专用支架：鹰眼高清摄像机专用支架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硬盘录像机：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存储接口：5个SATA接口，支持满配20TB硬盘；</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视频接口：2×HDMI，1×VGA。</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网络接口：2×RJ45 10/100/1000Mbps自适应以太网口</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报警接口：16路报警输入，4路报警输出。</w:t>
              <w:br/>
              <w:t xml:space="preserve">反向供电：1路DC12V 1A</w:t>
              <w:br/>
              <w:t xml:space="preserve">串行接口：1路RS-232接口，1路全双工RS-485接口</w:t>
              <w:br/>
              <w:t xml:space="preserve"> USB接口：2×USB 2.0，1×USB 3.0</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硬盘：8T数据硬盘；交换机：5口千兆交换机；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监控柜：防水设计300mm*400mm*180mm（含内部插座、空开等电器件）。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立杆：立杆，高度9米，主杆板厚8mm；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熔纤盒（含尾纤）；千兆光纤收发器；室外4星光纤。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4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农情、苗情监测站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智能高速球型摄像机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400万像素红外网络高清球机， 支持4G（移动、联通，电信）网络传输</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支持1/2.8" 400万23倍光学变焦镜头，采用高效补光阵列，低功耗，红外补光100m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具有300个预置位，设备可按照所设置的预置位完成8条巡航路径，可按照所设置轨迹完成4条模式路径；在控制云镜时，可实现RS485接口优先或RJ45网络接口优先控制功能。设备具有1个SIM卡插槽。支持区域入侵侦测，越界侦测，进入区域侦测和离开区域侦测等智能侦测</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适用于农田、森林，河道、水库、矿区、野外等场景</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可对镜头前盖玻璃进行加热，去除玻璃上的冰状和水状附着物。</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支持超低照度，0.005 Lux @F1.6（彩色），0.001 Lux @F1.6（黑白），0 Lux with IR</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球机专用立杆：高度 5 米，热镀锌防腐处理。</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监控柜：防水设计 300mm*400mm*180mm（含内部插座、空开等电器件）。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太阳能板：传感器供电，太阳能板50W。储能电池：100A蓄电池。</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存储卡：256G视频存储卡。</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视频流量卡：10G/月，3年。</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设备基础、配套管线等辅材。</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▲丢包率为20%的网络环境下，仍可正常显示监视画面。</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▲设备应符合IP66的规定，温度65℃、-30℃，持续时间24h，试验期间设备处于工作状态，试验后设备应能正常工作,需支持DC12V供电。</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注：带▲号条款须提供公安部出具的检验报告证明原件彩色扫描件。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4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农业遥感无人机（含机巢及数据分析管理系统）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农业遥感无人机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集成1个2000万像素可见光相机及4个500万像素的多光谱相机(绿光、红光，红边及近红外)，实现自动巡田，作物生长检测等应用。</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、飞行器</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起飞重量（无配件）：≤1000g；折叠后尺寸（长×宽×高）：≤225×100×130mm；对角线轴距：≥380 mm；最大信号有效距离（无干扰、无遮挡）：≥15km；最长飞行时间：≥40 分钟；最大可抗风速：≥12m/s；</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全向感知系统：飞行器的前、后、左、右、上、下均具备视觉或红外避障传感器，能够在探测到障碍物时在App上进行提醒，并自动减速刹车；</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GNSS：支持GPS+GLONASS+BEIDOU，支持单北斗模式；</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工作环境温度：工作温度范围覆盖-10°C 至 40°C；</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GNSS定位悬停精度：垂直≤0.5 m，水平≤0.5 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视觉定位悬停精度：垂直≤0.1 m，水平≤0.1 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展开时间：从携行状态到起飞状态的展开时间≤30s；</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最大上升速度：≥6 m/s；最大下降速度：≥6 m/s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最大水平飞行速度：≥15m/s；最大飞行海拔高度：≥6000 米；</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降落保护：在自主降落过程中，无人机飞行器能够检测下方地形.当下方地形为不平整地面或水面，飞行器保持悬停，同时通过地面站软件向用户发出警示信息；</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具备飞行器自检功能；具备低电量自动返航功能；具备信号丢失自动返航功能。</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 、可见光相机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可见光相机CMOS：具备可见光测绘相机，相机CMOS不低于4/3英寸；</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可见光相机像素：有效像素不低于2000万；</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可见光相机像元尺寸：像元尺寸不小于3.3um；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可见光相机机械快门：相机具有机械快门；</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可见光相机连续拍照间隔：最短连续拍照间隔不低于0.7秒；</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可见光相机内参标定：提供内参标定参数。</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 、多光谱相机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多光谱相机：除可见光相机外，应具备绿、红、红边、近红外多光谱相机；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多光谱相机有效像素：多光谱相机有效像素不低于500万；</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绿波段多光谱相机波段范围：绿波段多光谱相机波段在560nm± 16nm；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红波段多光谱相机波段范围：红波段多光谱相机波段在650nm± 16nm；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红边波段多光谱相机波段范围：红边波段多光谱相机波段在730nm± 16nm；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近红外波段多光谱相机波段范围：近红外波段多光谱相机波段在860nm± 16nm。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 、航线软件功能</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航线功能：支持航点、正射、倾斜、航带、仿地等多种航线作业类型；</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实时仿地：无人机可实现自主实时仿地；</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实时NDVI：支持实时NDVI植被指数查看；</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可见光测绘：可单独使用可见光相机进行测绘作业；</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密码保护:支持通过密码保护无人机机身存储的图像视频数据；</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5、图传：工作频段：支持2.4G、5.8G图传；4G增强图传：支持4G dongle。</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6、堵转保护：正在空转的电机被堵转后，1 秒内驱动器应切入保护状态，将电流降低到安全电流内。整个过程中驱动器应保证超过安全电流的时间总和不超过 0.2 秒。</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7、温升：产品在正常工作条件下，其外壳温度不应超过 65℃，机内发热部件连续工作4h 后，其温升不应超过该部件的规定。</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▲8、高温储存：样品状态：不通电，不包装； 试验温度：(45±2)℃ ；试验时间：8h ；恢复时间：1h ；试验后，设备能稳定工作，各模块无工作异常。</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▲9、高温工作：样品状态：通电工作；试验温度：(40±2)℃ ；试验时间：12h ；恢复时间：1h；试验中和试验后，设备能稳定工作，各模块无工作异常。</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▲10、低温储存：样品状态：不通电，不包装；试验温度：(10±2)℃ ；试验时间：8h；恢复时间：1h；试验后，设备能稳定工作，各模块无工工作异常。</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▲11、盐雾：样品状态：不包装，不工作；盐雾试验条件：试验箱温度：（35±2）℃；氯化钠溶液质量百分比浓度：5%±1%；PH 值：6.5 ～ 7.2；盐雾沉降量（ml/80cm2/h）：1.0～2.0；喷雾方式：连续喷雾；喷雾时间：盐雾试验 8 小时；试验后，样品应能够正常工作。</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12、无人机设备包含3年保险。</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注：带▲号条款须提供具有CNAS或CMA标识的检验或检测报告原件彩色扫描件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vMerge w:val="restart"/>
            <w:textDirection w:val="lrTb"/>
            <w:noWrap/>
          </w:tcPr>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vMerge w:val="restart"/>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2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vMerge w:val="restart"/>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无人值守机场（机巢）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1.功能：支持无人机自动起降、自主充电；航拍数据自动回传：支持7×24小时无人值守作业；</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2.尺寸：≥640mm×745mm×465 mm；重量:≥55kg；电源：220V市电；</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3.气象监测指标：空气温度、空气湿度、雨量、风速；</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4.工作环境：-40℃至55℃；</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5.防护等级：≥IP55；</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6.机库同步具备气象参数数据采集功能，同时支持自定义云设置</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7.机场控制与数据管理需支持接入苏农云平台；</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▲8.图传延时：≤1.0秒；（提供具有CNAS或CMA标识的检验或检测报告原件彩色扫描件）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▲9.数据传输：支持可见光、多光谱4波段（绿/红/红边/近红外）航拍图像远程自主回传。（提供系统截图并加盖投标人公章）</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37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无人机智能巡田飞控分析软件服务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1.终端设备管理：机巢与无人机设备信息维护；机巢及飞机位置（经纬度）、状态显示；飞行情况统计；</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2.飞行控制管理：飞行控制（一键起飞或进仓/出仓等指令）；无人机航线规划；巡飞定时任务计划管理；</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3.飞行记录管理：飞行任务列表；飞行轨迹回溯；无人机实时状态（速度、高度、时长、风力、充电状态）；无人机及机巢实时影像（舱内、舱外）；航拍图片查看；</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4.影像拼接制图：可见光、NDVI正射影像制图；</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5.农情分析：农情分析结果查看；农情分析报告下载；综合决策建议；</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6.基础配置管理：设备信息维护，地块信息维护，算法库配置；</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7.算法包含：长势、倒伏、苗情、产量等四种专业算法模型和处方；</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支持飞行控制、航线规划、图像拼接、农情（长势、苗情、产量、倒伏等）分析等功能在同一平台内，并实现数据与省级管控平台（“苏农云”）实现接口级对接；（提供承诺函和系统截图并加盖投标人公章）</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评标现场以视频形式，演示农业作业管控，支持无人机巡田管控；支持无人机提供航线、任务设计与同步功能，支持按任务计划自动飞行，能实时监测无人机运行状态、任务执行进度及环境感知数据，并提供远程关舱、紧急返航等应急处置操作，实现巡飞过程视频实时监控与作业数据即时回传；支持无人机巢可视化呈现与设备信息维护；支持拍摄影像拼接制图一键式快速发起，可同步显示可见光、NDVI等部分常用多光谱拼图结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1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病虫害自动监测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智能虫情测报灯（小虫体）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1、采用光、电、数控技术，远程自动控制。有防雨百叶，下雨天可以正常工作，正常捕虫；</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内置2000W高清工业摄像机，对稻飞虱进行活体拍照，针对飞虱类害虫进行自动识别计数，通过AI自动识别包含褐飞虱、白背飞虱等。识别准确率≥85%；（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可远程设置工作模式，通过PC云端及手机APP端能远程自动拍照和手动拍照，工业彩色手触摸屏显示与操作，屏幕尺寸≥7寸，安卓或其他系统智能控制。全中文液晶显示，可分时段设置和控制，自动拍照和手动拍照均可。</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▲4、对灰飞虱、白背飞虱等小虫体进行活体拍照，虫体完整率≥95%；（提供具有CNAS或CMA标识的检验或检测报告原件彩色扫描件）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▲5、设备可以远程手动控制诱虫灯开启、诱虫灯条开启、翻板旋转、风扇开启、相机拍照等功能；（提供具有CNAS或CMA标识的检验或检测报告原件彩色扫描件）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6、图像处理：可实现对拍摄画面的图像处理，包括但不限于画面分割、切换处理及保存等功能。图片保存质量可满足虫体人工手动计数的识别需求。</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7、内置GPS或其他定位功能，可在地图中查看设备站点等数据。在PC云端地图中查看设备站点等数据，设备被盗可追踪。</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光控控制：晚上自动开灯运行，白天自动关灯（待机），在夜间工作状态下，不受瞬间强光照射改变工作状态。时段控制：根据靶标害虫生活习性规律，设定工作时间段。雨控装置：可按外界天气变化自动控制设备工作；</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9、虫子收集储存技术：对拍完照的虫子，需要保留标本的留在储存袋内，人工定期去收集；对于不需要标本的，虫子直接排出机器外部；</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10、电源：太阳能供电，直流12v；灯管启动时间：开机后小于5秒；绝缘电阻：大于2.5MΩ；</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11、将捕获到的昆虫进行统计分析，绘制出作物虫害的发生趋势与发生轨迹，并确定其发生源头，以此为数据基础，结合相关作物生长因子、气象因子实现作物虫害的预测预警；</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虫害爆发分析模型：将捕获到的昆虫进行统计分析，绘制出虫害的发生趋势与发生轨迹，并确定其发生源头，以此为数据基础实现病虫害的预测预警；（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13、具备标准化数据输出接口，支持与国家级、省级、市级、县区级和当地相关信息调度管理平台实现无缝对接；</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▲14、作物产量评估模型：根据虫害、天气、土壤、作物、站点、农事等数据，实现作物整个生育期内各指标的模拟；（提供具有CNAS或CMA标识的检验或检测报告原件彩色扫描件）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15、无需安装 App，关注微信公众号，即可接收设备诱虫信息推送:包括灯下成虫首现信息和每日诱虫数据。根据账号权限，省市县数据三级贯通，按权限隔离。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4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spacing w:before="0" w:after="0" w:line="219" w:lineRule="atLeast"/>
              <w:tabs>
                <w:tab w:val="left" w:pos="4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病害自动监测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赤霉病（稻瘟病）自动监测站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▲1、通过对农田现场进行全天候监测，并通过 4G 无线传输至平台，可实现小麦赤霉病、水稻稻瘟病的预测预报，算法基于全国各水稻主产区多年病害发生数据及气象数据，经大数据建模计算而成；（提供具有CNAS或CMA标识的检验或检测报告原件彩色扫描件）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2、支持 PC 端与微信小程序实时查看设备预测结果，达到防治指标时微信小程序自动报警；</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3、可接入 “苏农云” 农业物联网板块，支持手机端监测预警；</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▲4.预测与防控：在病害关键防控时期前10天，自动预测病害发生情况，并同步生成科学的防控建议，为植保防控提供指导（提供具有CNAS或CMA标识的检验或检测报告原件彩色扫描件）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5、系统可实现数据自动采集、远程传输、存储、分析与预警，支持无人值守运行；</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6、采用定制支架、螺杆固定，野外防护机箱耐酸碱、耐腐蚀，防护等级 IP67，抗冲击等级IK08；</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7、整机采用太阳能供电，供电系统包含单晶硅太阳能板、充电控制器、蓄电池。设备功耗 10mA，电池容量≥20Ah，太阳能板功率≥50W；单晶硅太阳能板功率≥55W，可在 - 40℃至 65℃气温下工作，连续阴雨天设备正常运行不低于 20 天；</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8、仪器具备远程调试功能，在无人值守的同时实现无缝监控；</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▲9、提供赤霉病（稻瘟病）相关硬件智能化系统软件著作权登记证书。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30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农产品快检设备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食品安全检测仪（含试剂）及操作台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numPr>
                <w:ilvl w:val="0"/>
                <w:numId w:val="4"/>
              </w:numP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设备参数：波长配置：410nm；抑制率显示范围：0%～100%；抑制率测量范围：0%～100%；透射比准确度：±1.5%；透射比重复性：≤0.5%；漂移：≤0.005Abs/3min；抑制率示值误差：≤10%；抑制率重复性：≤5%</w:t>
              <w:br/>
              <w:t xml:space="preserve"> 2、安卓或其他智能操作系统，仪器具有无线联网上传功能，进行数据统计和分析。</w:t>
              <w:br/>
              <w:t xml:space="preserve"> 3、仪器具有自检功能：具有开机自检和调零功能，具有自动检测重复性功能；同时，检测完成可自动打印检测报告和二维码。手机扫码可显示出详细检测信息。</w:t>
              <w:br/>
              <w:t xml:space="preserve"> 4、仪器带有监管平台，数据可局域网和互联网数据上传，检</w:t>
            </w:r>
            <w:r>
              <w:rPr>
                <w:rFonts w:ascii="SimSun" w:hAnsi="SimSun" w:eastAsia="SimSun" w:cs="SimSun"/>
                <w:color w:val="000000"/>
                <w:sz w:val="18"/>
              </w:rPr>
              <w:t xml:space="preserve">测结果直接传至食品安全监管平台。进行区域食品安全监管及大数据分析处理与数据统计，检测区域食品安全长短期动态，达到食品安全问题预估、预警。</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5、检测卡：黄曲霉素胶体金检测卡100个、呕吐物质胶体金检测卡100个、有机磷类其他农药残留胶体金检测卡300个。</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6、1-2米实验操作台，带实验室水龙头，水电配备到位；试剂柜。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1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设备基础平台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地块尺寸</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25</w:t>
            </w:r>
            <w:r>
              <w:rPr>
                <w:rFonts w:ascii="SimSun" w:hAnsi="SimSun" w:eastAsia="SimSun" w:cs="SimSun"/>
                <w:color w:val="000000"/>
                <w:sz w:val="18"/>
              </w:rPr>
              <w:t xml:space="preserve">米、宽</w:t>
            </w:r>
            <w:r>
              <w:rPr>
                <w:rFonts w:ascii="Times New Roman" w:hAnsi="Times New Roman" w:eastAsia="Times New Roman" w:cs="Times New Roman"/>
                <w:color w:val="000000"/>
                <w:sz w:val="18"/>
              </w:rPr>
              <w:t xml:space="preserve">15</w:t>
            </w:r>
            <w:r>
              <w:rPr>
                <w:rFonts w:ascii="SimSun" w:hAnsi="SimSun" w:eastAsia="SimSun" w:cs="SimSun"/>
                <w:color w:val="000000"/>
                <w:sz w:val="18"/>
              </w:rPr>
              <w:t xml:space="preserve">米</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围栏建设</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四周新建围栏不少于</w:t>
            </w:r>
            <w:r>
              <w:rPr>
                <w:rFonts w:ascii="Times New Roman" w:hAnsi="Times New Roman" w:eastAsia="Times New Roman" w:cs="Times New Roman"/>
                <w:color w:val="000000"/>
                <w:sz w:val="18"/>
              </w:rPr>
              <w:t xml:space="preserve">128</w:t>
            </w:r>
            <w:r>
              <w:rPr>
                <w:rFonts w:ascii="SimSun" w:hAnsi="SimSun" w:eastAsia="SimSun" w:cs="SimSun"/>
                <w:color w:val="000000"/>
                <w:sz w:val="18"/>
              </w:rPr>
              <w:t xml:space="preserve">米，采用塑木材质</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门体配置</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套</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米宽人行门、</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套</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米宽机耕门</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均为塑木材质</w:t>
            </w:r>
            <w:r>
              <w:rPr>
                <w:rFonts w:ascii="Times New Roman" w:hAnsi="Times New Roman" w:eastAsia="Times New Roman" w:cs="Times New Roman"/>
                <w:color w:val="000000"/>
                <w:sz w:val="18"/>
              </w:rPr>
              <w:t xml:space="preserve">)</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底部立柱及支撑平台均为轻钢龙骨焊接。</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内部设备安装平台含基础浇筑及木地板铺设。</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围栏围</w:t>
            </w:r>
            <w:r>
              <w:rPr>
                <w:rFonts w:ascii="Times New Roman" w:hAnsi="Times New Roman" w:eastAsia="Times New Roman" w:cs="Times New Roman"/>
                <w:color w:val="000000"/>
                <w:sz w:val="18"/>
              </w:rPr>
              <w:t xml:space="preserve">1.2</w:t>
            </w:r>
            <w:r>
              <w:rPr>
                <w:rFonts w:ascii="SimSun" w:hAnsi="SimSun" w:eastAsia="SimSun" w:cs="SimSun"/>
                <w:color w:val="000000"/>
                <w:sz w:val="18"/>
              </w:rPr>
              <w:t xml:space="preserve">米高，栅栏式（材质为塑木）</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rPr>
                <w:rFonts w:ascii="SimSun" w:hAnsi="SimSun" w:eastAsia="SimSun" w:cs="SimSun"/>
                <w:color w:val="000000"/>
                <w:sz w:val="18"/>
              </w:rPr>
              <w:t xml:space="preserve">围栏内侧铺设一圈木地板，材质为防腐木。（以上所有尺寸按现场实际需求最终确定）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11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系统对接及单点登入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对接及单点登入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1、支持其他系统纳入统一身份认证，实现单点登录。</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2、所有监测数据要能够上传苏农云及招标人指定的相关系统，</w:t>
            </w:r>
            <w:r>
              <w:rPr>
                <w:rFonts w:ascii="SimSun" w:hAnsi="SimSun" w:eastAsia="SimSun" w:cs="SimSun"/>
                <w:b/>
                <w:color w:val="000000"/>
                <w:sz w:val="18"/>
              </w:rPr>
              <w:t xml:space="preserve">提供承诺函并加盖投标人公章。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9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8"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1.示范种植区设备安装工费；</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2.项目弱电施工，包括综合布线、监控系统、弱电系统集成等。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 w:type="dxa"/>
            <w:vAlign w:val="center"/>
            <w:textDirection w:val="lrTb"/>
            <w:noWrap w:val="false"/>
          </w:tcPr>
          <w:p>
            <w:pPr>
              <w:spacing w:before="0" w:after="0" w:line="57" w:lineRule="atLeast"/>
            </w:p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投标文件的编制要求及参考格式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1.</w:t>
      </w:r>
      <w:r>
        <w:rPr>
          <w:rFonts w:ascii="SimHei" w:hAnsi="SimHei" w:eastAsia="SimHei" w:cs="SimHei"/>
          <w:color w:val="000000"/>
          <w:sz w:val="32"/>
        </w:rPr>
        <w:t xml:space="preserve">投标文件的组成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见本招标文件第二章</w:t>
      </w:r>
      <w:r>
        <w:rPr>
          <w:rFonts w:ascii="SimSun" w:hAnsi="SimSun" w:eastAsia="SimSun" w:cs="SimSun"/>
          <w:color w:val="000000"/>
          <w:sz w:val="28"/>
        </w:rPr>
        <w:t xml:space="preserve">3.1</w:t>
      </w:r>
      <w:r>
        <w:rPr>
          <w:rFonts w:ascii="SimSun" w:hAnsi="SimSun" w:eastAsia="SimSun" w:cs="SimSun"/>
          <w:color w:val="000000"/>
          <w:sz w:val="28"/>
          <w:u w:val="none"/>
        </w:rPr>
        <w:t xml:space="preserve">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2.投标文件的编制内容及编制要求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2.1开标一览表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2.1.1 投标人应按表中格式完整、清晰、正确填写；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2.1.2开标一览表中的价格应与投标文件中投标报价明细表中的价格一致。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2.1.3开标一览表格式见附件。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 投标函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2.2.1投标人应按表中规定格式完整、清晰、正确填写；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2.2.2投标函必须加盖投标人法人公章并经法定代表人签字或签章。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2.3投标报价明细表及分析说明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2.3.1投标人必须按表中规定格式完整、清晰、正确填写，表格中各项可进一步细分，栏数不够可自行添加。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2.3.2投标报价构成表及分析说明见附件。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2.4资格条件证明文件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（1）投标人基本资格条件承诺函；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（2）招标文件要求的其他资格条件证明材料。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2.5采购需求响应表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投标人应仔细阅读招标文件第四章采购需求，结合自身的实际情况，如实编制，格式附后。</w:t>
      </w:r>
      <w:r>
        <w:rPr>
          <w:rFonts w:ascii="SimSun" w:hAnsi="SimSun" w:eastAsia="SimSun" w:cs="SimSun"/>
          <w:b/>
          <w:color w:val="000000"/>
          <w:sz w:val="28"/>
        </w:rPr>
        <w:t xml:space="preserve">采购需求响应表须详细说明实际提供的货物、服务及其他采购需求中相关要求的响应情况。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2.6投标人认为应列入投标文件的其他材料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投标人应对照第三章评标办法中的评审因素，结合自身的实际情况，如实编制，格式自拟。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3. </w:t>
      </w:r>
      <w:r>
        <w:rPr>
          <w:rFonts w:ascii="SimHei" w:hAnsi="SimHei" w:eastAsia="SimHei" w:cs="SimHei"/>
          <w:color w:val="000000"/>
          <w:sz w:val="32"/>
        </w:rPr>
        <w:t xml:space="preserve">投标文件参考格式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3.1投标文件封面格式</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投标文件</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采购项目名称：</w:t>
      </w:r>
      <w:r/>
    </w:p>
    <w:p>
      <w:pPr>
        <w:ind w:left="0" w:right="0" w:firstLine="2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采购项目编号：</w:t>
      </w:r>
      <w:r/>
    </w:p>
    <w:p>
      <w:pPr>
        <w:ind w:left="0" w:right="0" w:firstLine="12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52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w:t>
      </w:r>
      <w:r>
        <w:rPr>
          <w:rFonts w:ascii="SimSun" w:hAnsi="SimSun" w:eastAsia="SimSun" w:cs="SimSun"/>
          <w:color w:val="000000"/>
          <w:sz w:val="28"/>
          <w:u w:val="single"/>
        </w:rPr>
        <w:t xml:space="preserve">（盖法人章）</w:t>
      </w:r>
      <w:r/>
    </w:p>
    <w:p>
      <w:pPr>
        <w:ind w:left="0" w:right="0" w:firstLine="252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w:t>
      </w:r>
      <w:r/>
    </w:p>
    <w:p>
      <w:pPr>
        <w:ind w:left="0" w:right="0" w:firstLine="2520"/>
        <w:jc w:val="both"/>
        <w:spacing w:before="0" w:after="0" w:line="400"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日期：______年____月____日</w:t>
      </w:r>
      <w:r/>
    </w:p>
    <w:p>
      <w:pPr>
        <w:ind w:left="0" w:right="0"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3.2开标一览表</w:t>
      </w:r>
      <w:r/>
    </w:p>
    <w:p>
      <w:pPr>
        <w:ind w:left="0" w:right="0" w:firstLine="843"/>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843"/>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843"/>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按“江苏省政府采购管理交易系统（苏采云）”中格式填写。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3.3投标函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(招标人名称)</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招标文件的所有条款要求，遵照《中华人民共和国政府采购法》、《中华人民共和国政府采购法实施条例》等有关规定，我方承诺如下：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1、如我方中标，我方将按招标文件的规定履行合同责任和义务。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2、合同履行期限：</w:t>
      </w:r>
      <w:r>
        <w:rPr>
          <w:rFonts w:ascii="SimSun" w:hAnsi="SimSun" w:eastAsia="SimSun" w:cs="SimSun"/>
          <w:color w:val="000000"/>
          <w:sz w:val="28"/>
          <w:u w:val="single"/>
        </w:rPr>
        <w:t xml:space="preserve"> 合同签订后30日历天交付使用。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3、投标有效期：</w:t>
      </w:r>
      <w:r>
        <w:rPr>
          <w:rFonts w:ascii="SimSun" w:hAnsi="SimSun" w:eastAsia="SimSun" w:cs="SimSun"/>
          <w:color w:val="000000"/>
          <w:sz w:val="28"/>
          <w:u w:val="single"/>
        </w:rPr>
        <w:t xml:space="preserve"> 60天 </w:t>
      </w:r>
      <w:r>
        <w:rPr>
          <w:rFonts w:ascii="SimSun" w:hAnsi="SimSun" w:eastAsia="SimSun" w:cs="SimSun"/>
          <w:color w:val="000000"/>
          <w:sz w:val="28"/>
        </w:rPr>
        <w:t xml:space="preserve">。在投标有效期内我方同意遵守本投标文件中的承诺且在此期限期满之前投标文件对我方具有法律约束力。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4、我方已详细审查全部招标文件。我们完全理解并同意放弃对这方面有不明及误解的权力。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56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投标人名称(盖法人章)：</w:t>
      </w:r>
      <w:r/>
    </w:p>
    <w:p>
      <w:pPr>
        <w:ind w:left="0" w:right="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(签字或签章)：</w:t>
      </w:r>
      <w:r/>
    </w:p>
    <w:p>
      <w:pPr>
        <w:ind w:left="0" w:right="0" w:firstLine="30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3.4投标报价明细表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yellow"/>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投标报价明细表                       （单位：元）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5"/>
        <w:gridCol w:w="666"/>
        <w:gridCol w:w="610"/>
        <w:gridCol w:w="5741"/>
        <w:gridCol w:w="421"/>
        <w:gridCol w:w="277"/>
        <w:gridCol w:w="587"/>
        <w:gridCol w:w="583"/>
      </w:tblGrid>
      <w:tr>
        <w:trPr>
          <w:trHeight w:val="742"/>
        </w:trPr>
        <w:tc>
          <w:tcPr>
            <w:shd w:val="clear" w:color="e7e6e6" w:fill="e7e6e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项目名称</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设备名称</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参数</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r>
            <w:r/>
          </w:p>
        </w:tc>
        <w:tc>
          <w:tcPr>
            <w:shd w:val="clear" w:color="e7e6e6" w:fill="e7e6e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合价</w:t>
            </w:r>
            <w:r/>
          </w:p>
        </w:tc>
      </w:tr>
      <w:tr>
        <w:trPr>
          <w:trHeight w:val="5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土壤</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土壤</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监测站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1、土壤温湿度传感器：通过实时监测土壤温湿度情况，可以帮助种植户及时了解田间土壤墒情状况，合理施肥、灌溉，提高农作物的产量和品质。土壤湿度测量范围：0 - 100 %；土壤温度测量范围：-40 - 80 ºC。</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2、土壤pH值传感器：实时监测土壤pH情况，助力种植户及时了解田间土壤酸碱度状况，及时介入调控，助力农作物增产提质。量程：0~14PH；</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3、氮磷钾传感器：实时监测土壤氮磷钾情况，助力种植户及时了解田间土壤肥力状况，合理施肥，助力农作物增产提质。量程：0-1999mg/kg；</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4、管式多层土壤墒情监测仪：测量各土层温度。默认同时测量10cm（0cm-20cm）、30cm（20cm-40cm）、50cm（40cm-60cm)、80cm（60cm-100cm)土层的温度和湿度，适用于具有代表性土壤的长期不间断监测:</w:t>
              <w:br/>
              <w:t xml:space="preserve"> 4-1、土壤水分(体积含水量)测量范围:干土~水分饱和土，实验室测量精度:±3%，野外测量精度:±5%，湿度分辨率:0.1%；</w:t>
              <w:br/>
              <w:t xml:space="preserve"> 4-2、温度测量范围:-40℃~80℃，测量精度±2℃，温度分辨率:0.1°C；</w:t>
              <w:br/>
              <w:t xml:space="preserve"> 4-3、供电方式:太阳能供电;</w:t>
              <w:br/>
              <w:t xml:space="preserve"> 4-4、无线通讯。通讯</w:t>
            </w:r>
            <w:r>
              <w:rPr>
                <w:rFonts w:ascii="SimSun" w:hAnsi="SimSun" w:eastAsia="SimSun" w:cs="SimSun"/>
                <w:color w:val="000000"/>
                <w:sz w:val="18"/>
              </w:rPr>
              <w:t xml:space="preserve">方式:RS485通讯，MODBUS通讯协议，(波特率9600可设，地址0-255可设)；</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5、数据采集终端：采集模块，通过无线方式组建的局域网，将数据传输到数据采集网关位置，再由数据采集网关上传到云端，实现数据云监测。</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6、太阳能供电：传感器供电，太阳能板30W，电池12V9A。</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7、监测立杆：立杆高度1.5米，热镀锌防腐处理。</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8、监测柜：防水设计 300mm*250mm*150mm（含内部插座、空开等电器件）。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9、支架等辅材：配套安装需要的电线、套管、支架等辅材材料。</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10、通讯模块：物联网专用卡1G/月,3年。</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11、▲提供相关仪器校准报告原件彩色扫描件。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12、▲提供相关软件著作权登记证书原件彩色扫描件。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气象监测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农业小环境气象监测站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1、气象七合一传感器：1-1.气象站具备IP67级别防水，12-24V DC。</w:t>
              <w:br/>
              <w:t xml:space="preserve"> 1-2.风速：测量范围0-75 m/s，分辨率 0.1 m/s，测量精度±0.1 m/s。</w:t>
              <w:br/>
              <w:t xml:space="preserve"> 1-3.风向：测量范围0°~ 360°，分辨率 0.1°，测量精度±1°。 </w:t>
              <w:br/>
              <w:t xml:space="preserve"> 1-4.大气压力：测量范围 300-1250 hPa，分辨率0.1 hPa ，测量精度±1hPa 。</w:t>
              <w:br/>
              <w:t xml:space="preserve"> 1-5.空气温度:温度范围-40°C～85℃，分辨率0.01℃ ，测量精度 ±0.1℃。</w:t>
              <w:br/>
              <w:t xml:space="preserve"> 1-6.空气湿度:湿度测量范围0-100%RH ，分辨率0.</w:t>
            </w:r>
            <w:r>
              <w:rPr>
                <w:rFonts w:ascii="SimSun" w:hAnsi="SimSun" w:eastAsia="SimSun" w:cs="SimSun"/>
                <w:color w:val="000000"/>
                <w:sz w:val="18"/>
              </w:rPr>
              <w:t xml:space="preserve">01%RH ，测量精度±1.5%RH。</w:t>
              <w:br/>
              <w:t xml:space="preserve"> 1-7.光照强度：测量范围0-20W Lux，分辨率1 Lux ，测量精度±2%。</w:t>
              <w:br/>
              <w:t xml:space="preserve"> 1-8.雨量：测量范围0-9999mm，分辨率0.1mm ，测量精度±0.1mm。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2、数据采集终端：采集模块，通过无线方式组建的局域网，将数据传输到数据采集网关位置，再由数据采集网关上传到云端，实现数据云监测。</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3、设备监测箱：防水设计300mm*400mm*180mm（含内部插座、空开等电器件）。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4、专用立杆：立杆高度 3 米，热镀锌防腐处理。配套安装需要的电线、套管、支架等辅材材料。</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5、太阳能供电：DC24V太阳能板。100A蓄电池，蓄电池盒。</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6、通讯模块：物联网专用卡1G/月,3年。</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7、▲气象数据监测相关系统软件著作权登记证书原件彩色扫描件。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现场数据展示屏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室外大田数据显示屏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输出信号：RS485(标准ModBus通讯协议)。</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显示屏尺寸：1.05米*0.57米。</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规格：320*160模组，单块分辨率32*16。</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分辨率：整屏分辨率96*48。</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9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5G智能无人巡田眼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固定高清鹰眼摄像头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1600万180°鹰眼_400万40倍_卫星定位</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1600万180° 无盲区球型鹰眼，全景采用4个F1.0大光圈全彩镜头拼接而成，可输出180°大场景拼接画面</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全景画面可支持关注区域畸变矫正，细节内置40倍变焦镜头</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全景智能：Smart事件、人员密度、车辆拥堵；细节智能：全结构化、Smart事件、普通监控（高帧率）；</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1、全景摄像机 4个1/1.8＂ 4MP Progressive Scan CMOS，最高分辨率及帧率可达6072x2640@30fps</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视场角：水平180°，垂直110°</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星光级超低照度，0.0005Lux/F1.0（彩色），0.0001Lux/F1.0（黑白）</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2、细节摄像机 1/1.8＂ 4MP Progressive Scan CMOS，最高分辨率及帧率可达2688x1520@30fps</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星光级超低照度，0.0005Lux/F1.2（彩色），0.0001Lux/F1.2（黑白），0 Lux with IR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40倍光学变倍，16倍数字变倍</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水平360°连续旋转，垂直-15°-90°（自动翻转）</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采用高效红外阵列，低功耗，照射距离最远可达300m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3、系统参数</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【全景】支持区域入侵侦测、越界侦测、进入区域、离开区域事件侦测功能</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【全景】支持人员密度检测功能，检测覆盖范围半径100米</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【全景】支持车辆拥堵检测功能，检测覆盖范围半径150米，推荐：在封闭式道路中可以做拥堵事件检测，推荐在高速、环线、快速路或者主干线</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【细节】支持区域入侵侦测、越界侦测、进入区域、离开区域事件侦测功能</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【细节】支持全结构化：支持细节路混合目标检测，对检测区域内的人、非机动车、车进行同时抓拍上传，人脸人体关联输出，并实现对人脸、人体、车辆结构化属性特征信息提取</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支持点击联动功能，通过在客户端点击或者框选全景摄像机画面任意位置，细节跟踪摄像机可自动通过云台调整与变焦，将该区域置于画面中心。</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支持目标自动跟踪功能，通过设置智能事件规则，对设定区域内触发事件的运动目标在设定的跟踪时间内进行持续稳定跟踪。并可在跟踪过程中手动切换跟踪目标</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支持手动选择跟踪目标，在设定跟踪时间内进行持续稳定跟踪</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光口（FC）+电口(RJ-45)网络接口设计</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支持GB35114A级安全加密</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AI-ISP：细节球机采用去噪卷积神经网络将深度结构、学习算法用于图像去噪，最终使画面成像更新清晰，噪点更小图像更干净。</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支持北斗或其他卫星定位系统</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传感器类型：【全景】1/1.8＂ progressive scan CMOS,【细节】1/1.8＂ progressive scan CMOS</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最低照度：【全景】0.0005Lux/F1.0（彩色），0.0001Lux/F1.0（黑白）；【细节】星光级超低照度，0.0005Lux/F1.2（彩色），0.0001Lux/F1.2（黑白），0 Lux with IR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宽动态：全景不支持，细节支持120dB超宽动态</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光学变倍：40倍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焦距：【全景】2 mm；【细节】6~240 mm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视场角：水平视场角</w:t>
              <w:tab/>
              <w:t xml:space="preserve">56.6-1.8度(广角-望远)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垂直视场角</w:t>
              <w:tab/>
              <w:t xml:space="preserve">33.7-1.0度(广角-望远)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对角线视场角</w:t>
              <w:tab/>
              <w:t xml:space="preserve">63.4-2.0度(广角-望远)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红外照射距离：300m  防补光过曝：支持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水平范围：360°垂直范围：-15°-90°(自动翻转)</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水平速度：水平键控速度：0.1°-500°/s,速度可设;水平预置点速度：500°/s 垂直速度：垂直键控速度：0.1°-350°/s,速度可设;垂直预置点速度：350°/s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主码流帧率分辨率：全景：50Hz: 25fps (6072x2640,5520×2400, 4096×1800,3840×1680, 2784×1200) 60Hz: 30fps (6072x2640，5520×2400, 4096×1800，3840×1680, 2784×1200)</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细节：50Hz:25fps (2688x1520，2560x1440,1920×1080,1280×960,1280x720) 60Hz:30fps （2688x1520，2560x1440,1920x1080,1280x960,1280x720)</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视频压缩标准：H.265;H.264;MJPEG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卫星定位：支持北斗或其他卫星定位系统 陀螺仪：支持 电子罗盘：支持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SD卡扩展：内置Micro SD卡插槽，支持Micro SD/Micro SDHC/Micro SDXC卡（最大支持512G）</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RS485接口：采用半双工模式，支持自适应HIKVISION，PELCO-P和PELCO-D(可添加)协议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供电方式：DC36V；  整机平均功耗75w.最大功耗 90w</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工作温湿度：-40℃-70℃;湿度小于90%</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恢复出厂设置：支持 除雾：支持</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尺寸：Φ427.6x425.9mm 重量：净重 14.6kg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防护：IP67; 6000V 防雷、防浪涌、防突波，符合GB/T17626.2/3/4/5/6四级标准</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▲内置不少于3个GPU芯片。细节通道内置镜头支持不小于40倍光学变倍，镜头最大焦距不小于240mm。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▲设备具有不少于1个RJ45网络接口、1个光纤接口、7路报警输入、2路报警输出、1路音频输入、1路音频输出。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▲全景通道内置4个镜头、靶面尺寸不小于1/1.8英寸的CMOS传感器，细节通道内置1个镜头，靶面尺寸不小于1/1.8英寸的CMOS传感器。</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注：带▲号条款须提供公安部出具的检验报告证明原件彩色扫描件。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附件及辅材：</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专用支架：鹰眼高清摄像机专用支架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硬盘录像机：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存储接口：5个SATA接口，支持满配20TB硬盘；</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视频接口：2×HDMI，1×VGA。</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网络接口：2×RJ45 10/100/1000Mbps自适应以太网口</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报警接口：16路报警输入，4路报警输出。</w:t>
              <w:br/>
              <w:t xml:space="preserve">反向供电：1路DC12V 1A</w:t>
              <w:br/>
              <w:t xml:space="preserve">串行接口：1路RS-232接口，1路全双工RS-485接口</w:t>
              <w:br/>
              <w:t xml:space="preserve"> USB接口：2×USB 2.0，1×USB 3.0</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硬盘：8T数据硬盘；交换机：5口千兆交换机；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监控柜：防水设计300mm*400mm*180mm（含内部插座、空开等电器件）。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立杆：立杆，高度9米，主杆板厚8mm；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熔纤盒（含尾纤）；千兆光纤收发器；室外4星光纤。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农情、苗情监测站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智能高速球型摄像机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400万像素红外网络高清球机， 支持4G（移动、联通，电信）网络传输</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支持1/2.8" 400万23倍光学变焦镜头，采用高效补光阵列，低功耗，红外补光100m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具有300个预置位，设备可按照所设置的预置位完成8条巡航路径，可按照所设置轨迹完成4条模式路径；在控制云镜时，可实现RS485接口优先或RJ45网络接口优先控制功能。设备具有1个SIM卡插槽。支持区域入侵侦测，越界侦测，进入区域侦测和离开区域侦测等智能侦测</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适用于农田、森林，河道、水库、矿区、野外等场景</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可对镜头前盖玻璃进行加热，去除玻璃上的冰状和水状附着物。</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支持超低照度，0.005 Lux @F1.6（彩色），0.001 Lux @F1.6（黑白），0 Lux with IR</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球机专用立杆：高度 5 米，热镀锌防腐处理。</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监控柜：防水设计 300mm*400mm*180mm（含内部插座、空开等电器件）。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太阳能板：传感器供电，太阳能板50W。储能电池：100A蓄电池。</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存储卡：256G视频存储卡。</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视频流量卡：10G/月，3年。</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设备基础、配套管线等辅材。</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▲丢包率为20%的网络环境下，仍可正常显示监视画面。</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▲设备应符合IP66的规定，温度65℃、-30℃，持续时间24h，试验期间设备处于工作状态，试验后设备应能正常工作,需支持DC12V供电。</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注：带▲号条款须提供公安部出具的检验报告证明原件彩色扫描件。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农业遥感无人机（含机巢及数据分析管理系统）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农业遥感无人机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集成1个2000万像素可见光相机及4个500万像素的多光谱相机(绿光、红光，红边及近红外)，实现自动巡田，作物生长检测等应用。</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、飞行器</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起飞重量（无配件）：≤1000g；折叠后尺寸（长×宽×高）：≤225×100×130mm；对角线轴距：≥380 mm；最大信号有效距离（无干扰、无遮挡）：≥15km；最长飞行时间：≥40 分钟；最大可抗风速：≥12m/s；</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全向感知系统：飞行器的前、后、左、右、上、下均具备视觉或红外避障传感器，能够在探测到障碍物时在App上进行提醒，并自动减速刹车；</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GNSS：支持GPS+GLONASS+BEIDOU，支持单北斗模式；</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工作环境温度：工作温度范围覆盖-10°C 至 40°C；</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GNSS定位悬停精度：垂直≤0.5 m，水平≤0.5 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视觉定位悬停精度：垂直≤0.1 m，水平≤0.1 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展开时间：从携行状态到起飞状态的展开时间≤30s；</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最大上升速度：≥6 m/s；最大下降速度：≥6 m/s ；</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最大水平飞行速度：≥15m/s；最大飞行海拔高度：≥6000 米；</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降落保护：在自主降落过程中，无人机飞行器能够检测下方地形.当下方地形为不平整地面或水面，飞行器保持悬停，同时通过地面站软件向用户发出警示信息；</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具备飞行器自检功能；具备低电量自动返航功能；具备信号丢失自动返航功能。</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 、可见光相机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可见光相机CMOS：具备可见光测绘相机，相机CMOS不低于4/3英寸；</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可见光相机像素：有效像素不低于2000万；</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可见光相机像元尺寸：像元尺寸不小于3.3um；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可见光相机机械快门：相机具有机械快门；</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可见光相机连续拍照间隔：最短连续拍照间隔不低于0.7秒；</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可见光相机内参标定：提供内参标定参数。</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 、多光谱相机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多光谱相机：除可见光相机外，应具备绿、红、红边、近红外多光谱相机；</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多光谱相机有效像素：多光谱相机有效像素不低于500万；</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绿波段多光谱相机波段范围：绿波段多光谱相机波段在560nm± 16nm；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红波段多光谱相机波段范围：红波段多光谱相机波段在650nm± 16nm；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红边波段多光谱相机波段范围：红边波段多光谱相机波段在730nm± 16nm；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近红外波段多光谱相机波段范围：近红外波段多光谱相机波段在860nm± 16nm。</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 、航线软件功能</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航线功能：支持航点、正射、倾斜、航带、仿地等多种航线作业类型；</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实时仿地：无人机可实现自主实时仿地；</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实时NDVI：支持实时NDVI植被指数查看；</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可见光测绘：可单独使用可见光相机进行测绘作业；</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密码保护:支持通过密码保护无人机机身存储的图像视频数据；</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5、图传：工作频段：支持2.4G、5.8G图传；4G增强图传：支持4G dongle。</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6、堵转保护：正在空转的电机被堵转后，1 秒内驱动器应切入保护状态，将电流降低到安全电流内。整个过程中驱动器应保证超过安全电流的时间总和不超过 0.2 秒。</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7、温升：产品在正常工作条件下，其外壳温度不应超过 65℃，机内发热部件连续工作4h 后，其温升不应超过该部件的规定。</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▲8、高温储存：样品状态：不通电，不包装； 试验温度：(45±2)℃ ；试验时间：8h ；恢复时间：1h ；试验后，设备能稳定工作，各模块无工作异常。</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▲9、高温工作：样品状态：通电工作；试验温度：(40±2)℃ ；试验时间：12h ；恢复时间：1h；试验中和试验后，设备能稳定工作，各模块无工作异常。</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▲10、低温储存：样品状态：不通电，不包装；试验温度：(10±2)℃ ；试验时间：8h；恢复时间：1h；试验后，设备能稳定工作，各模块无工工作异常。</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▲11、盐雾：样品状态：不包装，不工作；盐雾试验条件：试验箱温度：（35±2）℃；氯化钠溶液质量百分比浓度：5%±1%；PH 值：6.5 ～ 7.2；盐雾沉降量（ml/80cm2/h）：1.0～2.0；喷雾方式：连续喷雾；喷雾时间：盐雾试验 8 小时；试验后，样品应能够正常工作。</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12、无人机设备包含3年保险。</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注：带▲号条款须提供具有CNAS或CMA标识的检验或检测报告原件彩色扫描件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vMerge w:val="restart"/>
            <w:textDirection w:val="lrTb"/>
            <w:noWrap/>
          </w:tcPr>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vMerge w:val="restart"/>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vMerge w:val="restart"/>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无人值守机场（机巢）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1.功能：支持无人机自动起降、自主充电；航拍数据自动回传：支持7×24小时无人值守作业；</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2.尺寸：≥640mm×745mm×465 mm；重量:≥55kg；电源：220V市电；</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3.气象监测指标：空气温度、空气湿度、雨量、风速；</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4.工作环境：-40℃至55℃；</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5.防护等级：≥IP55；</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6.机库同步具备气象参数数据采集功能，同时支持自定义云设置</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7.机场控制与数据管理需支持接入苏农云平台；</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▲8.图传延时：≤1.0秒；（提供具有CNAS或CMA标识的检验或检测报告原件彩色扫描件）</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▲9.数据传输：支持可见光、多光谱4波段（绿/红/红边/近红外）航拍图像远程自主回传。（提供系统截图并加盖投标人公章）</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7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无人机智能巡田飞控分析软件服务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1.终端设备管理：机巢与无人机设备信息维护；机巢及飞机位置（经纬度）、状态显示；飞行情况统计；</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2.飞行控制管理：飞行控制（一键起飞或进仓/出仓等指令）；无人机航线规划；巡飞定时任务计划管理；</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3.飞行记录管理：飞行任务列表；飞行轨迹回溯；无人机实时状态（速度、高度、时长、风力、充电状态）；无人机及机巢实时影像（舱内、舱外）；航拍图片查看；</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4.影像拼接制图：可见光、NDVI正射影像制图；</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5.农情分析：农情分析结果查看；农情分析报告下载；综合决策建议；</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6.基础配置管理：设备信息维护，地块信息维护，算法库配置；</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7.算法包含：长势、倒伏、苗情、产量等四种专业算法模型和处方；</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支持飞行控制、航线规划、图像拼接、农情（长势、苗情、产量、倒伏等）分析等功能在同一平台内，并实现数据与省级管控平台（“苏农云”）实现接口级对接；（提供承诺函和系统截图并加盖投标人公章）</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评标现场以视频形式，演示农业作业管控，支持无人机巡田管控；支持无人机提供航线、任务设计与同步功能，支持按任务计划自动飞行，能实时监测无人机运行状态、任务执行进度及环境感知数据，并提供远程关舱、紧急返航等应急处置操作，实现巡飞过程视频实时监控与作业数据即时回传；支持无人机巢可视化呈现与设备信息维护；支持拍摄影像拼接制图一键式快速发起，可同步显示可见光、NDVI等部分常用多光谱拼图结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病虫害自动监测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智能虫情测报灯（小虫体）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1、采用光、电、数控技术，远程自动控制。有防雨百叶，下雨天可以正常工作，正常捕虫；</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内置2000W高清工业摄像机，对稻飞虱进行活体拍照，针对飞虱类害虫进行自动识别计数，通过AI自动识别包含褐飞虱、白背飞虱等。识别准确率≥85%；（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可远程设置工作模式，通过PC云端及手机APP端能远程自动拍照和手动拍照，工业彩色手触摸屏显示与操作，屏幕尺寸≥7寸，安卓或其他系统智能控制。全中文液晶显示，可分时段设置和控制，自动拍照和手动拍照均可。</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▲4、对灰飞虱、白背飞虱等小虫体进行活体拍照，虫体完整率≥95%；（提供具有CNAS或CMA标识的检验或检测报告原件彩色扫描件）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▲5、设备可以远程手动控制诱虫灯开启、诱虫灯条开启、翻板旋转、风扇开启、相机拍照等功能；（提供具有CNAS或CMA标识的检验或检测报告原件彩色扫描件）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6、图像处理：可实现对拍摄画面的图像处理，包括但不限于画面分割、切换处理及保存等功能。图片保存质量可满足虫体人工手动计数的识别需求。</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7、内置GPS或其他定位功能，可在地图中查看设备站点等数据。在PC云端地图中查看设备站点等数据，设备被盗可追踪。</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光控控制：晚上自动开灯运行，白天自动关灯（待机），在夜间工作状态下，不受瞬间强光照射改变工作状态。时段控制：根据靶标害虫生活习性规律，设定工作时间段。雨控装置：可按外界天气变化自动控制设备工作；</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9、虫子收集储存技术：对拍完照的虫子，需要保留标本的留在储存袋内，人工定期去收集；对于不需要标本的，虫子直接排出机器外部；</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10、电源：太阳能供电，直流12v；灯管启动时间：开机后小于5秒；绝缘电阻：大于2.5MΩ；</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11、将捕获到的昆虫进行统计分析，绘制出作物虫害的发生趋势与发生轨迹，并确定其发生源头，以此为数据基础，结合相关作物生长因子、气象因子实现作物虫害的预测预警；</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虫害爆发分析模型：将捕获到的昆虫进行统计分析，绘制出虫害的发生趋势与发生轨迹，并确定其发生源头，以此为数据基础实现病虫害的预测预警；（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13、具备标准化数据输出接口，支持与国家级、省级、市级、县区级和当地相关信息调度管理平台实现无缝对接；</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▲14、作物产量评估模型：根据虫害、天气、土壤、作物、站点、农事等数据，实现作物整个生育期内各指标的模拟；（提供具有CNAS或CMA标识的检验或检测报告原件彩色扫描件）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15、无需安装 App，关注微信公众号，即可接收设备诱虫信息推送:包括灯下成虫首现信息和每日诱虫数据。根据账号权限，省市县数据三级贯通，按权限隔离。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spacing w:before="0" w:after="0" w:line="219" w:lineRule="atLeast"/>
              <w:tabs>
                <w:tab w:val="left" w:pos="4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病害自动监测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赤霉病（稻瘟病）自动监测站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▲1、通过对农田现场进行全天候监测，并通过 4G 无线传输至平台，可实现小麦赤霉病、水稻稻瘟病的预测预报，算法基于全国各水稻主产区多年病害发生数据及气象数据，经大数据建模计算而成；（提供具有CNAS或CMA标识的检验或检测报告原件彩色扫描件）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2、支持 PC 端与微信小程序实时查看设备预测结果，达到防治指标时微信小程序自动报警；</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3、可接入 “苏农云” 农业物联网板块，支持手机端监测预警；</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▲4.预测与防控：在病害关键防控时期前10天，自动预测病害发生情况，并同步生成科学的防控建议，为植保防控提供指导（提供具有CNAS或CMA标识的检验或检测报告原件彩色扫描件）</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5、系统可实现数据自动采集、远程传输、存储、分析与预警，支持无人值守运行；</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6、采用定制支架、螺杆固定，野外防护机箱耐酸碱、耐腐蚀，防护等级 IP67，抗冲击等级IK08；</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7、整机采用太阳能供电，供电系统包含单晶硅太阳能板、充电控制器、蓄电池。设备功耗 10mA，电池容量≥20Ah，太阳能板功率≥50W；单晶硅太阳能板功率≥55W，可在 - 40℃至 65℃气温下工作，连续阴雨天设备正常运行不低于 20 天；</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8、仪器具备远程调试功能，在无人值守的同时实现无缝监控；</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▲9、提供赤霉病（稻瘟病）相关硬件智能化系统软件著作权登记证书。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农产品快检设备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食品安全检测仪（含试剂）及操作台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numPr>
                <w:ilvl w:val="0"/>
                <w:numId w:val="4"/>
              </w:numP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设备参数：波长配置：410nm；抑制率显示范围：0%～100%；抑制率测量范围：0%～100%；透射比准确度：±1.5%；透射比重复性：≤0.5%；漂移：≤0.005Abs/3min；抑制率示值误差：≤10%；抑制率重复性：≤5%</w:t>
              <w:br/>
              <w:t xml:space="preserve"> 2、安卓或其他智能操作系统，仪器具有无线联网上传功能，进行数据统计和分析。</w:t>
              <w:br/>
              <w:t xml:space="preserve"> 3、仪器具有自检功能：具有开机自检和调零功能，具有自动检测重复性功能；同时，检测完成可自动打印检测报告和二维码。手机扫码可显示出详细检测信息。</w:t>
              <w:br/>
              <w:t xml:space="preserve"> 4、仪器带有监管平台，数据可局域网和互联网数据上传，检</w:t>
            </w:r>
            <w:r>
              <w:rPr>
                <w:rFonts w:ascii="SimSun" w:hAnsi="SimSun" w:eastAsia="SimSun" w:cs="SimSun"/>
                <w:color w:val="000000"/>
                <w:sz w:val="18"/>
              </w:rPr>
              <w:t xml:space="preserve">测结果直接传至食品安全监管平台。进行区域食品安全监管及大数据分析处理与数据统计，检测区域食品安全长短期动态，达到食品安全问题预估、预警。</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5、检测卡：黄曲霉素胶体金检测卡100个、呕吐物质胶体金检测卡100个、有机磷类其他农药残留胶体金检测卡300个。</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6、1-2米实验操作台，带实验室水龙头，水电配备到位；试剂柜。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设备基础平台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地块尺寸</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长</w:t>
            </w:r>
            <w:r>
              <w:rPr>
                <w:rFonts w:ascii="Times New Roman" w:hAnsi="Times New Roman" w:eastAsia="Times New Roman" w:cs="Times New Roman"/>
                <w:color w:val="000000"/>
                <w:sz w:val="18"/>
              </w:rPr>
              <w:t xml:space="preserve">25</w:t>
            </w:r>
            <w:r>
              <w:rPr>
                <w:rFonts w:ascii="SimSun" w:hAnsi="SimSun" w:eastAsia="SimSun" w:cs="SimSun"/>
                <w:color w:val="000000"/>
                <w:sz w:val="18"/>
              </w:rPr>
              <w:t xml:space="preserve">米、宽</w:t>
            </w:r>
            <w:r>
              <w:rPr>
                <w:rFonts w:ascii="Times New Roman" w:hAnsi="Times New Roman" w:eastAsia="Times New Roman" w:cs="Times New Roman"/>
                <w:color w:val="000000"/>
                <w:sz w:val="18"/>
              </w:rPr>
              <w:t xml:space="preserve">15</w:t>
            </w:r>
            <w:r>
              <w:rPr>
                <w:rFonts w:ascii="SimSun" w:hAnsi="SimSun" w:eastAsia="SimSun" w:cs="SimSun"/>
                <w:color w:val="000000"/>
                <w:sz w:val="18"/>
              </w:rPr>
              <w:t xml:space="preserve">米</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围栏建设</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四周新建围栏不少于</w:t>
            </w:r>
            <w:r>
              <w:rPr>
                <w:rFonts w:ascii="Times New Roman" w:hAnsi="Times New Roman" w:eastAsia="Times New Roman" w:cs="Times New Roman"/>
                <w:color w:val="000000"/>
                <w:sz w:val="18"/>
              </w:rPr>
              <w:t xml:space="preserve">128</w:t>
            </w:r>
            <w:r>
              <w:rPr>
                <w:rFonts w:ascii="SimSun" w:hAnsi="SimSun" w:eastAsia="SimSun" w:cs="SimSun"/>
                <w:color w:val="000000"/>
                <w:sz w:val="18"/>
              </w:rPr>
              <w:t xml:space="preserve">米，采用塑木材质</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门体配置</w:t>
            </w:r>
            <w:r>
              <w:rPr>
                <w:rFonts w:ascii="Times New Roman" w:hAnsi="Times New Roman" w:eastAsia="Times New Roman" w:cs="Times New Roman"/>
                <w:color w:val="000000"/>
                <w:sz w:val="18"/>
              </w:rPr>
              <w:t xml:space="preserve">:2</w:t>
            </w:r>
            <w:r>
              <w:rPr>
                <w:rFonts w:ascii="SimSun" w:hAnsi="SimSun" w:eastAsia="SimSun" w:cs="SimSun"/>
                <w:color w:val="000000"/>
                <w:sz w:val="18"/>
              </w:rPr>
              <w:t xml:space="preserve">套</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米宽人行门、</w:t>
            </w:r>
            <w:r>
              <w:rPr>
                <w:rFonts w:ascii="Times New Roman" w:hAnsi="Times New Roman" w:eastAsia="Times New Roman" w:cs="Times New Roman"/>
                <w:color w:val="000000"/>
                <w:sz w:val="18"/>
              </w:rPr>
              <w:t xml:space="preserve">1</w:t>
            </w:r>
            <w:r>
              <w:rPr>
                <w:rFonts w:ascii="SimSun" w:hAnsi="SimSun" w:eastAsia="SimSun" w:cs="SimSun"/>
                <w:color w:val="000000"/>
                <w:sz w:val="18"/>
              </w:rPr>
              <w:t xml:space="preserve">套</w:t>
            </w:r>
            <w:r>
              <w:rPr>
                <w:rFonts w:ascii="Times New Roman" w:hAnsi="Times New Roman" w:eastAsia="Times New Roman" w:cs="Times New Roman"/>
                <w:color w:val="000000"/>
                <w:sz w:val="18"/>
              </w:rPr>
              <w:t xml:space="preserve">3</w:t>
            </w:r>
            <w:r>
              <w:rPr>
                <w:rFonts w:ascii="SimSun" w:hAnsi="SimSun" w:eastAsia="SimSun" w:cs="SimSun"/>
                <w:color w:val="000000"/>
                <w:sz w:val="18"/>
              </w:rPr>
              <w:t xml:space="preserve">米宽机耕门</w:t>
            </w:r>
            <w:r>
              <w:rPr>
                <w:rFonts w:ascii="Times New Roman" w:hAnsi="Times New Roman" w:eastAsia="Times New Roman" w:cs="Times New Roman"/>
                <w:color w:val="000000"/>
                <w:sz w:val="18"/>
              </w:rPr>
              <w:t xml:space="preserve">(</w:t>
            </w:r>
            <w:r>
              <w:rPr>
                <w:rFonts w:ascii="SimSun" w:hAnsi="SimSun" w:eastAsia="SimSun" w:cs="SimSun"/>
                <w:color w:val="000000"/>
                <w:sz w:val="18"/>
              </w:rPr>
              <w:t xml:space="preserve">均为塑木材质</w:t>
            </w:r>
            <w:r>
              <w:rPr>
                <w:rFonts w:ascii="Times New Roman" w:hAnsi="Times New Roman" w:eastAsia="Times New Roman" w:cs="Times New Roman"/>
                <w:color w:val="000000"/>
                <w:sz w:val="18"/>
              </w:rPr>
              <w:t xml:space="preserve">)</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4.</w:t>
            </w:r>
            <w:r>
              <w:rPr>
                <w:rFonts w:ascii="SimSun" w:hAnsi="SimSun" w:eastAsia="SimSun" w:cs="SimSun"/>
                <w:color w:val="000000"/>
                <w:sz w:val="18"/>
              </w:rPr>
              <w:t xml:space="preserve">底部立柱及支撑平台均为轻钢龙骨焊接。</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5.</w:t>
            </w:r>
            <w:r>
              <w:rPr>
                <w:rFonts w:ascii="SimSun" w:hAnsi="SimSun" w:eastAsia="SimSun" w:cs="SimSun"/>
                <w:color w:val="000000"/>
                <w:sz w:val="18"/>
              </w:rPr>
              <w:t xml:space="preserve">内部设备安装平台含基础浇筑及木地板铺设。</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6.</w:t>
            </w:r>
            <w:r>
              <w:rPr>
                <w:rFonts w:ascii="SimSun" w:hAnsi="SimSun" w:eastAsia="SimSun" w:cs="SimSun"/>
                <w:color w:val="000000"/>
                <w:sz w:val="18"/>
              </w:rPr>
              <w:t xml:space="preserve">围栏围</w:t>
            </w:r>
            <w:r>
              <w:rPr>
                <w:rFonts w:ascii="Times New Roman" w:hAnsi="Times New Roman" w:eastAsia="Times New Roman" w:cs="Times New Roman"/>
                <w:color w:val="000000"/>
                <w:sz w:val="18"/>
              </w:rPr>
              <w:t xml:space="preserve">1.2</w:t>
            </w:r>
            <w:r>
              <w:rPr>
                <w:rFonts w:ascii="SimSun" w:hAnsi="SimSun" w:eastAsia="SimSun" w:cs="SimSun"/>
                <w:color w:val="000000"/>
                <w:sz w:val="18"/>
              </w:rPr>
              <w:t xml:space="preserve">米高，栅栏式（材质为塑木）</w:t>
            </w:r>
            <w:r/>
          </w:p>
          <w:p>
            <w:pPr>
              <w:ind w:left="0" w:right="0" w:firstLine="0"/>
              <w:jc w:val="both"/>
              <w:spacing w:before="0" w:after="0" w:line="2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7.</w:t>
            </w:r>
            <w:r>
              <w:rPr>
                <w:rFonts w:ascii="SimSun" w:hAnsi="SimSun" w:eastAsia="SimSun" w:cs="SimSun"/>
                <w:color w:val="000000"/>
                <w:sz w:val="18"/>
              </w:rPr>
              <w:t xml:space="preserve">围栏内侧铺设一圈木地板，材质为防腐木。（以上所有尺寸按现场实际需求最终确定）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1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系统对接及单点登入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对接及单点登入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1、支持其他系统纳入统一身份认证，实现单点登录。</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2、所有监测数据要能够上传苏农云及招标人指定的相关系统，</w:t>
            </w:r>
            <w:r>
              <w:rPr>
                <w:rFonts w:ascii="SimSun" w:hAnsi="SimSun" w:eastAsia="SimSun" w:cs="SimSun"/>
                <w:b/>
                <w:color w:val="000000"/>
                <w:sz w:val="18"/>
              </w:rPr>
              <w:t xml:space="preserve">提供承诺函并加盖投标人公章。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90"/>
              <w:jc w:val="both"/>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w:t>
            </w:r>
            <w:r/>
          </w:p>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1" w:type="dxa"/>
            <w:vAlign w:val="center"/>
            <w:textDirection w:val="lrTb"/>
            <w:noWrap w:val="false"/>
          </w:tcPr>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1.示范种植区设备安装工费；</w:t>
            </w:r>
            <w:r/>
          </w:p>
          <w:p>
            <w:pPr>
              <w:ind w:left="0" w:right="0" w:firstLine="0"/>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2.项目弱电施工，包括综合布线、监控系统、弱电系统集成等。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7"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02" w:type="dxa"/>
            <w:vAlign w:val="center"/>
            <w:textDirection w:val="lrTb"/>
            <w:noWrap w:val="false"/>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0" w:after="0" w:line="2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60"/>
        <w:jc w:val="both"/>
        <w:spacing w:before="16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投标人名称(盖法人章)：</w:t>
      </w:r>
      <w:r/>
    </w:p>
    <w:p>
      <w:pPr>
        <w:ind w:left="0" w:right="0" w:firstLine="3360"/>
        <w:jc w:val="both"/>
        <w:spacing w:before="16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(签字或签章)：</w:t>
      </w:r>
      <w:r/>
    </w:p>
    <w:p>
      <w:pPr>
        <w:ind w:left="0" w:right="0" w:firstLine="3360"/>
        <w:jc w:val="both"/>
        <w:spacing w:before="16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3.5投标人资格条件证明文件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（1）投标人基本资格条件承诺函</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投标人基本资格条件承诺函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一、按照《政府采购法》第二十二条规定的投标人基本资格条件，我公司郑重承诺如下：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1.我公司具有</w:t>
      </w:r>
      <w:r>
        <w:rPr>
          <w:rFonts w:ascii="SimSun" w:hAnsi="SimSun" w:eastAsia="SimSun" w:cs="SimSun"/>
          <w:color w:val="000000"/>
          <w:sz w:val="28"/>
          <w:highlight w:val="white"/>
        </w:rPr>
        <w:t xml:space="preserve">良好的商业信誉和健全的财务制度；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2.我公司具有履行合同所必须的设备和专业技术能力；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3.我公司具有依法缴纳税收和社会保障资金的良好记录；</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4.我公司参加政府采购活动前三年内，在经营活动中没有重大违法记录，无贿赂工作人员等违法记录；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5.我公司未列入在信用中国网站（www.creditchina.gov.cn）“失信被执行人”、“重大税收违法案件当事人名单”中，也未列入中国政府采购网（www.ccgp.gov.cn）“政府采购严重违法失信行为记录名单”中</w:t>
      </w:r>
      <w:r>
        <w:rPr>
          <w:rFonts w:ascii="SimSun" w:hAnsi="SimSun" w:eastAsia="SimSun" w:cs="SimSun"/>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二、</w:t>
      </w:r>
      <w:r>
        <w:rPr>
          <w:rFonts w:ascii="SimSun" w:hAnsi="SimSun" w:eastAsia="SimSun" w:cs="SimSun"/>
          <w:color w:val="000000"/>
          <w:sz w:val="28"/>
        </w:rPr>
        <w:t xml:space="preserve">我公司承诺：在本次投标过程中，我公司不存在本项目招标文件第二章第1.4.3条所列情形之一。</w:t>
      </w:r>
      <w:r/>
    </w:p>
    <w:p>
      <w:pPr>
        <w:ind w:left="0" w:right="0" w:firstLine="3920"/>
        <w:jc w:val="both"/>
        <w:spacing w:before="16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920"/>
        <w:jc w:val="both"/>
        <w:spacing w:before="16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投标人名称(盖法人章)：</w:t>
      </w:r>
      <w:r/>
    </w:p>
    <w:p>
      <w:pPr>
        <w:ind w:left="0" w:right="0" w:firstLine="3920"/>
        <w:jc w:val="both"/>
        <w:spacing w:before="16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 (签字或签章)：</w:t>
      </w:r>
      <w:r/>
    </w:p>
    <w:p>
      <w:pPr>
        <w:ind w:left="0" w:right="0" w:firstLine="3920"/>
        <w:jc w:val="both"/>
        <w:spacing w:before="166"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年  月   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（2）招标文件要求的其他资格条件及证明材料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1.具有有效的营业执照（附证书的扫描件）；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2.本项目的特定资格要求提供的证明材料（具体见招标公告要求）。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附件：中小企业声明函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56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本公司（联合体）郑重声明，根据《政府采购促进中小企业发展管理办法》（财库﹝2020﹞46 号）的规定，本公司（联合体）参加</w:t>
      </w:r>
      <w:r>
        <w:rPr>
          <w:rFonts w:ascii="SimSun" w:hAnsi="SimSun" w:eastAsia="SimSun" w:cs="SimSun"/>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采购活动，提供的货物全部由符合政策要求的中小企业制造。相关企业（含联合体中的中小企业、签订分包意向协议的中小企业）的具体情况如下：</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 </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（采购文件中明确的所属行业）行业</w:t>
      </w:r>
      <w:r>
        <w:rPr>
          <w:rFonts w:ascii="SimSun" w:hAnsi="SimSun" w:eastAsia="SimSun" w:cs="SimSun"/>
          <w:color w:val="000000"/>
          <w:sz w:val="28"/>
        </w:rPr>
        <w:t xml:space="preserve">；制造商为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r>
      <w:r>
        <w:rPr>
          <w:rFonts w:ascii="SimSun" w:hAnsi="SimSun" w:eastAsia="SimSun" w:cs="SimSun"/>
          <w:color w:val="000000"/>
          <w:sz w:val="28"/>
        </w:rPr>
        <w:t xml:space="preserve">万元1，属于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 </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（采购文件中明确的所属行业）行业</w:t>
      </w:r>
      <w:r>
        <w:rPr>
          <w:rFonts w:ascii="SimSun" w:hAnsi="SimSun" w:eastAsia="SimSun" w:cs="SimSun"/>
          <w:color w:val="000000"/>
          <w:sz w:val="28"/>
        </w:rPr>
        <w:t xml:space="preserve">；制造商为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49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w:t>
      </w:r>
      <w:r/>
    </w:p>
    <w:p>
      <w:pPr>
        <w:ind w:left="0" w:right="0" w:firstLine="49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562" w:right="0" w:hanging="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备注说明：</w:t>
      </w:r>
      <w:r/>
    </w:p>
    <w:p>
      <w:pPr>
        <w:ind w:left="562" w:right="0" w:hanging="56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1、从业人员、营业收入填报上一年度数据，无上一年度数据的新成立企业可不填报。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2、投标人未提供此声明函的，将无法享受价格优惠评审。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3、投标人提供的声明函内容不实的，属于提供虚假材料谋取中标，依照《中华人民共和国政府采购法》等国家有关规定追究相应责任。</w:t>
      </w:r>
      <w:r/>
    </w:p>
    <w:p>
      <w:pPr>
        <w:ind w:left="0" w:right="0" w:firstLine="560"/>
        <w:jc w:val="both"/>
        <w:spacing w:before="0" w:after="0" w:line="439" w:lineRule="atLeast"/>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关于符合本国产品标准的声明函</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u w:val="single"/>
        </w:rPr>
        <w:t xml:space="preserve">(产品名称1)</w:t>
      </w:r>
      <w:r>
        <w:rPr>
          <w:rFonts w:ascii="SimSun" w:hAnsi="SimSun" w:eastAsia="SimSun" w:cs="SimSun"/>
          <w:color w:val="000000"/>
          <w:sz w:val="28"/>
        </w:rPr>
        <w:t xml:space="preserve">，生产厂为</w:t>
      </w:r>
      <w:r>
        <w:rPr>
          <w:rFonts w:ascii="SimSun" w:hAnsi="SimSun" w:eastAsia="SimSun" w:cs="SimSun"/>
          <w:color w:val="000000"/>
          <w:sz w:val="28"/>
          <w:u w:val="single"/>
        </w:rPr>
        <w:t xml:space="preserve">(厂名)2</w:t>
      </w:r>
      <w:r>
        <w:rPr>
          <w:rFonts w:ascii="SimSun" w:hAnsi="SimSun" w:eastAsia="SimSun" w:cs="SimSun"/>
          <w:color w:val="000000"/>
          <w:sz w:val="28"/>
        </w:rPr>
        <w:t xml:space="preserve">，厂址为</w:t>
      </w:r>
      <w:r>
        <w:rPr>
          <w:rFonts w:ascii="SimSun" w:hAnsi="SimSun" w:eastAsia="SimSun" w:cs="SimSun"/>
          <w:color w:val="000000"/>
          <w:sz w:val="28"/>
          <w:u w:val="single"/>
        </w:rPr>
        <w:t xml:space="preserve">(生产厂址)</w:t>
      </w:r>
      <w:r>
        <w:rPr>
          <w:rFonts w:ascii="SimSun" w:hAnsi="SimSun" w:eastAsia="SimSun" w:cs="SimSun"/>
          <w:color w:val="000000"/>
          <w:sz w:val="28"/>
        </w:rPr>
        <w:t xml:space="preserve">。</w:t>
      </w:r>
      <w:r>
        <w:rPr>
          <w:rFonts w:ascii="SimSun" w:hAnsi="SimSun" w:eastAsia="SimSun" w:cs="SimSun"/>
          <w:color w:val="000000"/>
          <w:sz w:val="28"/>
          <w:u w:val="single"/>
        </w:rPr>
        <w:t xml:space="preserve">(产品名称1)</w:t>
      </w:r>
      <w:r>
        <w:rPr>
          <w:rFonts w:ascii="SimSun" w:hAnsi="SimSun" w:eastAsia="SimSun" w:cs="SimSun"/>
          <w:color w:val="000000"/>
          <w:sz w:val="28"/>
        </w:rPr>
        <w:t xml:space="preserve">的中国境内生产的组件成本占比≥</w:t>
      </w:r>
      <w:r>
        <w:rPr>
          <w:rFonts w:ascii="SimSun" w:hAnsi="SimSun" w:eastAsia="SimSun" w:cs="SimSun"/>
          <w:color w:val="000000"/>
          <w:sz w:val="28"/>
          <w:u w:val="single"/>
        </w:rPr>
        <w:t xml:space="preserve">(规定比例)</w:t>
      </w:r>
      <w:r>
        <w:rPr>
          <w:rFonts w:ascii="SimSun" w:hAnsi="SimSun" w:eastAsia="SimSun" w:cs="SimSun"/>
          <w:color w:val="000000"/>
          <w:sz w:val="28"/>
        </w:rPr>
        <w:t xml:space="preserve">。</w:t>
      </w:r>
      <w:r>
        <w:rPr>
          <w:rFonts w:ascii="SimSun" w:hAnsi="SimSun" w:eastAsia="SimSun" w:cs="SimSun"/>
          <w:color w:val="000000"/>
          <w:sz w:val="28"/>
          <w:u w:val="single"/>
        </w:rPr>
        <w:t xml:space="preserve">(产品名称1)</w:t>
      </w:r>
      <w:r>
        <w:rPr>
          <w:rFonts w:ascii="SimSun" w:hAnsi="SimSun" w:eastAsia="SimSun" w:cs="SimSun"/>
          <w:color w:val="000000"/>
          <w:sz w:val="28"/>
        </w:rPr>
        <w:t xml:space="preserve">的</w:t>
      </w:r>
      <w:r>
        <w:rPr>
          <w:rFonts w:ascii="SimSun" w:hAnsi="SimSun" w:eastAsia="SimSun" w:cs="SimSun"/>
          <w:color w:val="000000"/>
          <w:sz w:val="28"/>
          <w:u w:val="single"/>
        </w:rPr>
        <w:t xml:space="preserve">(关键组件)</w:t>
      </w:r>
      <w:r>
        <w:rPr>
          <w:rFonts w:ascii="SimSun" w:hAnsi="SimSun" w:eastAsia="SimSun" w:cs="SimSun"/>
          <w:color w:val="000000"/>
          <w:sz w:val="28"/>
        </w:rPr>
        <w:t xml:space="preserve">在中国境内生产。</w:t>
      </w:r>
      <w:r>
        <w:rPr>
          <w:rFonts w:ascii="SimSun" w:hAnsi="SimSun" w:eastAsia="SimSun" w:cs="SimSun"/>
          <w:color w:val="000000"/>
          <w:sz w:val="28"/>
          <w:u w:val="single"/>
        </w:rPr>
        <w:t xml:space="preserve">(产品名称1)</w:t>
      </w:r>
      <w:r>
        <w:rPr>
          <w:rFonts w:ascii="SimSun" w:hAnsi="SimSun" w:eastAsia="SimSun" w:cs="SimSun"/>
          <w:color w:val="000000"/>
          <w:sz w:val="28"/>
        </w:rPr>
        <w:t xml:space="preserve">的</w:t>
      </w:r>
      <w:r>
        <w:rPr>
          <w:rFonts w:ascii="SimSun" w:hAnsi="SimSun" w:eastAsia="SimSun" w:cs="SimSun"/>
          <w:color w:val="000000"/>
          <w:sz w:val="28"/>
          <w:u w:val="single"/>
        </w:rPr>
        <w:t xml:space="preserve">(关键工序)</w:t>
      </w:r>
      <w:r>
        <w:rPr>
          <w:rFonts w:ascii="SimSun" w:hAnsi="SimSun" w:eastAsia="SimSun" w:cs="SimSun"/>
          <w:color w:val="000000"/>
          <w:sz w:val="28"/>
        </w:rPr>
        <w:t xml:space="preserve">在中国境内完成。</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z w:val="28"/>
          <w:u w:val="single"/>
        </w:rPr>
        <w:t xml:space="preserve">(产品名称2)</w:t>
      </w:r>
      <w:r>
        <w:rPr>
          <w:rFonts w:ascii="SimSun" w:hAnsi="SimSun" w:eastAsia="SimSun" w:cs="SimSun"/>
          <w:color w:val="000000"/>
          <w:sz w:val="28"/>
        </w:rPr>
        <w:t xml:space="preserve">，生产厂为</w:t>
      </w:r>
      <w:r>
        <w:rPr>
          <w:rFonts w:ascii="SimSun" w:hAnsi="SimSun" w:eastAsia="SimSun" w:cs="SimSun"/>
          <w:color w:val="000000"/>
          <w:sz w:val="28"/>
          <w:u w:val="single"/>
        </w:rPr>
        <w:t xml:space="preserve">(厂名)</w:t>
      </w:r>
      <w:r>
        <w:rPr>
          <w:rFonts w:ascii="SimSun" w:hAnsi="SimSun" w:eastAsia="SimSun" w:cs="SimSun"/>
          <w:color w:val="000000"/>
          <w:sz w:val="28"/>
        </w:rPr>
        <w:t xml:space="preserve">，厂址为</w:t>
      </w:r>
      <w:r>
        <w:rPr>
          <w:rFonts w:ascii="SimSun" w:hAnsi="SimSun" w:eastAsia="SimSun" w:cs="SimSun"/>
          <w:color w:val="000000"/>
          <w:sz w:val="28"/>
          <w:u w:val="single"/>
        </w:rPr>
        <w:t xml:space="preserve">(生产厂址)</w:t>
      </w:r>
      <w:r>
        <w:rPr>
          <w:rFonts w:ascii="SimSun" w:hAnsi="SimSun" w:eastAsia="SimSun" w:cs="SimSun"/>
          <w:color w:val="000000"/>
          <w:sz w:val="28"/>
        </w:rPr>
        <w:t xml:space="preserve">。</w:t>
      </w:r>
      <w:r>
        <w:rPr>
          <w:rFonts w:ascii="SimSun" w:hAnsi="SimSun" w:eastAsia="SimSun" w:cs="SimSun"/>
          <w:color w:val="000000"/>
          <w:sz w:val="28"/>
          <w:u w:val="single"/>
        </w:rPr>
        <w:t xml:space="preserve">(产品名称2)</w:t>
      </w:r>
      <w:r>
        <w:rPr>
          <w:rFonts w:ascii="SimSun" w:hAnsi="SimSun" w:eastAsia="SimSun" w:cs="SimSun"/>
          <w:color w:val="000000"/>
          <w:sz w:val="28"/>
        </w:rPr>
        <w:t xml:space="preserve">的中国境内生产的组件成本占比≥</w:t>
      </w:r>
      <w:r>
        <w:rPr>
          <w:rFonts w:ascii="SimSun" w:hAnsi="SimSun" w:eastAsia="SimSun" w:cs="SimSun"/>
          <w:color w:val="000000"/>
          <w:sz w:val="28"/>
          <w:u w:val="single"/>
        </w:rPr>
        <w:t xml:space="preserve">(规定比例)</w:t>
      </w:r>
      <w:r>
        <w:rPr>
          <w:rFonts w:ascii="SimSun" w:hAnsi="SimSun" w:eastAsia="SimSun" w:cs="SimSun"/>
          <w:color w:val="000000"/>
          <w:sz w:val="28"/>
        </w:rPr>
        <w:t xml:space="preserve">。</w:t>
      </w:r>
      <w:r>
        <w:rPr>
          <w:rFonts w:ascii="SimSun" w:hAnsi="SimSun" w:eastAsia="SimSun" w:cs="SimSun"/>
          <w:color w:val="000000"/>
          <w:sz w:val="28"/>
          <w:u w:val="single"/>
        </w:rPr>
        <w:t xml:space="preserve">(产品名称2)</w:t>
      </w:r>
      <w:r>
        <w:rPr>
          <w:rFonts w:ascii="SimSun" w:hAnsi="SimSun" w:eastAsia="SimSun" w:cs="SimSun"/>
          <w:color w:val="000000"/>
          <w:sz w:val="28"/>
        </w:rPr>
        <w:t xml:space="preserve">的</w:t>
      </w:r>
      <w:r>
        <w:rPr>
          <w:rFonts w:ascii="SimSun" w:hAnsi="SimSun" w:eastAsia="SimSun" w:cs="SimSun"/>
          <w:color w:val="000000"/>
          <w:sz w:val="28"/>
          <w:u w:val="single"/>
        </w:rPr>
        <w:t xml:space="preserve">(关键组件)</w:t>
      </w:r>
      <w:r>
        <w:rPr>
          <w:rFonts w:ascii="SimSun" w:hAnsi="SimSun" w:eastAsia="SimSun" w:cs="SimSun"/>
          <w:color w:val="000000"/>
          <w:sz w:val="28"/>
        </w:rPr>
        <w:t xml:space="preserve">在中国境内生产。</w:t>
      </w:r>
      <w:r>
        <w:rPr>
          <w:rFonts w:ascii="SimSun" w:hAnsi="SimSun" w:eastAsia="SimSun" w:cs="SimSun"/>
          <w:color w:val="000000"/>
          <w:sz w:val="28"/>
          <w:u w:val="single"/>
        </w:rPr>
        <w:t xml:space="preserve">(产品名称2)</w:t>
      </w:r>
      <w:r>
        <w:rPr>
          <w:rFonts w:ascii="SimSun" w:hAnsi="SimSun" w:eastAsia="SimSun" w:cs="SimSun"/>
          <w:color w:val="000000"/>
          <w:sz w:val="28"/>
        </w:rPr>
        <w:t xml:space="preserve">的</w:t>
      </w:r>
      <w:r>
        <w:rPr>
          <w:rFonts w:ascii="SimSun" w:hAnsi="SimSun" w:eastAsia="SimSun" w:cs="SimSun"/>
          <w:color w:val="000000"/>
          <w:sz w:val="28"/>
          <w:u w:val="single"/>
        </w:rPr>
        <w:t xml:space="preserve">(关键工序)</w:t>
      </w:r>
      <w:r>
        <w:rPr>
          <w:rFonts w:ascii="SimSun" w:hAnsi="SimSun" w:eastAsia="SimSun" w:cs="SimSun"/>
          <w:color w:val="000000"/>
          <w:sz w:val="28"/>
        </w:rPr>
        <w:t xml:space="preserve">在中国境内完成。</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2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2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2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424"/>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本公司(单位)对上述声明内容的真实性负责。如有虚假，愿承担相应法律责任。</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8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公司(单位)名称(盖章):</w:t>
      </w:r>
      <w:r/>
    </w:p>
    <w:p>
      <w:pPr>
        <w:ind w:left="0" w:right="0" w:firstLine="4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spacing w:before="0" w:after="0" w:line="439" w:lineRule="atLeast"/>
        <w:rPr>
          <w:rFonts w:ascii="KaiTi" w:hAnsi="KaiTi" w:eastAsia="KaiTi" w:cs="KaiT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highlight w:val="none"/>
        </w:rPr>
      </w:r>
      <w:r>
        <w:rPr>
          <w:rFonts w:ascii="KaiTi" w:hAnsi="KaiTi" w:eastAsia="KaiTi" w:cs="KaiTi"/>
          <w:b/>
          <w:color w:val="000000"/>
          <w:sz w:val="32"/>
          <w:highlight w:val="none"/>
        </w:rPr>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3.6采购需求响应表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响应表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2"/>
        <w:gridCol w:w="1014"/>
        <w:gridCol w:w="2298"/>
        <w:gridCol w:w="1078"/>
        <w:gridCol w:w="1331"/>
        <w:gridCol w:w="1626"/>
        <w:gridCol w:w="905"/>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招标技术参数</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4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投标技术参数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6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3"/>
        <w:jc w:val="both"/>
        <w:spacing w:before="0" w:after="0" w:line="31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150" w:after="15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郁琴</cp:lastModifiedBy>
  <cp:revision>3</cp:revision>
  <dcterms:created xsi:type="dcterms:W3CDTF">2026-06-11T06:30:48Z</dcterms:created>
  <dcterms:modified xsi:type="dcterms:W3CDTF">2026-06-11T07:31:30Z</dcterms:modified>
</cp:coreProperties>
</file>