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jc w:val="center"/>
        <w:spacing w:line="360" w:lineRule="auto"/>
        <w:rPr>
          <w:rFonts w:hint="eastAsia" w:ascii="宋体" w:hAnsi="宋体" w:cs="宋体"/>
          <w:highlight w:val="none"/>
        </w:rPr>
      </w:pPr>
      <w:r>
        <w:rPr>
          <w:rFonts w:hint="eastAsia" w:ascii="宋体" w:hAnsi="宋体" w:cs="宋体"/>
          <w:highlight w:val="none"/>
        </w:rPr>
      </w:r>
      <w:r/>
    </w:p>
    <w:p>
      <w:pPr>
        <w:pStyle w:val="1119"/>
        <w:ind w:firstLine="0"/>
        <w:jc w:val="center"/>
        <w:rPr>
          <w:rFonts w:hint="eastAsia" w:ascii="宋体" w:hAnsi="宋体" w:cs="宋体"/>
          <w:b/>
          <w:bCs/>
          <w:sz w:val="84"/>
          <w:szCs w:val="84"/>
          <w:highlight w:val="none"/>
        </w:rPr>
      </w:pPr>
      <w:r>
        <w:rPr>
          <w:rFonts w:hint="eastAsia" w:ascii="宋体" w:hAnsi="宋体" w:cs="宋体"/>
          <w:b/>
          <w:bCs/>
          <w:sz w:val="84"/>
          <w:szCs w:val="84"/>
          <w:highlight w:val="none"/>
        </w:rPr>
      </w:r>
      <w:r/>
    </w:p>
    <w:p>
      <w:pPr>
        <w:pStyle w:val="1119"/>
        <w:ind w:firstLine="0"/>
        <w:jc w:val="center"/>
        <w:rPr>
          <w:rFonts w:hint="eastAsia" w:ascii="宋体" w:hAnsi="宋体" w:cs="宋体"/>
          <w:b/>
          <w:bCs/>
          <w:sz w:val="84"/>
          <w:szCs w:val="84"/>
          <w:highlight w:val="none"/>
        </w:rPr>
      </w:pPr>
      <w:r>
        <w:rPr>
          <w:rFonts w:hint="eastAsia" w:ascii="宋体" w:hAnsi="宋体" w:cs="宋体"/>
          <w:b/>
          <w:bCs/>
          <w:sz w:val="96"/>
          <w:szCs w:val="96"/>
          <w:highlight w:val="none"/>
        </w:rPr>
        <w:t xml:space="preserve">招　标　文　件</w:t>
      </w:r>
      <w:r>
        <w:rPr>
          <w:rFonts w:hint="eastAsia" w:ascii="宋体" w:hAnsi="宋体" w:cs="宋体"/>
          <w:b/>
          <w:bCs/>
          <w:sz w:val="84"/>
          <w:szCs w:val="84"/>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0"/>
        <w:jc w:val="center"/>
        <w:spacing w:line="600" w:lineRule="auto"/>
        <w:rPr>
          <w:rFonts w:hint="eastAsia" w:ascii="宋体" w:hAnsi="宋体" w:cs="宋体"/>
          <w:b/>
          <w:bCs/>
          <w:sz w:val="36"/>
          <w:szCs w:val="36"/>
          <w:highlight w:val="none"/>
        </w:rPr>
      </w:pPr>
      <w:r/>
      <w:bookmarkStart w:id="0" w:name="OLE_LINK18"/>
      <w:r>
        <w:rPr>
          <w:rFonts w:hint="eastAsia" w:ascii="宋体" w:hAnsi="宋体" w:cs="宋体"/>
          <w:b/>
          <w:bCs/>
          <w:sz w:val="36"/>
          <w:szCs w:val="36"/>
          <w:highlight w:val="none"/>
        </w:rPr>
        <w:t xml:space="preserve">   项目名称：</w:t>
      </w:r>
      <w:r>
        <w:rPr>
          <w:rFonts w:hint="eastAsia" w:ascii="宋体" w:hAnsi="宋体" w:cs="宋体"/>
          <w:b/>
          <w:bCs/>
          <w:sz w:val="36"/>
          <w:szCs w:val="36"/>
          <w:highlight w:val="none"/>
          <w:u w:val="single"/>
        </w:rPr>
        <w:t xml:space="preserve">机载短波红外高光谱成像系统</w:t>
      </w:r>
      <w:r>
        <w:rPr>
          <w:rFonts w:hint="eastAsia" w:ascii="宋体" w:hAnsi="宋体" w:cs="宋体"/>
          <w:b/>
          <w:bCs/>
          <w:sz w:val="36"/>
          <w:szCs w:val="36"/>
          <w:highlight w:val="none"/>
        </w:rPr>
      </w:r>
      <w:r/>
    </w:p>
    <w:p>
      <w:pPr>
        <w:pStyle w:val="1119"/>
        <w:ind w:firstLine="1807"/>
        <w:jc w:val="both"/>
        <w:spacing w:line="600" w:lineRule="auto"/>
        <w:rPr>
          <w:rFonts w:hint="eastAsia" w:ascii="宋体" w:hAnsi="宋体" w:eastAsia="宋体" w:cs="宋体"/>
          <w:b/>
          <w:bCs/>
          <w:sz w:val="36"/>
          <w:szCs w:val="36"/>
          <w:highlight w:val="none"/>
          <w:u w:val="single"/>
          <w:lang w:eastAsia="zh-CN"/>
        </w:rPr>
      </w:pPr>
      <w:r>
        <w:rPr>
          <w:rFonts w:hint="eastAsia" w:ascii="宋体" w:hAnsi="宋体" w:cs="宋体"/>
          <w:b/>
          <w:bCs/>
          <w:sz w:val="36"/>
          <w:szCs w:val="36"/>
          <w:highlight w:val="none"/>
        </w:rPr>
        <w:t xml:space="preserve">项目编号：</w:t>
      </w:r>
      <w:r>
        <w:rPr>
          <w:rFonts w:hint="eastAsia" w:ascii="宋体" w:hAnsi="宋体" w:cs="宋体"/>
          <w:b/>
          <w:bCs/>
          <w:sz w:val="28"/>
          <w:szCs w:val="28"/>
          <w:highlight w:val="none"/>
          <w:u w:val="single"/>
          <w:lang w:eastAsia="zh-CN"/>
        </w:rPr>
        <w:t xml:space="preserve">JSZC-320000-DCXG-G2026-0010</w:t>
      </w:r>
      <w:r>
        <w:rPr>
          <w:rFonts w:hint="eastAsia" w:ascii="宋体" w:hAnsi="宋体" w:eastAsia="宋体" w:cs="宋体"/>
          <w:b/>
          <w:bCs/>
          <w:sz w:val="36"/>
          <w:szCs w:val="36"/>
          <w:highlight w:val="none"/>
          <w:u w:val="single"/>
          <w:lang w:eastAsia="zh-CN"/>
        </w:rPr>
      </w:r>
      <w:r/>
    </w:p>
    <w:p>
      <w:pPr>
        <w:pStyle w:val="1119"/>
        <w:ind w:firstLine="0"/>
        <w:jc w:val="center"/>
        <w:rPr>
          <w:rFonts w:hint="eastAsia" w:ascii="宋体" w:hAnsi="宋体" w:cs="宋体"/>
          <w:b/>
          <w:bCs/>
          <w:sz w:val="36"/>
          <w:szCs w:val="36"/>
          <w:highlight w:val="none"/>
        </w:rPr>
      </w:pPr>
      <w:r/>
      <w:bookmarkEnd w:id="0"/>
      <w:r>
        <w:rPr>
          <w:rFonts w:hint="eastAsia" w:ascii="宋体" w:hAnsi="宋体" w:cs="宋体"/>
          <w:b/>
          <w:bCs/>
          <w:sz w:val="36"/>
          <w:szCs w:val="36"/>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9"/>
        <w:ind w:firstLine="1928"/>
        <w:jc w:val="both"/>
        <w:rPr>
          <w:rFonts w:hint="eastAsia" w:ascii="宋体" w:hAnsi="宋体" w:cs="宋体"/>
          <w:b/>
          <w:bCs/>
          <w:sz w:val="32"/>
          <w:szCs w:val="32"/>
          <w:highlight w:val="none"/>
        </w:rPr>
      </w:pPr>
      <w:r>
        <w:rPr>
          <w:rFonts w:hint="eastAsia" w:ascii="宋体" w:hAnsi="宋体" w:cs="宋体"/>
          <w:b/>
          <w:bCs/>
          <w:sz w:val="32"/>
          <w:szCs w:val="32"/>
          <w:highlight w:val="none"/>
        </w:rPr>
        <w:t xml:space="preserve">采 购 人：南京林业大学</w:t>
      </w:r>
      <w:r>
        <w:rPr>
          <w:rFonts w:hint="eastAsia" w:ascii="宋体" w:hAnsi="宋体" w:cs="宋体"/>
          <w:b/>
          <w:bCs/>
          <w:sz w:val="32"/>
          <w:szCs w:val="32"/>
          <w:highlight w:val="none"/>
        </w:rPr>
      </w:r>
      <w:r/>
    </w:p>
    <w:p>
      <w:pPr>
        <w:pStyle w:val="1119"/>
        <w:ind w:firstLine="1928"/>
        <w:jc w:val="both"/>
        <w:rPr>
          <w:rFonts w:hint="eastAsia" w:ascii="宋体" w:hAnsi="宋体" w:cs="宋体"/>
          <w:b/>
          <w:bCs/>
          <w:sz w:val="32"/>
          <w:szCs w:val="32"/>
          <w:highlight w:val="none"/>
        </w:rPr>
      </w:pPr>
      <w:r>
        <w:rPr>
          <w:rFonts w:hint="eastAsia" w:ascii="宋体" w:hAnsi="宋体" w:cs="宋体"/>
          <w:b/>
          <w:bCs/>
          <w:sz w:val="32"/>
          <w:szCs w:val="32"/>
          <w:highlight w:val="none"/>
        </w:rPr>
        <w:t xml:space="preserve">代理机构：南京达琛鑫工程咨询有限公司</w:t>
      </w:r>
      <w:r>
        <w:rPr>
          <w:rFonts w:hint="eastAsia" w:ascii="宋体" w:hAnsi="宋体" w:cs="宋体"/>
          <w:b/>
          <w:bCs/>
          <w:sz w:val="32"/>
          <w:szCs w:val="32"/>
          <w:highlight w:val="none"/>
        </w:rPr>
      </w:r>
      <w:r/>
    </w:p>
    <w:p>
      <w:pPr>
        <w:pStyle w:val="1119"/>
        <w:ind w:firstLine="0"/>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二 ○ 二 </w:t>
      </w:r>
      <w:r>
        <w:rPr>
          <w:rFonts w:hint="eastAsia" w:ascii="宋体" w:hAnsi="宋体" w:cs="宋体"/>
          <w:b/>
          <w:bCs/>
          <w:sz w:val="32"/>
          <w:szCs w:val="32"/>
          <w:highlight w:val="none"/>
        </w:rPr>
        <w:t xml:space="preserve">六 年 </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lang w:val="en-US" w:eastAsia="zh-CN"/>
        </w:rPr>
      </w:r>
      <w:r>
        <w:rPr>
          <w:rFonts w:hint="eastAsia" w:ascii="宋体" w:hAnsi="宋体" w:cs="宋体"/>
          <w:b/>
          <w:bCs/>
          <w:sz w:val="32"/>
          <w:szCs w:val="32"/>
          <w:highlight w:val="none"/>
        </w:rPr>
        <w:t xml:space="preserve"> 月</w:t>
      </w:r>
      <w:r>
        <w:rPr>
          <w:rFonts w:hint="eastAsia" w:ascii="宋体" w:hAnsi="宋体" w:cs="宋体"/>
          <w:b/>
          <w:bCs/>
          <w:sz w:val="32"/>
          <w:szCs w:val="32"/>
          <w:highlight w:val="none"/>
        </w:rPr>
      </w:r>
      <w:r/>
    </w:p>
    <w:p>
      <w:pPr>
        <w:pStyle w:val="1095"/>
        <w:ind w:firstLine="0"/>
        <w:jc w:val="both"/>
        <w:spacing w:line="360" w:lineRule="auto"/>
        <w:tabs>
          <w:tab w:val="clear" w:pos="8720" w:leader="none"/>
        </w:tabs>
        <w:rPr>
          <w:rFonts w:hint="eastAsia"/>
          <w:b/>
          <w:bCs/>
          <w:sz w:val="36"/>
          <w:szCs w:val="36"/>
          <w:highlight w:val="none"/>
        </w:rPr>
      </w:pPr>
      <w:r>
        <w:rPr>
          <w:rFonts w:hint="eastAsia"/>
          <w:b/>
          <w:bCs/>
          <w:sz w:val="36"/>
          <w:szCs w:val="36"/>
          <w:highlight w:val="none"/>
        </w:rPr>
        <w:br w:type="page" w:clear="all"/>
      </w:r>
      <w:r>
        <w:rPr>
          <w:rFonts w:hint="eastAsia"/>
          <w:b/>
          <w:bCs/>
          <w:sz w:val="36"/>
          <w:szCs w:val="36"/>
          <w:highlight w:val="none"/>
        </w:rPr>
      </w:r>
      <w:r/>
    </w:p>
    <w:p>
      <w:pPr>
        <w:pStyle w:val="1063"/>
        <w:ind w:firstLine="64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目录</w:t>
      </w:r>
      <w:r>
        <w:rPr>
          <w:rFonts w:hint="eastAsia" w:ascii="宋体" w:hAnsi="宋体" w:cs="宋体"/>
          <w:sz w:val="32"/>
          <w:szCs w:val="32"/>
          <w:highlight w:val="none"/>
        </w:rPr>
      </w:r>
      <w:r/>
    </w:p>
    <w:p>
      <w:pPr>
        <w:pStyle w:val="1095"/>
        <w:tabs>
          <w:tab w:val="right" w:pos="9400" w:leader="dot"/>
        </w:tabs>
      </w:pPr>
      <w:r>
        <w:rPr>
          <w:rFonts w:hint="eastAsia"/>
          <w:highlight w:val="none"/>
        </w:rPr>
        <w:fldChar w:fldCharType="begin"/>
      </w:r>
      <w:r>
        <w:rPr>
          <w:rFonts w:hint="eastAsia"/>
          <w:highlight w:val="none"/>
        </w:rPr>
        <w:instrText xml:space="preserve">TOC \o "1-1" \h \u </w:instrText>
      </w:r>
      <w:r>
        <w:rPr>
          <w:rFonts w:hint="eastAsia"/>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_Toc8016 </w:instrText>
      </w:r>
      <w:r>
        <w:rPr>
          <w:rFonts w:hint="eastAsia" w:ascii="宋体" w:hAnsi="宋体" w:cs="宋体"/>
          <w:highlight w:val="none"/>
        </w:rPr>
        <w:fldChar w:fldCharType="separate"/>
      </w:r>
      <w:r>
        <w:rPr>
          <w:rFonts w:hint="eastAsia"/>
          <w:bCs/>
          <w:highlight w:val="none"/>
        </w:rPr>
        <w:t xml:space="preserve">第一章  投标邀请（招标公告）</w:t>
      </w:r>
      <w:r>
        <w:tab/>
      </w:r>
      <w:r>
        <w:fldChar w:fldCharType="begin"/>
      </w:r>
      <w:r>
        <w:instrText xml:space="preserve"> PAGEREF _Toc8016 \h </w:instrText>
      </w:r>
      <w:r>
        <w:fldChar w:fldCharType="separate"/>
      </w:r>
      <w:r>
        <w:t xml:space="preserve">1</w:t>
      </w:r>
      <w:r>
        <w:fldChar w:fldCharType="end"/>
      </w:r>
      <w:r>
        <w:rPr>
          <w:rFonts w:hint="eastAsia" w:ascii="宋体" w:hAnsi="宋体" w:cs="宋体"/>
          <w:highlight w:val="none"/>
        </w:rPr>
        <w:fldChar w:fldCharType="end"/>
      </w:r>
      <w:r/>
    </w:p>
    <w:p>
      <w:pPr>
        <w:pStyle w:val="1095"/>
        <w:tabs>
          <w:tab w:val="right" w:pos="9400" w:leader="dot"/>
        </w:tabs>
      </w:pPr>
      <w:r>
        <w:rPr>
          <w:rFonts w:hint="eastAsia" w:ascii="宋体" w:hAnsi="宋体" w:cs="宋体"/>
          <w:highlight w:val="none"/>
        </w:rPr>
        <w:fldChar w:fldCharType="begin"/>
      </w:r>
      <w:r>
        <w:rPr>
          <w:rFonts w:hint="eastAsia" w:ascii="宋体" w:hAnsi="宋体" w:cs="宋体"/>
          <w:highlight w:val="none"/>
        </w:rPr>
        <w:instrText xml:space="preserve"> HYPERLINK \l _Toc145 </w:instrText>
      </w:r>
      <w:r>
        <w:rPr>
          <w:rFonts w:hint="eastAsia" w:ascii="宋体" w:hAnsi="宋体" w:cs="宋体"/>
          <w:highlight w:val="none"/>
        </w:rPr>
        <w:fldChar w:fldCharType="separate"/>
      </w:r>
      <w:r>
        <w:rPr>
          <w:rFonts w:hint="eastAsia"/>
          <w:bCs/>
          <w:highlight w:val="none"/>
        </w:rPr>
        <w:t xml:space="preserve">第二章  投标人须知</w:t>
      </w:r>
      <w:r>
        <w:tab/>
      </w:r>
      <w:r>
        <w:fldChar w:fldCharType="begin"/>
      </w:r>
      <w:r>
        <w:instrText xml:space="preserve"> PAGEREF _Toc145 \h </w:instrText>
      </w:r>
      <w:r>
        <w:fldChar w:fldCharType="separate"/>
      </w:r>
      <w:r>
        <w:t xml:space="preserve">5</w:t>
      </w:r>
      <w:r>
        <w:fldChar w:fldCharType="end"/>
      </w:r>
      <w:r>
        <w:rPr>
          <w:rFonts w:hint="eastAsia" w:ascii="宋体" w:hAnsi="宋体" w:cs="宋体"/>
          <w:highlight w:val="none"/>
        </w:rPr>
        <w:fldChar w:fldCharType="end"/>
      </w:r>
      <w:r/>
    </w:p>
    <w:p>
      <w:pPr>
        <w:pStyle w:val="1095"/>
        <w:tabs>
          <w:tab w:val="right" w:pos="9400" w:leader="dot"/>
        </w:tabs>
      </w:pPr>
      <w:r>
        <w:rPr>
          <w:rFonts w:hint="eastAsia" w:ascii="宋体" w:hAnsi="宋体" w:cs="宋体"/>
          <w:highlight w:val="none"/>
        </w:rPr>
        <w:fldChar w:fldCharType="begin"/>
      </w:r>
      <w:r>
        <w:rPr>
          <w:rFonts w:hint="eastAsia" w:ascii="宋体" w:hAnsi="宋体" w:cs="宋体"/>
          <w:highlight w:val="none"/>
        </w:rPr>
        <w:instrText xml:space="preserve"> HYPERLINK \l _Toc21793 </w:instrText>
      </w:r>
      <w:r>
        <w:rPr>
          <w:rFonts w:hint="eastAsia" w:ascii="宋体" w:hAnsi="宋体" w:cs="宋体"/>
          <w:highlight w:val="none"/>
        </w:rPr>
        <w:fldChar w:fldCharType="separate"/>
      </w:r>
      <w:r>
        <w:rPr>
          <w:rFonts w:hint="eastAsia" w:ascii="宋体" w:hAnsi="宋体" w:eastAsia="宋体" w:cs="宋体"/>
          <w:bCs/>
          <w:szCs w:val="44"/>
          <w:highlight w:val="none"/>
        </w:rPr>
        <w:t xml:space="preserve">第三章  合同条款及格式</w:t>
      </w:r>
      <w:r>
        <w:tab/>
      </w:r>
      <w:r>
        <w:fldChar w:fldCharType="begin"/>
      </w:r>
      <w:r>
        <w:instrText xml:space="preserve"> PAGEREF _Toc21793 \h </w:instrText>
      </w:r>
      <w:r>
        <w:fldChar w:fldCharType="separate"/>
      </w:r>
      <w:r>
        <w:t xml:space="preserve">18</w:t>
      </w:r>
      <w:r>
        <w:fldChar w:fldCharType="end"/>
      </w:r>
      <w:r>
        <w:rPr>
          <w:rFonts w:hint="eastAsia" w:ascii="宋体" w:hAnsi="宋体" w:cs="宋体"/>
          <w:highlight w:val="none"/>
        </w:rPr>
        <w:fldChar w:fldCharType="end"/>
      </w:r>
      <w:r/>
    </w:p>
    <w:p>
      <w:pPr>
        <w:pStyle w:val="1095"/>
        <w:tabs>
          <w:tab w:val="right" w:pos="9400" w:leader="dot"/>
        </w:tabs>
      </w:pPr>
      <w:r>
        <w:rPr>
          <w:rFonts w:hint="eastAsia" w:ascii="宋体" w:hAnsi="宋体" w:cs="宋体"/>
          <w:highlight w:val="none"/>
        </w:rPr>
        <w:fldChar w:fldCharType="begin"/>
      </w:r>
      <w:r>
        <w:rPr>
          <w:rFonts w:hint="eastAsia" w:ascii="宋体" w:hAnsi="宋体" w:cs="宋体"/>
          <w:highlight w:val="none"/>
        </w:rPr>
        <w:instrText xml:space="preserve"> HYPERLINK \l _Toc19304 </w:instrText>
      </w:r>
      <w:r>
        <w:rPr>
          <w:rFonts w:hint="eastAsia" w:ascii="宋体" w:hAnsi="宋体" w:cs="宋体"/>
          <w:highlight w:val="none"/>
        </w:rPr>
        <w:fldChar w:fldCharType="separate"/>
      </w:r>
      <w:r>
        <w:rPr>
          <w:rFonts w:hint="eastAsia" w:ascii="宋体" w:hAnsi="宋体" w:eastAsia="宋体" w:cs="宋体"/>
          <w:bCs/>
          <w:szCs w:val="44"/>
          <w:highlight w:val="none"/>
        </w:rPr>
        <w:t xml:space="preserve">第四章  项目需求</w:t>
      </w:r>
      <w:r>
        <w:tab/>
      </w:r>
      <w:r>
        <w:fldChar w:fldCharType="begin"/>
      </w:r>
      <w:r>
        <w:instrText xml:space="preserve"> PAGEREF _Toc19304 \h </w:instrText>
      </w:r>
      <w:r>
        <w:fldChar w:fldCharType="separate"/>
      </w:r>
      <w:r>
        <w:t xml:space="preserve">23</w:t>
      </w:r>
      <w:r>
        <w:fldChar w:fldCharType="end"/>
      </w:r>
      <w:r>
        <w:rPr>
          <w:rFonts w:hint="eastAsia" w:ascii="宋体" w:hAnsi="宋体" w:cs="宋体"/>
          <w:highlight w:val="none"/>
        </w:rPr>
        <w:fldChar w:fldCharType="end"/>
      </w:r>
      <w:r/>
    </w:p>
    <w:p>
      <w:pPr>
        <w:pStyle w:val="1095"/>
        <w:tabs>
          <w:tab w:val="right" w:pos="9400" w:leader="dot"/>
        </w:tabs>
      </w:pPr>
      <w:r>
        <w:rPr>
          <w:rFonts w:hint="eastAsia" w:ascii="宋体" w:hAnsi="宋体" w:cs="宋体"/>
          <w:highlight w:val="none"/>
        </w:rPr>
        <w:fldChar w:fldCharType="begin"/>
      </w:r>
      <w:r>
        <w:rPr>
          <w:rFonts w:hint="eastAsia" w:ascii="宋体" w:hAnsi="宋体" w:cs="宋体"/>
          <w:highlight w:val="none"/>
        </w:rPr>
        <w:instrText xml:space="preserve"> HYPERLINK \l _Toc13787 </w:instrText>
      </w:r>
      <w:r>
        <w:rPr>
          <w:rFonts w:hint="eastAsia" w:ascii="宋体" w:hAnsi="宋体" w:cs="宋体"/>
          <w:highlight w:val="none"/>
        </w:rPr>
        <w:fldChar w:fldCharType="separate"/>
      </w:r>
      <w:r>
        <w:rPr>
          <w:rFonts w:hint="eastAsia" w:ascii="宋体" w:hAnsi="宋体" w:eastAsia="宋体" w:cs="宋体"/>
          <w:highlight w:val="none"/>
        </w:rPr>
        <w:t xml:space="preserve">第五章  评标方法与评标标准</w:t>
      </w:r>
      <w:r>
        <w:tab/>
      </w:r>
      <w:r>
        <w:fldChar w:fldCharType="begin"/>
      </w:r>
      <w:r>
        <w:instrText xml:space="preserve"> PAGEREF _Toc13787 \h </w:instrText>
      </w:r>
      <w:r>
        <w:fldChar w:fldCharType="separate"/>
      </w:r>
      <w:r>
        <w:t xml:space="preserve">29</w:t>
      </w:r>
      <w:r>
        <w:fldChar w:fldCharType="end"/>
      </w:r>
      <w:r>
        <w:rPr>
          <w:rFonts w:hint="eastAsia" w:ascii="宋体" w:hAnsi="宋体" w:cs="宋体"/>
          <w:highlight w:val="none"/>
        </w:rPr>
        <w:fldChar w:fldCharType="end"/>
      </w:r>
      <w:r/>
    </w:p>
    <w:p>
      <w:pPr>
        <w:pStyle w:val="1095"/>
        <w:tabs>
          <w:tab w:val="right" w:pos="9400" w:leader="dot"/>
        </w:tabs>
      </w:pPr>
      <w:r>
        <w:rPr>
          <w:rFonts w:hint="eastAsia" w:ascii="宋体" w:hAnsi="宋体" w:cs="宋体"/>
          <w:highlight w:val="none"/>
        </w:rPr>
        <w:fldChar w:fldCharType="begin"/>
      </w:r>
      <w:r>
        <w:rPr>
          <w:rFonts w:hint="eastAsia" w:ascii="宋体" w:hAnsi="宋体" w:cs="宋体"/>
          <w:highlight w:val="none"/>
        </w:rPr>
        <w:instrText xml:space="preserve"> HYPERLINK \l _Toc21279 </w:instrText>
      </w:r>
      <w:r>
        <w:rPr>
          <w:rFonts w:hint="eastAsia" w:ascii="宋体" w:hAnsi="宋体" w:cs="宋体"/>
          <w:highlight w:val="none"/>
        </w:rPr>
        <w:fldChar w:fldCharType="separate"/>
      </w:r>
      <w:r>
        <w:rPr>
          <w:rFonts w:hint="eastAsia" w:ascii="宋体" w:hAnsi="宋体" w:eastAsia="宋体" w:cs="宋体"/>
          <w:bCs/>
          <w:szCs w:val="40"/>
          <w:highlight w:val="none"/>
        </w:rPr>
        <w:t xml:space="preserve">第六章  投标文件格式</w:t>
      </w:r>
      <w:r>
        <w:tab/>
      </w:r>
      <w:r>
        <w:fldChar w:fldCharType="begin"/>
      </w:r>
      <w:r>
        <w:instrText xml:space="preserve"> PAGEREF _Toc21279 \h </w:instrText>
      </w:r>
      <w:r>
        <w:fldChar w:fldCharType="separate"/>
      </w:r>
      <w:r>
        <w:t xml:space="preserve">34</w:t>
      </w:r>
      <w:r>
        <w:fldChar w:fldCharType="end"/>
      </w:r>
      <w:r>
        <w:rPr>
          <w:rFonts w:hint="eastAsia" w:ascii="宋体" w:hAnsi="宋体" w:cs="宋体"/>
          <w:highlight w:val="none"/>
        </w:rPr>
        <w:fldChar w:fldCharType="end"/>
      </w:r>
      <w:r/>
    </w:p>
    <w:p>
      <w:pPr>
        <w:pStyle w:val="1095"/>
        <w:tabs>
          <w:tab w:val="right" w:pos="9400" w:leader="dot"/>
        </w:tabs>
      </w:pPr>
      <w:r/>
      <w:r/>
    </w:p>
    <w:p>
      <w:pPr>
        <w:pStyle w:val="1063"/>
        <w:spacing w:line="360" w:lineRule="auto"/>
        <w:rPr>
          <w:rFonts w:hint="eastAsia" w:ascii="宋体" w:hAnsi="宋体" w:cs="宋体"/>
          <w:highlight w:val="none"/>
        </w:rPr>
      </w:pPr>
      <w:r>
        <w:rPr>
          <w:rFonts w:hint="eastAsia" w:ascii="宋体" w:hAnsi="宋体" w:cs="宋体"/>
          <w:highlight w:val="none"/>
        </w:rPr>
        <w:fldChar w:fldCharType="end"/>
      </w:r>
      <w:r>
        <w:rPr>
          <w:rFonts w:hint="eastAsia" w:ascii="宋体" w:hAnsi="宋体" w:cs="宋体"/>
          <w:highlight w:val="none"/>
        </w:rPr>
      </w:r>
      <w:r/>
    </w:p>
    <w:p>
      <w:pPr>
        <w:pStyle w:val="1095"/>
        <w:ind w:firstLine="0"/>
        <w:jc w:val="center"/>
        <w:pageBreakBefore/>
        <w:spacing w:before="0" w:after="0" w:line="360" w:lineRule="auto"/>
        <w:tabs>
          <w:tab w:val="clear" w:pos="8720" w:leader="none"/>
        </w:tabs>
        <w:rPr>
          <w:rFonts w:hint="eastAsia"/>
          <w:sz w:val="40"/>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253" w:right="1253" w:bottom="1253" w:left="1253" w:header="851" w:footer="992" w:gutter="0"/>
          <w:pgNumType w:start="1"/>
          <w:cols w:num="1" w:sep="0" w:space="1701" w:equalWidth="1"/>
          <w:docGrid w:linePitch="360"/>
        </w:sectPr>
        <w:outlineLvl w:val="0"/>
      </w:pPr>
      <w:r>
        <w:rPr>
          <w:rFonts w:hint="eastAsia"/>
          <w:sz w:val="40"/>
          <w:highlight w:val="none"/>
        </w:rPr>
      </w:r>
      <w:r/>
    </w:p>
    <w:p>
      <w:pPr>
        <w:pStyle w:val="1095"/>
        <w:ind w:firstLine="0"/>
        <w:jc w:val="center"/>
        <w:pageBreakBefore/>
        <w:spacing w:before="0" w:after="0" w:line="360" w:lineRule="auto"/>
        <w:tabs>
          <w:tab w:val="clear" w:pos="8720" w:leader="none"/>
        </w:tabs>
        <w:rPr>
          <w:rFonts w:hint="eastAsia"/>
          <w:b/>
          <w:bCs/>
          <w:sz w:val="40"/>
          <w:highlight w:val="none"/>
        </w:rPr>
        <w:outlineLvl w:val="0"/>
      </w:pPr>
      <w:r/>
      <w:bookmarkStart w:id="1" w:name="_Toc19432"/>
      <w:r/>
      <w:bookmarkStart w:id="2" w:name="_Toc1225"/>
      <w:r/>
      <w:bookmarkStart w:id="3" w:name="_Toc5560"/>
      <w:r/>
      <w:bookmarkStart w:id="4" w:name="_Toc23401"/>
      <w:r/>
      <w:bookmarkStart w:id="5" w:name="_Toc7300"/>
      <w:r/>
      <w:bookmarkStart w:id="6" w:name="_Toc8881"/>
      <w:r/>
      <w:bookmarkStart w:id="7" w:name="_Toc10311"/>
      <w:r/>
      <w:bookmarkStart w:id="8" w:name="_Toc8016"/>
      <w:r/>
      <w:bookmarkStart w:id="9" w:name="_Toc996"/>
      <w:r/>
      <w:bookmarkStart w:id="10" w:name="_Toc7725"/>
      <w:r/>
      <w:bookmarkStart w:id="11" w:name="_Toc24877"/>
      <w:r/>
      <w:bookmarkStart w:id="12" w:name="_Toc2468"/>
      <w:r/>
      <w:bookmarkStart w:id="13" w:name="_Toc29297"/>
      <w:r/>
      <w:bookmarkStart w:id="14" w:name="_Toc19635"/>
      <w:r>
        <w:rPr>
          <w:rFonts w:hint="eastAsia"/>
          <w:b/>
          <w:bCs/>
          <w:sz w:val="40"/>
          <w:highlight w:val="none"/>
        </w:rPr>
        <w:t xml:space="preserve">第一章  投标邀请</w:t>
      </w:r>
      <w:bookmarkEnd w:id="1"/>
      <w:r>
        <w:rPr>
          <w:rFonts w:hint="eastAsia"/>
          <w:b/>
          <w:bCs/>
          <w:sz w:val="40"/>
          <w:highlight w:val="none"/>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Pr>
          <w:rFonts w:hint="eastAsia"/>
          <w:b/>
          <w:bCs/>
          <w:sz w:val="40"/>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spacing w:line="360" w:lineRule="auto"/>
        <w:rPr>
          <w:rFonts w:hint="eastAsia" w:ascii="宋体" w:hAnsi="宋体" w:cs="宋体"/>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b/>
          <w:bCs/>
          <w:sz w:val="24"/>
          <w:szCs w:val="24"/>
          <w:highlight w:val="none"/>
          <w:u w:val="single"/>
        </w:rPr>
        <w:t xml:space="preserve">机载短波红外高光谱成像系统</w:t>
      </w:r>
      <w:r>
        <w:rPr>
          <w:rFonts w:hint="eastAsia" w:ascii="宋体" w:hAnsi="宋体" w:cs="宋体"/>
          <w:sz w:val="24"/>
          <w:szCs w:val="24"/>
          <w:highlight w:val="none"/>
        </w:rPr>
        <w:t xml:space="preserve">的潜在投标人应在“苏采云”系统内下载（投标人必须在苏采云系统中获取采购文件，方能参与政府采购项目）获取招标文件，并于2026年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日 14:00（北京时间）前上传电子投标文件。</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一、项目基本概况</w:t>
      </w:r>
      <w:r>
        <w:rPr>
          <w:rFonts w:hint="eastAsia" w:ascii="宋体" w:hAnsi="宋体" w:cs="宋体"/>
          <w:b/>
          <w:bCs/>
          <w:sz w:val="24"/>
          <w:szCs w:val="24"/>
          <w:highlight w:val="none"/>
        </w:rPr>
      </w:r>
      <w:r/>
    </w:p>
    <w:p>
      <w:pPr>
        <w:pStyle w:val="1063"/>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JSZC-320000-DCXG-G2026-0010</w:t>
      </w:r>
      <w:r>
        <w:rPr>
          <w:rFonts w:hint="eastAsia" w:ascii="宋体" w:hAnsi="宋体" w:eastAsia="宋体" w:cs="宋体"/>
          <w:sz w:val="24"/>
          <w:szCs w:val="24"/>
          <w:highlight w:val="none"/>
          <w:lang w:eastAsia="zh-CN"/>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2、项目名称：机载短波红外高光谱成像系统</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3、预算金额：人民币115万元整</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4、最高限价：人民币105万元整</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投标报价超过采购预算和最高限价的为无效报价，按照无效投标处理。</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5、项目需求（简介）</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为满足南京林业大学林木表型监测与智慧育种领域的教学科研和实验室建设需要，采购1</w:t>
      </w:r>
      <w:r>
        <w:rPr>
          <w:rFonts w:hint="eastAsia" w:ascii="宋体" w:hAnsi="宋体" w:cs="宋体"/>
          <w:sz w:val="24"/>
          <w:szCs w:val="24"/>
          <w:highlight w:val="none"/>
          <w:lang w:val="en-US" w:eastAsia="zh-CN"/>
        </w:rPr>
        <w:t xml:space="preserve">套</w:t>
      </w:r>
      <w:r>
        <w:rPr>
          <w:rFonts w:hint="eastAsia" w:ascii="宋体" w:hAnsi="宋体" w:cs="宋体"/>
          <w:sz w:val="24"/>
          <w:szCs w:val="24"/>
          <w:highlight w:val="none"/>
        </w:rPr>
        <w:t xml:space="preserve">机载短波红外高光谱成像系统。详见招标文件第四章项目需求。</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6、合同履行期限：</w:t>
      </w:r>
      <w:r>
        <w:rPr>
          <w:rFonts w:ascii="宋体" w:hAnsi="宋体" w:cs="宋体"/>
          <w:color w:val="000000"/>
          <w:sz w:val="24"/>
          <w:szCs w:val="24"/>
          <w:highlight w:val="none"/>
        </w:rPr>
        <w:t xml:space="preserve">自本合同签订之日起</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个日历日内完成交付。</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7、本项目（是/否）接受联合体：不接受联合体。</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w:t>
      </w:r>
      <w:r>
        <w:rPr>
          <w:rFonts w:hint="eastAsia" w:ascii="宋体" w:hAnsi="宋体" w:cs="宋体"/>
          <w:b/>
          <w:bCs/>
          <w:sz w:val="24"/>
          <w:szCs w:val="24"/>
          <w:highlight w:val="none"/>
          <w:u w:val="single"/>
        </w:rPr>
        <w:t xml:space="preserve">不接受进口产品</w:t>
      </w:r>
      <w:r>
        <w:rPr>
          <w:rFonts w:hint="eastAsia" w:ascii="宋体" w:hAnsi="宋体" w:cs="宋体"/>
          <w:sz w:val="24"/>
          <w:szCs w:val="24"/>
          <w:highlight w:val="none"/>
        </w:rPr>
        <w:t xml:space="preserve">投标。（本文件所称进口产品是指通过中国海关报关验放进入中国境内且产自关境外的产品）</w:t>
      </w:r>
      <w:r>
        <w:rPr>
          <w:rFonts w:hint="eastAsia" w:ascii="宋体" w:hAnsi="宋体" w:cs="宋体"/>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二、申请人的资格要求</w:t>
      </w:r>
      <w:r>
        <w:rPr>
          <w:rFonts w:hint="eastAsia" w:ascii="宋体" w:hAnsi="宋体" w:cs="宋体"/>
          <w:b/>
          <w:bCs/>
          <w:sz w:val="24"/>
          <w:szCs w:val="24"/>
          <w:highlight w:val="none"/>
        </w:rPr>
        <w:tab/>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（一）满足《中华人民共和国政府采购法》第二十二条规定：</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1、具有独立承担民事责任的能力（提供法人或者其他组织的营业执照复印件并加盖公章，或者自然人的身份证明）；</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2、具有良好的商业信誉和健全的财务会计制度（提供2025年度的财务报</w:t>
      </w:r>
      <w:r>
        <w:rPr>
          <w:rFonts w:hint="eastAsia" w:ascii="宋体" w:hAnsi="宋体" w:cs="宋体"/>
          <w:sz w:val="24"/>
          <w:szCs w:val="24"/>
          <w:highlight w:val="none"/>
          <w:lang w:val="en-US" w:eastAsia="zh-CN"/>
        </w:rPr>
        <w:t xml:space="preserve">表</w:t>
      </w:r>
      <w:r>
        <w:rPr>
          <w:rFonts w:hint="eastAsia" w:ascii="宋体" w:hAnsi="宋体" w:cs="宋体"/>
          <w:sz w:val="24"/>
          <w:szCs w:val="24"/>
          <w:highlight w:val="none"/>
        </w:rPr>
        <w:t xml:space="preserve">或银行出具的企业资信证明，法人或者其他组织成立未满一年的可提供近半年内任一月的资产负债和利润表）；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3、具有履行合同所必需的设备和专业技术能力（根据项目需求提供履行合同所必需的设备和专业技术能力的证明材料或声明函）；</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4、有依法缴纳税收和社会保障资金的良好记录（提供参加本次采购活动前依法缴纳税收及社会保险的凭据。依法免缴、迟缴的应提供相应文件证明）；</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（二）落实政府采购政策需满足的资格要求：本项目不专门面向中小企业采购，执行价格扣除优惠政策。供应商为小微企业的，报价给予</w:t>
      </w:r>
      <w:r>
        <w:rPr>
          <w:rFonts w:hint="eastAsia" w:ascii="宋体" w:hAnsi="宋体" w:cs="宋体"/>
          <w:sz w:val="24"/>
          <w:szCs w:val="24"/>
          <w:highlight w:val="none"/>
          <w:u w:val="single"/>
        </w:rPr>
        <w:t xml:space="preserve"> </w:t>
      </w:r>
      <w:r>
        <w:rPr>
          <w:rFonts w:hint="eastAsia" w:ascii="宋体" w:hAnsi="宋体" w:cs="宋体"/>
          <w:b/>
          <w:bCs/>
          <w:sz w:val="24"/>
          <w:szCs w:val="24"/>
          <w:highlight w:val="none"/>
          <w:u w:val="single"/>
        </w:rPr>
        <w:t xml:space="preserve">10% </w:t>
      </w:r>
      <w:r>
        <w:rPr>
          <w:rFonts w:hint="eastAsia" w:ascii="宋体" w:hAnsi="宋体" w:cs="宋体"/>
          <w:sz w:val="24"/>
          <w:szCs w:val="24"/>
          <w:highlight w:val="none"/>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highlight w:val="none"/>
        </w:rPr>
      </w:r>
      <w:r/>
    </w:p>
    <w:p>
      <w:pPr>
        <w:pStyle w:val="1063"/>
        <w:ind w:firstLine="480"/>
        <w:spacing w:line="360" w:lineRule="auto"/>
        <w:rPr>
          <w:rFonts w:hint="eastAsia" w:ascii="宋体" w:hAnsi="宋体" w:cs="宋体"/>
          <w:b/>
          <w:sz w:val="24"/>
          <w:szCs w:val="24"/>
          <w:highlight w:val="none"/>
          <w:u w:val="single"/>
        </w:rPr>
      </w:pPr>
      <w:r>
        <w:rPr>
          <w:rFonts w:hint="eastAsia" w:ascii="宋体" w:hAnsi="宋体" w:cs="宋体"/>
          <w:bCs/>
          <w:sz w:val="24"/>
          <w:szCs w:val="24"/>
          <w:highlight w:val="none"/>
        </w:rPr>
        <w:t xml:space="preserve">本项目采购标的对应的中小企业划分标准所属行业为： </w:t>
      </w:r>
      <w:r>
        <w:rPr>
          <w:rFonts w:hint="eastAsia" w:ascii="宋体" w:hAnsi="宋体" w:cs="宋体"/>
          <w:b/>
          <w:sz w:val="24"/>
          <w:szCs w:val="24"/>
          <w:highlight w:val="none"/>
          <w:u w:val="single"/>
        </w:rPr>
        <w:t xml:space="preserve">工业。</w:t>
      </w:r>
      <w:r>
        <w:rPr>
          <w:rFonts w:hint="eastAsia" w:ascii="宋体" w:hAnsi="宋体" w:cs="宋体"/>
          <w:b/>
          <w:sz w:val="24"/>
          <w:szCs w:val="24"/>
          <w:highlight w:val="none"/>
          <w:u w:val="singl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（三）其他资格要求：</w:t>
      </w:r>
      <w:r>
        <w:rPr>
          <w:rFonts w:hint="eastAsia" w:ascii="宋体" w:hAnsi="宋体" w:cs="宋体"/>
          <w:b/>
          <w:bCs/>
          <w:sz w:val="24"/>
          <w:szCs w:val="24"/>
          <w:highlight w:val="none"/>
        </w:rPr>
        <w:t xml:space="preserve">无。</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（四）拒绝下述投标人参加本次招标活动：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1、投标人单位负责人为同一人或者存在直接控股、管理关系的不同投标人，不得参加同一合同项下的政府采购活动。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2、凡为采购项目提供整体设计、规范编制或者项目管理、监理、检测等服务的投标人，不得再参加该采购项目的其他采购活动。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bCs/>
          <w:sz w:val="24"/>
          <w:szCs w:val="24"/>
          <w:highlight w:val="none"/>
          <w:lang w:bidi="ar"/>
        </w:rPr>
        <w:t xml:space="preserve">的投标人</w:t>
      </w:r>
      <w:r>
        <w:rPr>
          <w:rFonts w:hint="eastAsia" w:ascii="宋体" w:hAnsi="宋体" w:cs="宋体"/>
          <w:sz w:val="24"/>
          <w:szCs w:val="24"/>
          <w:highlight w:val="none"/>
        </w:rPr>
        <w:t xml:space="preserve">。（提供网页截图）</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三、获取招标文件</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1.时间：自招标文件公告发布之日起5个工作日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2.地点：江苏政府采购网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r>
        <w:rPr>
          <w:rFonts w:hint="eastAsia" w:ascii="宋体" w:hAnsi="宋体" w:cs="宋体"/>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bookmarkStart w:id="15" w:name="_Toc14178"/>
      <w:r/>
      <w:bookmarkStart w:id="16" w:name="_Toc24653"/>
      <w:r>
        <w:rPr>
          <w:rFonts w:hint="eastAsia" w:ascii="宋体" w:hAnsi="宋体" w:cs="宋体"/>
          <w:b/>
          <w:bCs/>
          <w:sz w:val="24"/>
          <w:szCs w:val="24"/>
          <w:highlight w:val="none"/>
        </w:rPr>
        <w:t xml:space="preserve">四、提交投标文件截止时间和地点</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1.截止时间：2026-</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22 </w:t>
      </w:r>
      <w:r>
        <w:rPr>
          <w:rFonts w:hint="eastAsia" w:ascii="宋体" w:hAnsi="宋体" w:cs="宋体"/>
          <w:sz w:val="24"/>
          <w:szCs w:val="24"/>
          <w:highlight w:val="none"/>
        </w:rPr>
        <w:t xml:space="preserve">14:00 （北京时间）。</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2.地点：江苏省政府采购交易系统（以下简称“苏采云系统”）网上开标大厅。</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五、公告期限</w:t>
      </w:r>
      <w:r>
        <w:rPr>
          <w:rFonts w:hint="eastAsia" w:ascii="宋体" w:hAnsi="宋体" w:cs="宋体"/>
          <w:b/>
          <w:bCs/>
          <w:sz w:val="24"/>
          <w:szCs w:val="24"/>
          <w:highlight w:val="none"/>
        </w:rPr>
      </w:r>
      <w:r/>
    </w:p>
    <w:p>
      <w:pPr>
        <w:pStyle w:val="1063"/>
        <w:ind w:firstLine="480"/>
        <w:spacing w:line="360" w:lineRule="auto"/>
        <w:tabs>
          <w:tab w:val="left" w:pos="7810" w:leader="none"/>
        </w:tabs>
        <w:rPr>
          <w:rFonts w:hint="eastAsia" w:ascii="宋体" w:hAnsi="宋体" w:cs="宋体"/>
          <w:b/>
          <w:bCs/>
          <w:sz w:val="24"/>
          <w:szCs w:val="24"/>
          <w:highlight w:val="none"/>
        </w:rPr>
      </w:pPr>
      <w:r>
        <w:rPr>
          <w:rFonts w:hint="eastAsia" w:ascii="宋体" w:hAnsi="宋体" w:cs="宋体"/>
          <w:sz w:val="24"/>
          <w:szCs w:val="24"/>
          <w:highlight w:val="none"/>
        </w:rPr>
        <w:t xml:space="preserve">本次公开招标公告期限为五个工作日。</w:t>
      </w:r>
      <w:r>
        <w:rPr>
          <w:rFonts w:hint="eastAsia" w:ascii="宋体" w:hAnsi="宋体" w:cs="宋体"/>
          <w:b/>
          <w:bCs/>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六、评标时间和地点</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日下午14：00分（北京时间）。</w:t>
      </w:r>
      <w:r>
        <w:rPr>
          <w:rFonts w:hint="eastAsia" w:ascii="宋体" w:hAnsi="宋体" w:cs="宋体"/>
          <w:sz w:val="24"/>
          <w:szCs w:val="24"/>
          <w:highlight w:val="none"/>
        </w:rPr>
      </w:r>
      <w:r/>
    </w:p>
    <w:p>
      <w:pPr>
        <w:pStyle w:val="1063"/>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2、地点：</w:t>
      </w:r>
      <w:r>
        <w:rPr>
          <w:rFonts w:ascii="SimSun" w:hAnsi="SimSun" w:eastAsia="SimSun" w:cs="SimSun"/>
          <w:color w:val="000000"/>
          <w:spacing w:val="-6"/>
          <w:sz w:val="24"/>
        </w:rPr>
        <w:t xml:space="preserve">南京市秦淮区中和桥路1号（光华茂1号门）6楼6001室</w:t>
      </w:r>
      <w:r>
        <w:rPr>
          <w:rFonts w:hint="eastAsia" w:ascii="宋体" w:hAnsi="宋体" w:cs="宋体"/>
          <w:sz w:val="24"/>
          <w:szCs w:val="24"/>
          <w:highlight w:val="none"/>
        </w:rPr>
        <w:t xml:space="preserve">。</w:t>
      </w:r>
      <w:r>
        <w:rPr>
          <w:rFonts w:hint="eastAsia" w:ascii="宋体" w:hAnsi="宋体" w:cs="宋体"/>
          <w:b/>
          <w:bCs/>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1、本项目招标代理编号：NJDCX-202604301501</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2、本次招标不收取投标保证金。</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3、现场勘查及答疑：本项目不组织现场勘查。</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hAnsi="宋体" w:cs="宋体"/>
          <w:sz w:val="24"/>
          <w:szCs w:val="24"/>
          <w:highlight w:val="none"/>
        </w:rPr>
      </w:r>
      <w:r/>
    </w:p>
    <w:p>
      <w:pPr>
        <w:pStyle w:val="1165"/>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 w:val="24"/>
          <w:szCs w:val="24"/>
          <w:highlight w:val="none"/>
        </w:rPr>
      </w:r>
      <w:r/>
    </w:p>
    <w:p>
      <w:pPr>
        <w:pStyle w:val="1165"/>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操作手册下载地址：</w:t>
      </w:r>
      <w:r>
        <w:rPr>
          <w:rFonts w:hint="eastAsia" w:ascii="宋体" w:hAnsi="宋体" w:cs="宋体"/>
          <w:sz w:val="24"/>
          <w:szCs w:val="24"/>
          <w:highlight w:val="none"/>
        </w:rPr>
      </w:r>
      <w:r/>
    </w:p>
    <w:p>
      <w:pPr>
        <w:pStyle w:val="1165"/>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http://www.ccgp-jiangsu.gov.cn/jiangsu/zlxz/ee/ee3a4bc5a3454aa2b0d9312230633ce9.html</w:t>
      </w:r>
      <w:r>
        <w:rPr>
          <w:rFonts w:hint="eastAsia" w:ascii="宋体" w:hAnsi="宋体" w:cs="宋体"/>
          <w:sz w:val="24"/>
          <w:szCs w:val="24"/>
          <w:highlight w:val="none"/>
        </w:rPr>
      </w:r>
      <w:r/>
    </w:p>
    <w:p>
      <w:pPr>
        <w:pStyle w:val="1165"/>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首次登录“苏采云”系统的新用户，登录网址后，点击“用户注册”--“新CA办理指南”--获取CA后绑定、登录系统--采购项目参与--下载采购文件（文件后缀名为“.kedt”）。</w:t>
      </w:r>
      <w:r>
        <w:rPr>
          <w:rFonts w:hint="eastAsia" w:ascii="宋体" w:hAnsi="宋体" w:cs="宋体"/>
          <w:sz w:val="24"/>
          <w:szCs w:val="24"/>
          <w:highlight w:val="none"/>
        </w:rPr>
      </w:r>
      <w:r/>
    </w:p>
    <w:p>
      <w:pPr>
        <w:pStyle w:val="1165"/>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“苏采云”南京地区客服热线025-83633744、025-83633743。</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八、凡对本次采购提出询问，请按以下方式联系。</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单位名称：南京林业大学</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址：南京市玄武区龙蟠路159号</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联系人：陆老师</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联系电话：025-85428503</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单位名称：南京达琛鑫工程咨询有限公司</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单位地址：</w:t>
      </w:r>
      <w:r>
        <w:rPr>
          <w:rFonts w:ascii="SimSun" w:hAnsi="SimSun" w:eastAsia="SimSun" w:cs="SimSun"/>
          <w:color w:val="000000"/>
          <w:spacing w:val="-6"/>
          <w:sz w:val="24"/>
        </w:rPr>
        <w:t xml:space="preserve">南京市秦淮区中和桥路1号（光华茂1号门）6楼6001室</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bookmarkStart w:id="17" w:name="OLE_LINK22"/>
      <w:r>
        <w:rPr>
          <w:rFonts w:hint="eastAsia" w:ascii="宋体" w:hAnsi="宋体" w:cs="宋体"/>
          <w:sz w:val="24"/>
          <w:szCs w:val="24"/>
          <w:highlight w:val="none"/>
        </w:rPr>
        <w:t xml:space="preserve">联系人：潘工</w:t>
      </w:r>
      <w:r>
        <w:rPr>
          <w:rFonts w:hint="eastAsia" w:ascii="宋体" w:hAnsi="宋体" w:cs="宋体"/>
          <w:sz w:val="24"/>
          <w:szCs w:val="24"/>
          <w:highlight w:val="none"/>
        </w:rPr>
      </w:r>
      <w:r/>
    </w:p>
    <w:p>
      <w:pPr>
        <w:pStyle w:val="1063"/>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联系电话：025-52639995转8010</w:t>
      </w:r>
      <w:r>
        <w:rPr>
          <w:rFonts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bookmarkEnd w:id="17"/>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w:t>
      </w:r>
      <w:bookmarkStart w:id="18" w:name="OLE_LINK23"/>
      <w:r>
        <w:rPr>
          <w:rFonts w:hint="eastAsia" w:ascii="宋体" w:hAnsi="宋体" w:cs="宋体"/>
          <w:sz w:val="24"/>
          <w:szCs w:val="24"/>
          <w:highlight w:val="none"/>
        </w:rPr>
        <w:t xml:space="preserve">潘工</w:t>
      </w:r>
      <w:r>
        <w:rPr>
          <w:rFonts w:hint="eastAsia" w:ascii="宋体" w:hAnsi="宋体" w:cs="宋体"/>
          <w:sz w:val="24"/>
          <w:szCs w:val="24"/>
          <w:highlight w:val="none"/>
        </w:rPr>
      </w:r>
      <w:r/>
    </w:p>
    <w:p>
      <w:pPr>
        <w:pStyle w:val="1063"/>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电话：025-52639995转81010</w:t>
      </w:r>
      <w:r>
        <w:rPr>
          <w:rFonts w:ascii="宋体" w:hAnsi="宋体" w:cs="宋体"/>
          <w:sz w:val="24"/>
          <w:szCs w:val="24"/>
          <w:highlight w:val="none"/>
        </w:rPr>
      </w:r>
      <w:r/>
    </w:p>
    <w:p>
      <w:pPr>
        <w:pStyle w:val="1095"/>
        <w:ind w:firstLine="0"/>
        <w:jc w:val="center"/>
        <w:pageBreakBefore/>
        <w:spacing w:before="0" w:after="0" w:line="360" w:lineRule="auto"/>
        <w:tabs>
          <w:tab w:val="clear" w:pos="8720" w:leader="none"/>
        </w:tabs>
        <w:rPr>
          <w:rFonts w:hint="eastAsia"/>
          <w:b/>
          <w:bCs/>
          <w:sz w:val="40"/>
          <w:highlight w:val="none"/>
        </w:rPr>
        <w:outlineLvl w:val="0"/>
      </w:pPr>
      <w:r/>
      <w:bookmarkStart w:id="19" w:name="_Toc32114"/>
      <w:r/>
      <w:bookmarkStart w:id="20" w:name="_Toc24324"/>
      <w:r/>
      <w:bookmarkStart w:id="21" w:name="_Toc145"/>
      <w:r/>
      <w:bookmarkStart w:id="22" w:name="_Toc14634"/>
      <w:r/>
      <w:bookmarkStart w:id="23" w:name="_Toc26730"/>
      <w:r/>
      <w:bookmarkStart w:id="24" w:name="_Toc9192"/>
      <w:r/>
      <w:bookmarkStart w:id="25" w:name="_Toc1657"/>
      <w:r>
        <w:rPr>
          <w:rFonts w:hint="eastAsia"/>
          <w:b/>
          <w:bCs/>
          <w:sz w:val="40"/>
          <w:highlight w:val="none"/>
        </w:rPr>
        <w:t xml:space="preserve">第二章  投标人须知</w:t>
      </w:r>
      <w:bookmarkEnd w:id="19"/>
      <w:r/>
      <w:bookmarkEnd w:id="20"/>
      <w:r/>
      <w:bookmarkEnd w:id="21"/>
      <w:r/>
      <w:bookmarkEnd w:id="22"/>
      <w:r/>
      <w:bookmarkEnd w:id="23"/>
      <w:r/>
      <w:bookmarkEnd w:id="24"/>
      <w:r/>
      <w:bookmarkEnd w:id="25"/>
      <w:r>
        <w:rPr>
          <w:rFonts w:hint="eastAsia"/>
          <w:b/>
          <w:bCs/>
          <w:sz w:val="40"/>
          <w:highlight w:val="none"/>
        </w:rPr>
      </w:r>
      <w:r/>
    </w:p>
    <w:p>
      <w:pPr>
        <w:pStyle w:val="1063"/>
        <w:ind w:firstLine="720"/>
        <w:spacing w:line="360" w:lineRule="auto"/>
        <w:rPr>
          <w:rFonts w:hint="eastAsia" w:ascii="宋体" w:hAnsi="宋体" w:cs="宋体"/>
          <w:sz w:val="24"/>
          <w:szCs w:val="24"/>
        </w:rPr>
      </w:pPr>
      <w:r/>
      <w:bookmarkEnd w:id="15"/>
      <w:r/>
      <w:bookmarkEnd w:id="16"/>
      <w:r/>
      <w:bookmarkEnd w:id="18"/>
      <w:r/>
      <w:bookmarkStart w:id="26" w:name="_Hlt16619475"/>
      <w:r/>
      <w:bookmarkEnd w:id="26"/>
      <w:r>
        <w:rPr>
          <w:rFonts w:hint="eastAsia" w:ascii="宋体" w:hAnsi="宋体" w:cs="宋体"/>
          <w:sz w:val="24"/>
          <w:szCs w:val="24"/>
        </w:rPr>
      </w:r>
      <w:r/>
    </w:p>
    <w:p>
      <w:pPr>
        <w:pStyle w:val="1063"/>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投标人须知前附表</w:t>
      </w:r>
      <w:r>
        <w:rPr>
          <w:rFonts w:ascii="宋体" w:hAnsi="宋体" w:cs="宋体"/>
          <w:b/>
          <w:bCs/>
          <w:sz w:val="24"/>
          <w:szCs w:val="24"/>
        </w:rPr>
      </w:r>
      <w:r/>
    </w:p>
    <w:p>
      <w:pPr>
        <w:pStyle w:val="1065"/>
        <w:numPr>
          <w:ilvl w:val="0"/>
          <w:numId w:val="0"/>
        </w:numPr>
        <w:jc w:val="left"/>
        <w:spacing w:before="0" w:after="0" w:line="480" w:lineRule="exact"/>
        <w:rPr>
          <w:rFonts w:ascii="宋体" w:hAnsi="宋体" w:eastAsia="宋体" w:cs="宋体"/>
          <w:sz w:val="28"/>
          <w:szCs w:val="28"/>
        </w:rPr>
      </w:pPr>
      <w:r/>
      <w:bookmarkStart w:id="27" w:name="_Toc14072"/>
      <w:r>
        <w:rPr>
          <w:rFonts w:hint="eastAsia" w:ascii="宋体" w:hAnsi="宋体" w:eastAsia="宋体" w:cs="宋体"/>
          <w:sz w:val="28"/>
          <w:szCs w:val="28"/>
        </w:rPr>
        <w:t xml:space="preserve">一、总则</w:t>
      </w:r>
      <w:bookmarkEnd w:id="27"/>
      <w:r>
        <w:rPr>
          <w:rFonts w:ascii="宋体" w:hAnsi="宋体" w:eastAsia="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适用法律</w:t>
      </w:r>
      <w:r>
        <w:rPr>
          <w:rFonts w:ascii="宋体" w:hAnsi="宋体" w:cs="宋体"/>
          <w:sz w:val="24"/>
          <w:szCs w:val="24"/>
        </w:rPr>
      </w:r>
      <w:r/>
    </w:p>
    <w:p>
      <w:pPr>
        <w:pStyle w:val="1063"/>
        <w:ind w:firstLine="480"/>
        <w:jc w:val="left"/>
        <w:spacing w:line="480" w:lineRule="exact"/>
        <w:rPr>
          <w:rFonts w:ascii="宋体" w:hAnsi="宋体" w:cs="宋体"/>
        </w:rPr>
      </w:pPr>
      <w:r>
        <w:rPr>
          <w:rFonts w:hint="eastAsia" w:ascii="宋体" w:hAnsi="宋体" w:cs="宋体"/>
          <w:sz w:val="24"/>
          <w:szCs w:val="24"/>
        </w:rPr>
        <w:t xml:space="preserve">1.1《中华人民共和国政府采购法》、《中华人民共和国政府采购法实施条例》、《政府采购货物和服务招标投标管理办法》等有关法律、规章和规定等。</w:t>
      </w:r>
      <w:r>
        <w:rPr>
          <w:rFonts w:ascii="宋体" w:hAnsi="宋体" w:cs="宋体"/>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定义</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2.1“采购人”指依法进行政府采购的国家机关、事业单位、团体组织。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2.2“使用单位”是指使用货物、服务的单位。</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2.3“采购代理”是指集中采购机构和集中采购机构以外的采购代理机构。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2.4“投标人”“供应商”是指向采购人提供货物、工程或者服务的法人、其他组织或者自然人。</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2.5“产品”指本招标文件中所述产品及相关服务。</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eastAsia="宋体" w:cs="宋体"/>
          <w:sz w:val="24"/>
          <w:szCs w:val="24"/>
          <w:lang w:val="en-US" w:eastAsia="zh-CN"/>
        </w:rPr>
      </w:pPr>
      <w:r>
        <w:rPr>
          <w:rFonts w:hint="eastAsia" w:ascii="宋体" w:hAnsi="宋体" w:cs="宋体"/>
          <w:sz w:val="24"/>
          <w:szCs w:val="24"/>
        </w:rPr>
        <w:t xml:space="preserve">3、</w:t>
      </w:r>
      <w:r>
        <w:rPr>
          <w:rFonts w:hint="eastAsia" w:ascii="宋体" w:hAnsi="宋体" w:cs="宋体"/>
          <w:sz w:val="24"/>
          <w:szCs w:val="24"/>
          <w:lang w:val="en-US" w:eastAsia="zh-CN"/>
        </w:rPr>
        <w:t xml:space="preserve">政策功能</w:t>
      </w:r>
      <w:r>
        <w:rPr>
          <w:rFonts w:ascii="宋体" w:hAnsi="宋体" w:eastAsia="宋体" w:cs="宋体"/>
          <w:sz w:val="24"/>
          <w:szCs w:val="24"/>
          <w:lang w:val="en-US" w:eastAsia="zh-CN"/>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3.1中小企业、监狱企业及残疾人福利性单位政策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3.1.1政府采购促进中小企业发展，在政府采购活动中，供应商提供的货物、工程或者服务符合下列情形的，享受中小企业扶持政策：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3.1.2在货物采购项目中，供应商提供的货物既有中小企业制造货物，也有大型企业制造货物的，不享受中小企业扶持政策。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3.1.3以联合体形式参加政府采购活动，联合体各方均为中小企业的，联合体视同中小企业。其中，联合体各方均为小微企业的，联合体视同小微企业。</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3.1.4中小企业供应商参加政府采购活动，应当出具《中小企业声明函》（格式见后附件），否则不得享受相关中小企业扶持政策。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3.2节能产品政策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3.2.2参加政府采购活动的节能产品投标人应当提供国家确定的认证机构出具的、处于有效期之内的节能产品认证证书。</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3.3环境标志产品政策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3.3.2参加政府采购活动的环境标志产品投标人应当提供国家确定的认证机构出具的、处于有效期之内的环境标志产品认证证书。</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3.4进口产品政策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3.4.2允许进口产品参加的，满足需求的国内产品可以参加。</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3.4.3允许进口产品参加的，优先采购向我国企业转让技术、与我国企业签订消化吸收再创新方案的投标人的进口产品。</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3.4.4未按要求提供相关材料的，不享受相关政策。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3.5采购本国产品的支持政策</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3.5.5供应商需按照招标文件的要求提供《关于符合本国产品标准的声明函》（以下简称《声明函》），如不提供将不享受本国产品价格评审优惠。</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3.5.6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rPr>
      </w:r>
      <w:r/>
    </w:p>
    <w:p>
      <w:pPr>
        <w:pStyle w:val="1063"/>
        <w:ind w:firstLine="480"/>
        <w:jc w:val="left"/>
        <w:spacing w:line="480" w:lineRule="exact"/>
        <w:rPr>
          <w:rFonts w:ascii="宋体" w:hAnsi="宋体" w:cs="宋体"/>
          <w:sz w:val="24"/>
          <w:szCs w:val="24"/>
        </w:rPr>
      </w:pPr>
      <w:r>
        <w:rPr>
          <w:rFonts w:hint="eastAsia" w:ascii="宋体" w:hAnsi="宋体" w:cs="宋体"/>
          <w:sz w:val="24"/>
          <w:szCs w:val="24"/>
        </w:rPr>
        <w:t xml:space="preserve">3.5.7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4、投标费用</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4.1投标人应自行承担所有与参加投标有关的费用，无论投标过程中的做法和结果如何，南京达琛鑫工程咨询有限公司（以下简称采购代理机构）在任何情况下均无义务和责任承担这些费用。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4.2本次招标收取标书费。</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4.3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cs="宋体"/>
          <w:sz w:val="24"/>
          <w:szCs w:val="24"/>
        </w:rPr>
      </w:r>
      <w:r/>
    </w:p>
    <w:p>
      <w:pPr>
        <w:pStyle w:val="1065"/>
        <w:numPr>
          <w:ilvl w:val="0"/>
          <w:numId w:val="0"/>
        </w:numPr>
        <w:jc w:val="left"/>
        <w:spacing w:before="0" w:after="0" w:line="480" w:lineRule="exact"/>
        <w:rPr>
          <w:rFonts w:ascii="宋体" w:hAnsi="宋体" w:eastAsia="宋体" w:cs="宋体"/>
          <w:sz w:val="28"/>
          <w:szCs w:val="28"/>
        </w:rPr>
      </w:pPr>
      <w:r/>
      <w:bookmarkStart w:id="28" w:name="_Toc9795"/>
      <w:r>
        <w:rPr>
          <w:rFonts w:hint="eastAsia" w:ascii="宋体" w:hAnsi="宋体" w:eastAsia="宋体" w:cs="宋体"/>
          <w:sz w:val="28"/>
          <w:szCs w:val="28"/>
        </w:rPr>
        <w:t xml:space="preserve">二、招标文件</w:t>
      </w:r>
      <w:bookmarkEnd w:id="28"/>
      <w:r>
        <w:rPr>
          <w:rFonts w:ascii="宋体" w:hAnsi="宋体" w:eastAsia="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、招标文件构成</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5.1 招标文件由以下部分组成：</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第一章  投标邀请（招标公告）</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第二章  投标人须知</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第三章  合同条款及格式</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第四章  采购需求</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第五章  评标方法与评标标准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第六章  投标文件格式</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投标人应仔细检查招标文件是否齐全，如有缺漏请立即与代理机构联系解决。</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5.2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5.3招标的最小单位是标段。招标货物数量及技术要求中未分标段的，投标人对要求提供的货物不得部分投标；招标货物数量及技术要求中已经分标段的，可以以标段为单位投标。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5.4 采购代理机构如果要求投标人按照招标文件规定提交备选投标方案的，投标人可以提交备选方案；否则，备选方案将被拒绝。</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、招标文件的澄清</w:t>
      </w:r>
      <w:r>
        <w:rPr>
          <w:rFonts w:ascii="宋体" w:hAnsi="宋体" w:cs="宋体"/>
          <w:sz w:val="24"/>
          <w:szCs w:val="24"/>
        </w:rPr>
      </w:r>
      <w:r/>
    </w:p>
    <w:p>
      <w:pPr>
        <w:pStyle w:val="1063"/>
        <w:ind w:firstLine="480"/>
        <w:jc w:val="left"/>
        <w:spacing w:line="480" w:lineRule="exact"/>
        <w:rPr>
          <w:rFonts w:ascii="宋体" w:hAnsi="宋体" w:cs="宋体"/>
          <w:sz w:val="24"/>
          <w:szCs w:val="24"/>
        </w:rPr>
      </w:pPr>
      <w:r>
        <w:rPr>
          <w:rFonts w:hint="eastAsia" w:ascii="宋体" w:hAnsi="宋体" w:cs="宋体"/>
          <w:sz w:val="24"/>
          <w:szCs w:val="24"/>
        </w:rPr>
        <w:t xml:space="preserve">任何要求对招标文件进行澄清的投标人，应在投标截止日前按招标公告中的通讯地址，以书面形式通知采购代理机构。</w:t>
      </w:r>
      <w:r>
        <w:rPr>
          <w:rFonts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、招标文件的修改</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7.1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7.2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rPr>
      </w:r>
      <w:r/>
    </w:p>
    <w:p>
      <w:pPr>
        <w:pStyle w:val="1063"/>
        <w:ind w:firstLine="480"/>
        <w:jc w:val="left"/>
        <w:spacing w:line="360" w:lineRule="auto"/>
        <w:rPr>
          <w:rFonts w:hint="eastAsia" w:ascii="宋体" w:hAnsi="宋体" w:cs="宋体"/>
          <w:sz w:val="24"/>
          <w:szCs w:val="24"/>
        </w:rPr>
      </w:pPr>
      <w:r>
        <w:rPr>
          <w:rFonts w:hint="eastAsia" w:ascii="宋体" w:hAnsi="宋体" w:cs="宋体"/>
          <w:sz w:val="24"/>
          <w:szCs w:val="24"/>
        </w:rPr>
        <w:t xml:space="preserve">7.3 代理机构有权按照法定的要求推迟投标截止日期和开标日期，并在原公告媒体发布更正公告。</w:t>
      </w:r>
      <w:r>
        <w:rPr>
          <w:rFonts w:hint="eastAsia" w:ascii="宋体" w:hAnsi="宋体" w:cs="宋体"/>
          <w:sz w:val="24"/>
          <w:szCs w:val="24"/>
        </w:rPr>
      </w:r>
      <w:r/>
    </w:p>
    <w:p>
      <w:pPr>
        <w:pStyle w:val="1065"/>
        <w:numPr>
          <w:ilvl w:val="0"/>
          <w:numId w:val="0"/>
        </w:numPr>
        <w:jc w:val="left"/>
        <w:spacing w:before="0" w:after="0" w:line="480" w:lineRule="exact"/>
        <w:rPr>
          <w:rFonts w:ascii="宋体" w:hAnsi="宋体" w:eastAsia="宋体" w:cs="宋体"/>
          <w:sz w:val="28"/>
          <w:szCs w:val="28"/>
        </w:rPr>
      </w:pPr>
      <w:r/>
      <w:bookmarkStart w:id="29" w:name="_Toc6572"/>
      <w:r>
        <w:rPr>
          <w:rFonts w:hint="eastAsia" w:ascii="宋体" w:hAnsi="宋体" w:eastAsia="宋体" w:cs="宋体"/>
          <w:sz w:val="28"/>
          <w:szCs w:val="28"/>
        </w:rPr>
        <w:t xml:space="preserve">三、投标文件的编制</w:t>
      </w:r>
      <w:bookmarkEnd w:id="29"/>
      <w:r>
        <w:rPr>
          <w:rFonts w:ascii="宋体" w:hAnsi="宋体" w:eastAsia="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、投标文件的语言及度量衡单位</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8.1 投标人提交的投标文件以及投标人与代理机构就有关投标的所有来往通知、函件和文件均应使用简体中文。</w:t>
      </w:r>
      <w:r>
        <w:rPr>
          <w:rFonts w:hint="eastAsia" w:ascii="宋体" w:hAnsi="宋体" w:cs="宋体"/>
          <w:sz w:val="24"/>
          <w:szCs w:val="24"/>
        </w:rPr>
      </w:r>
      <w:r/>
    </w:p>
    <w:p>
      <w:pPr>
        <w:pStyle w:val="1063"/>
        <w:ind w:firstLine="480"/>
        <w:jc w:val="left"/>
        <w:spacing w:line="480" w:lineRule="exact"/>
        <w:rPr>
          <w:rFonts w:ascii="宋体" w:hAnsi="宋体" w:cs="宋体"/>
          <w:sz w:val="24"/>
          <w:szCs w:val="24"/>
        </w:rPr>
      </w:pPr>
      <w:r>
        <w:rPr>
          <w:rFonts w:hint="eastAsia" w:ascii="宋体" w:hAnsi="宋体" w:cs="宋体"/>
          <w:sz w:val="24"/>
          <w:szCs w:val="24"/>
        </w:rPr>
        <w:t xml:space="preserve">8.2 除技术性能另有规定外，投标文件所使用的度量衡单位，均须采用国家法定计量单位。</w:t>
      </w:r>
      <w:r>
        <w:rPr>
          <w:rFonts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rPr>
        <w:t xml:space="preserve">、投标文件</w:t>
      </w:r>
      <w:r>
        <w:rPr>
          <w:rFonts w:hint="eastAsia" w:ascii="宋体" w:hAnsi="宋体" w:cs="宋体"/>
          <w:sz w:val="24"/>
          <w:szCs w:val="24"/>
          <w:lang w:val="en-US" w:eastAsia="zh-CN"/>
        </w:rPr>
        <w:t xml:space="preserve">构成</w:t>
      </w:r>
      <w:r>
        <w:rPr>
          <w:rFonts w:hint="eastAsia" w:ascii="宋体" w:hAnsi="宋体" w:eastAsia="宋体" w:cs="宋体"/>
          <w:sz w:val="24"/>
          <w:szCs w:val="24"/>
          <w:lang w:val="en-US" w:eastAsia="zh-CN"/>
        </w:rPr>
      </w:r>
      <w:r/>
    </w:p>
    <w:p>
      <w:pPr>
        <w:pStyle w:val="106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投标人编写的投标文件应包括资格证明文件、符合性证明文件、投标报价明细表、响应及偏离表、其他证明文件、投标函、开标一览表等部分。</w:t>
      </w:r>
      <w:r>
        <w:rPr>
          <w:rFonts w:hint="eastAsia" w:ascii="宋体" w:hAnsi="宋体" w:eastAsia="宋体" w:cs="宋体"/>
          <w:sz w:val="24"/>
          <w:szCs w:val="24"/>
        </w:rPr>
      </w:r>
      <w:r/>
    </w:p>
    <w:p>
      <w:pPr>
        <w:pStyle w:val="1063"/>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9.2 如标书制作工具中格式和内容与“江苏政府采购网”发布的招标文件不一致，</w:t>
      </w:r>
      <w:r>
        <w:rPr>
          <w:rFonts w:hint="eastAsia" w:ascii="宋体" w:hAnsi="宋体" w:eastAsia="宋体" w:cs="宋体"/>
          <w:b/>
          <w:bCs/>
          <w:sz w:val="24"/>
          <w:szCs w:val="24"/>
        </w:rPr>
        <w:t xml:space="preserve">以招标文件内的格式为准。</w:t>
      </w:r>
      <w:r>
        <w:rPr>
          <w:rFonts w:hint="eastAsia" w:ascii="宋体" w:hAnsi="宋体" w:eastAsia="宋体" w:cs="宋体"/>
          <w:b/>
          <w:bCs/>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、证明投标人及投标标的符合招标文件规定的文件</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10.1 投标人应按照法律、法规、规章和规范性文件以及招标文件要求提交证明文件，证明其及投标标的符合招标文件规定。</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10.2 招标文件对证明文件无明确形式要求的，证明文件可以以文字资料、图纸和数据等形式提交。</w:t>
      </w:r>
      <w:r>
        <w:rPr>
          <w:rFonts w:hint="eastAsia" w:ascii="宋体" w:hAnsi="宋体" w:cs="宋体"/>
          <w:sz w:val="24"/>
          <w:szCs w:val="24"/>
        </w:rPr>
      </w:r>
      <w:r/>
    </w:p>
    <w:p>
      <w:pPr>
        <w:pStyle w:val="1063"/>
        <w:ind w:firstLine="482"/>
        <w:jc w:val="left"/>
        <w:spacing w:line="480" w:lineRule="exact"/>
        <w:tabs>
          <w:tab w:val="left" w:pos="1035" w:leader="none"/>
        </w:tabs>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报价明细表</w:t>
      </w:r>
      <w:r>
        <w:rPr>
          <w:rFonts w:ascii="宋体" w:hAnsi="宋体" w:cs="宋体"/>
          <w:b/>
          <w:bCs/>
          <w:sz w:val="24"/>
          <w:szCs w:val="24"/>
        </w:rPr>
      </w:r>
      <w:r/>
    </w:p>
    <w:p>
      <w:pPr>
        <w:pStyle w:val="1063"/>
        <w:ind w:firstLine="480"/>
        <w:spacing w:line="480" w:lineRule="exact"/>
        <w:tabs>
          <w:tab w:val="left" w:pos="1035" w:leader="none"/>
        </w:tabs>
        <w:rPr>
          <w:rFonts w:hint="eastAsia" w:ascii="宋体" w:hAnsi="宋体" w:cs="宋体"/>
          <w:sz w:val="24"/>
          <w:szCs w:val="24"/>
        </w:rPr>
      </w:pPr>
      <w:r>
        <w:rPr>
          <w:rFonts w:hint="eastAsia" w:ascii="宋体" w:hAnsi="宋体" w:cs="宋体"/>
          <w:sz w:val="24"/>
          <w:szCs w:val="24"/>
        </w:rPr>
        <w:t xml:space="preserve">11.1 投标人应按照招标文件规定格式填报投标报价明细表。</w:t>
      </w:r>
      <w:r>
        <w:rPr>
          <w:rFonts w:hint="eastAsia" w:ascii="宋体" w:hAnsi="宋体" w:cs="宋体"/>
          <w:sz w:val="24"/>
          <w:szCs w:val="24"/>
        </w:rPr>
      </w:r>
      <w:r/>
    </w:p>
    <w:p>
      <w:pPr>
        <w:pStyle w:val="1063"/>
        <w:ind w:firstLine="480"/>
        <w:jc w:val="left"/>
        <w:spacing w:line="360" w:lineRule="auto"/>
        <w:tabs>
          <w:tab w:val="left" w:pos="1035" w:leader="none"/>
        </w:tabs>
        <w:rPr>
          <w:rFonts w:hint="eastAsia" w:ascii="宋体" w:hAnsi="宋体" w:cs="宋体"/>
          <w:sz w:val="24"/>
          <w:szCs w:val="24"/>
          <w:lang w:val="zh-CN"/>
        </w:rPr>
      </w:pPr>
      <w:r>
        <w:rPr>
          <w:rFonts w:hint="eastAsia" w:ascii="宋体" w:hAnsi="宋体" w:cs="宋体"/>
          <w:sz w:val="24"/>
          <w:szCs w:val="24"/>
        </w:rPr>
        <w:t xml:space="preserve">11.2 投标货币。投标文件中的单价和总价无特殊规定的采用人民币报价，以元为单位标注。招标文件中另有规定的按规定执行。</w:t>
      </w:r>
      <w:r>
        <w:rPr>
          <w:rFonts w:hint="eastAsia" w:ascii="宋体" w:hAnsi="宋体" w:cs="宋体"/>
          <w:sz w:val="24"/>
          <w:szCs w:val="24"/>
          <w:lang w:val="zh-CN"/>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、响应及</w:t>
      </w:r>
      <w:r>
        <w:rPr>
          <w:rFonts w:hint="eastAsia" w:ascii="宋体" w:hAnsi="宋体" w:cs="宋体"/>
          <w:sz w:val="24"/>
          <w:szCs w:val="24"/>
          <w:lang w:val="en-US" w:eastAsia="zh-CN"/>
        </w:rPr>
        <w:t xml:space="preserve">偏离</w:t>
      </w:r>
      <w:r>
        <w:rPr>
          <w:rFonts w:hint="eastAsia" w:ascii="宋体" w:hAnsi="宋体" w:cs="宋体"/>
          <w:sz w:val="24"/>
          <w:szCs w:val="24"/>
        </w:rPr>
        <w:t xml:space="preserve">表</w:t>
      </w:r>
      <w:r>
        <w:rPr>
          <w:rFonts w:ascii="宋体" w:hAnsi="宋体" w:cs="宋体"/>
          <w:sz w:val="24"/>
          <w:szCs w:val="24"/>
        </w:rPr>
      </w:r>
      <w:r/>
    </w:p>
    <w:p>
      <w:pPr>
        <w:pStyle w:val="1063"/>
        <w:ind w:firstLine="480"/>
        <w:jc w:val="left"/>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12.1 投标人需对招标文件中的技术要求与商务要求逐项作出响应或偏离说明。</w:t>
      </w:r>
      <w:r>
        <w:rPr>
          <w:rFonts w:hint="eastAsia" w:ascii="宋体" w:hAnsi="宋体" w:cs="宋体"/>
          <w:sz w:val="24"/>
          <w:szCs w:val="24"/>
          <w:lang w:val="zh-CN"/>
        </w:rPr>
      </w:r>
      <w:r/>
    </w:p>
    <w:p>
      <w:pPr>
        <w:pStyle w:val="1063"/>
        <w:ind w:firstLine="480"/>
        <w:jc w:val="left"/>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12.2 投标人可以在投标文件中提供认为需要的其他技术文件或说明。</w:t>
      </w:r>
      <w:r>
        <w:rPr>
          <w:rFonts w:hint="eastAsia" w:ascii="宋体" w:hAnsi="宋体" w:cs="宋体"/>
          <w:sz w:val="24"/>
          <w:szCs w:val="24"/>
          <w:lang w:val="zh-CN"/>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、投标函和开标一览表</w:t>
      </w:r>
      <w:r>
        <w:rPr>
          <w:rFonts w:ascii="宋体" w:hAnsi="宋体" w:cs="宋体"/>
          <w:sz w:val="24"/>
          <w:szCs w:val="24"/>
        </w:rPr>
      </w:r>
      <w:r/>
    </w:p>
    <w:p>
      <w:pPr>
        <w:pStyle w:val="1063"/>
        <w:ind w:firstLine="480"/>
        <w:jc w:val="left"/>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13.1 投标人应按照招标文件提供的格式完整、正确填写投标函、开标一览表，所投核心产品品牌缺项的将视为无效投标。</w:t>
      </w:r>
      <w:r>
        <w:rPr>
          <w:rFonts w:hint="eastAsia" w:ascii="宋体" w:hAnsi="宋体" w:cs="宋体"/>
          <w:sz w:val="24"/>
          <w:szCs w:val="24"/>
          <w:lang w:val="zh-CN"/>
        </w:rPr>
      </w:r>
      <w:r/>
    </w:p>
    <w:p>
      <w:pPr>
        <w:pStyle w:val="1063"/>
        <w:ind w:firstLine="480"/>
        <w:jc w:val="left"/>
        <w:spacing w:line="480" w:lineRule="exact"/>
        <w:tabs>
          <w:tab w:val="left" w:pos="1035" w:leader="none"/>
        </w:tabs>
        <w:rPr>
          <w:rFonts w:ascii="宋体" w:hAnsi="宋体" w:cs="宋体"/>
          <w:b/>
          <w:bCs/>
          <w:sz w:val="24"/>
          <w:szCs w:val="24"/>
        </w:rPr>
      </w:pPr>
      <w:r>
        <w:rPr>
          <w:rFonts w:hint="eastAsia" w:ascii="宋体" w:hAnsi="宋体" w:cs="宋体"/>
          <w:sz w:val="24"/>
          <w:szCs w:val="24"/>
          <w:lang w:val="zh-CN"/>
        </w:rPr>
        <w:t xml:space="preserve">13.2 对于采用货币报价的项目，开标一览表中的投标总报价应与投标报价明细表中的投标总报价一致，如不一致，不作为无效投标处理，但评标时按开标一览表中价格为准。</w:t>
      </w:r>
      <w:r>
        <w:rPr>
          <w:rFonts w:ascii="宋体" w:hAnsi="宋体" w:cs="宋体"/>
          <w:b/>
          <w:bCs/>
          <w:sz w:val="24"/>
          <w:szCs w:val="24"/>
        </w:rPr>
      </w:r>
      <w:r/>
    </w:p>
    <w:p>
      <w:pPr>
        <w:pStyle w:val="106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、投标</w:t>
      </w:r>
      <w:r>
        <w:rPr>
          <w:rFonts w:hint="eastAsia" w:ascii="宋体" w:hAnsi="宋体" w:cs="宋体"/>
          <w:sz w:val="24"/>
          <w:szCs w:val="24"/>
          <w:lang w:val="en-US" w:eastAsia="zh-CN"/>
        </w:rPr>
        <w:t xml:space="preserve">有效期</w:t>
      </w:r>
      <w:r>
        <w:rPr>
          <w:rFonts w:hint="eastAsia" w:ascii="宋体" w:hAnsi="宋体" w:eastAsia="宋体" w:cs="宋体"/>
          <w:sz w:val="24"/>
          <w:szCs w:val="24"/>
          <w:lang w:val="en-US" w:eastAsia="zh-CN"/>
        </w:rPr>
      </w:r>
      <w:r/>
    </w:p>
    <w:p>
      <w:pPr>
        <w:pStyle w:val="1063"/>
        <w:ind w:firstLine="480"/>
        <w:jc w:val="left"/>
        <w:spacing w:line="480" w:lineRule="exact"/>
        <w:rPr>
          <w:rFonts w:hint="eastAsia" w:ascii="宋体" w:hAnsi="宋体" w:cs="宋体"/>
          <w:b/>
          <w:bCs/>
          <w:i/>
          <w:iCs/>
          <w:sz w:val="24"/>
          <w:szCs w:val="24"/>
          <w:u w:val="single"/>
        </w:rPr>
      </w:pPr>
      <w:r>
        <w:rPr>
          <w:rFonts w:hint="eastAsia" w:ascii="宋体" w:hAnsi="宋体" w:cs="宋体"/>
          <w:b w:val="0"/>
          <w:bCs w:val="0"/>
          <w:i w:val="0"/>
          <w:iCs w:val="0"/>
          <w:sz w:val="24"/>
          <w:szCs w:val="24"/>
          <w:u w:val="single"/>
        </w:rPr>
        <w:t xml:space="preserve">14.1 投标有效期为开标之日后九十天。投标有效期比规定短的将被视为未实质性响应招标文件而予以拒绝。</w:t>
      </w:r>
      <w:r>
        <w:rPr>
          <w:rFonts w:hint="eastAsia" w:ascii="宋体" w:hAnsi="宋体" w:cs="宋体"/>
          <w:b/>
          <w:bCs/>
          <w:i/>
          <w:iCs/>
          <w:sz w:val="24"/>
          <w:szCs w:val="24"/>
          <w:u w:val="singl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、投标有效期的延长</w:t>
      </w:r>
      <w:r>
        <w:rPr>
          <w:rFonts w:ascii="宋体" w:hAnsi="宋体" w:cs="宋体"/>
          <w:sz w:val="24"/>
          <w:szCs w:val="24"/>
        </w:rPr>
      </w:r>
      <w:r/>
    </w:p>
    <w:p>
      <w:pPr>
        <w:pStyle w:val="1066"/>
        <w:numPr>
          <w:ilvl w:val="2"/>
          <w:numId w:val="0"/>
        </w:numPr>
        <w:ind w:firstLine="480"/>
        <w:jc w:val="left"/>
        <w:spacing w:before="0" w:after="0" w:line="480" w:lineRule="exact"/>
        <w:tabs>
          <w:tab w:val="left" w:pos="720" w:leader="none"/>
          <w:tab w:val="left" w:pos="794" w:leader="none"/>
        </w:tabs>
        <w:rPr>
          <w:rFonts w:ascii="宋体" w:hAnsi="宋体" w:cs="宋体"/>
          <w:b w:val="0"/>
          <w:bCs w:val="0"/>
          <w:sz w:val="24"/>
          <w:szCs w:val="24"/>
        </w:rPr>
      </w:pPr>
      <w:r>
        <w:rPr>
          <w:rFonts w:hint="eastAsia" w:ascii="宋体" w:hAnsi="宋体" w:cs="宋体"/>
          <w:b w:val="0"/>
          <w:bCs w:val="0"/>
          <w:sz w:val="24"/>
          <w:szCs w:val="24"/>
        </w:rPr>
        <w:t xml:space="preserve">15.1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ascii="宋体" w:hAnsi="宋体" w:cs="宋体"/>
          <w:b w:val="0"/>
          <w:bCs w:val="0"/>
          <w:sz w:val="24"/>
          <w:szCs w:val="24"/>
        </w:rPr>
      </w:r>
      <w:r/>
    </w:p>
    <w:p>
      <w:pPr>
        <w:pStyle w:val="1065"/>
        <w:numPr>
          <w:ilvl w:val="0"/>
          <w:numId w:val="0"/>
        </w:numPr>
        <w:jc w:val="left"/>
        <w:spacing w:before="0" w:after="0" w:line="480" w:lineRule="exact"/>
        <w:rPr>
          <w:rFonts w:ascii="宋体" w:hAnsi="宋体" w:eastAsia="宋体" w:cs="宋体"/>
          <w:sz w:val="28"/>
          <w:szCs w:val="28"/>
        </w:rPr>
      </w:pPr>
      <w:r/>
      <w:bookmarkStart w:id="30" w:name="_Toc27142"/>
      <w:r>
        <w:rPr>
          <w:rFonts w:hint="eastAsia" w:ascii="宋体" w:hAnsi="宋体" w:eastAsia="宋体" w:cs="宋体"/>
          <w:sz w:val="28"/>
          <w:szCs w:val="28"/>
        </w:rPr>
        <w:t xml:space="preserve">四、投标文件的递交</w:t>
      </w:r>
      <w:bookmarkEnd w:id="30"/>
      <w:r>
        <w:rPr>
          <w:rFonts w:ascii="宋体" w:hAnsi="宋体" w:eastAsia="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、投标文件的递交</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16.1 电子投标文件的递交</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投标人应当按照《操作手册》规定，在投标截止时间前制作并上传电子投标文件。</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、投标截止时间</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17.1 投标人上传电子投标文件的时间不得迟于招标公告中规定的投标截止时间。</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投标人应充分考虑网络环境、网络带宽等因素可能对投标产生的影响，如因投标人自身原因造成的电子投标文件解密不成功的，做无效投标处理。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17.2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w:t>
      </w:r>
      <w:r>
        <w:rPr>
          <w:rFonts w:hint="eastAsia" w:ascii="宋体" w:hAnsi="宋体" w:cs="宋体"/>
          <w:sz w:val="24"/>
          <w:szCs w:val="24"/>
          <w:lang w:val="en-US" w:eastAsia="zh-CN"/>
        </w:rPr>
        <w:t xml:space="preserve">投标</w:t>
      </w:r>
      <w:r>
        <w:rPr>
          <w:rFonts w:hint="eastAsia" w:ascii="宋体" w:hAnsi="宋体" w:cs="宋体"/>
          <w:sz w:val="24"/>
          <w:szCs w:val="24"/>
        </w:rPr>
        <w:t xml:space="preserve">文件的拒收</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18.1代理机构拒绝接收投标截止时间后上传的任何投标文件。</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19</w:t>
      </w:r>
      <w:r>
        <w:rPr>
          <w:rFonts w:hint="eastAsia" w:ascii="宋体" w:hAnsi="宋体" w:cs="宋体"/>
          <w:sz w:val="24"/>
          <w:szCs w:val="24"/>
        </w:rPr>
        <w:t xml:space="preserve">、投标文件的撤回和修改</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19.1 投标文件的撤回</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19.1.1电子投标文件的撤回</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19.1.2投标人撤回电子投标文件，则认为其不再参与本项目投标活动。</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19.2 投标文件的修改</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19.2.1投标人可在投标截止时间前，对其电子投标文件进行修改，具体操作方法见《操作手册》。</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19.2.2在投标截止时间之后，投标人不得对其电子投标文件作任何修改。</w:t>
      </w:r>
      <w:r>
        <w:rPr>
          <w:rFonts w:hint="eastAsia" w:ascii="宋体" w:hAnsi="宋体" w:cs="宋体"/>
          <w:sz w:val="24"/>
          <w:szCs w:val="24"/>
        </w:rPr>
      </w:r>
      <w:r/>
    </w:p>
    <w:p>
      <w:pPr>
        <w:pStyle w:val="1063"/>
        <w:ind w:firstLine="480"/>
        <w:jc w:val="left"/>
        <w:spacing w:line="480" w:lineRule="exact"/>
        <w:rPr>
          <w:rFonts w:hint="eastAsia" w:ascii="宋体" w:hAnsi="宋体" w:eastAsia="宋体" w:cs="宋体"/>
          <w:sz w:val="24"/>
          <w:szCs w:val="24"/>
          <w:lang w:val="en-US" w:eastAsia="zh-CN"/>
        </w:rPr>
      </w:pPr>
      <w:r>
        <w:rPr>
          <w:rFonts w:hint="eastAsia" w:ascii="宋体" w:hAnsi="宋体" w:cs="宋体"/>
          <w:sz w:val="24"/>
          <w:szCs w:val="24"/>
        </w:rPr>
        <w:t xml:space="preserve">19.3 在投标截止时间至招标文件中规定的投标有效期满之间的这段时间内，投标人不得撤回其投标</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1065"/>
        <w:numPr>
          <w:ilvl w:val="0"/>
          <w:numId w:val="0"/>
        </w:numPr>
        <w:jc w:val="left"/>
        <w:spacing w:before="0" w:after="0" w:line="480" w:lineRule="exact"/>
        <w:rPr>
          <w:rFonts w:ascii="宋体" w:hAnsi="宋体" w:eastAsia="宋体" w:cs="宋体"/>
          <w:sz w:val="28"/>
          <w:szCs w:val="28"/>
        </w:rPr>
      </w:pPr>
      <w:r/>
      <w:bookmarkStart w:id="31" w:name="_Toc28134"/>
      <w:r>
        <w:rPr>
          <w:rFonts w:hint="eastAsia" w:ascii="宋体" w:hAnsi="宋体" w:eastAsia="宋体" w:cs="宋体"/>
          <w:sz w:val="28"/>
          <w:szCs w:val="28"/>
        </w:rPr>
        <w:t xml:space="preserve">五、</w:t>
      </w:r>
      <w:r>
        <w:rPr>
          <w:rFonts w:hint="eastAsia" w:ascii="宋体" w:hAnsi="宋体" w:eastAsia="宋体" w:cs="宋体"/>
          <w:sz w:val="28"/>
          <w:szCs w:val="28"/>
          <w:lang w:val="en-US" w:eastAsia="zh-CN"/>
        </w:rPr>
        <w:t xml:space="preserve">解密</w:t>
      </w:r>
      <w:r>
        <w:rPr>
          <w:rFonts w:hint="eastAsia" w:ascii="宋体" w:hAnsi="宋体" w:eastAsia="宋体" w:cs="宋体"/>
          <w:sz w:val="28"/>
          <w:szCs w:val="28"/>
        </w:rPr>
        <w:t xml:space="preserve">与评标</w:t>
      </w:r>
      <w:bookmarkEnd w:id="31"/>
      <w:r>
        <w:rPr>
          <w:rFonts w:ascii="宋体" w:hAnsi="宋体" w:eastAsia="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0</w:t>
      </w:r>
      <w:r>
        <w:rPr>
          <w:rFonts w:hint="eastAsia" w:ascii="宋体" w:hAnsi="宋体" w:cs="宋体"/>
          <w:sz w:val="24"/>
          <w:szCs w:val="24"/>
        </w:rPr>
        <w:t xml:space="preserve">、</w:t>
      </w:r>
      <w:r>
        <w:rPr>
          <w:rFonts w:hint="eastAsia" w:ascii="宋体" w:hAnsi="宋体" w:cs="宋体"/>
          <w:sz w:val="24"/>
          <w:szCs w:val="24"/>
          <w:lang w:val="en-US" w:eastAsia="zh-CN"/>
        </w:rPr>
        <w:t xml:space="preserve">解密</w:t>
      </w:r>
      <w:r>
        <w:rPr>
          <w:rFonts w:ascii="宋体" w:hAnsi="宋体" w:cs="宋体"/>
          <w:sz w:val="24"/>
          <w:szCs w:val="24"/>
        </w:rPr>
      </w:r>
      <w:r/>
    </w:p>
    <w:p>
      <w:pPr>
        <w:pStyle w:val="1063"/>
        <w:ind w:firstLine="420"/>
        <w:spacing w:line="360" w:lineRule="auto"/>
        <w:rPr>
          <w:rFonts w:ascii="宋体" w:hAnsi="宋体" w:cs="宋体"/>
          <w:sz w:val="24"/>
          <w:szCs w:val="24"/>
          <w:lang w:val="zh-CN"/>
        </w:rPr>
      </w:pPr>
      <w:r>
        <w:rPr>
          <w:rFonts w:ascii="宋体" w:hAnsi="宋体" w:cs="宋体"/>
          <w:sz w:val="24"/>
          <w:szCs w:val="24"/>
          <w:lang w:val="zh-CN"/>
        </w:rPr>
        <w:t xml:space="preserve">2</w:t>
      </w:r>
      <w:r>
        <w:rPr>
          <w:rFonts w:ascii="宋体" w:hAnsi="宋体" w:cs="宋体"/>
          <w:sz w:val="24"/>
          <w:szCs w:val="24"/>
        </w:rPr>
        <w:t xml:space="preserve">0</w:t>
      </w:r>
      <w:r>
        <w:rPr>
          <w:rFonts w:ascii="宋体" w:hAnsi="宋体" w:cs="宋体"/>
          <w:sz w:val="24"/>
          <w:szCs w:val="24"/>
          <w:lang w:val="zh-CN"/>
        </w:rPr>
        <w:t xml:space="preserve">.1 代理机构将在招标公告中规定的时间和地点组织公开开标。投标人应当按照《操作手册》规定，在苏采云系统规定的时间内对</w:t>
      </w:r>
      <w:r>
        <w:rPr>
          <w:rFonts w:ascii="宋体" w:hAnsi="宋体" w:cs="宋体"/>
          <w:sz w:val="24"/>
          <w:szCs w:val="24"/>
        </w:rPr>
        <w:t xml:space="preserve">投标</w:t>
      </w:r>
      <w:r>
        <w:rPr>
          <w:rFonts w:ascii="宋体" w:hAnsi="宋体" w:cs="宋体"/>
          <w:sz w:val="24"/>
          <w:szCs w:val="24"/>
          <w:lang w:val="zh-CN"/>
        </w:rPr>
        <w:t xml:space="preserve">文件进行解密。本项目采购文件规定的供应商按时在线解密方式：开启</w:t>
      </w:r>
      <w:r>
        <w:rPr>
          <w:rFonts w:ascii="宋体" w:hAnsi="宋体" w:cs="宋体"/>
          <w:sz w:val="24"/>
          <w:szCs w:val="24"/>
        </w:rPr>
        <w:t xml:space="preserve">后，在规定时间内</w:t>
      </w:r>
      <w:r>
        <w:rPr>
          <w:rFonts w:ascii="宋体" w:hAnsi="宋体" w:cs="宋体"/>
          <w:sz w:val="24"/>
          <w:szCs w:val="24"/>
          <w:lang w:val="zh-CN"/>
        </w:rPr>
        <w:t xml:space="preserve">通过“苏采云”系统（使用“CA数字证书”）解密；如因供应商自身原因造成的电子</w:t>
      </w:r>
      <w:r>
        <w:rPr>
          <w:rFonts w:ascii="宋体" w:hAnsi="宋体" w:cs="宋体"/>
          <w:sz w:val="24"/>
          <w:szCs w:val="24"/>
        </w:rPr>
        <w:t xml:space="preserve">投标</w:t>
      </w:r>
      <w:r>
        <w:rPr>
          <w:rFonts w:ascii="宋体" w:hAnsi="宋体" w:cs="宋体"/>
          <w:sz w:val="24"/>
          <w:szCs w:val="24"/>
          <w:lang w:val="zh-CN"/>
        </w:rPr>
        <w:t xml:space="preserve">文件未在规定时间内解密成功的，按照无效响应处理。</w:t>
      </w:r>
      <w:r>
        <w:rPr>
          <w:rFonts w:ascii="宋体" w:hAnsi="宋体" w:cs="宋体"/>
          <w:b/>
          <w:sz w:val="24"/>
          <w:szCs w:val="24"/>
          <w:lang w:val="zh-CN"/>
        </w:rPr>
        <w:t xml:space="preserve">供应商在开、评标全过程中应保持通讯畅通，并安排专人等候代理机构或评标委员会联系。</w:t>
      </w:r>
      <w:r>
        <w:rPr>
          <w:rFonts w:ascii="宋体" w:hAnsi="宋体" w:cs="宋体"/>
          <w:sz w:val="24"/>
          <w:szCs w:val="24"/>
          <w:lang w:val="zh-CN"/>
        </w:rPr>
      </w:r>
      <w:r/>
    </w:p>
    <w:p>
      <w:pPr>
        <w:pStyle w:val="1063"/>
        <w:ind w:firstLine="420"/>
        <w:spacing w:line="360" w:lineRule="auto"/>
        <w:rPr>
          <w:rFonts w:ascii="宋体" w:hAnsi="宋体" w:cs="宋体"/>
          <w:sz w:val="24"/>
          <w:szCs w:val="24"/>
          <w:lang w:val="zh-CN"/>
        </w:rPr>
      </w:pPr>
      <w:r>
        <w:rPr>
          <w:rFonts w:ascii="宋体" w:hAnsi="宋体" w:cs="宋体"/>
          <w:sz w:val="24"/>
          <w:szCs w:val="24"/>
          <w:lang w:val="zh-CN"/>
        </w:rPr>
        <w:t xml:space="preserve">2</w:t>
      </w:r>
      <w:r>
        <w:rPr>
          <w:rFonts w:ascii="宋体" w:hAnsi="宋体" w:cs="宋体"/>
          <w:sz w:val="24"/>
          <w:szCs w:val="24"/>
        </w:rPr>
        <w:t xml:space="preserve">0</w:t>
      </w:r>
      <w:r>
        <w:rPr>
          <w:rFonts w:ascii="宋体" w:hAnsi="宋体" w:cs="宋体"/>
          <w:sz w:val="24"/>
          <w:szCs w:val="24"/>
          <w:lang w:val="zh-CN"/>
        </w:rPr>
        <w:t xml:space="preserve">.2开标仪式由代理机构组织。苏采云系统将自动对项目进行开标，并公布各投标人名称和投标价格。</w:t>
      </w:r>
      <w:r>
        <w:rPr>
          <w:rFonts w:ascii="宋体" w:hAnsi="宋体" w:cs="宋体"/>
          <w:sz w:val="24"/>
          <w:szCs w:val="24"/>
          <w:lang w:val="zh-CN"/>
        </w:rPr>
      </w:r>
      <w:r/>
    </w:p>
    <w:p>
      <w:pPr>
        <w:pStyle w:val="1063"/>
        <w:ind w:firstLine="420"/>
        <w:spacing w:line="360" w:lineRule="auto"/>
        <w:rPr>
          <w:rFonts w:ascii="宋体" w:hAnsi="宋体" w:cs="宋体"/>
          <w:sz w:val="24"/>
          <w:szCs w:val="24"/>
          <w:lang w:val="zh-CN"/>
        </w:rPr>
      </w:pPr>
      <w:r>
        <w:rPr>
          <w:rFonts w:ascii="宋体" w:hAnsi="宋体" w:cs="宋体"/>
          <w:sz w:val="24"/>
          <w:szCs w:val="24"/>
          <w:lang w:val="zh-CN"/>
        </w:rPr>
        <w:t xml:space="preserve">2</w:t>
      </w:r>
      <w:r>
        <w:rPr>
          <w:rFonts w:ascii="宋体" w:hAnsi="宋体" w:cs="宋体"/>
          <w:sz w:val="24"/>
          <w:szCs w:val="24"/>
        </w:rPr>
        <w:t xml:space="preserve">0</w:t>
      </w:r>
      <w:r>
        <w:rPr>
          <w:rFonts w:ascii="宋体" w:hAnsi="宋体" w:cs="宋体"/>
          <w:sz w:val="24"/>
          <w:szCs w:val="24"/>
          <w:lang w:val="zh-CN"/>
        </w:rPr>
        <w:t xml:space="preserve">.3投标人在开标过程中涉及到的投标文件解密、开标结果确认等工作，应按照《操作手册》规定执行。</w:t>
      </w:r>
      <w:r>
        <w:rPr>
          <w:rFonts w:ascii="宋体" w:hAnsi="宋体" w:cs="宋体"/>
          <w:sz w:val="24"/>
          <w:szCs w:val="24"/>
          <w:lang w:val="zh-CN"/>
        </w:rPr>
      </w:r>
      <w:r/>
    </w:p>
    <w:p>
      <w:pPr>
        <w:pStyle w:val="1063"/>
        <w:ind w:firstLine="480"/>
        <w:jc w:val="left"/>
        <w:spacing w:line="360" w:lineRule="auto"/>
        <w:rPr>
          <w:rFonts w:ascii="宋体" w:hAnsi="宋体" w:cs="宋体"/>
          <w:sz w:val="24"/>
          <w:szCs w:val="24"/>
        </w:rPr>
      </w:pPr>
      <w:r>
        <w:rPr>
          <w:rFonts w:ascii="宋体" w:hAnsi="宋体" w:cs="宋体"/>
          <w:sz w:val="24"/>
          <w:szCs w:val="24"/>
          <w:lang w:val="zh-CN"/>
        </w:rPr>
        <w:t xml:space="preserve">2</w:t>
      </w:r>
      <w:r>
        <w:rPr>
          <w:rFonts w:ascii="宋体" w:hAnsi="宋体" w:cs="宋体"/>
          <w:sz w:val="24"/>
          <w:szCs w:val="24"/>
        </w:rPr>
        <w:t xml:space="preserve">0</w:t>
      </w:r>
      <w:r>
        <w:rPr>
          <w:rFonts w:ascii="宋体" w:hAnsi="宋体" w:cs="宋体"/>
          <w:sz w:val="24"/>
          <w:szCs w:val="24"/>
          <w:lang w:val="zh-CN"/>
        </w:rPr>
        <w:t xml:space="preserve">.4投标人如果对开标过程和开标记录有疑义，应当根据《操作手册》规定提出，如苏采云系统中《开标记录表》公布后</w:t>
      </w:r>
      <w:r>
        <w:rPr>
          <w:rFonts w:ascii="宋体" w:hAnsi="宋体" w:cs="宋体"/>
          <w:sz w:val="24"/>
          <w:szCs w:val="24"/>
        </w:rPr>
        <w:t xml:space="preserve">规定时间</w:t>
      </w:r>
      <w:r>
        <w:rPr>
          <w:rFonts w:ascii="宋体" w:hAnsi="宋体" w:cs="宋体"/>
          <w:sz w:val="24"/>
          <w:szCs w:val="24"/>
          <w:lang w:val="zh-CN"/>
        </w:rPr>
        <w:t xml:space="preserve">内未提出的，视同认可开标结果。投标人在开、评标全过程中应保持通讯畅通，及时登录苏采云系统查阅、答复相关信息，并安排专人与采购代理机构联系。</w:t>
      </w:r>
      <w:r>
        <w:rPr>
          <w:rFonts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1</w:t>
      </w:r>
      <w:r>
        <w:rPr>
          <w:rFonts w:hint="eastAsia" w:ascii="宋体" w:hAnsi="宋体" w:cs="宋体"/>
          <w:sz w:val="24"/>
          <w:szCs w:val="24"/>
        </w:rPr>
        <w:t xml:space="preserve">、评标</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21.1 代理机构将组织评标委员会（以下简称评委会）进行评标。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21.2 评委会由采购人代表和有关技术、经济等方面的专家组成，且人员构成符合政府采购有关规定。</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21.3评委会独立工作，负责评审所有投标文件并推荐中标侯选人，或根据采购人委托直接确定中标人。</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．评标过程的保密与公正</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22.1凡是与审查、澄清、评价和比较投标的有关资料以及授标建议等，采购人、评委、代理机构均不得向投标人或与评标无关的其他人员透露。</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22.2在评标过程中，投标人不得以任何行为影响评标过程，否则其投标文件将被作为无效投标文件。</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22.3 代理机构和评委会不向未中标的投标人解释未中标原因，也不公布评标过程中的相关细节。</w:t>
      </w:r>
      <w:r>
        <w:rPr>
          <w:rFonts w:hint="eastAsia" w:ascii="宋体" w:hAnsi="宋体" w:cs="宋体"/>
          <w:sz w:val="24"/>
          <w:szCs w:val="24"/>
        </w:rPr>
      </w:r>
      <w:r/>
    </w:p>
    <w:p>
      <w:pPr>
        <w:pStyle w:val="1105"/>
        <w:ind w:firstLine="480"/>
        <w:spacing w:line="360" w:lineRule="auto"/>
        <w:rPr>
          <w:rFonts w:hint="eastAsia" w:ascii="宋体" w:hAnsi="宋体" w:cs="宋体"/>
          <w:sz w:val="24"/>
          <w:szCs w:val="24"/>
        </w:rPr>
      </w:pPr>
      <w:r>
        <w:rPr>
          <w:rFonts w:hint="eastAsia" w:ascii="宋体" w:hAnsi="宋体" w:cs="宋体"/>
          <w:sz w:val="24"/>
          <w:szCs w:val="24"/>
        </w:rPr>
        <w:t xml:space="preserve">22.4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3</w:t>
      </w:r>
      <w:r>
        <w:rPr>
          <w:rFonts w:hint="eastAsia" w:ascii="宋体" w:hAnsi="宋体" w:cs="宋体"/>
          <w:sz w:val="24"/>
          <w:szCs w:val="24"/>
        </w:rPr>
        <w:t xml:space="preserve">．投标</w:t>
      </w:r>
      <w:r>
        <w:rPr>
          <w:rFonts w:hint="eastAsia" w:ascii="宋体" w:hAnsi="宋体" w:cs="宋体"/>
          <w:sz w:val="24"/>
          <w:szCs w:val="24"/>
          <w:lang w:val="en-US" w:eastAsia="zh-CN"/>
        </w:rPr>
        <w:t xml:space="preserve">文件</w:t>
      </w:r>
      <w:r>
        <w:rPr>
          <w:rFonts w:hint="eastAsia" w:ascii="宋体" w:hAnsi="宋体" w:cs="宋体"/>
          <w:sz w:val="24"/>
          <w:szCs w:val="24"/>
        </w:rPr>
        <w:t xml:space="preserve">的澄清</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23.1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23.3 接到评委会澄清、说明和补正要求的投标人如未按规定做出澄清、说明和补正，其风险由投标人自行承担。</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、对投标文件的初审</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24.1投标文件初审分为资格审查和符合性审查。</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24.1.1.2接受联合体的项目，两个以上的自然人、法人或者其他组织组成一个联合体，以一个供应商的身份共同参加政府采购活动的,联合体成员存在不良信用记录的，视同联合体存在不良应用记录。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24.1.3未通过资格审查或符合性审查的投标人，代理机构将在苏采云系统中告知具体原因，评标结束后，代理机构将不再告知未通过资格审查和符合性审查的原因。</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24.2在详细评审之前，评委会将首先审查每份投标文件是否实质性响应了招标文件的要求。实质性响应的投标文件应该是与招标文件要求的全部条款、条件和规格相符，没有重大偏离或保留的文件。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24.4评委会将对确定为实质性响应的投标进行进一步审核，确定其是否有计算上或累加上的算术错误，修正错误的原则如下：</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24.5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rPr>
      </w:r>
      <w:r/>
    </w:p>
    <w:p>
      <w:pPr>
        <w:pStyle w:val="1063"/>
        <w:ind w:firstLine="480"/>
        <w:jc w:val="left"/>
        <w:spacing w:line="480" w:lineRule="exact"/>
        <w:rPr>
          <w:rFonts w:ascii="宋体" w:hAnsi="宋体" w:cs="宋体"/>
          <w:sz w:val="28"/>
          <w:szCs w:val="28"/>
        </w:rPr>
      </w:pPr>
      <w:r>
        <w:rPr>
          <w:rFonts w:hint="eastAsia" w:ascii="宋体" w:hAnsi="宋体" w:cs="宋体"/>
          <w:sz w:val="24"/>
          <w:szCs w:val="24"/>
        </w:rPr>
        <w:t xml:space="preserve">24.6投标人在开、评标全过程中应保持通讯畅通，及时登录苏采云系统查阅、答复相关信息，并安排专人与代理机构及评委会联系。</w:t>
      </w:r>
      <w:r>
        <w:rPr>
          <w:rFonts w:ascii="宋体" w:hAnsi="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、无效投标条款和废标条款</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25.1无效投标条款</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25.1.1投标人在苏采云系统规定的时间内未成功解密电子投标文件的。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25.1.2投标人未按照招标文件要求上传电子投标文件的。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25.1.3同一投标人提交两个（含两个）以上不同的投标报价的。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25.1.4投标人不具备招标文件中规定资格要求的。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25.1.5投标人的报价超过了采购预算或最高限价的。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25.1.6未通过符合性审查的。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25.1.7不符合招标文件中规定的实质性要求和条件的（本招标文件中斜体且有下划线部分或者打“★”内容为实质性要求和条件）。</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25.1.9投标文件含有采购人不能接受的附加条件的。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25.1.12投标文件未按照招标文件要求加盖CA电子公章的。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25.1.13其他法律、法规及本招标文件规定的属无效投标的情形。</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25.2废标条款</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25.2.1符合专业条件的供应商或者对招标文件作实质响应的供应商不足三家的。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25.2.2出现影响采购公正的违法、违规行为的。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25.2.3因重大变故，采购任务取消的。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25.2.4评委会认定招标文件存在歧义、重大缺陷导致评审工作无法进行。</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25.2.5因苏采云系统故障原因造成开标不成功的。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25.3 投标截止时间后参加投标的供应商不足三家的处理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25.3.1如出现投标截止时间后参加投标的供应商或者在评标期间对招标文件做出实质响应的供应商不足三家情况，按政府采购相关规定执行。</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lang w:val="en-US" w:eastAsia="zh-CN"/>
        </w:rPr>
        <w:t xml:space="preserve">同</w:t>
      </w:r>
      <w:r>
        <w:rPr>
          <w:rFonts w:hint="eastAsia" w:ascii="宋体" w:hAnsi="宋体" w:cs="宋体"/>
          <w:sz w:val="24"/>
          <w:szCs w:val="24"/>
        </w:rPr>
        <w:t xml:space="preserve">品牌多家供应商处理原则</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26.1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26.2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cs="宋体"/>
          <w:sz w:val="24"/>
          <w:szCs w:val="24"/>
        </w:rPr>
      </w:r>
      <w:r/>
    </w:p>
    <w:p>
      <w:pPr>
        <w:pStyle w:val="1063"/>
        <w:ind w:firstLine="480"/>
        <w:jc w:val="left"/>
        <w:spacing w:line="480" w:lineRule="exact"/>
        <w:rPr>
          <w:rFonts w:ascii="宋体" w:hAnsi="宋体" w:cs="宋体"/>
          <w:sz w:val="24"/>
          <w:szCs w:val="24"/>
        </w:rPr>
      </w:pPr>
      <w:r>
        <w:rPr>
          <w:rFonts w:hint="eastAsia" w:ascii="宋体" w:hAnsi="宋体" w:cs="宋体"/>
          <w:sz w:val="24"/>
          <w:szCs w:val="24"/>
        </w:rPr>
        <w:t xml:space="preserve">26.3非单一产品采购项目，根据采购项目技术构成、产品价格比重等合理确定核心产品，核心产品见招标文件规定。多家供应商提供的核心产品品牌相同的，按前两款规定处理。</w:t>
      </w:r>
      <w:r>
        <w:rPr>
          <w:rFonts w:ascii="宋体" w:hAnsi="宋体" w:cs="宋体"/>
          <w:sz w:val="24"/>
          <w:szCs w:val="24"/>
        </w:rPr>
      </w:r>
      <w:r/>
    </w:p>
    <w:p>
      <w:pPr>
        <w:pStyle w:val="1065"/>
        <w:numPr>
          <w:ilvl w:val="0"/>
          <w:numId w:val="0"/>
        </w:numPr>
        <w:jc w:val="left"/>
        <w:spacing w:before="0" w:after="0" w:line="480" w:lineRule="exact"/>
        <w:rPr>
          <w:rFonts w:ascii="宋体" w:hAnsi="宋体" w:eastAsia="宋体" w:cs="宋体"/>
          <w:sz w:val="28"/>
          <w:szCs w:val="28"/>
        </w:rPr>
      </w:pPr>
      <w:r/>
      <w:bookmarkStart w:id="32" w:name="_Toc25960"/>
      <w:r>
        <w:rPr>
          <w:rFonts w:hint="eastAsia" w:ascii="宋体" w:hAnsi="宋体" w:eastAsia="宋体" w:cs="宋体"/>
          <w:sz w:val="28"/>
          <w:szCs w:val="28"/>
        </w:rPr>
        <w:t xml:space="preserve">六、定标</w:t>
      </w:r>
      <w:bookmarkEnd w:id="32"/>
      <w:r>
        <w:rPr>
          <w:rFonts w:ascii="宋体" w:hAnsi="宋体" w:eastAsia="宋体" w:cs="宋体"/>
          <w:sz w:val="28"/>
          <w:szCs w:val="28"/>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7</w:t>
      </w:r>
      <w:r>
        <w:rPr>
          <w:rFonts w:hint="eastAsia" w:ascii="宋体" w:hAnsi="宋体" w:cs="宋体"/>
          <w:sz w:val="24"/>
          <w:szCs w:val="24"/>
        </w:rPr>
        <w:t xml:space="preserve">、确定中标单位</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27.1中标候选人的选取原则和数量见招标文件第五章规定。 </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27.2 按以下第（1）种方式确定中标人</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（1）评委会直接确定排名第一的中标候选人为中标人；</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（2）采购人在评委会推荐的中标候选人中按顺序确定中标人。</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27.3 代理机构将在“江苏政府采购网”发布中标公告，公告期限为1个工作日。</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27.4若有充分证据证明，中标人出现下列情况之一的，一经查实，将被取消中标资格：</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27.4.1提供虚假材料谋取中标的。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27.4.2向采购人、代理机构行贿或者提供其他不正当利益的。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27.4.4与采购人或者其他供应商恶意串通的。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27.4.5采取不正当手段诋毁、排挤其他供应商的。</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27.5有下列情形之一的，视为投标人串通投标，投标无效：</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27.5.1不同投标人的投标文件由同一单位或者个人编制。</w:t>
      </w:r>
      <w:r>
        <w:rPr>
          <w:rFonts w:hint="eastAsia" w:ascii="宋体" w:hAnsi="宋体" w:cs="宋体"/>
          <w:sz w:val="24"/>
          <w:szCs w:val="24"/>
        </w:rPr>
      </w:r>
      <w:r/>
    </w:p>
    <w:p>
      <w:pPr>
        <w:pStyle w:val="1063"/>
        <w:ind w:firstLine="480"/>
        <w:jc w:val="left"/>
        <w:spacing w:line="360" w:lineRule="auto"/>
        <w:rPr>
          <w:rFonts w:hint="eastAsia" w:ascii="宋体" w:hAnsi="宋体" w:cs="宋体"/>
          <w:sz w:val="24"/>
          <w:szCs w:val="24"/>
        </w:rPr>
      </w:pPr>
      <w:r>
        <w:rPr>
          <w:rFonts w:hint="eastAsia" w:ascii="宋体" w:hAnsi="宋体" w:cs="宋体"/>
          <w:sz w:val="24"/>
          <w:szCs w:val="24"/>
        </w:rPr>
        <w:t xml:space="preserve">27.5.2不同投标人委托同一单位或者个人办理投标事宜。</w:t>
      </w:r>
      <w:r>
        <w:rPr>
          <w:rFonts w:hint="eastAsia" w:ascii="宋体" w:hAnsi="宋体" w:cs="宋体"/>
          <w:sz w:val="24"/>
          <w:szCs w:val="24"/>
        </w:rPr>
      </w:r>
      <w:r/>
    </w:p>
    <w:p>
      <w:pPr>
        <w:pStyle w:val="1063"/>
        <w:ind w:firstLine="480"/>
        <w:jc w:val="left"/>
        <w:spacing w:line="360" w:lineRule="auto"/>
        <w:rPr>
          <w:rFonts w:hint="eastAsia" w:ascii="宋体" w:hAnsi="宋体" w:cs="宋体"/>
          <w:sz w:val="24"/>
          <w:szCs w:val="24"/>
        </w:rPr>
      </w:pPr>
      <w:r>
        <w:rPr>
          <w:rFonts w:hint="eastAsia" w:ascii="宋体" w:hAnsi="宋体" w:cs="宋体"/>
          <w:sz w:val="24"/>
          <w:szCs w:val="24"/>
        </w:rPr>
        <w:t xml:space="preserve">27.5.3不同投标人的投标文件载明的项目管理成员或者联系人员为同一人。</w:t>
      </w:r>
      <w:r>
        <w:rPr>
          <w:rFonts w:hint="eastAsia" w:ascii="宋体" w:hAnsi="宋体" w:cs="宋体"/>
          <w:sz w:val="24"/>
          <w:szCs w:val="24"/>
        </w:rPr>
      </w:r>
      <w:r/>
    </w:p>
    <w:p>
      <w:pPr>
        <w:pStyle w:val="1063"/>
        <w:ind w:firstLine="480"/>
        <w:rPr>
          <w:rFonts w:hint="eastAsia" w:ascii="宋体" w:hAnsi="宋体" w:cs="宋体"/>
          <w:sz w:val="24"/>
          <w:szCs w:val="24"/>
        </w:rPr>
      </w:pPr>
      <w:r>
        <w:rPr>
          <w:rFonts w:hint="eastAsia" w:ascii="宋体" w:hAnsi="宋体" w:cs="宋体"/>
          <w:sz w:val="24"/>
          <w:szCs w:val="24"/>
        </w:rPr>
        <w:t xml:space="preserve">27.5.4不同投标人的投标文件异常一致或者投标报价呈规律性差异</w:t>
      </w:r>
      <w:r>
        <w:rPr>
          <w:rFonts w:hint="eastAsia" w:ascii="宋体" w:hAnsi="宋体" w:cs="宋体"/>
          <w:sz w:val="24"/>
          <w:szCs w:val="24"/>
          <w:lang w:eastAsia="zh-CN"/>
        </w:rPr>
        <w:t xml:space="preserve">。</w:t>
      </w:r>
      <w:r>
        <w:rPr>
          <w:rFonts w:hint="eastAsia" w:ascii="宋体" w:hAnsi="宋体" w:cs="宋体"/>
          <w:sz w:val="24"/>
          <w:szCs w:val="24"/>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28</w:t>
      </w:r>
      <w:r>
        <w:rPr>
          <w:rFonts w:hint="eastAsia" w:ascii="宋体" w:hAnsi="宋体" w:cs="宋体"/>
          <w:sz w:val="24"/>
          <w:szCs w:val="24"/>
        </w:rPr>
        <w:t xml:space="preserve">、质疑处理</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28.5 以下情形的质疑不予受理：</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28.5.1内容不符合《政府采购质疑和投诉办法》第十二条规定的质疑。</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28.5.2超出政府采购法定期限的质疑。</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28.5.3以传真、电子邮件等方式递交的非原件形式的质疑。</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28.5.4未参加投标活动的供应商或在投标活动中自身权益未受到损害的供应商所提出的质疑。</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rPr>
          <w:rFonts w:hint="eastAsia" w:ascii="宋体" w:hAnsi="宋体" w:cs="宋体"/>
          <w:sz w:val="24"/>
          <w:szCs w:val="24"/>
        </w:rPr>
      </w:r>
      <w:r/>
    </w:p>
    <w:p>
      <w:pPr>
        <w:pStyle w:val="1063"/>
        <w:ind w:firstLine="468"/>
        <w:jc w:val="left"/>
        <w:spacing w:line="480" w:lineRule="exact"/>
        <w:rPr>
          <w:rFonts w:hint="eastAsia"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sz w:val="24"/>
          <w:szCs w:val="24"/>
        </w:rPr>
      </w:r>
      <w:r/>
    </w:p>
    <w:p>
      <w:pPr>
        <w:pStyle w:val="1066"/>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lang w:val="en-US" w:eastAsia="zh-CN"/>
        </w:rPr>
        <w:t xml:space="preserve">29</w:t>
      </w:r>
      <w:r>
        <w:rPr>
          <w:rFonts w:hint="eastAsia" w:ascii="宋体" w:hAnsi="宋体" w:cs="宋体"/>
          <w:sz w:val="24"/>
          <w:szCs w:val="24"/>
        </w:rPr>
        <w:t xml:space="preserve">、中标通知书</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rPr>
      </w:r>
      <w:r/>
    </w:p>
    <w:p>
      <w:pPr>
        <w:pStyle w:val="1065"/>
        <w:numPr>
          <w:ilvl w:val="0"/>
          <w:numId w:val="0"/>
        </w:numPr>
        <w:jc w:val="left"/>
        <w:spacing w:before="0" w:after="0" w:line="480" w:lineRule="exact"/>
        <w:tabs>
          <w:tab w:val="center" w:pos="4153" w:leader="none"/>
        </w:tabs>
        <w:rPr>
          <w:rFonts w:ascii="宋体" w:hAnsi="宋体" w:eastAsia="宋体" w:cs="宋体"/>
          <w:sz w:val="28"/>
          <w:szCs w:val="28"/>
        </w:rPr>
      </w:pPr>
      <w:r/>
      <w:bookmarkStart w:id="33" w:name="_Toc4017"/>
      <w:r>
        <w:rPr>
          <w:rFonts w:hint="eastAsia" w:ascii="宋体" w:hAnsi="宋体" w:eastAsia="宋体" w:cs="宋体"/>
          <w:sz w:val="28"/>
          <w:szCs w:val="28"/>
        </w:rPr>
        <w:t xml:space="preserve">七、授予合同</w:t>
      </w:r>
      <w:bookmarkEnd w:id="33"/>
      <w:r>
        <w:rPr>
          <w:rFonts w:hint="eastAsia" w:ascii="宋体" w:hAnsi="宋体" w:eastAsia="宋体" w:cs="宋体"/>
          <w:sz w:val="28"/>
          <w:szCs w:val="28"/>
        </w:rPr>
        <w:tab/>
      </w:r>
      <w:r>
        <w:rPr>
          <w:rFonts w:ascii="宋体" w:hAnsi="宋体" w:eastAsia="宋体" w:cs="宋体"/>
          <w:sz w:val="28"/>
          <w:szCs w:val="28"/>
        </w:rPr>
      </w:r>
      <w:r/>
    </w:p>
    <w:p>
      <w:pPr>
        <w:pStyle w:val="1066"/>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0</w:t>
      </w:r>
      <w:r>
        <w:rPr>
          <w:rFonts w:hint="eastAsia" w:ascii="宋体" w:hAnsi="宋体" w:cs="宋体"/>
          <w:sz w:val="24"/>
          <w:szCs w:val="24"/>
        </w:rPr>
        <w:t xml:space="preserve">、签订合同</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rPr>
          <w:rFonts w:hint="eastAsia"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1066"/>
        <w:ind w:firstLine="482"/>
        <w:jc w:val="left"/>
        <w:spacing w:before="0" w:after="0" w:line="480" w:lineRule="exact"/>
        <w:tabs>
          <w:tab w:val="left" w:pos="720" w:leader="none"/>
          <w:tab w:val="left" w:pos="79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、服务（包含与服务相关的货物）的追加</w:t>
      </w:r>
      <w:r>
        <w:rPr>
          <w:rFonts w:ascii="宋体" w:hAnsi="宋体" w:cs="宋体"/>
          <w:sz w:val="24"/>
          <w:szCs w:val="24"/>
        </w:rPr>
      </w:r>
      <w:r/>
    </w:p>
    <w:p>
      <w:pPr>
        <w:pStyle w:val="1063"/>
        <w:ind w:firstLine="480"/>
        <w:jc w:val="left"/>
        <w:spacing w:line="480" w:lineRule="exact"/>
        <w:rPr>
          <w:rFonts w:hint="eastAsia"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highlight w:val="none"/>
        </w:rPr>
      </w:r>
      <w:r/>
    </w:p>
    <w:p>
      <w:pPr>
        <w:pStyle w:val="1064"/>
        <w:numPr>
          <w:ilvl w:val="0"/>
          <w:numId w:val="0"/>
        </w:numPr>
        <w:rPr>
          <w:rFonts w:hint="eastAsia" w:ascii="宋体" w:hAnsi="宋体" w:eastAsia="宋体" w:cs="宋体"/>
          <w:b/>
          <w:bCs/>
          <w:sz w:val="44"/>
          <w:szCs w:val="44"/>
          <w:highlight w:val="none"/>
        </w:rPr>
      </w:pPr>
      <w:r/>
      <w:bookmarkStart w:id="34" w:name="_Toc8461"/>
      <w:r/>
      <w:bookmarkStart w:id="35" w:name="_Toc20631"/>
      <w:r/>
      <w:bookmarkStart w:id="36" w:name="_Toc17819"/>
      <w:r/>
      <w:bookmarkStart w:id="37" w:name="_Toc11923"/>
      <w:r/>
      <w:bookmarkStart w:id="38" w:name="_Toc18499"/>
      <w:r/>
      <w:bookmarkStart w:id="39" w:name="_Toc10413"/>
      <w:r/>
      <w:bookmarkStart w:id="40" w:name="_Toc20443"/>
      <w:r/>
      <w:bookmarkStart w:id="41" w:name="_Toc8716"/>
      <w:r/>
      <w:bookmarkStart w:id="42" w:name="_Toc26522"/>
      <w:r/>
      <w:bookmarkStart w:id="43" w:name="_Toc12445"/>
      <w:r/>
      <w:bookmarkStart w:id="44" w:name="_Toc15846"/>
      <w:r/>
      <w:bookmarkStart w:id="45" w:name="_Toc19272"/>
      <w:r/>
      <w:bookmarkStart w:id="46" w:name="_Toc21793"/>
      <w:r/>
      <w:bookmarkStart w:id="47" w:name="_Toc24968"/>
      <w:r/>
      <w:bookmarkStart w:id="48" w:name="_Toc11432"/>
      <w:r>
        <w:rPr>
          <w:rFonts w:hint="eastAsia" w:ascii="宋体" w:hAnsi="宋体" w:eastAsia="宋体" w:cs="宋体"/>
          <w:b/>
          <w:bCs/>
          <w:sz w:val="44"/>
          <w:szCs w:val="44"/>
          <w:highlight w:val="none"/>
        </w:rPr>
        <w:t xml:space="preserve">第三章  合同条款及格式</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b/>
          <w:bCs/>
          <w:sz w:val="44"/>
          <w:szCs w:val="44"/>
          <w:highlight w:val="none"/>
        </w:rPr>
      </w:r>
      <w:r/>
    </w:p>
    <w:p>
      <w:pPr>
        <w:pStyle w:val="1063"/>
        <w:ind w:firstLine="482"/>
        <w:spacing w:line="360" w:lineRule="auto"/>
        <w:rPr>
          <w:rFonts w:hint="eastAsia" w:ascii="宋体" w:hAnsi="宋体" w:cs="宋体"/>
          <w:b/>
          <w:bCs/>
          <w:sz w:val="24"/>
          <w:highlight w:val="none"/>
        </w:rPr>
      </w:pPr>
      <w:r/>
      <w:bookmarkStart w:id="49" w:name="_Toc8846"/>
      <w:r/>
      <w:bookmarkStart w:id="50" w:name="_Toc15865"/>
      <w:r/>
      <w:bookmarkStart w:id="51" w:name="_Toc27221"/>
      <w:r/>
      <w:bookmarkStart w:id="52" w:name="_Toc22618"/>
      <w:r>
        <w:rPr>
          <w:rFonts w:hint="eastAsia" w:ascii="宋体" w:hAnsi="宋体" w:cs="宋体"/>
          <w:b/>
          <w:bCs/>
          <w:sz w:val="24"/>
          <w:highlight w:val="none"/>
        </w:rPr>
      </w:r>
      <w:r/>
    </w:p>
    <w:p>
      <w:pPr>
        <w:pStyle w:val="1063"/>
        <w:ind w:firstLine="482"/>
        <w:spacing w:line="360" w:lineRule="auto"/>
        <w:rPr>
          <w:rFonts w:hint="eastAsia" w:ascii="宋体" w:hAnsi="宋体" w:cs="宋体"/>
          <w:b/>
          <w:highlight w:val="none"/>
        </w:rPr>
      </w:pPr>
      <w:r>
        <w:rPr>
          <w:rFonts w:hint="eastAsia" w:ascii="宋体" w:hAnsi="宋体" w:cs="宋体"/>
          <w:b/>
          <w:bCs/>
          <w:sz w:val="24"/>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cs="宋体"/>
          <w:b/>
          <w:highlight w:val="none"/>
        </w:rPr>
      </w:r>
      <w:r/>
    </w:p>
    <w:p>
      <w:pPr>
        <w:pStyle w:val="1063"/>
        <w:ind w:left="330" w:firstLine="720"/>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1063"/>
        <w:ind w:left="330"/>
        <w:jc w:val="center"/>
        <w:spacing w:line="360" w:lineRule="auto"/>
        <w:rPr>
          <w:rFonts w:hint="eastAsia" w:ascii="宋体" w:hAnsi="宋体" w:cs="宋体"/>
          <w:sz w:val="36"/>
          <w:szCs w:val="36"/>
          <w:highlight w:val="none"/>
        </w:rPr>
      </w:pPr>
      <w:r>
        <w:rPr>
          <w:rFonts w:hint="eastAsia" w:ascii="宋体" w:hAnsi="宋体" w:cs="宋体"/>
          <w:sz w:val="36"/>
          <w:szCs w:val="36"/>
          <w:highlight w:val="none"/>
          <w:lang w:bidi="ar"/>
        </w:rPr>
        <w:t xml:space="preserve">南京林业大学仪器设备（国产）采购合同</w:t>
      </w:r>
      <w:r>
        <w:rPr>
          <w:rFonts w:hint="eastAsia" w:ascii="宋体" w:hAnsi="宋体" w:cs="宋体"/>
          <w:sz w:val="36"/>
          <w:szCs w:val="36"/>
          <w:highlight w:val="none"/>
        </w:rPr>
      </w:r>
      <w:r/>
    </w:p>
    <w:p>
      <w:pPr>
        <w:pStyle w:val="1063"/>
        <w:ind w:left="330"/>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 </w:t>
      </w:r>
      <w:r>
        <w:rPr>
          <w:rFonts w:hint="eastAsia" w:ascii="宋体" w:hAnsi="宋体" w:cs="宋体"/>
          <w:sz w:val="24"/>
          <w:szCs w:val="24"/>
          <w:highlight w:val="none"/>
        </w:rPr>
      </w:r>
      <w:r/>
    </w:p>
    <w:p>
      <w:pPr>
        <w:pStyle w:val="1063"/>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lang w:bidi="ar"/>
        </w:rPr>
        <w:t xml:space="preserve">招标编号：                             </w:t>
      </w:r>
      <w:r>
        <w:rPr>
          <w:rFonts w:hint="eastAsia" w:ascii="宋体" w:hAnsi="宋体" w:cs="宋体"/>
          <w:bCs/>
          <w:sz w:val="24"/>
          <w:szCs w:val="24"/>
          <w:highlight w:val="none"/>
          <w:u w:val="single"/>
        </w:rPr>
      </w:r>
      <w:r/>
    </w:p>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甲方：</w:t>
      </w:r>
      <w:r>
        <w:rPr>
          <w:rFonts w:hint="eastAsia" w:ascii="宋体" w:hAnsi="宋体" w:cs="宋体"/>
          <w:bCs/>
          <w:sz w:val="24"/>
          <w:szCs w:val="24"/>
          <w:highlight w:val="none"/>
          <w:u w:val="single"/>
          <w:lang w:bidi="ar"/>
        </w:rPr>
        <w:t xml:space="preserve"> 南京林业大学 </w:t>
      </w:r>
      <w:r>
        <w:rPr>
          <w:rFonts w:hint="eastAsia" w:ascii="宋体" w:hAnsi="宋体" w:cs="宋体"/>
          <w:bCs/>
          <w:sz w:val="24"/>
          <w:szCs w:val="24"/>
          <w:highlight w:val="none"/>
          <w:lang w:bidi="ar"/>
        </w:rPr>
        <w:t xml:space="preserve">                   签订地点：南京林业大学</w:t>
      </w:r>
      <w:r>
        <w:rPr>
          <w:rFonts w:hint="eastAsia" w:ascii="宋体" w:hAnsi="宋体" w:cs="宋体"/>
          <w:bCs/>
          <w:sz w:val="24"/>
          <w:szCs w:val="24"/>
          <w:highlight w:val="none"/>
        </w:rPr>
      </w:r>
      <w:r/>
    </w:p>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乙方：                                 用户：</w:t>
      </w:r>
      <w:r>
        <w:rPr>
          <w:rFonts w:hint="eastAsia" w:ascii="宋体" w:hAnsi="宋体" w:cs="宋体"/>
          <w:bCs/>
          <w:sz w:val="24"/>
          <w:szCs w:val="24"/>
          <w:highlight w:val="none"/>
          <w:u w:val="single"/>
          <w:lang w:bidi="ar"/>
        </w:rPr>
        <w:t xml:space="preserve">  院/</w:t>
      </w:r>
      <w:r>
        <w:rPr>
          <w:rFonts w:hint="eastAsia" w:ascii="宋体" w:hAnsi="宋体" w:cs="宋体"/>
          <w:bCs/>
          <w:sz w:val="24"/>
          <w:szCs w:val="24"/>
          <w:highlight w:val="none"/>
          <w:lang w:bidi="ar"/>
        </w:rPr>
        <w:t xml:space="preserve">处</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老师</w:t>
      </w:r>
      <w:r>
        <w:rPr>
          <w:rFonts w:hint="eastAsia" w:ascii="宋体" w:hAnsi="宋体" w:cs="宋体"/>
          <w:bCs/>
          <w:sz w:val="24"/>
          <w:szCs w:val="24"/>
          <w:highlight w:val="none"/>
        </w:rPr>
      </w:r>
      <w:r/>
    </w:p>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 </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受甲方委托，采购代理机构于</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年</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月</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日组织了南京林业大学</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ascii="宋体" w:hAnsi="宋体" w:cs="宋体"/>
          <w:bCs/>
          <w:sz w:val="24"/>
          <w:szCs w:val="24"/>
          <w:highlight w:val="none"/>
        </w:rPr>
      </w:r>
      <w:r/>
    </w:p>
    <w:p>
      <w:pPr>
        <w:pStyle w:val="106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第一条、</w:t>
      </w:r>
      <w:r>
        <w:rPr>
          <w:rFonts w:hint="eastAsia" w:ascii="宋体" w:hAnsi="宋体" w:cs="宋体"/>
          <w:b/>
          <w:sz w:val="24"/>
          <w:szCs w:val="24"/>
          <w:highlight w:val="none"/>
          <w:lang w:bidi="ar"/>
        </w:rPr>
        <w:tab/>
      </w:r>
      <w:r>
        <w:rPr>
          <w:rFonts w:hint="eastAsia" w:ascii="宋体" w:hAnsi="宋体" w:cs="宋体"/>
          <w:b/>
          <w:sz w:val="24"/>
          <w:szCs w:val="24"/>
          <w:highlight w:val="none"/>
          <w:lang w:bidi="ar"/>
        </w:rPr>
        <w:t xml:space="preserve">标的设备及价款</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1、甲方向乙方采购及乙方向甲方出售和供应的设备（包括设备的附属、配件、产品说明等资料的整套设备，下称“标的设备”）及价款如下：</w:t>
      </w:r>
      <w:r>
        <w:rPr>
          <w:rFonts w:hint="eastAsia" w:ascii="宋体" w:hAnsi="宋体" w:cs="宋体"/>
          <w:bCs/>
          <w:sz w:val="24"/>
          <w:szCs w:val="24"/>
          <w:highlight w:val="none"/>
        </w:rPr>
      </w:r>
      <w:r/>
    </w:p>
    <w:tbl>
      <w:tblPr>
        <w:tblW w:w="94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98"/>
        <w:gridCol w:w="1350"/>
        <w:gridCol w:w="1493"/>
        <w:gridCol w:w="1450"/>
        <w:gridCol w:w="1257"/>
        <w:gridCol w:w="1844"/>
      </w:tblGrid>
      <w:tr>
        <w:trPr>
          <w:trHeight w:val="1078"/>
        </w:trPr>
        <w:tc>
          <w:tcPr>
            <w:tcW w:w="798"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序号</w:t>
            </w:r>
            <w:r>
              <w:rPr>
                <w:rFonts w:hint="eastAsia" w:ascii="宋体" w:hAnsi="宋体" w:cs="宋体"/>
                <w:sz w:val="24"/>
                <w:szCs w:val="24"/>
                <w:highlight w:val="none"/>
              </w:rPr>
            </w:r>
            <w:r/>
          </w:p>
        </w:tc>
        <w:tc>
          <w:tcPr>
            <w:tcW w:w="1298"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设备名称</w:t>
            </w:r>
            <w:r>
              <w:rPr>
                <w:rFonts w:hint="eastAsia" w:ascii="宋体" w:hAnsi="宋体" w:cs="宋体"/>
                <w:sz w:val="24"/>
                <w:szCs w:val="24"/>
                <w:highlight w:val="none"/>
              </w:rPr>
            </w:r>
            <w:r/>
          </w:p>
        </w:tc>
        <w:tc>
          <w:tcPr>
            <w:tcW w:w="1350"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型号/规格</w:t>
            </w:r>
            <w:r>
              <w:rPr>
                <w:rFonts w:hint="eastAsia" w:ascii="宋体" w:hAnsi="宋体" w:cs="宋体"/>
                <w:sz w:val="24"/>
                <w:szCs w:val="24"/>
                <w:highlight w:val="none"/>
              </w:rPr>
            </w:r>
            <w:r/>
          </w:p>
        </w:tc>
        <w:tc>
          <w:tcPr>
            <w:tcW w:w="1493"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数量/单位</w:t>
            </w:r>
            <w:r>
              <w:rPr>
                <w:rFonts w:hint="eastAsia" w:ascii="宋体" w:hAnsi="宋体" w:cs="宋体"/>
                <w:sz w:val="24"/>
                <w:szCs w:val="24"/>
                <w:highlight w:val="none"/>
              </w:rPr>
            </w:r>
            <w:r/>
          </w:p>
        </w:tc>
        <w:tc>
          <w:tcPr>
            <w:tcW w:w="1450"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单价（元）</w:t>
            </w:r>
            <w:r>
              <w:rPr>
                <w:rFonts w:hint="eastAsia" w:ascii="宋体" w:hAnsi="宋体" w:cs="宋体"/>
                <w:sz w:val="24"/>
                <w:szCs w:val="24"/>
                <w:highlight w:val="none"/>
              </w:rPr>
            </w:r>
            <w:r/>
          </w:p>
        </w:tc>
        <w:tc>
          <w:tcPr>
            <w:tcW w:w="1257"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总价（元）</w:t>
            </w:r>
            <w:r>
              <w:rPr>
                <w:rFonts w:hint="eastAsia" w:ascii="宋体" w:hAnsi="宋体" w:cs="宋体"/>
                <w:sz w:val="24"/>
                <w:szCs w:val="24"/>
                <w:highlight w:val="none"/>
              </w:rPr>
            </w:r>
            <w:r/>
          </w:p>
        </w:tc>
        <w:tc>
          <w:tcPr>
            <w:tcW w:w="1844"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品牌/生产厂家</w:t>
            </w:r>
            <w:r>
              <w:rPr>
                <w:rFonts w:hint="eastAsia" w:ascii="宋体" w:hAnsi="宋体" w:cs="宋体"/>
                <w:sz w:val="24"/>
                <w:szCs w:val="24"/>
                <w:highlight w:val="none"/>
              </w:rPr>
            </w:r>
            <w:r/>
          </w:p>
        </w:tc>
      </w:tr>
      <w:tr>
        <w:trPr>
          <w:trHeight w:val="1066"/>
        </w:trPr>
        <w:tc>
          <w:tcPr>
            <w:tcW w:w="798"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W w:w="1298"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50"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493"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450"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57"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844"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1063"/>
        <w:ind w:firstLine="480"/>
        <w:spacing w:line="360" w:lineRule="auto"/>
        <w:rPr>
          <w:rFonts w:hint="eastAsia" w:ascii="宋体" w:hAnsi="宋体" w:cs="宋体"/>
          <w:b/>
          <w:bCs/>
          <w:sz w:val="24"/>
          <w:szCs w:val="24"/>
          <w:highlight w:val="none"/>
        </w:rPr>
      </w:pPr>
      <w:r>
        <w:rPr>
          <w:rFonts w:hint="eastAsia" w:ascii="宋体" w:hAnsi="宋体" w:cs="宋体"/>
          <w:bCs/>
          <w:sz w:val="24"/>
          <w:szCs w:val="24"/>
          <w:highlight w:val="none"/>
          <w:lang w:bidi="ar"/>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rPr>
          <w:rFonts w:hint="eastAsia" w:ascii="宋体" w:hAnsi="宋体" w:cs="宋体"/>
          <w:b/>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3、合同总金额：</w:t>
      </w:r>
      <w:r>
        <w:rPr>
          <w:rFonts w:hint="eastAsia" w:ascii="宋体" w:hAnsi="宋体" w:cs="宋体"/>
          <w:sz w:val="24"/>
          <w:szCs w:val="24"/>
          <w:highlight w:val="none"/>
          <w:lang w:bidi="ar"/>
        </w:rPr>
        <w:t xml:space="preserve">人民币</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元（大写：</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）为包</w:t>
      </w:r>
      <w:r>
        <w:rPr>
          <w:rFonts w:hint="eastAsia" w:ascii="宋体" w:hAnsi="宋体" w:cs="宋体"/>
          <w:bCs/>
          <w:sz w:val="24"/>
          <w:szCs w:val="24"/>
          <w:highlight w:val="none"/>
          <w:lang w:bidi="ar"/>
        </w:rPr>
        <w:t xml:space="preserve">干价，已包括设备本身和随机附件、包装、运输、装卸、安装、调试和培训、质保，保险，以及验收鉴定费等全部费用，甲方无需就本合同及本项目向乙方额外支付其他任何费用、款项。</w:t>
      </w:r>
      <w:r>
        <w:rPr>
          <w:rFonts w:hint="eastAsia" w:ascii="宋体" w:hAnsi="宋体" w:cs="宋体"/>
          <w:bCs/>
          <w:sz w:val="24"/>
          <w:szCs w:val="24"/>
          <w:highlight w:val="none"/>
        </w:rPr>
      </w:r>
      <w:r/>
    </w:p>
    <w:p>
      <w:pPr>
        <w:pStyle w:val="106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第二条、交货时间和地点</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1、乙方应在本合同签订之日起</w:t>
      </w:r>
      <w:r>
        <w:rPr>
          <w:rFonts w:hint="eastAsia" w:ascii="宋体" w:hAnsi="宋体" w:cs="宋体"/>
          <w:bCs/>
          <w:sz w:val="24"/>
          <w:szCs w:val="24"/>
          <w:highlight w:val="none"/>
          <w:u w:val="single"/>
          <w:lang w:bidi="ar"/>
        </w:rPr>
        <w:t xml:space="preserve"> 30 </w:t>
      </w:r>
      <w:r>
        <w:rPr>
          <w:rFonts w:hint="eastAsia" w:ascii="宋体" w:hAnsi="宋体" w:cs="宋体"/>
          <w:bCs/>
          <w:sz w:val="24"/>
          <w:szCs w:val="24"/>
          <w:highlight w:val="none"/>
          <w:lang w:bidi="ar"/>
        </w:rPr>
        <w:t xml:space="preserve">天内将标的设备运抵并交付至南京市玄武区龙蟠路159号南京林业大学</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楼</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实验室，由双方按本合同约定办理收货及初步验收手续。甲方指定收货人</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（联系电话：</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 </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2、乙方完成所有标的设备的安装、调试并经甲方最终验收合格的，视为完成交付。</w:t>
      </w:r>
      <w:r>
        <w:rPr>
          <w:rFonts w:hint="eastAsia" w:ascii="宋体" w:hAnsi="宋体" w:cs="宋体"/>
          <w:bCs/>
          <w:sz w:val="24"/>
          <w:szCs w:val="24"/>
          <w:highlight w:val="none"/>
        </w:rPr>
      </w:r>
      <w:r/>
    </w:p>
    <w:p>
      <w:pPr>
        <w:pStyle w:val="106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第三条、付款方式</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lang w:bidi="ar"/>
        </w:rPr>
      </w:pPr>
      <w:r>
        <w:rPr>
          <w:rFonts w:hint="eastAsia" w:ascii="宋体" w:hAnsi="宋体" w:eastAsia="宋体" w:cs="宋体"/>
          <w:bCs w:val="0"/>
          <w:color w:val="000000"/>
          <w:sz w:val="24"/>
          <w:szCs w:val="24"/>
          <w:highlight w:val="none"/>
          <w:lang w:bidi="ar"/>
        </w:rPr>
        <w:t xml:space="preserve">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30％的尾款，并退还银行预付款保函。设备验收合格一年且无质量问题后，采购人向供应商无息退还履约保证金。如有特殊情况采购人、供应商双方另行协商</w:t>
      </w:r>
      <w:r>
        <w:rPr>
          <w:rFonts w:hint="eastAsia" w:ascii="宋体" w:hAnsi="宋体" w:cs="宋体"/>
          <w:bCs/>
          <w:sz w:val="24"/>
          <w:szCs w:val="24"/>
          <w:highlight w:val="none"/>
          <w:lang w:bidi="ar"/>
        </w:rPr>
        <w:t xml:space="preserve">。</w:t>
      </w:r>
      <w:r>
        <w:rPr>
          <w:rFonts w:hint="eastAsia" w:ascii="宋体" w:hAnsi="宋体" w:cs="宋体"/>
          <w:bCs/>
          <w:sz w:val="24"/>
          <w:szCs w:val="24"/>
          <w:highlight w:val="none"/>
          <w:lang w:bidi="ar"/>
        </w:rPr>
      </w:r>
      <w:r/>
    </w:p>
    <w:p>
      <w:pPr>
        <w:pStyle w:val="1063"/>
        <w:ind w:firstLine="420"/>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第四条、标的设备的交付、安装调试及验收</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1、乙方应提前</w:t>
      </w:r>
      <w:r>
        <w:rPr>
          <w:rFonts w:hint="eastAsia" w:ascii="宋体" w:hAnsi="宋体" w:cs="宋体"/>
          <w:bCs/>
          <w:sz w:val="24"/>
          <w:szCs w:val="24"/>
          <w:highlight w:val="none"/>
          <w:u w:val="single"/>
          <w:lang w:bidi="ar"/>
        </w:rPr>
        <w:t xml:space="preserve"> 5 </w:t>
      </w:r>
      <w:r>
        <w:rPr>
          <w:rFonts w:hint="eastAsia" w:ascii="宋体" w:hAnsi="宋体" w:cs="宋体"/>
          <w:bCs/>
          <w:sz w:val="24"/>
          <w:szCs w:val="24"/>
          <w:highlight w:val="none"/>
          <w:lang w:bidi="ar"/>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bookmarkStart w:id="53" w:name="OLE_LINK2"/>
      <w:r/>
      <w:bookmarkStart w:id="54" w:name="OLE_LINK1"/>
      <w:r>
        <w:rPr>
          <w:rFonts w:hint="eastAsia" w:ascii="宋体" w:hAnsi="宋体" w:cs="宋体"/>
          <w:bCs/>
          <w:sz w:val="24"/>
          <w:szCs w:val="24"/>
          <w:highlight w:val="none"/>
          <w:lang w:bidi="ar"/>
        </w:rPr>
        <w:t xml:space="preserve">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r>
        <w:rPr>
          <w:rFonts w:hint="eastAsia" w:ascii="宋体" w:hAnsi="宋体" w:cs="宋体"/>
          <w:bCs/>
          <w:sz w:val="24"/>
          <w:szCs w:val="24"/>
          <w:highlight w:val="none"/>
        </w:rPr>
      </w:r>
      <w:r/>
    </w:p>
    <w:p>
      <w:pPr>
        <w:pStyle w:val="1063"/>
        <w:ind w:firstLine="482"/>
        <w:spacing w:line="360" w:lineRule="auto"/>
        <w:rPr>
          <w:rFonts w:hint="eastAsia" w:ascii="宋体" w:hAnsi="宋体" w:cs="宋体"/>
          <w:b/>
          <w:sz w:val="24"/>
          <w:szCs w:val="24"/>
          <w:highlight w:val="none"/>
        </w:rPr>
      </w:pPr>
      <w:r/>
      <w:bookmarkEnd w:id="53"/>
      <w:r/>
      <w:bookmarkEnd w:id="54"/>
      <w:r>
        <w:rPr>
          <w:rFonts w:hint="eastAsia" w:ascii="宋体" w:hAnsi="宋体" w:cs="宋体"/>
          <w:b/>
          <w:sz w:val="24"/>
          <w:szCs w:val="24"/>
          <w:highlight w:val="none"/>
          <w:lang w:bidi="ar"/>
        </w:rPr>
        <w:t xml:space="preserve">第五条、质量保证</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1、乙方所提供的标的设备必须符合行业标准及国家有关标准（以较高者为准），并提供合格完整的资料（如制造厂商签发的质量证明书等）；标的设备的详细配置、技术指标及服务要求按附件。</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2、乙方保证提供的设备是全新、未使用过的原装合格正品，并保证设备在正常使用和保养条件下，在其使用寿命周期内具有令甲方满意的性能。</w:t>
      </w:r>
      <w:r>
        <w:rPr>
          <w:rFonts w:hint="eastAsia" w:ascii="宋体" w:hAnsi="宋体" w:cs="宋体"/>
          <w:bCs/>
          <w:sz w:val="24"/>
          <w:szCs w:val="24"/>
          <w:highlight w:val="none"/>
        </w:rPr>
      </w:r>
      <w:r/>
    </w:p>
    <w:p>
      <w:pPr>
        <w:pStyle w:val="1063"/>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第六条、售后服务</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1、乙方应按照本合同约定履行质保服务责任和义务，服务内容详见附件。</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2、标的设备免费质保期为自标的设备验收合格之日（即双方签字确认之日）起</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 个月。</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3、质保期内由于设备质量、安装调试原因或正常使用产生任何故障，乙方应按约定维修，维修所产生的全部费用（包括更换零配件的费用）均由乙方承担。</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4、乙方在接到甲方故障通知后24小时内作出响应，48小时之内上门服务，维修服务的联系人为</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，联系电话是</w:t>
      </w:r>
      <w:r>
        <w:rPr>
          <w:rFonts w:hint="eastAsia" w:ascii="宋体" w:hAnsi="宋体" w:cs="宋体"/>
          <w:bCs/>
          <w:sz w:val="24"/>
          <w:szCs w:val="24"/>
          <w:highlight w:val="none"/>
          <w:u w:val="single"/>
          <w:lang w:bidi="ar"/>
        </w:rPr>
        <w:t xml:space="preserve">      </w:t>
      </w:r>
      <w:r>
        <w:rPr>
          <w:rFonts w:hint="eastAsia" w:ascii="宋体" w:hAnsi="宋体" w:cs="宋体"/>
          <w:bCs/>
          <w:sz w:val="24"/>
          <w:szCs w:val="24"/>
          <w:highlight w:val="none"/>
          <w:lang w:bidi="ar"/>
        </w:rPr>
        <w:t xml:space="preserve">。</w:t>
      </w:r>
      <w:r>
        <w:rPr>
          <w:rFonts w:hint="eastAsia" w:ascii="宋体" w:hAnsi="宋体" w:cs="宋体"/>
          <w:bCs/>
          <w:sz w:val="24"/>
          <w:szCs w:val="24"/>
          <w:highlight w:val="none"/>
        </w:rPr>
      </w:r>
      <w:r/>
    </w:p>
    <w:p>
      <w:pPr>
        <w:pStyle w:val="1063"/>
        <w:ind w:firstLine="420"/>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第七条、违约责任</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1、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ascii="宋体" w:hAnsi="宋体" w:cs="宋体"/>
          <w:bCs/>
          <w:sz w:val="24"/>
          <w:szCs w:val="24"/>
          <w:highlight w:val="none"/>
        </w:rPr>
      </w:r>
      <w:r/>
    </w:p>
    <w:p>
      <w:pPr>
        <w:pStyle w:val="1063"/>
        <w:ind w:firstLine="420"/>
        <w:spacing w:line="360" w:lineRule="auto"/>
        <w:rPr>
          <w:rFonts w:hint="eastAsia" w:ascii="宋体" w:hAnsi="宋体" w:cs="宋体"/>
          <w:bCs/>
          <w:sz w:val="24"/>
          <w:szCs w:val="24"/>
          <w:highlight w:val="none"/>
        </w:rPr>
      </w:pPr>
      <w:r>
        <w:rPr>
          <w:rFonts w:hint="eastAsia" w:ascii="宋体" w:hAnsi="宋体" w:cs="宋体"/>
          <w:b/>
          <w:sz w:val="24"/>
          <w:szCs w:val="24"/>
          <w:highlight w:val="none"/>
          <w:lang w:bidi="ar"/>
        </w:rPr>
        <w:t xml:space="preserve">第八条、纠纷处理</w:t>
      </w:r>
      <w:r>
        <w:rPr>
          <w:rFonts w:hint="eastAsia" w:ascii="宋体" w:hAnsi="宋体" w:cs="宋体"/>
          <w:bCs/>
          <w:sz w:val="24"/>
          <w:szCs w:val="24"/>
          <w:highlight w:val="none"/>
        </w:rPr>
      </w:r>
      <w:r/>
    </w:p>
    <w:p>
      <w:pPr>
        <w:pStyle w:val="1063"/>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因本合同引起的或与本合同有关的任何争议，由甲乙双方根据《中华人民共和国民法典》及相关法律法规协商解决，协商不成的，应提交甲方所在地人民法院通过诉讼解决。</w:t>
      </w:r>
      <w:r>
        <w:rPr>
          <w:rFonts w:hint="eastAsia" w:ascii="宋体" w:hAnsi="宋体" w:cs="宋体"/>
          <w:bCs/>
          <w:sz w:val="24"/>
          <w:szCs w:val="24"/>
          <w:highlight w:val="none"/>
        </w:rPr>
      </w:r>
      <w:r/>
    </w:p>
    <w:p>
      <w:pPr>
        <w:pStyle w:val="1063"/>
        <w:ind w:firstLine="420"/>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第九条、协议生效及其他</w:t>
      </w:r>
      <w:r>
        <w:rPr>
          <w:rFonts w:hint="eastAsia" w:ascii="宋体" w:hAnsi="宋体" w:cs="宋体"/>
          <w:b/>
          <w:sz w:val="24"/>
          <w:szCs w:val="24"/>
          <w:highlight w:val="none"/>
        </w:rPr>
      </w:r>
      <w:r/>
    </w:p>
    <w:p>
      <w:pPr>
        <w:pStyle w:val="1063"/>
        <w:ind w:firstLine="480"/>
        <w:spacing w:line="360" w:lineRule="auto"/>
        <w:rPr>
          <w:rFonts w:hint="eastAsia" w:ascii="宋体" w:hAnsi="宋体" w:cs="宋体"/>
          <w:bCs/>
          <w:sz w:val="24"/>
          <w:szCs w:val="24"/>
          <w:highlight w:val="none"/>
          <w:lang w:bidi="ar"/>
        </w:rPr>
      </w:pPr>
      <w:r>
        <w:rPr>
          <w:rFonts w:hint="eastAsia" w:ascii="宋体" w:hAnsi="宋体" w:cs="宋体"/>
          <w:bCs/>
          <w:sz w:val="24"/>
          <w:szCs w:val="24"/>
          <w:highlight w:val="none"/>
          <w:lang w:bidi="ar"/>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ascii="宋体" w:hAnsi="宋体" w:cs="宋体"/>
          <w:bCs/>
          <w:sz w:val="24"/>
          <w:szCs w:val="24"/>
          <w:highlight w:val="none"/>
          <w:lang w:bidi="ar"/>
        </w:rPr>
      </w:r>
      <w:r/>
    </w:p>
    <w:p>
      <w:pPr>
        <w:pStyle w:val="1085"/>
        <w:ind w:firstLine="480"/>
        <w:rPr>
          <w:rFonts w:hint="eastAsia" w:hAnsi="宋体"/>
          <w:highlight w:val="none"/>
        </w:rPr>
      </w:pPr>
      <w:r>
        <w:rPr>
          <w:rFonts w:hint="eastAsia"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甲方(加盖公章)：</w:t>
            </w:r>
            <w:r>
              <w:rPr>
                <w:rFonts w:hint="eastAsia" w:ascii="宋体" w:hAnsi="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乙方(加盖公章)：</w:t>
            </w:r>
            <w:r>
              <w:rPr>
                <w:rFonts w:hint="eastAsia" w:ascii="宋体" w:hAnsi="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lang w:bidi="ar"/>
              </w:rPr>
              <w:t xml:space="preserve">南京林业大学</w:t>
            </w:r>
            <w:r>
              <w:rPr>
                <w:rFonts w:hint="eastAsia" w:ascii="宋体" w:hAnsi="宋体" w:cs="宋体"/>
                <w:bCs/>
                <w:sz w:val="24"/>
                <w:szCs w:val="24"/>
                <w:highlight w:val="none"/>
                <w:u w:val="single"/>
                <w:lang w:bidi="ar"/>
              </w:rPr>
              <w:tab/>
            </w:r>
            <w:r>
              <w:rPr>
                <w:rFonts w:hint="eastAsia" w:ascii="宋体" w:hAnsi="宋体" w:cs="宋体"/>
                <w:bCs/>
                <w:sz w:val="24"/>
                <w:szCs w:val="24"/>
                <w:highlight w:val="none"/>
                <w:u w:val="single"/>
                <w:lang w:bidi="ar"/>
              </w:rPr>
              <w:tab/>
            </w:r>
            <w:r>
              <w:rPr>
                <w:rFonts w:hint="eastAsia" w:ascii="宋体" w:hAnsi="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负责人签字：</w:t>
            </w:r>
            <w:r>
              <w:rPr>
                <w:rFonts w:hint="eastAsia" w:ascii="宋体" w:hAnsi="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代表签字：</w:t>
            </w:r>
            <w:r>
              <w:rPr>
                <w:rFonts w:hint="eastAsia" w:ascii="宋体" w:hAnsi="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联系电话：</w:t>
            </w:r>
            <w:r>
              <w:rPr>
                <w:rFonts w:hint="eastAsia" w:ascii="宋体" w:hAnsi="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联系电话：</w:t>
            </w:r>
            <w:r>
              <w:rPr>
                <w:rFonts w:hint="eastAsia" w:ascii="宋体" w:hAnsi="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设备科电话025-85427252</w:t>
            </w:r>
            <w:r>
              <w:rPr>
                <w:rFonts w:hint="eastAsia" w:ascii="宋体" w:hAnsi="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ind w:left="960" w:hanging="960"/>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开户行：</w:t>
            </w:r>
            <w:r>
              <w:rPr>
                <w:rFonts w:hint="eastAsia" w:ascii="宋体" w:hAnsi="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continue"/>
            <w:textDirection w:val="lrTb"/>
            <w:noWrap w:val="false"/>
          </w:tcPr>
          <w:p>
            <w:pPr>
              <w:pStyle w:val="1063"/>
              <w:spacing w:line="36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银行帐号：</w:t>
            </w:r>
            <w:r>
              <w:rPr>
                <w:rFonts w:hint="eastAsia" w:ascii="宋体" w:hAnsi="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202  年  月   日</w:t>
            </w:r>
            <w:r>
              <w:rPr>
                <w:rFonts w:hint="eastAsia" w:ascii="宋体" w:hAnsi="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lang w:bidi="ar"/>
              </w:rPr>
              <w:t xml:space="preserve">202  年   月   日</w:t>
            </w:r>
            <w:r>
              <w:rPr>
                <w:rFonts w:hint="eastAsia" w:ascii="宋体" w:hAnsi="宋体" w:cs="宋体"/>
                <w:bCs/>
                <w:sz w:val="24"/>
                <w:szCs w:val="24"/>
                <w:highlight w:val="none"/>
              </w:rPr>
            </w:r>
            <w:r/>
          </w:p>
        </w:tc>
      </w:tr>
    </w:tbl>
    <w:p>
      <w:pPr>
        <w:pStyle w:val="1101"/>
        <w:ind w:firstLine="480"/>
        <w:spacing w:before="0" w:beforeAutospacing="0" w:after="0" w:afterAutospacing="0" w:line="360" w:lineRule="auto"/>
        <w:rPr>
          <w:rFonts w:hint="eastAsia"/>
          <w:highlight w:val="none"/>
        </w:rPr>
      </w:pPr>
      <w:r>
        <w:rPr>
          <w:rFonts w:hint="eastAsia"/>
          <w:highlight w:val="none"/>
        </w:rPr>
      </w:r>
      <w:r/>
    </w:p>
    <w:p>
      <w:pPr>
        <w:pStyle w:val="1101"/>
        <w:ind w:firstLine="480"/>
        <w:jc w:val="both"/>
        <w:spacing w:before="0" w:beforeAutospacing="0" w:after="0" w:afterAutospacing="0" w:line="360" w:lineRule="auto"/>
        <w:rPr>
          <w:rFonts w:hint="eastAsia"/>
          <w:highlight w:val="none"/>
        </w:rPr>
        <w:sectPr>
          <w:footerReference w:type="default" r:id="rId17"/>
          <w:footnotePr/>
          <w:endnotePr/>
          <w:type w:val="nextPage"/>
          <w:pgSz w:w="11906" w:h="16838" w:orient="portrait"/>
          <w:pgMar w:top="1253" w:right="1253" w:bottom="1253" w:left="1253" w:header="851" w:footer="992" w:gutter="0"/>
          <w:cols w:num="1" w:sep="0" w:space="1701" w:equalWidth="1"/>
          <w:docGrid w:linePitch="360"/>
        </w:sectPr>
      </w:pPr>
      <w:r>
        <w:rPr>
          <w:rFonts w:hint="eastAsia"/>
          <w:highlight w:val="none"/>
        </w:rPr>
      </w:r>
      <w:r/>
    </w:p>
    <w:p>
      <w:pPr>
        <w:pStyle w:val="1063"/>
        <w:ind w:right="840"/>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附件：设备的详细配置（含附件清单）及技术指标</w:t>
      </w:r>
      <w:r>
        <w:rPr>
          <w:rFonts w:hint="eastAsia" w:ascii="宋体" w:hAnsi="宋体" w:cs="宋体"/>
          <w:b/>
          <w:sz w:val="24"/>
          <w:szCs w:val="24"/>
          <w:highlight w:val="none"/>
        </w:rPr>
      </w:r>
      <w:r/>
    </w:p>
    <w:p>
      <w:pPr>
        <w:pStyle w:val="1063"/>
        <w:ind w:right="840"/>
        <w:spacing w:line="360" w:lineRule="auto"/>
        <w:rPr>
          <w:rFonts w:hint="eastAsia" w:ascii="宋体" w:hAnsi="宋体" w:cs="宋体"/>
          <w:b/>
          <w:sz w:val="24"/>
          <w:szCs w:val="24"/>
          <w:highlight w:val="none"/>
        </w:rPr>
      </w:pPr>
      <w:r>
        <w:rPr>
          <w:rFonts w:hint="eastAsia" w:ascii="宋体" w:hAnsi="宋体" w:cs="宋体"/>
          <w:b/>
          <w:sz w:val="24"/>
          <w:szCs w:val="24"/>
          <w:highlight w:val="none"/>
          <w:lang w:bidi="ar"/>
        </w:rPr>
        <w:t xml:space="preserve">（1）详细配置</w:t>
      </w:r>
      <w:r>
        <w:rPr>
          <w:rFonts w:hint="eastAsia" w:ascii="宋体" w:hAnsi="宋体" w:cs="宋体"/>
          <w:b/>
          <w:sz w:val="24"/>
          <w:szCs w:val="24"/>
          <w:highlight w:val="none"/>
        </w:rPr>
      </w:r>
      <w:r/>
    </w:p>
    <w:tbl>
      <w:tblPr>
        <w:tblW w:w="48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486"/>
        <w:gridCol w:w="2111"/>
        <w:gridCol w:w="1522"/>
        <w:gridCol w:w="949"/>
        <w:gridCol w:w="1290"/>
      </w:tblGrid>
      <w:tr>
        <w:trPr>
          <w:trHeight w:val="435"/>
        </w:trPr>
        <w:tc>
          <w:tcPr>
            <w:tcW w:w="490" w:type="dxa"/>
            <w:vAlign w:val="center"/>
            <w:textDirection w:val="lrTb"/>
            <w:noWrap w:val="false"/>
          </w:tcPr>
          <w:p>
            <w:pPr>
              <w:pStyle w:val="1085"/>
              <w:ind w:firstLine="482"/>
              <w:jc w:val="center"/>
              <w:widowControl/>
              <w:rPr>
                <w:rFonts w:hint="eastAsia" w:hAnsi="宋体"/>
                <w:b/>
                <w:highlight w:val="none"/>
              </w:rPr>
            </w:pPr>
            <w:r>
              <w:rPr>
                <w:rFonts w:hint="eastAsia" w:hAnsi="宋体"/>
                <w:b/>
                <w:highlight w:val="none"/>
              </w:rPr>
              <w:t xml:space="preserve">序号</w:t>
            </w:r>
            <w:r>
              <w:rPr>
                <w:rFonts w:hint="eastAsia" w:hAnsi="宋体"/>
                <w:b/>
                <w:highlight w:val="none"/>
              </w:rPr>
            </w:r>
            <w:r/>
          </w:p>
        </w:tc>
        <w:tc>
          <w:tcPr>
            <w:tcW w:w="1341" w:type="dxa"/>
            <w:vAlign w:val="center"/>
            <w:textDirection w:val="lrTb"/>
            <w:noWrap w:val="false"/>
          </w:tcPr>
          <w:p>
            <w:pPr>
              <w:pStyle w:val="1085"/>
              <w:ind w:firstLine="482"/>
              <w:jc w:val="center"/>
              <w:widowControl/>
              <w:rPr>
                <w:rFonts w:hint="eastAsia" w:hAnsi="宋体"/>
                <w:b/>
                <w:highlight w:val="none"/>
              </w:rPr>
            </w:pPr>
            <w:r>
              <w:rPr>
                <w:rFonts w:hint="eastAsia" w:hAnsi="宋体"/>
                <w:b/>
                <w:highlight w:val="none"/>
              </w:rPr>
              <w:t xml:space="preserve">产品名称</w:t>
            </w:r>
            <w:r>
              <w:rPr>
                <w:rFonts w:hint="eastAsia" w:hAnsi="宋体"/>
                <w:b/>
                <w:highlight w:val="none"/>
              </w:rPr>
            </w:r>
            <w:r/>
          </w:p>
        </w:tc>
        <w:tc>
          <w:tcPr>
            <w:tcW w:w="1138" w:type="dxa"/>
            <w:vAlign w:val="center"/>
            <w:textDirection w:val="lrTb"/>
            <w:noWrap w:val="false"/>
          </w:tcPr>
          <w:p>
            <w:pPr>
              <w:pStyle w:val="1085"/>
              <w:ind w:firstLine="482"/>
              <w:jc w:val="center"/>
              <w:widowControl/>
              <w:rPr>
                <w:rFonts w:hint="eastAsia" w:hAnsi="宋体"/>
                <w:b/>
                <w:highlight w:val="none"/>
              </w:rPr>
            </w:pPr>
            <w:r>
              <w:rPr>
                <w:rFonts w:hint="eastAsia" w:hAnsi="宋体"/>
                <w:b/>
                <w:highlight w:val="none"/>
              </w:rPr>
              <w:t xml:space="preserve">品牌/型号</w:t>
            </w:r>
            <w:r>
              <w:rPr>
                <w:rFonts w:hint="eastAsia" w:hAnsi="宋体"/>
                <w:b/>
                <w:highlight w:val="none"/>
              </w:rPr>
            </w:r>
            <w:r/>
          </w:p>
        </w:tc>
        <w:tc>
          <w:tcPr>
            <w:tcW w:w="821" w:type="dxa"/>
            <w:vAlign w:val="center"/>
            <w:textDirection w:val="lrTb"/>
            <w:noWrap w:val="false"/>
          </w:tcPr>
          <w:p>
            <w:pPr>
              <w:pStyle w:val="1085"/>
              <w:ind w:firstLine="482"/>
              <w:widowControl/>
              <w:rPr>
                <w:rFonts w:hint="eastAsia" w:hAnsi="宋体"/>
                <w:b/>
                <w:highlight w:val="none"/>
              </w:rPr>
            </w:pPr>
            <w:r>
              <w:rPr>
                <w:rFonts w:hint="eastAsia" w:hAnsi="宋体"/>
                <w:b/>
                <w:highlight w:val="none"/>
              </w:rPr>
              <w:t xml:space="preserve">数量</w:t>
            </w:r>
            <w:r>
              <w:rPr>
                <w:rFonts w:hint="eastAsia" w:hAnsi="宋体"/>
                <w:b/>
                <w:highlight w:val="none"/>
              </w:rPr>
            </w:r>
            <w:r/>
          </w:p>
          <w:p>
            <w:pPr>
              <w:pStyle w:val="1085"/>
              <w:ind w:firstLine="482"/>
              <w:widowControl/>
              <w:rPr>
                <w:rFonts w:hint="eastAsia" w:hAnsi="宋体"/>
                <w:b/>
                <w:highlight w:val="none"/>
              </w:rPr>
            </w:pPr>
            <w:r>
              <w:rPr>
                <w:rFonts w:hint="eastAsia" w:hAnsi="宋体"/>
                <w:b/>
                <w:highlight w:val="none"/>
              </w:rPr>
              <w:t xml:space="preserve">(单位)</w:t>
            </w:r>
            <w:r>
              <w:rPr>
                <w:rFonts w:hint="eastAsia" w:hAnsi="宋体"/>
                <w:b/>
                <w:highlight w:val="none"/>
              </w:rPr>
            </w:r>
            <w:r/>
          </w:p>
        </w:tc>
        <w:tc>
          <w:tcPr>
            <w:tcW w:w="512" w:type="dxa"/>
            <w:vAlign w:val="center"/>
            <w:textDirection w:val="lrTb"/>
            <w:noWrap w:val="false"/>
          </w:tcPr>
          <w:p>
            <w:pPr>
              <w:pStyle w:val="1085"/>
              <w:ind w:firstLine="0"/>
              <w:widowControl/>
              <w:rPr>
                <w:rFonts w:hint="eastAsia" w:hAnsi="宋体"/>
                <w:b/>
                <w:highlight w:val="none"/>
              </w:rPr>
            </w:pPr>
            <w:r>
              <w:rPr>
                <w:rFonts w:hint="eastAsia" w:hAnsi="宋体"/>
                <w:b/>
                <w:highlight w:val="none"/>
              </w:rPr>
              <w:t xml:space="preserve">产地</w:t>
            </w:r>
            <w:r>
              <w:rPr>
                <w:rFonts w:hint="eastAsia" w:hAnsi="宋体"/>
                <w:b/>
                <w:highlight w:val="none"/>
              </w:rPr>
            </w:r>
            <w:r/>
          </w:p>
        </w:tc>
        <w:tc>
          <w:tcPr>
            <w:tcW w:w="696" w:type="dxa"/>
            <w:vAlign w:val="center"/>
            <w:textDirection w:val="lrTb"/>
            <w:noWrap w:val="false"/>
          </w:tcPr>
          <w:p>
            <w:pPr>
              <w:pStyle w:val="1085"/>
              <w:ind w:firstLine="0"/>
              <w:widowControl/>
              <w:rPr>
                <w:rFonts w:hint="eastAsia" w:hAnsi="宋体"/>
                <w:b/>
                <w:highlight w:val="none"/>
              </w:rPr>
            </w:pPr>
            <w:r>
              <w:rPr>
                <w:rFonts w:hint="eastAsia" w:hAnsi="宋体"/>
                <w:b/>
                <w:highlight w:val="none"/>
              </w:rPr>
              <w:t xml:space="preserve">单价（元）</w:t>
            </w:r>
            <w:r>
              <w:rPr>
                <w:rFonts w:hint="eastAsia" w:hAnsi="宋体"/>
                <w:b/>
                <w:highlight w:val="none"/>
              </w:rPr>
            </w:r>
            <w:r/>
          </w:p>
        </w:tc>
      </w:tr>
      <w:tr>
        <w:trPr>
          <w:trHeight w:val="555"/>
        </w:trPr>
        <w:tc>
          <w:tcPr>
            <w:tcW w:w="490"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t xml:space="preserve">1</w:t>
            </w:r>
            <w:r>
              <w:rPr>
                <w:rFonts w:hint="eastAsia" w:hAnsi="宋体"/>
                <w:highlight w:val="none"/>
              </w:rPr>
            </w:r>
            <w:r/>
          </w:p>
        </w:tc>
        <w:tc>
          <w:tcPr>
            <w:tcW w:w="1341"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r>
            <w:r/>
          </w:p>
        </w:tc>
        <w:tc>
          <w:tcPr>
            <w:tcW w:w="1138"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r>
            <w:r/>
          </w:p>
        </w:tc>
        <w:tc>
          <w:tcPr>
            <w:tcW w:w="821"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台</w:t>
            </w:r>
            <w:r>
              <w:rPr>
                <w:rFonts w:hint="eastAsia" w:ascii="宋体" w:hAnsi="宋体" w:cs="宋体"/>
                <w:sz w:val="24"/>
                <w:szCs w:val="24"/>
                <w:highlight w:val="none"/>
              </w:rPr>
            </w:r>
            <w:r/>
          </w:p>
        </w:tc>
        <w:tc>
          <w:tcPr>
            <w:tcW w:w="512"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555"/>
        </w:trPr>
        <w:tc>
          <w:tcPr>
            <w:tcW w:w="490"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t xml:space="preserve">2</w:t>
            </w:r>
            <w:r>
              <w:rPr>
                <w:rFonts w:hint="eastAsia" w:hAnsi="宋体"/>
                <w:highlight w:val="none"/>
              </w:rPr>
            </w:r>
            <w:r/>
          </w:p>
        </w:tc>
        <w:tc>
          <w:tcPr>
            <w:tcW w:w="1341"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r>
            <w:r/>
          </w:p>
        </w:tc>
        <w:tc>
          <w:tcPr>
            <w:tcW w:w="1138"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r>
            <w:r/>
          </w:p>
        </w:tc>
        <w:tc>
          <w:tcPr>
            <w:tcW w:w="821"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台</w:t>
            </w:r>
            <w:r>
              <w:rPr>
                <w:rFonts w:hint="eastAsia" w:ascii="宋体" w:hAnsi="宋体" w:cs="宋体"/>
                <w:sz w:val="24"/>
                <w:szCs w:val="24"/>
                <w:highlight w:val="none"/>
              </w:rPr>
            </w:r>
            <w:r/>
          </w:p>
        </w:tc>
        <w:tc>
          <w:tcPr>
            <w:tcW w:w="512"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615"/>
        </w:trPr>
        <w:tc>
          <w:tcPr>
            <w:gridSpan w:val="3"/>
            <w:tcW w:w="5505"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t xml:space="preserve">合  计：    万仟佰元整</w:t>
            </w:r>
            <w:r>
              <w:rPr>
                <w:rFonts w:hint="eastAsia" w:hAnsi="宋体"/>
                <w:highlight w:val="none"/>
              </w:rPr>
            </w:r>
            <w:r/>
          </w:p>
        </w:tc>
        <w:tc>
          <w:tcPr>
            <w:gridSpan w:val="2"/>
            <w:tcW w:w="2471"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t xml:space="preserve">——</w:t>
            </w:r>
            <w:r>
              <w:rPr>
                <w:rFonts w:hint="eastAsia" w:hAnsi="宋体"/>
                <w:highlight w:val="none"/>
              </w:rPr>
            </w:r>
            <w:r/>
          </w:p>
        </w:tc>
        <w:tc>
          <w:tcPr>
            <w:tcW w:w="696" w:type="dxa"/>
            <w:vAlign w:val="center"/>
            <w:textDirection w:val="lrTb"/>
            <w:noWrap w:val="false"/>
          </w:tcPr>
          <w:p>
            <w:pPr>
              <w:pStyle w:val="1085"/>
              <w:ind w:firstLine="480"/>
              <w:jc w:val="center"/>
              <w:widowControl/>
              <w:rPr>
                <w:rFonts w:hint="eastAsia" w:hAnsi="宋体"/>
                <w:highlight w:val="none"/>
              </w:rPr>
            </w:pPr>
            <w:r>
              <w:rPr>
                <w:rFonts w:hint="eastAsia" w:hAnsi="宋体"/>
                <w:highlight w:val="none"/>
              </w:rPr>
            </w:r>
            <w:r/>
          </w:p>
        </w:tc>
      </w:tr>
    </w:tbl>
    <w:p>
      <w:pPr>
        <w:pStyle w:val="1063"/>
        <w:jc w:val="left"/>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 </w:t>
      </w:r>
      <w:r>
        <w:rPr>
          <w:rFonts w:hint="eastAsia" w:ascii="宋体" w:hAnsi="宋体" w:cs="宋体"/>
          <w:b/>
          <w:sz w:val="24"/>
          <w:szCs w:val="24"/>
          <w:highlight w:val="none"/>
        </w:rPr>
      </w:r>
      <w:r/>
    </w:p>
    <w:p>
      <w:pPr>
        <w:pStyle w:val="1063"/>
        <w:ind w:left="482" w:hanging="482"/>
        <w:spacing w:line="360" w:lineRule="auto"/>
        <w:rPr>
          <w:rFonts w:hint="eastAsia" w:ascii="宋体" w:hAnsi="宋体" w:cs="宋体"/>
          <w:highlight w:val="none"/>
        </w:rPr>
      </w:pPr>
      <w:r>
        <w:rPr>
          <w:rFonts w:hint="eastAsia" w:ascii="宋体" w:hAnsi="宋体" w:cs="宋体"/>
          <w:b/>
          <w:sz w:val="24"/>
          <w:szCs w:val="24"/>
          <w:highlight w:val="none"/>
          <w:lang w:bidi="ar"/>
        </w:rPr>
        <w:t xml:space="preserve">（2）主要技术参数</w:t>
      </w:r>
      <w:r>
        <w:rPr>
          <w:rFonts w:hint="eastAsia" w:ascii="宋体" w:hAnsi="宋体" w:cs="宋体"/>
          <w:highlight w:val="none"/>
        </w:rPr>
      </w:r>
      <w:r/>
    </w:p>
    <w:p>
      <w:pPr>
        <w:pStyle w:val="1063"/>
        <w:spacing w:line="360" w:lineRule="auto"/>
        <w:rPr>
          <w:rFonts w:hint="eastAsia" w:ascii="宋体" w:hAnsi="宋体" w:cs="宋体"/>
          <w:bCs/>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bCs/>
          <w:highlight w:val="none"/>
        </w:rPr>
      </w:r>
      <w:r/>
    </w:p>
    <w:p>
      <w:pPr>
        <w:pStyle w:val="1063"/>
        <w:spacing w:line="360" w:lineRule="auto"/>
        <w:rPr>
          <w:rFonts w:hint="eastAsia" w:ascii="宋体" w:hAnsi="宋体" w:cs="宋体"/>
          <w:highlight w:val="none"/>
        </w:rPr>
      </w:pPr>
      <w:r>
        <w:rPr>
          <w:rFonts w:hint="eastAsia" w:ascii="宋体" w:hAnsi="宋体" w:cs="宋体"/>
          <w:highlight w:val="none"/>
        </w:rPr>
      </w:r>
      <w:r/>
    </w:p>
    <w:p>
      <w:pPr>
        <w:pStyle w:val="1064"/>
        <w:numPr>
          <w:ilvl w:val="0"/>
          <w:numId w:val="0"/>
        </w:numPr>
        <w:spacing w:after="319"/>
        <w:rPr>
          <w:rFonts w:hint="eastAsia" w:ascii="宋体" w:hAnsi="宋体" w:eastAsia="宋体" w:cs="宋体"/>
          <w:b/>
          <w:bCs/>
          <w:sz w:val="44"/>
          <w:szCs w:val="44"/>
          <w:highlight w:val="none"/>
        </w:rPr>
      </w:pPr>
      <w:r/>
      <w:bookmarkStart w:id="55" w:name="_Toc22777"/>
      <w:r/>
      <w:bookmarkStart w:id="56" w:name="_Toc30023"/>
      <w:r/>
      <w:bookmarkStart w:id="57" w:name="_Toc16039"/>
      <w:r/>
      <w:bookmarkStart w:id="58" w:name="_Toc2499"/>
      <w:r/>
      <w:bookmarkStart w:id="59" w:name="_Toc7640"/>
      <w:r/>
      <w:bookmarkStart w:id="60" w:name="_Toc19304"/>
      <w:r/>
      <w:bookmarkStart w:id="61" w:name="_Toc27884"/>
      <w:r/>
      <w:bookmarkStart w:id="62" w:name="_Toc32266"/>
      <w:r/>
      <w:bookmarkStart w:id="63" w:name="_Toc21312"/>
      <w:r/>
      <w:bookmarkStart w:id="64" w:name="_Toc13526"/>
      <w:r/>
      <w:bookmarkStart w:id="65" w:name="_Toc12506"/>
      <w:r>
        <w:rPr>
          <w:rFonts w:hint="eastAsia" w:ascii="宋体" w:hAnsi="宋体" w:eastAsia="宋体" w:cs="宋体"/>
          <w:b/>
          <w:bCs/>
          <w:sz w:val="44"/>
          <w:szCs w:val="44"/>
          <w:highlight w:val="none"/>
        </w:rPr>
        <w:t xml:space="preserve">第四章  项目</w:t>
      </w:r>
      <w:r>
        <w:rPr>
          <w:rFonts w:hint="eastAsia" w:ascii="宋体" w:hAnsi="宋体" w:eastAsia="宋体" w:cs="宋体"/>
          <w:b/>
          <w:bCs/>
          <w:sz w:val="44"/>
          <w:szCs w:val="44"/>
          <w:highlight w:val="none"/>
        </w:rPr>
        <w:t xml:space="preserve">需求</w:t>
      </w:r>
      <w:bookmarkEnd w:id="49"/>
      <w:r/>
      <w:bookmarkEnd w:id="50"/>
      <w:r/>
      <w:bookmarkEnd w:id="51"/>
      <w:r/>
      <w:bookmarkEnd w:id="52"/>
      <w:r/>
      <w:bookmarkEnd w:id="55"/>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bCs/>
          <w:sz w:val="44"/>
          <w:szCs w:val="44"/>
          <w:highlight w:val="none"/>
        </w:rPr>
      </w:r>
      <w:r/>
    </w:p>
    <w:p>
      <w:pPr>
        <w:pStyle w:val="1065"/>
        <w:numPr>
          <w:ilvl w:val="0"/>
          <w:numId w:val="0"/>
        </w:numPr>
        <w:jc w:val="both"/>
        <w:spacing w:before="0" w:after="0" w:line="312" w:lineRule="auto"/>
        <w:rPr>
          <w:rFonts w:hint="eastAsia" w:ascii="宋体" w:hAnsi="宋体" w:eastAsia="宋体" w:cs="宋体"/>
          <w:sz w:val="28"/>
          <w:szCs w:val="28"/>
          <w:highlight w:val="none"/>
        </w:rPr>
      </w:pPr>
      <w:r/>
      <w:bookmarkStart w:id="66" w:name="_Toc25792"/>
      <w:r>
        <w:rPr>
          <w:rFonts w:hint="eastAsia" w:ascii="宋体" w:hAnsi="宋体" w:eastAsia="宋体" w:cs="宋体"/>
          <w:sz w:val="28"/>
          <w:szCs w:val="28"/>
          <w:highlight w:val="none"/>
        </w:rPr>
        <w:t xml:space="preserve">一、项目概况</w:t>
      </w:r>
      <w:bookmarkEnd w:id="66"/>
      <w:r>
        <w:rPr>
          <w:rFonts w:hint="eastAsia" w:ascii="宋体" w:hAnsi="宋体" w:eastAsia="宋体" w:cs="宋体"/>
          <w:sz w:val="28"/>
          <w:szCs w:val="28"/>
          <w:highlight w:val="none"/>
        </w:rPr>
      </w:r>
      <w:r/>
    </w:p>
    <w:p>
      <w:pPr>
        <w:pStyle w:val="1063"/>
        <w:ind w:firstLine="480"/>
        <w:spacing w:line="312" w:lineRule="auto"/>
        <w:rPr>
          <w:rFonts w:hint="eastAsia" w:ascii="宋体" w:hAnsi="宋体" w:cs="宋体"/>
          <w:highlight w:val="none"/>
        </w:rPr>
      </w:pPr>
      <w:r>
        <w:rPr>
          <w:rFonts w:hint="eastAsia" w:ascii="宋体" w:hAnsi="宋体" w:cs="宋体"/>
          <w:sz w:val="24"/>
          <w:szCs w:val="24"/>
          <w:highlight w:val="none"/>
        </w:rPr>
        <w:t xml:space="preserve">为满足南京林业大学林木表型监测与智慧育种领域的教学科研和实验室建设需要，采购1</w:t>
      </w:r>
      <w:r>
        <w:rPr>
          <w:rFonts w:hint="eastAsia" w:ascii="宋体" w:hAnsi="宋体" w:cs="宋体"/>
          <w:sz w:val="24"/>
          <w:szCs w:val="24"/>
          <w:highlight w:val="none"/>
          <w:lang w:val="en-US" w:eastAsia="zh-CN"/>
        </w:rPr>
        <w:t xml:space="preserve">套</w:t>
      </w:r>
      <w:r>
        <w:rPr>
          <w:rFonts w:hint="eastAsia" w:ascii="宋体" w:hAnsi="宋体" w:cs="宋体"/>
          <w:sz w:val="24"/>
          <w:szCs w:val="24"/>
          <w:highlight w:val="none"/>
        </w:rPr>
        <w:t xml:space="preserve">机载短波红外高光谱成像系统。</w:t>
      </w:r>
      <w:r>
        <w:rPr>
          <w:rFonts w:hint="eastAsia" w:ascii="宋体" w:hAnsi="宋体" w:cs="宋体"/>
          <w:highlight w:val="none"/>
        </w:rPr>
      </w:r>
      <w:r/>
    </w:p>
    <w:p>
      <w:pPr>
        <w:pStyle w:val="1065"/>
        <w:numPr>
          <w:ilvl w:val="0"/>
          <w:numId w:val="3"/>
        </w:numPr>
        <w:jc w:val="both"/>
        <w:spacing w:before="0" w:after="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采购清单</w:t>
      </w:r>
      <w:r>
        <w:rPr>
          <w:rFonts w:hint="eastAsia" w:ascii="宋体" w:hAnsi="宋体" w:eastAsia="宋体" w:cs="宋体"/>
          <w:sz w:val="28"/>
          <w:szCs w:val="28"/>
          <w:highlight w:val="none"/>
        </w:rPr>
      </w:r>
      <w:r/>
    </w:p>
    <w:tbl>
      <w:tblPr>
        <w:tblW w:w="4469" w:type="pct"/>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8"/>
        <w:gridCol w:w="3776"/>
        <w:gridCol w:w="1348"/>
        <w:gridCol w:w="1050"/>
        <w:gridCol w:w="1055"/>
      </w:tblGrid>
      <w:tr>
        <w:trPr>
          <w:trHeight w:val="540"/>
        </w:trPr>
        <w:tc>
          <w:tcPr>
            <w:tcMar>
              <w:left w:w="20" w:type="dxa"/>
              <w:top w:w="20" w:type="dxa"/>
              <w:right w:w="20" w:type="dxa"/>
              <w:bottom w:w="20" w:type="dxa"/>
            </w:tcMar>
            <w:tcW w:w="716" w:type="dxa"/>
            <w:vAlign w:val="center"/>
            <w:textDirection w:val="lrTb"/>
            <w:noWrap w:val="false"/>
          </w:tcPr>
          <w:p>
            <w:pPr>
              <w:pStyle w:val="1063"/>
              <w:jc w:val="center"/>
              <w:spacing w:line="273" w:lineRule="exact"/>
              <w:rPr>
                <w:sz w:val="24"/>
                <w:szCs w:val="24"/>
                <w:highlight w:val="none"/>
              </w:rPr>
            </w:pPr>
            <w:r>
              <w:rPr>
                <w:rFonts w:ascii="宋体" w:hAnsi="宋体" w:cs="宋体"/>
                <w:b/>
                <w:color w:val="000000"/>
                <w:sz w:val="24"/>
                <w:szCs w:val="24"/>
                <w:highlight w:val="none"/>
              </w:rPr>
              <w:t xml:space="preserve">序号</w:t>
            </w:r>
            <w:r>
              <w:rPr>
                <w:sz w:val="24"/>
                <w:szCs w:val="24"/>
                <w:highlight w:val="none"/>
              </w:rPr>
            </w:r>
            <w:r/>
          </w:p>
        </w:tc>
        <w:tc>
          <w:tcPr>
            <w:tcMar>
              <w:left w:w="20" w:type="dxa"/>
              <w:top w:w="20" w:type="dxa"/>
              <w:right w:w="20" w:type="dxa"/>
              <w:bottom w:w="20" w:type="dxa"/>
            </w:tcMar>
            <w:tcW w:w="2238" w:type="dxa"/>
            <w:vAlign w:val="center"/>
            <w:textDirection w:val="lrTb"/>
            <w:noWrap w:val="false"/>
          </w:tcPr>
          <w:p>
            <w:pPr>
              <w:pStyle w:val="1063"/>
              <w:jc w:val="center"/>
              <w:spacing w:line="273" w:lineRule="exact"/>
              <w:rPr>
                <w:sz w:val="24"/>
                <w:szCs w:val="24"/>
                <w:highlight w:val="none"/>
              </w:rPr>
            </w:pPr>
            <w:r>
              <w:rPr>
                <w:rFonts w:ascii="宋体" w:hAnsi="宋体" w:cs="宋体"/>
                <w:b/>
                <w:color w:val="000000"/>
                <w:sz w:val="24"/>
                <w:szCs w:val="24"/>
                <w:highlight w:val="none"/>
              </w:rPr>
              <w:t xml:space="preserve">名称</w:t>
            </w:r>
            <w:r>
              <w:rPr>
                <w:sz w:val="24"/>
                <w:szCs w:val="24"/>
                <w:highlight w:val="none"/>
              </w:rPr>
            </w:r>
            <w:r/>
          </w:p>
        </w:tc>
        <w:tc>
          <w:tcPr>
            <w:tcMar>
              <w:left w:w="20" w:type="dxa"/>
              <w:top w:w="20" w:type="dxa"/>
              <w:right w:w="20" w:type="dxa"/>
              <w:bottom w:w="20" w:type="dxa"/>
            </w:tcMar>
            <w:tcW w:w="799" w:type="dxa"/>
            <w:vAlign w:val="center"/>
            <w:textDirection w:val="lrTb"/>
            <w:noWrap w:val="false"/>
          </w:tcPr>
          <w:p>
            <w:pPr>
              <w:pStyle w:val="1063"/>
              <w:jc w:val="center"/>
              <w:spacing w:line="273" w:lineRule="exact"/>
              <w:rPr>
                <w:sz w:val="24"/>
                <w:szCs w:val="24"/>
                <w:highlight w:val="none"/>
              </w:rPr>
            </w:pPr>
            <w:r>
              <w:rPr>
                <w:rFonts w:ascii="宋体" w:hAnsi="宋体" w:cs="宋体"/>
                <w:b/>
                <w:color w:val="000000"/>
                <w:sz w:val="24"/>
                <w:szCs w:val="24"/>
                <w:highlight w:val="none"/>
              </w:rPr>
              <w:t xml:space="preserve">单位</w:t>
            </w:r>
            <w:r>
              <w:rPr>
                <w:sz w:val="24"/>
                <w:szCs w:val="24"/>
                <w:highlight w:val="none"/>
              </w:rPr>
            </w:r>
            <w:r/>
          </w:p>
        </w:tc>
        <w:tc>
          <w:tcPr>
            <w:tcMar>
              <w:left w:w="20" w:type="dxa"/>
              <w:top w:w="20" w:type="dxa"/>
              <w:right w:w="20" w:type="dxa"/>
              <w:bottom w:w="20" w:type="dxa"/>
            </w:tcMar>
            <w:tcW w:w="622" w:type="dxa"/>
            <w:vAlign w:val="center"/>
            <w:textDirection w:val="lrTb"/>
            <w:noWrap w:val="false"/>
          </w:tcPr>
          <w:p>
            <w:pPr>
              <w:pStyle w:val="1063"/>
              <w:jc w:val="center"/>
              <w:spacing w:line="273" w:lineRule="exact"/>
              <w:rPr>
                <w:sz w:val="24"/>
                <w:szCs w:val="24"/>
                <w:highlight w:val="none"/>
              </w:rPr>
            </w:pPr>
            <w:r>
              <w:rPr>
                <w:rFonts w:ascii="宋体" w:hAnsi="宋体" w:cs="宋体"/>
                <w:b/>
                <w:color w:val="000000"/>
                <w:sz w:val="24"/>
                <w:szCs w:val="24"/>
                <w:highlight w:val="none"/>
              </w:rPr>
              <w:t xml:space="preserve">数量</w:t>
            </w:r>
            <w:r>
              <w:rPr>
                <w:sz w:val="24"/>
                <w:szCs w:val="24"/>
                <w:highlight w:val="none"/>
              </w:rPr>
            </w:r>
            <w:r/>
          </w:p>
        </w:tc>
        <w:tc>
          <w:tcPr>
            <w:tcMar>
              <w:left w:w="20" w:type="dxa"/>
              <w:top w:w="20" w:type="dxa"/>
              <w:right w:w="20" w:type="dxa"/>
              <w:bottom w:w="20" w:type="dxa"/>
            </w:tcMar>
            <w:tcW w:w="1050" w:type="dxa"/>
            <w:vAlign w:val="center"/>
            <w:textDirection w:val="lrTb"/>
            <w:noWrap w:val="false"/>
          </w:tcPr>
          <w:p>
            <w:pPr>
              <w:pStyle w:val="1063"/>
              <w:jc w:val="center"/>
              <w:spacing w:line="273" w:lineRule="exact"/>
              <w:rPr>
                <w:highlight w:val="none"/>
              </w:rPr>
            </w:pPr>
            <w:r>
              <w:rPr>
                <w:rFonts w:ascii="宋体" w:hAnsi="宋体" w:cs="宋体"/>
                <w:b/>
                <w:color w:val="000000"/>
                <w:highlight w:val="none"/>
              </w:rPr>
              <w:t xml:space="preserve">核心</w:t>
            </w:r>
            <w:r>
              <w:rPr>
                <w:highlight w:val="none"/>
              </w:rPr>
            </w:r>
            <w:r/>
          </w:p>
          <w:p>
            <w:pPr>
              <w:pStyle w:val="1063"/>
              <w:jc w:val="center"/>
              <w:spacing w:line="273" w:lineRule="exact"/>
              <w:rPr>
                <w:rFonts w:ascii="宋体" w:hAnsi="宋体" w:cs="宋体"/>
                <w:b/>
                <w:color w:val="000000"/>
                <w:sz w:val="24"/>
                <w:szCs w:val="24"/>
                <w:highlight w:val="none"/>
              </w:rPr>
            </w:pPr>
            <w:r>
              <w:rPr>
                <w:rFonts w:ascii="宋体" w:hAnsi="宋体" w:cs="宋体"/>
                <w:b/>
                <w:color w:val="000000"/>
                <w:highlight w:val="none"/>
              </w:rPr>
              <w:t xml:space="preserve">产品</w:t>
            </w:r>
            <w:r>
              <w:rPr>
                <w:rFonts w:ascii="宋体" w:hAnsi="宋体" w:cs="宋体"/>
                <w:b/>
                <w:color w:val="000000"/>
                <w:sz w:val="24"/>
                <w:szCs w:val="24"/>
                <w:highlight w:val="none"/>
              </w:rPr>
            </w:r>
            <w:r/>
          </w:p>
        </w:tc>
      </w:tr>
      <w:tr>
        <w:trPr>
          <w:trHeight w:val="360"/>
        </w:trPr>
        <w:tc>
          <w:tcPr>
            <w:tcMar>
              <w:left w:w="20" w:type="dxa"/>
              <w:top w:w="20" w:type="dxa"/>
              <w:right w:w="20" w:type="dxa"/>
              <w:bottom w:w="20" w:type="dxa"/>
            </w:tcMar>
            <w:tcW w:w="716" w:type="dxa"/>
            <w:vAlign w:val="center"/>
            <w:textDirection w:val="lrTb"/>
            <w:noWrap w:val="false"/>
          </w:tcPr>
          <w:p>
            <w:pPr>
              <w:pStyle w:val="1063"/>
              <w:jc w:val="center"/>
              <w:rPr>
                <w:sz w:val="24"/>
                <w:szCs w:val="24"/>
                <w:highlight w:val="none"/>
              </w:rPr>
            </w:pPr>
            <w:r>
              <w:rPr>
                <w:rFonts w:ascii="宋体" w:hAnsi="宋体" w:cs="宋体"/>
                <w:color w:val="000000"/>
                <w:sz w:val="24"/>
                <w:szCs w:val="24"/>
                <w:highlight w:val="none"/>
              </w:rPr>
              <w:t xml:space="preserve">1</w:t>
            </w:r>
            <w:r>
              <w:rPr>
                <w:sz w:val="24"/>
                <w:szCs w:val="24"/>
                <w:highlight w:val="none"/>
              </w:rPr>
            </w:r>
            <w:r/>
          </w:p>
        </w:tc>
        <w:tc>
          <w:tcPr>
            <w:tcMar>
              <w:left w:w="20" w:type="dxa"/>
              <w:top w:w="20" w:type="dxa"/>
              <w:right w:w="20" w:type="dxa"/>
              <w:bottom w:w="20" w:type="dxa"/>
            </w:tcMar>
            <w:tcW w:w="2238" w:type="dxa"/>
            <w:vAlign w:val="center"/>
            <w:textDirection w:val="lrTb"/>
            <w:noWrap w:val="false"/>
          </w:tcPr>
          <w:p>
            <w:pPr>
              <w:pStyle w:val="1063"/>
              <w:jc w:val="center"/>
              <w:spacing w:line="273" w:lineRule="exact"/>
              <w:rPr>
                <w:sz w:val="24"/>
                <w:szCs w:val="24"/>
                <w:highlight w:val="none"/>
              </w:rPr>
            </w:pPr>
            <w:r>
              <w:rPr>
                <w:rFonts w:ascii="宋体" w:hAnsi="宋体" w:cs="宋体"/>
                <w:color w:val="000000"/>
                <w:sz w:val="24"/>
                <w:szCs w:val="24"/>
                <w:highlight w:val="none"/>
              </w:rPr>
              <w:t xml:space="preserve">机载短波红外高光谱成像系统</w:t>
            </w:r>
            <w:r>
              <w:rPr>
                <w:sz w:val="24"/>
                <w:szCs w:val="24"/>
                <w:highlight w:val="none"/>
              </w:rPr>
            </w:r>
            <w:r/>
          </w:p>
        </w:tc>
        <w:tc>
          <w:tcPr>
            <w:tcMar>
              <w:left w:w="20" w:type="dxa"/>
              <w:top w:w="20" w:type="dxa"/>
              <w:right w:w="20" w:type="dxa"/>
              <w:bottom w:w="20" w:type="dxa"/>
            </w:tcMar>
            <w:tcW w:w="799" w:type="dxa"/>
            <w:vAlign w:val="center"/>
            <w:textDirection w:val="lrTb"/>
            <w:noWrap w:val="false"/>
          </w:tcPr>
          <w:p>
            <w:pPr>
              <w:pStyle w:val="1063"/>
              <w:jc w:val="center"/>
              <w:rPr>
                <w:rFonts w:hint="eastAsia" w:eastAsia="宋体"/>
                <w:sz w:val="24"/>
                <w:szCs w:val="24"/>
                <w:highlight w:val="none"/>
                <w:lang w:eastAsia="zh-CN"/>
              </w:rPr>
            </w:pPr>
            <w:r>
              <w:rPr>
                <w:rFonts w:hint="eastAsia" w:ascii="宋体" w:hAnsi="宋体" w:cs="宋体"/>
                <w:color w:val="000000"/>
                <w:sz w:val="24"/>
                <w:szCs w:val="24"/>
                <w:highlight w:val="none"/>
                <w:lang w:val="en-US" w:eastAsia="zh-CN"/>
              </w:rPr>
              <w:t xml:space="preserve">套</w:t>
            </w:r>
            <w:r>
              <w:rPr>
                <w:rFonts w:hint="eastAsia" w:eastAsia="宋体"/>
                <w:sz w:val="24"/>
                <w:szCs w:val="24"/>
                <w:highlight w:val="none"/>
                <w:lang w:eastAsia="zh-CN"/>
              </w:rPr>
            </w:r>
            <w:r/>
          </w:p>
        </w:tc>
        <w:tc>
          <w:tcPr>
            <w:tcMar>
              <w:left w:w="20" w:type="dxa"/>
              <w:top w:w="20" w:type="dxa"/>
              <w:right w:w="20" w:type="dxa"/>
              <w:bottom w:w="20" w:type="dxa"/>
            </w:tcMar>
            <w:tcW w:w="622" w:type="dxa"/>
            <w:vAlign w:val="center"/>
            <w:textDirection w:val="lrTb"/>
            <w:noWrap w:val="false"/>
          </w:tcPr>
          <w:p>
            <w:pPr>
              <w:pStyle w:val="1063"/>
              <w:jc w:val="center"/>
              <w:rPr>
                <w:sz w:val="24"/>
                <w:szCs w:val="24"/>
                <w:highlight w:val="none"/>
              </w:rPr>
            </w:pPr>
            <w:r>
              <w:rPr>
                <w:rFonts w:ascii="宋体" w:hAnsi="宋体" w:cs="宋体"/>
                <w:color w:val="000000"/>
                <w:sz w:val="24"/>
                <w:szCs w:val="24"/>
                <w:highlight w:val="none"/>
              </w:rPr>
              <w:t xml:space="preserve">1</w:t>
            </w:r>
            <w:r>
              <w:rPr>
                <w:sz w:val="24"/>
                <w:szCs w:val="24"/>
                <w:highlight w:val="none"/>
              </w:rPr>
            </w:r>
            <w:r/>
          </w:p>
        </w:tc>
        <w:tc>
          <w:tcPr>
            <w:tcMar>
              <w:left w:w="20" w:type="dxa"/>
              <w:top w:w="20" w:type="dxa"/>
              <w:right w:w="20" w:type="dxa"/>
              <w:bottom w:w="20" w:type="dxa"/>
            </w:tcMar>
            <w:tcW w:w="1050" w:type="dxa"/>
            <w:vAlign w:val="center"/>
            <w:textDirection w:val="lrTb"/>
            <w:noWrap w:val="false"/>
          </w:tcPr>
          <w:p>
            <w:pPr>
              <w:pStyle w:val="1063"/>
              <w:jc w:val="center"/>
              <w:rPr>
                <w:rFonts w:ascii="宋体" w:hAnsi="宋体" w:cs="宋体"/>
                <w:color w:val="000000"/>
                <w:sz w:val="24"/>
                <w:szCs w:val="24"/>
                <w:highlight w:val="none"/>
              </w:rPr>
            </w:pPr>
            <w:r>
              <w:rPr>
                <w:rFonts w:ascii="宋体" w:hAnsi="宋体" w:cs="宋体"/>
                <w:color w:val="000000"/>
                <w:highlight w:val="none"/>
              </w:rPr>
              <w:t xml:space="preserve">是</w:t>
            </w:r>
            <w:r>
              <w:rPr>
                <w:rFonts w:ascii="宋体" w:hAnsi="宋体" w:cs="宋体"/>
                <w:color w:val="000000"/>
                <w:sz w:val="24"/>
                <w:szCs w:val="24"/>
                <w:highlight w:val="none"/>
              </w:rPr>
            </w:r>
            <w:r/>
          </w:p>
        </w:tc>
      </w:tr>
    </w:tbl>
    <w:p>
      <w:pPr>
        <w:pStyle w:val="1063"/>
        <w:jc w:val="center"/>
        <w:rPr>
          <w:rFonts w:hint="eastAsia"/>
          <w:sz w:val="24"/>
          <w:szCs w:val="24"/>
          <w:highlight w:val="none"/>
        </w:rPr>
      </w:pPr>
      <w:r>
        <w:rPr>
          <w:rFonts w:hint="eastAsia"/>
          <w:sz w:val="24"/>
          <w:szCs w:val="24"/>
          <w:highlight w:val="none"/>
        </w:rPr>
      </w:r>
      <w:r/>
    </w:p>
    <w:p>
      <w:pPr>
        <w:pStyle w:val="1065"/>
        <w:numPr>
          <w:ilvl w:val="0"/>
          <w:numId w:val="0"/>
        </w:numPr>
        <w:jc w:val="both"/>
        <w:spacing w:before="0" w:after="0" w:line="312" w:lineRule="auto"/>
        <w:rPr>
          <w:rFonts w:hint="eastAsia" w:ascii="宋体" w:hAnsi="宋体" w:eastAsia="宋体" w:cs="宋体"/>
          <w:sz w:val="28"/>
          <w:szCs w:val="28"/>
          <w:highlight w:val="none"/>
        </w:rPr>
      </w:pPr>
      <w:r/>
      <w:bookmarkStart w:id="67" w:name="_Toc22174"/>
      <w:r>
        <w:rPr>
          <w:rFonts w:hint="eastAsia" w:ascii="宋体" w:hAnsi="宋体" w:eastAsia="宋体" w:cs="宋体"/>
          <w:sz w:val="28"/>
          <w:szCs w:val="28"/>
          <w:highlight w:val="none"/>
        </w:rPr>
        <w:t xml:space="preserve">三、技术参数</w:t>
      </w:r>
      <w:r>
        <w:rPr>
          <w:rFonts w:hint="eastAsia" w:ascii="宋体" w:hAnsi="宋体" w:eastAsia="宋体" w:cs="宋体"/>
          <w:sz w:val="22"/>
          <w:szCs w:val="22"/>
          <w:highlight w:val="none"/>
        </w:rPr>
        <w:t xml:space="preserve">（加“★”项为核心指标，不允许偏离，偏离作无效投标处理；加“▲”项为重要参数，其余为一般参数。</w:t>
      </w:r>
      <w:r>
        <w:rPr>
          <w:rFonts w:hint="eastAsia" w:ascii="宋体" w:hAnsi="宋体" w:eastAsia="宋体" w:cs="宋体"/>
          <w:sz w:val="20"/>
          <w:szCs w:val="20"/>
          <w:highlight w:val="none"/>
        </w:rPr>
        <w:t xml:space="preserve">）</w:t>
      </w:r>
      <w:bookmarkEnd w:id="67"/>
      <w:r/>
      <w:bookmarkStart w:id="68" w:name="_Toc427"/>
      <w:r>
        <w:rPr>
          <w:rFonts w:hint="eastAsia" w:ascii="宋体" w:hAnsi="宋体" w:eastAsia="宋体" w:cs="宋体"/>
          <w:sz w:val="28"/>
          <w:szCs w:val="28"/>
          <w:highlight w:val="none"/>
        </w:rPr>
      </w:r>
      <w:r/>
    </w:p>
    <w:p>
      <w:pPr>
        <w:pStyle w:val="1063"/>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包括但不限于以下技术参数：</w:t>
      </w:r>
      <w:r>
        <w:rPr>
          <w:rFonts w:hint="eastAsia" w:ascii="宋体" w:hAnsi="宋体" w:cs="宋体"/>
          <w:bCs/>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1、机载高光谱成像系统 </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★1.1、成像原理：须具备透射式或反射式分光光栅，须可实现无人机悬停内置推扫式成像的功能，获得单位空间尺度真实地物反射率数据（提供设备彩页证明材料）</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b/>
          <w:bCs/>
          <w:sz w:val="24"/>
          <w:szCs w:val="24"/>
          <w:highlight w:val="none"/>
        </w:rPr>
      </w:pPr>
      <w:r>
        <w:rPr>
          <w:rFonts w:hint="eastAsia" w:ascii="宋体" w:hAnsi="宋体" w:cs="宋体"/>
          <w:sz w:val="24"/>
          <w:szCs w:val="24"/>
          <w:highlight w:val="none"/>
        </w:rPr>
        <w:t xml:space="preserve">1.2、须具备无人机可垂直改变航高采集高光谱图像数据且无需水平移动的功能（提供设备彩页证明材料）</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★1.3、光谱范围：900-1700 nm </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b/>
          <w:bCs/>
          <w:sz w:val="24"/>
          <w:szCs w:val="24"/>
          <w:highlight w:val="none"/>
        </w:rPr>
      </w:pPr>
      <w:r>
        <w:rPr>
          <w:rFonts w:hint="eastAsia" w:ascii="宋体" w:hAnsi="宋体" w:cs="宋体"/>
          <w:sz w:val="24"/>
          <w:szCs w:val="24"/>
          <w:highlight w:val="none"/>
        </w:rPr>
        <w:t xml:space="preserve">1.4、光谱分辨率（FHWM）≤8nm</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1.5、光谱采样率：≤3.5nm</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1.6、空间通道数：≥640</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1.7、光谱通道数：≥224</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1.8、原始单幅影像像元数保持一致：</w:t>
      </w:r>
      <w:r>
        <w:rPr>
          <w:rFonts w:hint="eastAsia" w:ascii="宋体" w:hAnsi="宋体" w:cs="宋体"/>
          <w:color w:val="000000"/>
          <w:sz w:val="24"/>
          <w:szCs w:val="24"/>
          <w:highlight w:val="none"/>
        </w:rPr>
        <w:t xml:space="preserve">≥600*500</w:t>
      </w:r>
      <w:r>
        <w:rPr>
          <w:rFonts w:hint="eastAsia" w:ascii="宋体" w:hAnsi="宋体" w:cs="宋体"/>
          <w:color w:val="000000"/>
          <w:sz w:val="24"/>
          <w:szCs w:val="24"/>
          <w:highlight w:val="none"/>
        </w:rPr>
      </w:r>
      <w:r/>
    </w:p>
    <w:p>
      <w:pPr>
        <w:pStyle w:val="1063"/>
        <w:ind w:firstLine="480"/>
        <w:spacing w:line="360" w:lineRule="auto"/>
        <w:widowControl/>
        <w:rPr>
          <w:rFonts w:hint="eastAsia" w:ascii="宋体" w:hAnsi="宋体" w:cs="宋体"/>
          <w:b/>
          <w:bCs/>
          <w:sz w:val="24"/>
          <w:szCs w:val="24"/>
          <w:highlight w:val="none"/>
          <w:lang w:bidi="ar"/>
        </w:rPr>
      </w:pPr>
      <w:r>
        <w:rPr>
          <w:rFonts w:hint="eastAsia" w:ascii="宋体" w:hAnsi="宋体" w:cs="宋体"/>
          <w:sz w:val="24"/>
          <w:szCs w:val="24"/>
          <w:highlight w:val="none"/>
        </w:rPr>
        <w:t xml:space="preserve">▲1.9、</w:t>
      </w:r>
      <w:bookmarkStart w:id="69" w:name="OLE_LINK3"/>
      <w:r>
        <w:rPr>
          <w:rFonts w:hint="eastAsia" w:ascii="宋体" w:hAnsi="宋体" w:cs="宋体"/>
          <w:sz w:val="24"/>
          <w:szCs w:val="24"/>
          <w:highlight w:val="none"/>
          <w:lang w:bidi="ar"/>
        </w:rPr>
        <w:t xml:space="preserve">云台和无人机连接处需在无人机原有的结构基础上提供优化或改进的减震设计，防止高频震动影响成像质量</w:t>
      </w:r>
      <w:r>
        <w:rPr>
          <w:rFonts w:hint="eastAsia" w:ascii="宋体" w:hAnsi="宋体" w:cs="宋体"/>
          <w:color w:val="000000"/>
          <w:sz w:val="24"/>
          <w:szCs w:val="24"/>
          <w:highlight w:val="none"/>
          <w:lang w:bidi="ar"/>
        </w:rPr>
        <w:t xml:space="preserve">（提供投标产品实物照片，不提供不满足技</w:t>
      </w:r>
      <w:r>
        <w:rPr>
          <w:rFonts w:hint="eastAsia" w:ascii="宋体" w:hAnsi="宋体" w:cs="宋体"/>
          <w:sz w:val="24"/>
          <w:szCs w:val="24"/>
          <w:highlight w:val="none"/>
          <w:lang w:bidi="ar"/>
        </w:rPr>
        <w:t xml:space="preserve">术要求</w:t>
      </w:r>
      <w:r>
        <w:rPr>
          <w:rFonts w:hint="eastAsia" w:ascii="宋体" w:hAnsi="宋体" w:cs="宋体"/>
          <w:b/>
          <w:bCs/>
          <w:sz w:val="24"/>
          <w:szCs w:val="24"/>
          <w:highlight w:val="none"/>
          <w:lang w:bidi="ar"/>
        </w:rPr>
        <w:t xml:space="preserve">）</w:t>
      </w:r>
      <w:r>
        <w:rPr>
          <w:rFonts w:hint="eastAsia" w:ascii="宋体" w:hAnsi="宋体" w:cs="宋体"/>
          <w:b/>
          <w:bCs/>
          <w:sz w:val="24"/>
          <w:szCs w:val="24"/>
          <w:highlight w:val="none"/>
          <w:lang w:bidi="ar"/>
        </w:rPr>
      </w:r>
      <w:r/>
    </w:p>
    <w:p>
      <w:pPr>
        <w:pStyle w:val="1063"/>
        <w:ind w:firstLine="482"/>
        <w:spacing w:line="360" w:lineRule="auto"/>
        <w:widowControl/>
        <w:rPr>
          <w:rFonts w:hint="eastAsia" w:ascii="宋体" w:hAnsi="宋体" w:cs="宋体"/>
          <w:b/>
          <w:bCs/>
          <w:sz w:val="24"/>
          <w:szCs w:val="24"/>
          <w:highlight w:val="none"/>
        </w:rPr>
      </w:pPr>
      <w:r/>
      <w:bookmarkEnd w:id="69"/>
      <w:r>
        <w:rPr>
          <w:rFonts w:hint="eastAsia" w:ascii="宋体" w:hAnsi="宋体" w:cs="宋体"/>
          <w:b/>
          <w:bCs/>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2、悬停航点规划软件</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2.1、软件需提供至少支持导入一种主流地理信息格式（如shp、kmz</w:t>
      </w:r>
      <w:r>
        <w:rPr>
          <w:rFonts w:ascii="Segoe UI" w:hAnsi="Segoe UI" w:eastAsia="Segoe UI" w:cs="Segoe UI"/>
          <w:color w:val="ff0000"/>
          <w:sz w:val="22"/>
          <w:szCs w:val="22"/>
          <w:highlight w:val="none"/>
          <w:shd w:val="clear" w:color="auto" w:fill="ffffff"/>
        </w:rPr>
        <w:t xml:space="preserve">、geojson</w:t>
      </w:r>
      <w:r>
        <w:rPr>
          <w:rFonts w:hint="eastAsia" w:ascii="宋体" w:hAnsi="宋体" w:cs="宋体"/>
          <w:sz w:val="24"/>
          <w:szCs w:val="24"/>
          <w:highlight w:val="none"/>
        </w:rPr>
        <w:t xml:space="preserve">等）的区域文件规划航线的功能（提供详细的航规划软件功能截图，不提供不满足技术要求）</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▲2.2、软件需提供可设置飞行高度、点重叠度、线重叠度、悬停时间，可自动计算扫描视场宽、线距、点距和点数量的功能（提供详细的航规划软件功能截图，不提供不满足技术要求。）</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2.3、软件需提供可对航线进行360°方向旋转，并匹配不同区域，自动计算点数量实现效率最大化的功能。</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▲2.4、软件需提供对航点进行任意设置行、列进行区域分块，各航点区块通过不同颜色显示，各个航点区块单独文件夹保存的功能（提供详细的航规划软件功能</w:t>
      </w:r>
      <w:r>
        <w:rPr>
          <w:rFonts w:ascii="宋体" w:hAnsi="宋体" w:cs="宋体"/>
          <w:b/>
          <w:bCs/>
          <w:sz w:val="24"/>
          <w:szCs w:val="24"/>
          <w:highlight w:val="none"/>
        </w:rPr>
        <w:t xml:space="preserve">演示操作视频并配有文字说明</w:t>
      </w:r>
      <w:r>
        <w:rPr>
          <w:rFonts w:hint="eastAsia" w:ascii="宋体" w:hAnsi="宋体" w:cs="宋体"/>
          <w:sz w:val="24"/>
          <w:szCs w:val="24"/>
          <w:highlight w:val="none"/>
        </w:rPr>
        <w:t xml:space="preserve">，不提供不满足技术要求。）</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3、拼接软件</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3.1、需提供任意三波段的拼接预览、任意波段选择拼接的功能；</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3.2、需至少提供四种不同的投影算法供选择，包括但不限于墨卡托投影、横轴墨卡托投影、球形投影和平面投影等常用类型；（投标文件中提供软件功能详细的操作过程截图，不提供不满足技术要求。）</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▲3.3、软件具有便捷的加载模式，可加载所有航点高光谱图像数据，至少提供叠加显示、同步显示及更新配准参数功能（投标文件中提供软件功能详细的操作过程截图，不提供不满足技术要求。）</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▲3.4.高光谱图像拼接过程中须提供生成DEM高程信息的功能，可选择投影类型，输出高程信息的拼接图，可显示图像大小、坐标系统及相关重建参数（投标文件中提供软件功能详细的</w:t>
      </w:r>
      <w:r>
        <w:rPr>
          <w:rFonts w:ascii="宋体" w:hAnsi="宋体" w:cs="宋体"/>
          <w:b/>
          <w:bCs/>
          <w:sz w:val="24"/>
          <w:szCs w:val="24"/>
          <w:highlight w:val="none"/>
        </w:rPr>
        <w:t xml:space="preserve">演示操作视频并配有文字说明</w:t>
      </w:r>
      <w:r>
        <w:rPr>
          <w:rFonts w:hint="eastAsia" w:ascii="宋体" w:hAnsi="宋体" w:cs="宋体"/>
          <w:sz w:val="24"/>
          <w:szCs w:val="24"/>
          <w:highlight w:val="none"/>
        </w:rPr>
        <w:t xml:space="preserve">，不提供不满足技术要求。）</w:t>
      </w:r>
      <w:r>
        <w:rPr>
          <w:rFonts w:hint="eastAsia" w:ascii="宋体" w:hAnsi="宋体" w:cs="宋体"/>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4.数据采集及预处理软件</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4.1、须具备镜头校正、反射率校正功能，且能实现批处理的功能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63"/>
        <w:ind w:firstLine="480"/>
        <w:spacing w:line="360" w:lineRule="auto"/>
        <w:widowControl/>
        <w:rPr>
          <w:rFonts w:hint="eastAsia" w:ascii="宋体" w:hAnsi="宋体" w:eastAsia="宋体" w:cs="宋体"/>
          <w:b/>
          <w:bCs/>
          <w:sz w:val="24"/>
          <w:szCs w:val="24"/>
          <w:highlight w:val="none"/>
          <w:lang w:eastAsia="zh-CN"/>
        </w:rPr>
      </w:pPr>
      <w:r>
        <w:rPr>
          <w:rFonts w:hint="eastAsia" w:ascii="宋体" w:hAnsi="宋体" w:cs="宋体"/>
          <w:sz w:val="24"/>
          <w:szCs w:val="24"/>
          <w:highlight w:val="none"/>
        </w:rPr>
        <w:t xml:space="preserve">4.2、须提供单波段灰度图像动态预览功能，可切换每波段时间间隔(ms)</w:t>
      </w:r>
      <w:r>
        <w:rPr>
          <w:rFonts w:hint="eastAsia" w:ascii="宋体" w:hAnsi="宋体" w:cs="宋体"/>
          <w:b/>
          <w:bCs/>
          <w:sz w:val="24"/>
          <w:szCs w:val="24"/>
          <w:highlight w:val="none"/>
        </w:rPr>
        <w:t xml:space="preserve">（投标文件中提供软件功能详细的操作过程截图</w:t>
      </w:r>
      <w:r>
        <w:rPr>
          <w:rFonts w:hint="eastAsia" w:ascii="宋体" w:hAnsi="宋体" w:cs="宋体"/>
          <w:sz w:val="24"/>
          <w:szCs w:val="24"/>
          <w:highlight w:val="none"/>
        </w:rPr>
        <w:t xml:space="preserve">，不提供不满足技术要求</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5.高光谱图像数据分析软件</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b/>
          <w:bCs/>
          <w:sz w:val="24"/>
          <w:szCs w:val="24"/>
          <w:highlight w:val="none"/>
          <w:lang w:eastAsia="zh-CN"/>
        </w:rPr>
      </w:pPr>
      <w:r>
        <w:rPr>
          <w:rFonts w:hint="eastAsia" w:ascii="宋体" w:hAnsi="宋体" w:cs="宋体"/>
          <w:sz w:val="24"/>
          <w:szCs w:val="24"/>
          <w:highlight w:val="none"/>
        </w:rPr>
        <w:t xml:space="preserve">5.1、需提供光谱角匹配的功能，可设置光谱角度，截取指定波段数据：下限波长和上限波长</w:t>
      </w:r>
      <w:r>
        <w:rPr>
          <w:rFonts w:hint="eastAsia" w:ascii="宋体" w:hAnsi="宋体" w:cs="宋体"/>
          <w:b/>
          <w:bCs/>
          <w:sz w:val="24"/>
          <w:szCs w:val="24"/>
          <w:highlight w:val="none"/>
        </w:rPr>
        <w:t xml:space="preserve">（投标文件中提供软件功能详细的操作过程截图</w:t>
      </w:r>
      <w:r>
        <w:rPr>
          <w:rFonts w:hint="eastAsia" w:ascii="宋体" w:hAnsi="宋体" w:cs="宋体"/>
          <w:sz w:val="24"/>
          <w:szCs w:val="24"/>
          <w:highlight w:val="none"/>
        </w:rPr>
        <w:t xml:space="preserve">，不提供不满足技术要求</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eastAsia="zh-CN"/>
        </w:rPr>
      </w:r>
      <w:r/>
    </w:p>
    <w:p>
      <w:pPr>
        <w:pStyle w:val="1063"/>
        <w:ind w:firstLine="480"/>
        <w:spacing w:line="360" w:lineRule="auto"/>
        <w:widowControl/>
        <w:rPr>
          <w:rFonts w:hint="eastAsia" w:ascii="宋体" w:hAnsi="宋体" w:eastAsia="宋体" w:cs="宋体"/>
          <w:b/>
          <w:bCs/>
          <w:sz w:val="24"/>
          <w:szCs w:val="24"/>
          <w:highlight w:val="none"/>
          <w:lang w:eastAsia="zh-CN"/>
        </w:rPr>
      </w:pPr>
      <w:r>
        <w:rPr>
          <w:rFonts w:hint="eastAsia" w:ascii="宋体" w:hAnsi="宋体" w:cs="宋体"/>
          <w:sz w:val="24"/>
          <w:szCs w:val="24"/>
          <w:highlight w:val="none"/>
        </w:rPr>
        <w:t xml:space="preserve">5.2、需提供波形相似度匹配的功能，可设置相似度，截取指定波段数据：下限波长和上限波长</w:t>
      </w:r>
      <w:r>
        <w:rPr>
          <w:rFonts w:hint="eastAsia" w:ascii="宋体" w:hAnsi="宋体" w:cs="宋体"/>
          <w:b/>
          <w:bCs/>
          <w:sz w:val="24"/>
          <w:szCs w:val="24"/>
          <w:highlight w:val="none"/>
        </w:rPr>
        <w:t xml:space="preserve">（投标文件中提供软件功能详细的操作过程截图</w:t>
      </w:r>
      <w:r>
        <w:rPr>
          <w:rFonts w:hint="eastAsia" w:ascii="宋体" w:hAnsi="宋体" w:cs="宋体"/>
          <w:sz w:val="24"/>
          <w:szCs w:val="24"/>
          <w:highlight w:val="none"/>
        </w:rPr>
        <w:t xml:space="preserve">，不提供不满足技术要求</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063"/>
        <w:ind w:firstLine="480"/>
        <w:spacing w:line="360" w:lineRule="auto"/>
        <w:widowControl/>
        <w:rPr>
          <w:rFonts w:hint="eastAsia" w:ascii="宋体" w:hAnsi="宋体" w:cs="宋体"/>
          <w:b/>
          <w:bCs/>
          <w:sz w:val="24"/>
          <w:szCs w:val="24"/>
          <w:highlight w:val="none"/>
        </w:rPr>
      </w:pPr>
      <w:r>
        <w:rPr>
          <w:rFonts w:hint="eastAsia" w:ascii="宋体" w:hAnsi="宋体" w:cs="宋体"/>
          <w:sz w:val="24"/>
          <w:szCs w:val="24"/>
          <w:highlight w:val="none"/>
        </w:rPr>
        <w:t xml:space="preserve">5.3、需至少提供3种建模算法（如线性回归、支持向量机、神经网络、随机森林、偏最小二乘等）计算反演的功能</w:t>
      </w:r>
      <w:r>
        <w:rPr>
          <w:rFonts w:hint="eastAsia" w:ascii="宋体" w:hAnsi="宋体" w:cs="宋体"/>
          <w:b/>
          <w:bCs/>
          <w:sz w:val="24"/>
          <w:szCs w:val="24"/>
          <w:highlight w:val="none"/>
        </w:rPr>
        <w:t xml:space="preserve">（投标文件中提供软件功能详细的操作过程截图）</w:t>
      </w:r>
      <w:r>
        <w:rPr>
          <w:rFonts w:hint="eastAsia" w:ascii="宋体" w:hAnsi="宋体" w:cs="宋体"/>
          <w:sz w:val="24"/>
          <w:szCs w:val="24"/>
          <w:highlight w:val="none"/>
        </w:rPr>
        <w:t xml:space="preserve">，不提供不满足技术要求</w:t>
      </w:r>
      <w:r>
        <w:rPr>
          <w:rFonts w:hint="eastAsia" w:ascii="宋体" w:hAnsi="宋体" w:cs="宋体"/>
          <w:b/>
          <w:bCs/>
          <w:sz w:val="24"/>
          <w:szCs w:val="24"/>
          <w:highlight w:val="none"/>
        </w:rPr>
        <w:t xml:space="preserve">。</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5.4、需提供支持光谱异常数据检测删除的功能：通过模型计算可计算批量数据，支持检测异常光谱数据并删除</w:t>
      </w:r>
      <w:r>
        <w:rPr>
          <w:rFonts w:hint="eastAsia" w:ascii="宋体" w:hAnsi="宋体" w:cs="宋体"/>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6.旋翼无人机</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6.1 无人机展开尺寸：</w:t>
      </w:r>
      <w:r>
        <w:rPr>
          <w:rFonts w:hint="eastAsia" w:ascii="宋体" w:hAnsi="宋体" w:cs="宋体"/>
          <w:sz w:val="24"/>
          <w:szCs w:val="24"/>
          <w:highlight w:val="none"/>
          <w:lang w:bidi="ar"/>
        </w:rPr>
        <w:t xml:space="preserve">≤</w:t>
      </w:r>
      <w:r>
        <w:rPr>
          <w:rFonts w:hint="eastAsia" w:ascii="宋体" w:hAnsi="宋体" w:cs="宋体"/>
          <w:sz w:val="24"/>
          <w:szCs w:val="24"/>
          <w:highlight w:val="none"/>
        </w:rPr>
        <w:t xml:space="preserve">1000mm×800 mm× 500 mm（含脚架）。</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6.2 对角线轴距：≤1100mm。</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6.3 载重：≥6千克。</w:t>
      </w:r>
      <w:r>
        <w:rPr>
          <w:rFonts w:hint="eastAsia" w:ascii="宋体" w:hAnsi="宋体" w:cs="宋体"/>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6.4飞行时间：≥50分钟（空载状态）。</w:t>
      </w:r>
      <w:r>
        <w:rPr>
          <w:rFonts w:hint="eastAsia" w:ascii="宋体" w:hAnsi="宋体" w:cs="宋体"/>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63"/>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详细</w:t>
      </w:r>
      <w:r>
        <w:rPr>
          <w:rFonts w:hint="eastAsia" w:ascii="宋体" w:hAnsi="宋体" w:cs="宋体"/>
          <w:b/>
          <w:bCs/>
          <w:sz w:val="24"/>
          <w:szCs w:val="24"/>
          <w:highlight w:val="none"/>
        </w:rPr>
        <w:t xml:space="preserve">配置：</w:t>
      </w:r>
      <w:r>
        <w:rPr>
          <w:rFonts w:hint="eastAsia" w:ascii="宋体" w:hAnsi="宋体" w:cs="宋体"/>
          <w:b/>
          <w:bCs/>
          <w:sz w:val="24"/>
          <w:szCs w:val="24"/>
          <w:highlight w:val="none"/>
        </w:rPr>
      </w:r>
      <w:r/>
    </w:p>
    <w:p>
      <w:pPr>
        <w:pStyle w:val="106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1、机载高光谱成像系统</w:t>
      </w:r>
      <w:r>
        <w:rPr>
          <w:rFonts w:hint="eastAsia" w:ascii="宋体" w:hAnsi="宋体" w:cs="宋体"/>
          <w:sz w:val="24"/>
          <w:szCs w:val="24"/>
          <w:highlight w:val="none"/>
        </w:rPr>
      </w:r>
      <w:r/>
    </w:p>
    <w:p>
      <w:pPr>
        <w:pStyle w:val="1063"/>
        <w:numPr>
          <w:ilvl w:val="0"/>
          <w:numId w:val="4"/>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悬停航点规划软件</w:t>
      </w:r>
      <w:r>
        <w:rPr>
          <w:rFonts w:hint="eastAsia" w:ascii="宋体" w:hAnsi="宋体" w:cs="宋体"/>
          <w:sz w:val="24"/>
          <w:szCs w:val="24"/>
          <w:highlight w:val="none"/>
        </w:rPr>
      </w:r>
      <w:r/>
    </w:p>
    <w:p>
      <w:pPr>
        <w:pStyle w:val="1063"/>
        <w:numPr>
          <w:ilvl w:val="0"/>
          <w:numId w:val="4"/>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拼接软件</w:t>
      </w:r>
      <w:r>
        <w:rPr>
          <w:rFonts w:hint="eastAsia" w:ascii="宋体" w:hAnsi="宋体" w:cs="宋体"/>
          <w:sz w:val="24"/>
          <w:szCs w:val="24"/>
          <w:highlight w:val="none"/>
        </w:rPr>
      </w:r>
      <w:r/>
    </w:p>
    <w:p>
      <w:pPr>
        <w:pStyle w:val="1063"/>
        <w:numPr>
          <w:ilvl w:val="0"/>
          <w:numId w:val="4"/>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数据采集及预处理软件</w:t>
      </w:r>
      <w:r>
        <w:rPr>
          <w:rFonts w:hint="eastAsia" w:ascii="宋体" w:hAnsi="宋体" w:cs="宋体"/>
          <w:sz w:val="24"/>
          <w:szCs w:val="24"/>
          <w:highlight w:val="none"/>
        </w:rPr>
      </w:r>
      <w:r/>
    </w:p>
    <w:p>
      <w:pPr>
        <w:pStyle w:val="1063"/>
        <w:numPr>
          <w:ilvl w:val="0"/>
          <w:numId w:val="4"/>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高光谱图像数据分析软件</w:t>
      </w:r>
      <w:r>
        <w:rPr>
          <w:rFonts w:hint="eastAsia" w:ascii="宋体" w:hAnsi="宋体" w:cs="宋体"/>
          <w:sz w:val="24"/>
          <w:szCs w:val="24"/>
          <w:highlight w:val="none"/>
        </w:rPr>
      </w:r>
      <w:r/>
    </w:p>
    <w:p>
      <w:pPr>
        <w:pStyle w:val="1063"/>
        <w:numPr>
          <w:ilvl w:val="0"/>
          <w:numId w:val="4"/>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旋翼无人机</w:t>
      </w:r>
      <w:r>
        <w:rPr>
          <w:rFonts w:hint="eastAsia" w:ascii="宋体" w:hAnsi="宋体" w:cs="宋体"/>
          <w:sz w:val="24"/>
          <w:szCs w:val="24"/>
          <w:highlight w:val="none"/>
        </w:rPr>
      </w:r>
      <w:r/>
    </w:p>
    <w:p>
      <w:pPr>
        <w:pStyle w:val="1065"/>
        <w:numPr>
          <w:ilvl w:val="0"/>
          <w:numId w:val="0"/>
        </w:numPr>
        <w:jc w:val="both"/>
        <w:spacing w:before="0" w:after="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四、验收标准</w:t>
      </w:r>
      <w:r>
        <w:rPr>
          <w:rFonts w:hint="eastAsia" w:ascii="宋体" w:hAnsi="宋体" w:eastAsia="宋体" w:cs="宋体"/>
          <w:sz w:val="28"/>
          <w:szCs w:val="28"/>
          <w:highlight w:val="none"/>
        </w:rPr>
      </w:r>
      <w:r/>
    </w:p>
    <w:p>
      <w:pPr>
        <w:pStyle w:val="10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标的货物运输及储存符合行业要求，外包装完好无损，品牌、型号、质量性能符合合同约定、技术文件要求和国家及行业标准。</w:t>
      </w:r>
      <w:r>
        <w:rPr>
          <w:rFonts w:hint="eastAsia" w:ascii="宋体" w:hAnsi="宋体" w:cs="宋体"/>
          <w:color w:val="000000"/>
          <w:sz w:val="24"/>
          <w:szCs w:val="24"/>
          <w:highlight w:val="none"/>
        </w:rPr>
      </w:r>
      <w:r/>
    </w:p>
    <w:p>
      <w:pPr>
        <w:pStyle w:val="1065"/>
        <w:numPr>
          <w:ilvl w:val="0"/>
          <w:numId w:val="0"/>
        </w:numPr>
        <w:jc w:val="both"/>
        <w:spacing w:line="312"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 采购标的需实现的功能及标准、规范</w:t>
      </w:r>
      <w:r>
        <w:rPr>
          <w:rFonts w:hint="eastAsia" w:ascii="宋体" w:hAnsi="宋体" w:eastAsia="宋体" w:cs="宋体"/>
          <w:color w:val="000000"/>
          <w:sz w:val="28"/>
          <w:szCs w:val="28"/>
          <w:highlight w:val="none"/>
        </w:rPr>
      </w:r>
      <w:r/>
    </w:p>
    <w:p>
      <w:pPr>
        <w:pStyle w:val="1063"/>
        <w:ind w:firstLine="24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采购标的需执行国家标准、行业标准、地方标准或者其他标准、规范。</w:t>
      </w:r>
      <w:r>
        <w:rPr>
          <w:rFonts w:ascii="宋体" w:hAnsi="宋体" w:cs="宋体"/>
          <w:color w:val="000000"/>
          <w:sz w:val="24"/>
          <w:szCs w:val="24"/>
          <w:highlight w:val="none"/>
          <w:lang w:bidi="ar"/>
        </w:rPr>
      </w:r>
      <w:r/>
    </w:p>
    <w:p>
      <w:pPr>
        <w:pStyle w:val="1065"/>
        <w:numPr>
          <w:ilvl w:val="0"/>
          <w:numId w:val="0"/>
        </w:numPr>
        <w:jc w:val="both"/>
        <w:spacing w:before="0" w:after="0" w:line="312" w:lineRule="auto"/>
        <w:rPr>
          <w:rFonts w:ascii="宋体" w:hAnsi="宋体" w:eastAsia="宋体" w:cs="宋体"/>
          <w:sz w:val="28"/>
          <w:szCs w:val="28"/>
          <w:highlight w:val="none"/>
        </w:rPr>
      </w:pPr>
      <w:r>
        <w:rPr>
          <w:rFonts w:ascii="宋体" w:hAnsi="宋体" w:eastAsia="宋体" w:cs="宋体"/>
          <w:sz w:val="28"/>
          <w:szCs w:val="28"/>
          <w:highlight w:val="none"/>
        </w:rPr>
        <w:t xml:space="preserve">六、</w:t>
      </w:r>
      <w:r>
        <w:rPr>
          <w:rFonts w:hint="eastAsia" w:ascii="宋体" w:hAnsi="宋体" w:eastAsia="宋体" w:cs="宋体"/>
          <w:sz w:val="28"/>
          <w:szCs w:val="28"/>
          <w:highlight w:val="none"/>
        </w:rPr>
        <w:t xml:space="preserve">商务要求</w:t>
      </w:r>
      <w:r>
        <w:rPr>
          <w:rFonts w:ascii="宋体" w:hAnsi="宋体" w:eastAsia="宋体" w:cs="宋体"/>
          <w:sz w:val="28"/>
          <w:szCs w:val="28"/>
          <w:highlight w:val="none"/>
        </w:rPr>
      </w:r>
      <w:r/>
    </w:p>
    <w:p>
      <w:pPr>
        <w:pStyle w:val="1063"/>
        <w:ind w:firstLine="24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★1、合同履行期限：自本合同签订之日起</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个日历日内完成交付。</w:t>
      </w:r>
      <w:r>
        <w:rPr>
          <w:rFonts w:ascii="宋体" w:hAnsi="宋体" w:cs="宋体"/>
          <w:color w:val="000000"/>
          <w:sz w:val="24"/>
          <w:szCs w:val="24"/>
          <w:highlight w:val="none"/>
        </w:rPr>
      </w:r>
      <w:r/>
    </w:p>
    <w:p>
      <w:pPr>
        <w:pStyle w:val="1063"/>
        <w:ind w:firstLine="24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2、中标公告发出后7个工作日内提供投标型号样机给采购方展示核对核心重要参数，中标方未能按约定时间提供样机或经核对产品参数不合格，由此产生的一切责任和后果均由中标供应商承担。</w:t>
      </w:r>
      <w:r>
        <w:rPr>
          <w:rFonts w:ascii="宋体" w:hAnsi="宋体" w:cs="宋体"/>
          <w:color w:val="000000"/>
          <w:sz w:val="24"/>
          <w:szCs w:val="24"/>
          <w:highlight w:val="none"/>
        </w:rPr>
      </w:r>
      <w:r/>
    </w:p>
    <w:p>
      <w:pPr>
        <w:pStyle w:val="1063"/>
        <w:ind w:firstLine="24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3、交付地点：采购人指定地点。</w:t>
      </w:r>
      <w:r>
        <w:rPr>
          <w:rFonts w:ascii="宋体" w:hAnsi="宋体" w:cs="宋体"/>
          <w:color w:val="000000"/>
          <w:sz w:val="24"/>
          <w:szCs w:val="24"/>
          <w:highlight w:val="none"/>
        </w:rPr>
      </w:r>
      <w:r/>
    </w:p>
    <w:p>
      <w:pPr>
        <w:pStyle w:val="1063"/>
        <w:ind w:firstLine="24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4、交付方式：将全部标的产品运输至甲方指定地点，安装、调试完成并经甲方验收合格的视为完成交付。中标供应商负责办理运输、装卸、安装调试等，费用由中标供应商承担。</w:t>
      </w:r>
      <w:r>
        <w:rPr>
          <w:rFonts w:ascii="宋体" w:hAnsi="宋体" w:cs="宋体"/>
          <w:color w:val="000000"/>
          <w:sz w:val="24"/>
          <w:szCs w:val="24"/>
          <w:highlight w:val="none"/>
        </w:rPr>
      </w:r>
      <w:r/>
    </w:p>
    <w:p>
      <w:pPr>
        <w:pStyle w:val="1063"/>
        <w:ind w:firstLine="24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5、包装方式：乙方应按满足运输距离、防潮、防震、防锈和防破损装卸等要求包装标的产品。因包装不善引起的产品损失均由乙方承担。</w:t>
      </w:r>
      <w:r>
        <w:rPr>
          <w:rFonts w:ascii="宋体" w:hAnsi="宋体" w:cs="宋体"/>
          <w:color w:val="000000"/>
          <w:sz w:val="24"/>
          <w:szCs w:val="24"/>
          <w:highlight w:val="none"/>
        </w:rPr>
      </w:r>
      <w:r/>
    </w:p>
    <w:p>
      <w:pPr>
        <w:pStyle w:val="1063"/>
        <w:ind w:firstLine="24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6、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ascii="宋体" w:hAnsi="宋体" w:cs="宋体"/>
          <w:color w:val="000000"/>
          <w:sz w:val="24"/>
          <w:szCs w:val="24"/>
          <w:highlight w:val="none"/>
        </w:rPr>
      </w:r>
      <w:r/>
    </w:p>
    <w:p>
      <w:pPr>
        <w:pStyle w:val="1063"/>
        <w:spacing w:line="360" w:lineRule="auto"/>
        <w:rPr>
          <w:rFonts w:hint="eastAsia" w:ascii="宋体" w:hAnsi="宋体" w:eastAsia="宋体" w:cs="宋体"/>
          <w:b/>
          <w:highlight w:val="none"/>
          <w:lang w:eastAsia="zh-CN" w:bidi="ar"/>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7、付款方式：</w:t>
      </w:r>
      <w:r>
        <w:rPr>
          <w:rFonts w:hint="eastAsia" w:ascii="宋体" w:hAnsi="宋体" w:eastAsia="宋体" w:cs="宋体"/>
          <w:bCs w:val="0"/>
          <w:color w:val="000000"/>
          <w:sz w:val="24"/>
          <w:szCs w:val="24"/>
          <w:highlight w:val="none"/>
          <w:lang w:bidi="ar"/>
        </w:rPr>
        <w:t xml:space="preserve">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30％的尾款，并退还银行预付款保函。设备验收合格一年且无质量问题后，采购人向供应商无息退还履约保证金。如有特殊情况采购人、供应商双方另行协商</w:t>
      </w:r>
      <w:r>
        <w:rPr>
          <w:rFonts w:hint="eastAsia"/>
          <w:highlight w:val="none"/>
          <w:lang w:eastAsia="zh-CN"/>
        </w:rPr>
        <w:t xml:space="preserve">。</w:t>
      </w:r>
      <w:r>
        <w:rPr>
          <w:rFonts w:hint="eastAsia" w:ascii="宋体" w:hAnsi="宋体" w:eastAsia="宋体" w:cs="宋体"/>
          <w:b/>
          <w:highlight w:val="none"/>
          <w:lang w:eastAsia="zh-CN" w:bidi="ar"/>
        </w:rPr>
      </w:r>
      <w:r/>
    </w:p>
    <w:p>
      <w:pPr>
        <w:pStyle w:val="1063"/>
        <w:ind w:firstLine="240"/>
        <w:jc w:val="left"/>
        <w:spacing w:line="360" w:lineRule="auto"/>
        <w:rPr>
          <w:rFonts w:hint="eastAsia" w:ascii="宋体" w:hAnsi="宋体" w:cs="宋体"/>
          <w:color w:val="000000"/>
          <w:sz w:val="24"/>
          <w:szCs w:val="24"/>
          <w:highlight w:val="none"/>
          <w:lang w:bidi="ar"/>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8、质保期：自项目验收合格之日起不少于12个月。如投标产品由制造商（指产品生产制造商，或其负责销售、售后服务机构）负责标准售后服务的，应当在投标文件中予以明确说明，并附制造商售后服务承诺。在质保期内中标供应商向采购人免费提供配件和上门维修服务，同时参照产品包装内生产厂商保修承诺，且以对采购人最优承诺为准。质保期过后服务要求提供终身上门维修服务（只收材料成本费，其余费用均不得收取）。</w:t>
      </w:r>
      <w:r>
        <w:rPr>
          <w:rFonts w:hint="eastAsia" w:ascii="宋体" w:hAnsi="宋体" w:cs="宋体"/>
          <w:color w:val="000000"/>
          <w:sz w:val="24"/>
          <w:szCs w:val="24"/>
          <w:highlight w:val="none"/>
          <w:lang w:bidi="ar"/>
        </w:rPr>
      </w:r>
      <w:r/>
    </w:p>
    <w:p>
      <w:pPr>
        <w:pStyle w:val="1063"/>
        <w:ind w:firstLine="240"/>
        <w:jc w:val="left"/>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9、质量要求</w:t>
      </w:r>
      <w:r>
        <w:rPr>
          <w:rFonts w:hint="eastAsia" w:ascii="宋体" w:hAnsi="宋体" w:cs="宋体"/>
          <w:color w:val="000000"/>
          <w:sz w:val="24"/>
          <w:szCs w:val="24"/>
          <w:highlight w:val="none"/>
          <w:lang w:bidi="ar"/>
        </w:rPr>
      </w:r>
      <w:r/>
    </w:p>
    <w:p>
      <w:pPr>
        <w:pStyle w:val="1063"/>
        <w:ind w:firstLine="240"/>
        <w:jc w:val="left"/>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①应严格按照招标文件的要求和国家有关标准，提供全新的、未经使用的、技术先进的产品。</w:t>
      </w:r>
      <w:r>
        <w:rPr>
          <w:rFonts w:hint="eastAsia" w:ascii="宋体" w:hAnsi="宋体" w:cs="宋体"/>
          <w:color w:val="000000"/>
          <w:sz w:val="24"/>
          <w:szCs w:val="24"/>
          <w:highlight w:val="none"/>
          <w:lang w:bidi="ar"/>
        </w:rPr>
      </w:r>
      <w:r/>
    </w:p>
    <w:p>
      <w:pPr>
        <w:pStyle w:val="1063"/>
        <w:ind w:firstLine="240"/>
        <w:jc w:val="left"/>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②需有产品的出厂检测报告。</w:t>
      </w:r>
      <w:r>
        <w:rPr>
          <w:rFonts w:hint="eastAsia" w:ascii="宋体" w:hAnsi="宋体" w:cs="宋体"/>
          <w:color w:val="000000"/>
          <w:sz w:val="24"/>
          <w:szCs w:val="24"/>
          <w:highlight w:val="none"/>
          <w:lang w:bidi="ar"/>
        </w:rPr>
      </w:r>
      <w:r/>
    </w:p>
    <w:p>
      <w:pPr>
        <w:pStyle w:val="1063"/>
        <w:ind w:firstLine="240"/>
        <w:jc w:val="left"/>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③保证向采购人提供的货物或货物的任何一部分，免受第三方提出的侵犯其专利权、商标权或知识产权等的起诉，任何由此引起的法律责任和经济责任均由中标供应商承担。</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10、验收方式</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①货物到达现场后，中标供应商应在采购人在场情况下当面开箱，共同清点、检查外观，作出开箱记录，双方签字确认。</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②中标供应商应保证货物到达采购人所在地完好无损，如有缺漏、损坏，由中标供应商负责调换、补齐或赔偿。</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③中标供应商应提供完备的技术资料、原厂真货证明、装箱单和合格证等。</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⑤如检验不合格或不符合质量要求，中标供应商除无条件退货、返工外，还应承担采购人的一切损失。</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服务与响应能力：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①正常使用范围内造成的损坏均免费维修，出现质量缺陷问题或同一货物在质保期内出现三次质量问题，中标供应商须免费予以更换。</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②电话咨询</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中标供应商应当为采购人提供技术援助电话，解答采购人在使用中遇到的问题，及时为采购人提出解决问题的建议。</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③现场响应</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自接到委托人报修时起，2小时内响应，并提出解决方案。48小时内到达委托人现场并解决问题，如不能完成维修工作的，必须提供替代产品以保证项目的正常进行；质保期内配件及维护免费。</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12、培训要求：</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中标供应商需免费提供原厂技术人员对采购人的操作技术培训，现场培训时间不少于1天，并免费提供相关技术资料。</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培训内容包括但不限于工作原理、设备组成、安全事项、设备使用、软件操作、维护保养，并进行实操培训，确保采购人能够独立熟练使用。</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13、增值税开票信息：</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单位名称：南京林业大学</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统一社会信用代码：12320000466006885L</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税 号：320102466006885</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地 址：江苏省南京市龙蟠路159号</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联系电话：025-85427252、85428952</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开户银行：中国建设银行南京市城东支行</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开户账号：32001597336050000659</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行号：105301000894</w:t>
      </w:r>
      <w:r>
        <w:rPr>
          <w:rFonts w:hint="eastAsia" w:ascii="宋体" w:hAnsi="宋体" w:cs="宋体"/>
          <w:color w:val="000000"/>
          <w:sz w:val="24"/>
          <w:szCs w:val="24"/>
          <w:highlight w:val="none"/>
          <w:lang w:bidi="ar"/>
        </w:rPr>
      </w:r>
      <w:r/>
    </w:p>
    <w:p>
      <w:pPr>
        <w:pStyle w:val="1065"/>
        <w:numPr>
          <w:ilvl w:val="0"/>
          <w:numId w:val="0"/>
        </w:numPr>
        <w:jc w:val="both"/>
        <w:spacing w:before="0" w:after="0" w:line="312" w:lineRule="auto"/>
        <w:rPr>
          <w:rFonts w:ascii="宋体" w:hAnsi="宋体" w:eastAsia="宋体" w:cs="宋体"/>
          <w:sz w:val="28"/>
          <w:szCs w:val="28"/>
          <w:highlight w:val="none"/>
        </w:rPr>
      </w:pPr>
      <w:r>
        <w:rPr>
          <w:rFonts w:ascii="宋体" w:hAnsi="宋体" w:eastAsia="宋体" w:cs="宋体"/>
          <w:sz w:val="28"/>
          <w:szCs w:val="28"/>
          <w:highlight w:val="none"/>
        </w:rPr>
        <w:t xml:space="preserve">七、其他要求</w:t>
      </w:r>
      <w:r>
        <w:rPr>
          <w:rFonts w:ascii="宋体" w:hAnsi="宋体" w:eastAsia="宋体" w:cs="宋体"/>
          <w:sz w:val="28"/>
          <w:szCs w:val="28"/>
          <w:highlight w:val="none"/>
        </w:rPr>
      </w:r>
      <w:r/>
    </w:p>
    <w:p>
      <w:pPr>
        <w:pStyle w:val="1063"/>
        <w:ind w:left="420"/>
        <w:spacing w:line="360" w:lineRule="auto"/>
        <w:rPr>
          <w:rFonts w:hint="eastAsia" w:ascii="宋体" w:hAnsi="宋体" w:cs="宋体"/>
          <w:b/>
          <w:bCs/>
          <w:highlight w:val="none"/>
        </w:rPr>
      </w:pPr>
      <w:r>
        <w:rPr>
          <w:rFonts w:hint="eastAsia" w:ascii="宋体" w:hAnsi="宋体" w:cs="宋体"/>
          <w:b/>
          <w:i/>
          <w:iCs/>
          <w:highlight w:val="none"/>
          <w:u w:val="single"/>
        </w:rPr>
        <w:t xml:space="preserve">所有报价、承诺事项及重要证明文件均须加盖投标人公司公章。</w:t>
      </w:r>
      <w:r>
        <w:rPr>
          <w:rFonts w:hint="eastAsia" w:ascii="宋体" w:hAnsi="宋体" w:cs="宋体"/>
          <w:b/>
          <w:bCs/>
          <w:highlight w:val="none"/>
        </w:rPr>
      </w:r>
      <w:r/>
    </w:p>
    <w:p>
      <w:pPr>
        <w:pStyle w:val="1121"/>
        <w:pageBreakBefore/>
        <w:spacing w:after="319" w:line="360" w:lineRule="auto"/>
        <w:rPr>
          <w:rFonts w:hint="eastAsia" w:ascii="宋体" w:hAnsi="宋体" w:eastAsia="宋体" w:cs="宋体"/>
          <w:highlight w:val="none"/>
        </w:rPr>
      </w:pPr>
      <w:r/>
      <w:bookmarkStart w:id="70" w:name="_Toc5657"/>
      <w:r/>
      <w:bookmarkStart w:id="71" w:name="_Toc6317"/>
      <w:r/>
      <w:bookmarkStart w:id="72" w:name="_Toc11000"/>
      <w:r/>
      <w:bookmarkStart w:id="73" w:name="_Toc797"/>
      <w:r/>
      <w:bookmarkStart w:id="74" w:name="_Toc13118"/>
      <w:r/>
      <w:bookmarkStart w:id="75" w:name="_Toc25270"/>
      <w:r/>
      <w:bookmarkStart w:id="76" w:name="_Toc9027"/>
      <w:r/>
      <w:bookmarkStart w:id="77" w:name="_Toc10365"/>
      <w:r/>
      <w:bookmarkStart w:id="78" w:name="_Toc32444"/>
      <w:r/>
      <w:bookmarkStart w:id="79" w:name="_Toc1549"/>
      <w:r/>
      <w:bookmarkStart w:id="80" w:name="_Toc13787"/>
      <w:r/>
      <w:bookmarkStart w:id="81" w:name="_Toc2171"/>
      <w:r/>
      <w:bookmarkStart w:id="82" w:name="_Toc25596"/>
      <w:r/>
      <w:bookmarkStart w:id="83" w:name="_Toc11323"/>
      <w:r>
        <w:rPr>
          <w:rFonts w:hint="eastAsia" w:ascii="宋体" w:hAnsi="宋体" w:eastAsia="宋体" w:cs="宋体"/>
          <w:highlight w:val="none"/>
        </w:rPr>
        <w:t xml:space="preserve">第五章  评标方法与评标标准</w:t>
      </w:r>
      <w:bookmarkEnd w:id="68"/>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highlight w:val="none"/>
        </w:rPr>
      </w:r>
      <w:r/>
    </w:p>
    <w:p>
      <w:pPr>
        <w:pStyle w:val="1123"/>
        <w:numPr>
          <w:ilvl w:val="0"/>
          <w:numId w:val="0"/>
        </w:numPr>
        <w:ind w:firstLine="562"/>
        <w:spacing w:line="360" w:lineRule="auto"/>
        <w:tabs>
          <w:tab w:val="left" w:pos="720" w:leader="none"/>
        </w:tabs>
        <w:rPr>
          <w:rFonts w:hint="eastAsia" w:ascii="宋体" w:hAnsi="宋体" w:cs="宋体"/>
          <w:highlight w:val="none"/>
        </w:rPr>
      </w:pPr>
      <w:r/>
      <w:bookmarkStart w:id="84" w:name="_Toc13127"/>
      <w:r>
        <w:rPr>
          <w:rFonts w:hint="eastAsia" w:ascii="宋体" w:hAnsi="宋体" w:cs="宋体"/>
          <w:highlight w:val="none"/>
        </w:rPr>
        <w:t xml:space="preserve">一、评标方法与定标原则</w:t>
      </w:r>
      <w:bookmarkEnd w:id="84"/>
      <w:r>
        <w:rPr>
          <w:rFonts w:hint="eastAsia" w:ascii="宋体" w:hAnsi="宋体" w:cs="宋体"/>
          <w:highlight w:val="none"/>
        </w:rPr>
      </w:r>
      <w:r/>
    </w:p>
    <w:p>
      <w:pPr>
        <w:pStyle w:val="1063"/>
        <w:ind w:firstLine="480"/>
        <w:spacing w:line="360" w:lineRule="auto"/>
        <w:rPr>
          <w:rFonts w:hint="eastAsia" w:ascii="宋体" w:hAnsi="宋体" w:cs="宋体"/>
          <w:sz w:val="24"/>
          <w:szCs w:val="24"/>
          <w:highlight w:val="none"/>
        </w:rPr>
      </w:pPr>
      <w:r/>
      <w:bookmarkStart w:id="85" w:name="_Toc2329"/>
      <w:r>
        <w:rPr>
          <w:rFonts w:hint="eastAsia" w:ascii="宋体" w:hAnsi="宋体" w:cs="宋体"/>
          <w:sz w:val="24"/>
          <w:szCs w:val="24"/>
          <w:highlight w:val="none"/>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评委会将对确定为实质性响应招标文件要求的投标文件进行同品牌认定：</w:t>
      </w:r>
      <w:r>
        <w:rPr>
          <w:rFonts w:hint="eastAsia" w:ascii="宋体" w:hAnsi="宋体" w:cs="宋体"/>
          <w:sz w:val="24"/>
          <w:szCs w:val="24"/>
          <w:highlight w:val="none"/>
        </w:rPr>
      </w:r>
      <w:r/>
    </w:p>
    <w:p>
      <w:pPr>
        <w:pStyle w:val="106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cs="宋体"/>
          <w:color w:val="000000"/>
          <w:sz w:val="24"/>
          <w:szCs w:val="24"/>
          <w:highlight w:val="none"/>
        </w:rPr>
      </w:r>
      <w:r/>
    </w:p>
    <w:p>
      <w:pPr>
        <w:pStyle w:val="106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2.处理方式：</w:t>
      </w:r>
      <w:r>
        <w:rPr>
          <w:rFonts w:hint="eastAsia" w:ascii="宋体" w:hAnsi="宋体" w:cs="宋体"/>
          <w:color w:val="000000"/>
          <w:sz w:val="24"/>
          <w:szCs w:val="24"/>
          <w:highlight w:val="none"/>
        </w:rPr>
      </w:r>
      <w:r/>
    </w:p>
    <w:p>
      <w:pPr>
        <w:pStyle w:val="106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 经评标委员会认定，当同一品牌产品投标人数量等于或少于招标文件允许中标供应商数量时，该品牌的投标人均可作为有效投标人进入后续评审。</w:t>
      </w:r>
      <w:r>
        <w:rPr>
          <w:rFonts w:hint="eastAsia" w:ascii="宋体" w:hAnsi="宋体" w:cs="宋体"/>
          <w:color w:val="000000"/>
          <w:sz w:val="24"/>
          <w:szCs w:val="24"/>
          <w:highlight w:val="none"/>
        </w:rPr>
      </w:r>
      <w:r/>
    </w:p>
    <w:p>
      <w:pPr>
        <w:pStyle w:val="106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 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cs="宋体"/>
          <w:color w:val="000000"/>
          <w:sz w:val="24"/>
          <w:szCs w:val="24"/>
          <w:highlight w:val="none"/>
        </w:rPr>
      </w:r>
      <w:r/>
    </w:p>
    <w:p>
      <w:pPr>
        <w:pStyle w:val="106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 如按上述方式处理后，导致有效投标人不足法定家数的，应依法执行。</w:t>
      </w:r>
      <w:r>
        <w:rPr>
          <w:rFonts w:hint="eastAsia" w:ascii="宋体" w:hAnsi="宋体" w:cs="宋体"/>
          <w:color w:val="000000"/>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cs="宋体"/>
          <w:sz w:val="24"/>
          <w:szCs w:val="24"/>
          <w:highlight w:val="none"/>
        </w:rPr>
      </w:r>
      <w:r/>
    </w:p>
    <w:p>
      <w:pPr>
        <w:pStyle w:val="1123"/>
        <w:numPr>
          <w:ilvl w:val="0"/>
          <w:numId w:val="0"/>
        </w:numPr>
        <w:ind w:firstLine="562"/>
        <w:spacing w:line="360" w:lineRule="auto"/>
        <w:tabs>
          <w:tab w:val="left" w:pos="720" w:leader="none"/>
        </w:tabs>
        <w:rPr>
          <w:rFonts w:hint="eastAsia" w:ascii="宋体" w:hAnsi="宋体" w:cs="宋体"/>
          <w:highlight w:val="none"/>
        </w:rPr>
      </w:pPr>
      <w:r>
        <w:rPr>
          <w:rFonts w:hint="eastAsia" w:ascii="宋体" w:hAnsi="宋体" w:cs="宋体"/>
          <w:highlight w:val="none"/>
        </w:rPr>
        <w:t xml:space="preserve">二、评标标准</w:t>
      </w:r>
      <w:bookmarkEnd w:id="85"/>
      <w:r>
        <w:rPr>
          <w:rFonts w:hint="eastAsia" w:ascii="宋体" w:hAnsi="宋体" w:cs="宋体"/>
          <w:highlight w:val="none"/>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312"/>
        <w:gridCol w:w="6671"/>
        <w:gridCol w:w="711"/>
      </w:tblGrid>
      <w:tr>
        <w:trPr>
          <w:trHeight w:val="614"/>
        </w:trPr>
        <w:tc>
          <w:tcPr>
            <w:tcW w:w="399"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rFonts w:hint="eastAsia" w:ascii="宋体" w:hAnsi="宋体" w:cs="宋体"/>
                <w:b/>
                <w:bCs/>
                <w:sz w:val="24"/>
                <w:szCs w:val="24"/>
                <w:highlight w:val="none"/>
              </w:rPr>
            </w:r>
            <w:r/>
          </w:p>
        </w:tc>
        <w:tc>
          <w:tcPr>
            <w:tcW w:w="694"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评分因素</w:t>
            </w:r>
            <w:r>
              <w:rPr>
                <w:rFonts w:hint="eastAsia" w:ascii="宋体" w:hAnsi="宋体" w:cs="宋体"/>
                <w:b/>
                <w:bCs/>
                <w:sz w:val="24"/>
                <w:szCs w:val="24"/>
                <w:highlight w:val="none"/>
              </w:rPr>
            </w:r>
            <w:r/>
          </w:p>
        </w:tc>
        <w:tc>
          <w:tcPr>
            <w:tcW w:w="3529" w:type="dxa"/>
            <w:vAlign w:val="center"/>
            <w:textDirection w:val="lrTb"/>
            <w:noWrap w:val="false"/>
          </w:tcPr>
          <w:p>
            <w:pPr>
              <w:pStyle w:val="1063"/>
              <w:ind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评审因素</w:t>
            </w:r>
            <w:r>
              <w:rPr>
                <w:rFonts w:hint="eastAsia" w:ascii="宋体" w:hAnsi="宋体" w:cs="宋体"/>
                <w:b/>
                <w:bCs/>
                <w:sz w:val="24"/>
                <w:szCs w:val="24"/>
                <w:highlight w:val="none"/>
              </w:rPr>
            </w:r>
            <w:r/>
          </w:p>
        </w:tc>
        <w:tc>
          <w:tcPr>
            <w:tcW w:w="376"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分值</w:t>
            </w:r>
            <w:r>
              <w:rPr>
                <w:rFonts w:hint="eastAsia" w:ascii="宋体" w:hAnsi="宋体" w:cs="宋体"/>
                <w:b/>
                <w:bCs/>
                <w:sz w:val="24"/>
                <w:szCs w:val="24"/>
                <w:highlight w:val="none"/>
              </w:rPr>
            </w:r>
            <w:r/>
          </w:p>
        </w:tc>
      </w:tr>
      <w:tr>
        <w:trPr/>
        <w:tc>
          <w:tcPr>
            <w:tcW w:w="399"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694"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价格</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（30分）</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529" w:type="dxa"/>
            <w:vAlign w:val="center"/>
            <w:textDirection w:val="lrTb"/>
            <w:noWrap w:val="false"/>
          </w:tcPr>
          <w:p>
            <w:pPr>
              <w:pStyle w:val="1063"/>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价格分采用低价优先法计算，即满足招标文件要求且报价最低的为评标基准价，其价格分为满分</w:t>
            </w:r>
            <w:r>
              <w:rPr>
                <w:rFonts w:hint="eastAsia" w:ascii="宋体" w:hAnsi="宋体" w:cs="宋体"/>
                <w:spacing w:val="-2"/>
                <w:sz w:val="24"/>
                <w:szCs w:val="24"/>
                <w:highlight w:val="none"/>
              </w:rPr>
              <w:t xml:space="preserve">30分</w:t>
            </w:r>
            <w:r>
              <w:rPr>
                <w:rFonts w:hint="eastAsia" w:ascii="宋体" w:hAnsi="宋体" w:cs="宋体"/>
                <w:spacing w:val="-2"/>
                <w:sz w:val="24"/>
                <w:szCs w:val="24"/>
                <w:highlight w:val="none"/>
                <w:lang w:val="zh-CN"/>
              </w:rPr>
              <w:t xml:space="preserve">。</w:t>
            </w:r>
            <w:r>
              <w:rPr>
                <w:rFonts w:hint="eastAsia" w:ascii="宋体" w:hAnsi="宋体" w:cs="宋体"/>
                <w:spacing w:val="-2"/>
                <w:sz w:val="24"/>
                <w:szCs w:val="24"/>
                <w:highlight w:val="none"/>
                <w:lang w:val="zh-CN"/>
              </w:rPr>
            </w:r>
            <w:r/>
          </w:p>
          <w:p>
            <w:pPr>
              <w:pStyle w:val="1063"/>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其他投标人的价格分统一按照下列公式计算（小数点保留两位）：投标报价得分=(评标基准价／投标报价)×30。</w:t>
            </w:r>
            <w:r>
              <w:rPr>
                <w:rFonts w:hint="eastAsia" w:ascii="宋体" w:hAnsi="宋体" w:cs="宋体"/>
                <w:spacing w:val="-2"/>
                <w:sz w:val="24"/>
                <w:szCs w:val="24"/>
                <w:highlight w:val="none"/>
                <w:lang w:val="zh-CN"/>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30</w:t>
            </w:r>
            <w:r>
              <w:rPr>
                <w:rFonts w:hint="eastAsia" w:ascii="宋体" w:hAnsi="宋体" w:cs="宋体"/>
                <w:bCs/>
                <w:sz w:val="24"/>
                <w:szCs w:val="24"/>
                <w:highlight w:val="none"/>
              </w:rPr>
            </w:r>
            <w:r/>
          </w:p>
        </w:tc>
      </w:tr>
      <w:tr>
        <w:trPr/>
        <w:tc>
          <w:tcPr>
            <w:tcW w:w="399" w:type="dxa"/>
            <w:vAlign w:val="center"/>
            <w:vMerge w:val="restart"/>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694" w:type="dxa"/>
            <w:vAlign w:val="center"/>
            <w:vMerge w:val="restart"/>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技术 </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（45分）</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529" w:type="dxa"/>
            <w:vAlign w:val="center"/>
            <w:textDirection w:val="lrTb"/>
            <w:noWrap w:val="false"/>
          </w:tcPr>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投标人应对招标文件“第四章 项目需求”中采购设备技术要求响应，全部满足技术要求的得满分31分；加“★”的内容为实质性要求，有一项不符合的，作无效投标处理，加“▲”号指标为重要技术参数，有一项负偏离扣3分；其余技术指标为一般参数，有一项负偏离扣1分。扣完为止。</w:t>
            </w:r>
            <w:r>
              <w:rPr>
                <w:rFonts w:hint="eastAsia" w:ascii="宋体" w:hAnsi="宋体" w:cs="宋体"/>
                <w:bCs/>
                <w:sz w:val="24"/>
                <w:szCs w:val="24"/>
                <w:highlight w:val="none"/>
              </w:rPr>
            </w:r>
            <w:r/>
          </w:p>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注：加★及▲项须在投标文件中提供技术支持资料并加盖公章（如彩页</w:t>
            </w:r>
            <w:r>
              <w:rPr>
                <w:rFonts w:hint="eastAsia" w:ascii="宋体" w:hAnsi="宋体" w:cs="宋体"/>
                <w:bCs/>
                <w:sz w:val="24"/>
                <w:szCs w:val="24"/>
                <w:highlight w:val="none"/>
                <w:lang w:val="en-US" w:eastAsia="zh-CN"/>
              </w:rPr>
              <w:t xml:space="preserve">或</w:t>
            </w:r>
            <w:r>
              <w:rPr>
                <w:rFonts w:hint="eastAsia" w:ascii="宋体" w:hAnsi="宋体" w:cs="宋体"/>
                <w:bCs/>
                <w:sz w:val="24"/>
                <w:szCs w:val="24"/>
                <w:highlight w:val="none"/>
              </w:rPr>
              <w:t xml:space="preserve">官网截图</w:t>
            </w:r>
            <w:r>
              <w:rPr>
                <w:rFonts w:hint="eastAsia" w:ascii="宋体" w:hAnsi="宋体" w:cs="宋体"/>
                <w:bCs/>
                <w:sz w:val="24"/>
                <w:szCs w:val="24"/>
                <w:highlight w:val="none"/>
                <w:lang w:val="en-US" w:eastAsia="zh-CN"/>
              </w:rPr>
              <w:t xml:space="preserve">或</w:t>
            </w:r>
            <w:r>
              <w:rPr>
                <w:rFonts w:hint="eastAsia" w:ascii="宋体" w:hAnsi="宋体" w:cs="宋体"/>
                <w:bCs/>
                <w:sz w:val="24"/>
                <w:szCs w:val="24"/>
                <w:highlight w:val="none"/>
              </w:rPr>
              <w:t xml:space="preserve">具有CNAS或CMA认证资质的检测机构出具的检测报告（若具体指标中另有要求的，以</w:t>
            </w:r>
            <w:r>
              <w:rPr>
                <w:rFonts w:hint="eastAsia" w:ascii="宋体" w:hAnsi="宋体" w:cs="宋体"/>
                <w:bCs/>
                <w:sz w:val="24"/>
                <w:szCs w:val="24"/>
                <w:highlight w:val="none"/>
                <w:lang w:val="en-US" w:eastAsia="zh-CN"/>
              </w:rPr>
              <w:t xml:space="preserve">需求</w:t>
            </w:r>
            <w:r>
              <w:rPr>
                <w:rFonts w:hint="eastAsia" w:ascii="宋体" w:hAnsi="宋体" w:cs="宋体"/>
                <w:bCs/>
                <w:sz w:val="24"/>
                <w:szCs w:val="24"/>
                <w:highlight w:val="none"/>
              </w:rPr>
              <w:t xml:space="preserve">具体指标中的要求为准）。未按要求提供技术支持资料的，视同未对招标文件采购要求作出响应，评审时不予认可。</w:t>
            </w:r>
            <w:r>
              <w:rPr>
                <w:rFonts w:hint="eastAsia" w:ascii="宋体" w:hAnsi="宋体" w:cs="宋体"/>
                <w:bCs/>
                <w:sz w:val="24"/>
                <w:szCs w:val="24"/>
                <w:highlight w:val="none"/>
              </w:rPr>
            </w:r>
            <w:r/>
          </w:p>
          <w:p>
            <w:pPr>
              <w:pStyle w:val="1063"/>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（投标人需在“项目技术及商务需求响应表”中如实逐项填列所投产品的参数及服务承诺，如招标文件要求提供相应证明材料的，应在偏离表中注明证明材料所在投标文件的页码位置）</w:t>
            </w:r>
            <w:r>
              <w:rPr>
                <w:rFonts w:hint="eastAsia" w:ascii="宋体" w:hAnsi="宋体" w:cs="宋体"/>
                <w:bCs/>
                <w:sz w:val="24"/>
                <w:szCs w:val="24"/>
                <w:highlight w:val="none"/>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31</w:t>
            </w:r>
            <w:r>
              <w:rPr>
                <w:rFonts w:hint="eastAsia" w:ascii="宋体" w:hAnsi="宋体" w:cs="宋体"/>
                <w:bCs/>
                <w:sz w:val="24"/>
                <w:szCs w:val="24"/>
                <w:highlight w:val="none"/>
              </w:rPr>
            </w:r>
            <w:r/>
          </w:p>
        </w:tc>
      </w:tr>
      <w:tr>
        <w:trPr/>
        <w:tc>
          <w:tcPr>
            <w:tcW w:w="399"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4"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529" w:type="dxa"/>
            <w:vAlign w:val="center"/>
            <w:textDirection w:val="lrTb"/>
            <w:noWrap w:val="false"/>
          </w:tcPr>
          <w:p>
            <w:pPr>
              <w:pStyle w:val="1063"/>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评委根据投标文件提供的技术保障措施（包括但不限于包括技术团队、技术方案、技术人员等内容）进行综合评分。</w:t>
            </w:r>
            <w:r>
              <w:rPr>
                <w:rFonts w:hint="eastAsia" w:ascii="宋体" w:hAnsi="宋体" w:cs="宋体"/>
                <w:sz w:val="24"/>
                <w:szCs w:val="24"/>
                <w:highlight w:val="none"/>
              </w:rPr>
            </w:r>
            <w:r/>
          </w:p>
          <w:p>
            <w:pPr>
              <w:pStyle w:val="1063"/>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内容全面合理、科学可行、保障措施到位的得7分；</w:t>
            </w:r>
            <w:r>
              <w:rPr>
                <w:rFonts w:hint="eastAsia" w:ascii="宋体" w:hAnsi="宋体" w:cs="宋体"/>
                <w:sz w:val="24"/>
                <w:szCs w:val="24"/>
                <w:highlight w:val="none"/>
              </w:rPr>
            </w:r>
            <w:r/>
          </w:p>
          <w:p>
            <w:pPr>
              <w:pStyle w:val="1063"/>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内容具有一定的全面性、科学性、合理性与可行性、保障措施基本到位的得4分；</w:t>
            </w:r>
            <w:r>
              <w:rPr>
                <w:rFonts w:hint="eastAsia" w:ascii="宋体" w:hAnsi="宋体" w:cs="宋体"/>
                <w:sz w:val="24"/>
                <w:szCs w:val="24"/>
                <w:highlight w:val="none"/>
              </w:rPr>
            </w:r>
            <w:r/>
          </w:p>
          <w:p>
            <w:pPr>
              <w:pStyle w:val="1063"/>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内容片面、科学性、合理性与可行性一般的得1分；</w:t>
            </w:r>
            <w:r>
              <w:rPr>
                <w:rFonts w:hint="eastAsia" w:ascii="宋体" w:hAnsi="宋体" w:cs="宋体"/>
                <w:sz w:val="24"/>
                <w:szCs w:val="24"/>
                <w:highlight w:val="none"/>
              </w:rPr>
            </w:r>
            <w:r/>
          </w:p>
          <w:p>
            <w:pPr>
              <w:pStyle w:val="1063"/>
              <w:spacing w:line="360" w:lineRule="auto"/>
              <w:rPr>
                <w:rFonts w:hint="eastAsia" w:ascii="宋体" w:hAnsi="宋体" w:cs="宋体"/>
                <w:spacing w:val="-2"/>
                <w:sz w:val="24"/>
                <w:szCs w:val="24"/>
                <w:highlight w:val="none"/>
                <w:lang w:val="zh-CN"/>
              </w:rPr>
            </w:pPr>
            <w:r>
              <w:rPr>
                <w:rFonts w:hint="eastAsia" w:ascii="宋体" w:hAnsi="宋体" w:cs="宋体"/>
                <w:sz w:val="24"/>
                <w:szCs w:val="24"/>
                <w:highlight w:val="none"/>
              </w:rPr>
              <w:t xml:space="preserve">未提供不得分。</w:t>
            </w:r>
            <w:r>
              <w:rPr>
                <w:rFonts w:hint="eastAsia" w:ascii="宋体" w:hAnsi="宋体" w:cs="宋体"/>
                <w:spacing w:val="-2"/>
                <w:sz w:val="24"/>
                <w:szCs w:val="24"/>
                <w:highlight w:val="none"/>
                <w:lang w:val="zh-CN"/>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Cs/>
                <w:sz w:val="24"/>
                <w:szCs w:val="24"/>
                <w:highlight w:val="none"/>
              </w:rPr>
            </w:r>
            <w:r/>
          </w:p>
        </w:tc>
      </w:tr>
      <w:tr>
        <w:trPr/>
        <w:tc>
          <w:tcPr>
            <w:tcW w:w="399"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4"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529" w:type="dxa"/>
            <w:vAlign w:val="center"/>
            <w:textDirection w:val="lrTb"/>
            <w:noWrap w:val="false"/>
          </w:tcPr>
          <w:p>
            <w:pPr>
              <w:pStyle w:val="1063"/>
              <w:spacing w:line="360" w:lineRule="auto"/>
              <w:rPr>
                <w:rFonts w:hint="eastAsia" w:ascii="宋体" w:hAnsi="宋体" w:cs="宋体"/>
                <w:spacing w:val="-2"/>
                <w:sz w:val="24"/>
                <w:szCs w:val="24"/>
                <w:highlight w:val="none"/>
                <w:lang w:val="zh-CN"/>
              </w:rPr>
            </w:pPr>
            <w:r>
              <w:rPr>
                <w:rFonts w:hint="eastAsia" w:ascii="宋体" w:hAnsi="宋体" w:cs="宋体"/>
                <w:sz w:val="24"/>
                <w:szCs w:val="24"/>
                <w:highlight w:val="none"/>
              </w:rPr>
              <w:t xml:space="preserve">评委根据投标人提供的产品设备的先进性与可靠性、科研领域有领先的前瞻性、采用的技术处于行业领先水平，得7分；产品性能有待提高、但基本能满足用户对新技术的需求，得4分；产品无突出优势、对市场变化及新技术更新略有欠缺，得1分；产品技术性能落后的不得分。</w:t>
            </w:r>
            <w:r>
              <w:rPr>
                <w:rFonts w:hint="eastAsia" w:ascii="宋体" w:hAnsi="宋体" w:cs="宋体"/>
                <w:spacing w:val="-2"/>
                <w:sz w:val="24"/>
                <w:szCs w:val="24"/>
                <w:highlight w:val="none"/>
                <w:lang w:val="zh-CN"/>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Cs/>
                <w:sz w:val="24"/>
                <w:szCs w:val="24"/>
                <w:highlight w:val="none"/>
              </w:rPr>
            </w:r>
            <w:r/>
          </w:p>
        </w:tc>
      </w:tr>
      <w:tr>
        <w:trPr/>
        <w:tc>
          <w:tcPr>
            <w:tcW w:w="399"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w:t>
            </w:r>
            <w:r>
              <w:rPr>
                <w:rFonts w:hint="eastAsia" w:ascii="宋体" w:hAnsi="宋体" w:cs="宋体"/>
                <w:sz w:val="24"/>
                <w:szCs w:val="24"/>
                <w:highlight w:val="none"/>
              </w:rPr>
            </w:r>
            <w:r/>
          </w:p>
        </w:tc>
        <w:tc>
          <w:tcPr>
            <w:tcW w:w="694" w:type="dxa"/>
            <w:vAlign w:val="center"/>
            <w:vMerge w:val="restart"/>
            <w:textDirection w:val="lrTb"/>
            <w:noWrap w:val="false"/>
          </w:tcPr>
          <w:p>
            <w:pPr>
              <w:pStyle w:val="1063"/>
              <w:jc w:val="center"/>
              <w:spacing w:line="420" w:lineRule="exact"/>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售后服务</w:t>
            </w:r>
            <w:r>
              <w:rPr>
                <w:rFonts w:hint="eastAsia" w:ascii="宋体" w:hAnsi="宋体" w:cs="宋体"/>
                <w:b w:val="0"/>
                <w:bCs/>
                <w:sz w:val="24"/>
                <w:szCs w:val="24"/>
                <w:highlight w:val="none"/>
              </w:rPr>
            </w:r>
            <w:r/>
          </w:p>
          <w:p>
            <w:pPr>
              <w:pStyle w:val="1063"/>
              <w:jc w:val="center"/>
              <w:spacing w:line="360" w:lineRule="auto"/>
              <w:rPr>
                <w:rFonts w:hint="eastAsia" w:ascii="宋体" w:hAnsi="宋体" w:cs="宋体"/>
                <w:b/>
                <w:bCs/>
                <w:sz w:val="24"/>
                <w:szCs w:val="24"/>
                <w:highlight w:val="none"/>
              </w:rPr>
            </w:pPr>
            <w:r>
              <w:rPr>
                <w:rFonts w:hint="eastAsia" w:ascii="宋体" w:hAnsi="宋体" w:cs="宋体"/>
                <w:b w:val="0"/>
                <w:bCs/>
                <w:sz w:val="24"/>
                <w:szCs w:val="24"/>
                <w:highlight w:val="none"/>
              </w:rPr>
              <w:t xml:space="preserve">（14分）</w:t>
            </w:r>
            <w:r>
              <w:rPr>
                <w:rFonts w:hint="eastAsia" w:ascii="宋体" w:hAnsi="宋体" w:cs="宋体"/>
                <w:b/>
                <w:bCs/>
                <w:sz w:val="24"/>
                <w:szCs w:val="24"/>
                <w:highlight w:val="none"/>
              </w:rPr>
            </w:r>
            <w:r/>
          </w:p>
        </w:tc>
        <w:tc>
          <w:tcPr>
            <w:tcW w:w="3529" w:type="dxa"/>
            <w:vAlign w:val="center"/>
            <w:textDirection w:val="lrTb"/>
            <w:noWrap w:val="false"/>
          </w:tcPr>
          <w:p>
            <w:pPr>
              <w:pStyle w:val="1063"/>
              <w:jc w:val="left"/>
              <w:spacing w:line="360" w:lineRule="auto"/>
              <w:rPr>
                <w:rFonts w:hint="eastAsia" w:ascii="宋体" w:hAnsi="宋体" w:cs="宋体"/>
                <w:spacing w:val="-2"/>
                <w:sz w:val="24"/>
                <w:szCs w:val="24"/>
                <w:highlight w:val="none"/>
              </w:rPr>
            </w:pPr>
            <w:r>
              <w:rPr>
                <w:rFonts w:hint="eastAsia" w:ascii="宋体" w:hAnsi="宋体" w:cs="宋体"/>
                <w:spacing w:val="-2"/>
                <w:sz w:val="24"/>
                <w:szCs w:val="24"/>
                <w:highlight w:val="none"/>
              </w:rPr>
              <w:t xml:space="preserve">评委根据供应商提供的售后服务方案（包括但不限于包括维护计划，对故障的响应、处理、定期巡检、其他优惠等承诺等内容）进行综合评分。</w:t>
            </w:r>
            <w:r>
              <w:rPr>
                <w:rFonts w:hint="eastAsia" w:ascii="宋体" w:hAnsi="宋体" w:cs="宋体"/>
                <w:spacing w:val="-2"/>
                <w:sz w:val="24"/>
                <w:szCs w:val="24"/>
                <w:highlight w:val="none"/>
              </w:rPr>
            </w:r>
            <w:r/>
          </w:p>
          <w:p>
            <w:pPr>
              <w:pStyle w:val="1063"/>
              <w:jc w:val="left"/>
              <w:spacing w:line="360" w:lineRule="auto"/>
              <w:rPr>
                <w:rFonts w:hint="eastAsia" w:ascii="宋体" w:hAnsi="宋体" w:cs="宋体"/>
                <w:spacing w:val="-2"/>
                <w:sz w:val="24"/>
                <w:szCs w:val="24"/>
                <w:highlight w:val="none"/>
              </w:rPr>
            </w:pPr>
            <w:r>
              <w:rPr>
                <w:rFonts w:hint="eastAsia" w:ascii="宋体" w:hAnsi="宋体" w:cs="宋体"/>
                <w:spacing w:val="-2"/>
                <w:sz w:val="24"/>
                <w:szCs w:val="24"/>
                <w:highlight w:val="none"/>
              </w:rPr>
              <w:t xml:space="preserve">方案全面具体、科学合理、操作可行的得7分；</w:t>
            </w:r>
            <w:r>
              <w:rPr>
                <w:rFonts w:hint="eastAsia" w:ascii="宋体" w:hAnsi="宋体" w:cs="宋体"/>
                <w:spacing w:val="-2"/>
                <w:sz w:val="24"/>
                <w:szCs w:val="24"/>
                <w:highlight w:val="none"/>
              </w:rPr>
            </w:r>
            <w:r/>
          </w:p>
          <w:p>
            <w:pPr>
              <w:pStyle w:val="1063"/>
              <w:jc w:val="left"/>
              <w:spacing w:line="360" w:lineRule="auto"/>
              <w:rPr>
                <w:rFonts w:hint="eastAsia" w:ascii="宋体" w:hAnsi="宋体" w:cs="宋体"/>
                <w:spacing w:val="-2"/>
                <w:sz w:val="24"/>
                <w:szCs w:val="24"/>
                <w:highlight w:val="none"/>
              </w:rPr>
            </w:pPr>
            <w:r>
              <w:rPr>
                <w:rFonts w:hint="eastAsia" w:ascii="宋体" w:hAnsi="宋体" w:cs="宋体"/>
                <w:spacing w:val="-2"/>
                <w:sz w:val="24"/>
                <w:szCs w:val="24"/>
                <w:highlight w:val="none"/>
              </w:rPr>
              <w:t xml:space="preserve">方案具有一定的全面性、科学性、合理性与可操作性的得4分；</w:t>
            </w:r>
            <w:r>
              <w:rPr>
                <w:rFonts w:hint="eastAsia" w:ascii="宋体" w:hAnsi="宋体" w:cs="宋体"/>
                <w:spacing w:val="-2"/>
                <w:sz w:val="24"/>
                <w:szCs w:val="24"/>
                <w:highlight w:val="none"/>
              </w:rPr>
            </w:r>
            <w:r/>
          </w:p>
          <w:p>
            <w:pPr>
              <w:pStyle w:val="1063"/>
              <w:jc w:val="left"/>
              <w:spacing w:line="360" w:lineRule="auto"/>
              <w:rPr>
                <w:rFonts w:hint="eastAsia" w:ascii="宋体" w:hAnsi="宋体" w:cs="宋体"/>
                <w:spacing w:val="-2"/>
                <w:sz w:val="24"/>
                <w:szCs w:val="24"/>
                <w:highlight w:val="none"/>
              </w:rPr>
            </w:pPr>
            <w:r>
              <w:rPr>
                <w:rFonts w:hint="eastAsia" w:ascii="宋体" w:hAnsi="宋体" w:cs="宋体"/>
                <w:spacing w:val="-2"/>
                <w:sz w:val="24"/>
                <w:szCs w:val="24"/>
                <w:highlight w:val="none"/>
              </w:rPr>
              <w:t xml:space="preserve">方案全面性、科学性一般的得1分；</w:t>
            </w:r>
            <w:r>
              <w:rPr>
                <w:rFonts w:hint="eastAsia" w:ascii="宋体" w:hAnsi="宋体" w:cs="宋体"/>
                <w:spacing w:val="-2"/>
                <w:sz w:val="24"/>
                <w:szCs w:val="24"/>
                <w:highlight w:val="none"/>
              </w:rPr>
            </w:r>
            <w:r/>
          </w:p>
          <w:p>
            <w:pPr>
              <w:pStyle w:val="1063"/>
              <w:jc w:val="left"/>
              <w:spacing w:line="360" w:lineRule="auto"/>
              <w:rPr>
                <w:rFonts w:hint="eastAsia" w:ascii="宋体" w:hAnsi="宋体" w:cs="宋体"/>
                <w:spacing w:val="-2"/>
                <w:sz w:val="24"/>
                <w:szCs w:val="24"/>
                <w:highlight w:val="none"/>
              </w:rPr>
            </w:pPr>
            <w:r>
              <w:rPr>
                <w:rFonts w:hint="eastAsia" w:ascii="宋体" w:hAnsi="宋体" w:cs="宋体"/>
                <w:spacing w:val="-2"/>
                <w:sz w:val="24"/>
                <w:szCs w:val="24"/>
                <w:highlight w:val="none"/>
              </w:rPr>
              <w:t xml:space="preserve">未提供不得分。</w:t>
            </w:r>
            <w:r>
              <w:rPr>
                <w:rFonts w:hint="eastAsia" w:ascii="宋体" w:hAnsi="宋体" w:cs="宋体"/>
                <w:spacing w:val="-2"/>
                <w:sz w:val="24"/>
                <w:szCs w:val="24"/>
                <w:highlight w:val="none"/>
              </w:rPr>
            </w:r>
            <w:r/>
          </w:p>
        </w:tc>
        <w:tc>
          <w:tcPr>
            <w:tcW w:w="376" w:type="dxa"/>
            <w:vAlign w:val="center"/>
            <w:textDirection w:val="lrTb"/>
            <w:noWrap w:val="false"/>
          </w:tcPr>
          <w:p>
            <w:pPr>
              <w:pStyle w:val="1063"/>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7</w:t>
            </w:r>
            <w:r>
              <w:rPr>
                <w:rFonts w:ascii="宋体" w:hAnsi="宋体" w:cs="宋体"/>
                <w:bCs/>
                <w:sz w:val="24"/>
                <w:szCs w:val="24"/>
                <w:highlight w:val="none"/>
              </w:rPr>
            </w:r>
            <w:r/>
          </w:p>
        </w:tc>
      </w:tr>
      <w:tr>
        <w:trPr/>
        <w:tc>
          <w:tcPr>
            <w:tcW w:w="399"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w:t>
            </w:r>
            <w:r>
              <w:rPr>
                <w:rFonts w:hint="eastAsia" w:ascii="宋体" w:hAnsi="宋体" w:cs="宋体"/>
                <w:sz w:val="24"/>
                <w:szCs w:val="24"/>
                <w:highlight w:val="none"/>
              </w:rPr>
            </w:r>
            <w:r/>
          </w:p>
        </w:tc>
        <w:tc>
          <w:tcPr>
            <w:tcW w:w="694" w:type="dxa"/>
            <w:vAlign w:val="center"/>
            <w:vMerge w:val="continue"/>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W w:w="3529" w:type="dxa"/>
            <w:vAlign w:val="center"/>
            <w:textDirection w:val="lrTb"/>
            <w:noWrap w:val="false"/>
          </w:tcPr>
          <w:p>
            <w:pPr>
              <w:pStyle w:val="1063"/>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评委根据供应商提供的培训方案（包括但不限于培训课时、周期、培训资料等内容）进行综合评分。</w:t>
            </w:r>
            <w:r>
              <w:rPr>
                <w:rFonts w:hint="eastAsia" w:ascii="宋体" w:hAnsi="宋体" w:cs="宋体"/>
                <w:sz w:val="24"/>
                <w:szCs w:val="24"/>
                <w:highlight w:val="none"/>
              </w:rPr>
            </w:r>
            <w:r/>
          </w:p>
          <w:p>
            <w:pPr>
              <w:pStyle w:val="1063"/>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方案全面具体、科学合理、操作可行的得7分；</w:t>
            </w:r>
            <w:r>
              <w:rPr>
                <w:rFonts w:hint="eastAsia" w:ascii="宋体" w:hAnsi="宋体" w:cs="宋体"/>
                <w:sz w:val="24"/>
                <w:szCs w:val="24"/>
                <w:highlight w:val="none"/>
              </w:rPr>
            </w:r>
            <w:r/>
          </w:p>
          <w:p>
            <w:pPr>
              <w:pStyle w:val="1063"/>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方案具有一定的全面性、科学性、合理性与可操作性的得4分；</w:t>
            </w:r>
            <w:r>
              <w:rPr>
                <w:rFonts w:hint="eastAsia" w:ascii="宋体" w:hAnsi="宋体" w:cs="宋体"/>
                <w:sz w:val="24"/>
                <w:szCs w:val="24"/>
                <w:highlight w:val="none"/>
              </w:rPr>
            </w:r>
            <w:r/>
          </w:p>
          <w:p>
            <w:pPr>
              <w:pStyle w:val="1063"/>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方案内容片面的得1分；</w:t>
            </w:r>
            <w:r>
              <w:rPr>
                <w:rFonts w:hint="eastAsia" w:ascii="宋体" w:hAnsi="宋体" w:cs="宋体"/>
                <w:sz w:val="24"/>
                <w:szCs w:val="24"/>
                <w:highlight w:val="none"/>
              </w:rPr>
            </w:r>
            <w:r/>
          </w:p>
          <w:p>
            <w:pPr>
              <w:pStyle w:val="1063"/>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未提供不得分。</w:t>
            </w:r>
            <w:r>
              <w:rPr>
                <w:rFonts w:hint="eastAsia" w:ascii="宋体" w:hAnsi="宋体" w:cs="宋体"/>
                <w:sz w:val="24"/>
                <w:szCs w:val="24"/>
                <w:highlight w:val="none"/>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Cs/>
                <w:sz w:val="24"/>
                <w:szCs w:val="24"/>
                <w:highlight w:val="none"/>
              </w:rPr>
            </w:r>
            <w:r/>
          </w:p>
        </w:tc>
      </w:tr>
      <w:tr>
        <w:trPr/>
        <w:tc>
          <w:tcPr>
            <w:tcW w:w="399"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694" w:type="dxa"/>
            <w:vAlign w:val="center"/>
            <w:textDirection w:val="lrTb"/>
            <w:noWrap w:val="false"/>
          </w:tcPr>
          <w:p>
            <w:pPr>
              <w:pStyle w:val="1063"/>
              <w:jc w:val="center"/>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业绩</w:t>
            </w:r>
            <w:r>
              <w:rPr>
                <w:rFonts w:hint="eastAsia" w:ascii="宋体" w:hAnsi="宋体" w:cs="宋体"/>
                <w:spacing w:val="-2"/>
                <w:sz w:val="24"/>
                <w:szCs w:val="24"/>
                <w:highlight w:val="none"/>
                <w:lang w:val="zh-CN"/>
              </w:rPr>
            </w:r>
            <w:r/>
          </w:p>
          <w:p>
            <w:pPr>
              <w:pStyle w:val="1063"/>
              <w:jc w:val="center"/>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（8分）</w:t>
            </w:r>
            <w:r>
              <w:rPr>
                <w:rFonts w:hint="eastAsia" w:ascii="宋体" w:hAnsi="宋体" w:cs="宋体"/>
                <w:spacing w:val="-2"/>
                <w:sz w:val="24"/>
                <w:szCs w:val="24"/>
                <w:highlight w:val="none"/>
                <w:lang w:val="zh-CN"/>
              </w:rPr>
            </w:r>
            <w:r/>
          </w:p>
        </w:tc>
        <w:tc>
          <w:tcPr>
            <w:tcW w:w="3529" w:type="dxa"/>
            <w:vAlign w:val="top"/>
            <w:textDirection w:val="lrTb"/>
            <w:noWrap w:val="false"/>
          </w:tcPr>
          <w:p>
            <w:pPr>
              <w:pStyle w:val="1158"/>
              <w:jc w:val="left"/>
              <w:spacing w:before="114" w:line="360" w:lineRule="auto"/>
              <w:rPr>
                <w:rFonts w:hint="eastAsia"/>
                <w:spacing w:val="-2"/>
                <w:sz w:val="24"/>
                <w:szCs w:val="24"/>
                <w:highlight w:val="none"/>
                <w:lang w:val="zh-CN" w:eastAsia="zh-CN"/>
              </w:rPr>
            </w:pPr>
            <w:r>
              <w:rPr>
                <w:rFonts w:hint="eastAsia"/>
                <w:spacing w:val="-2"/>
                <w:sz w:val="24"/>
                <w:szCs w:val="24"/>
                <w:highlight w:val="none"/>
                <w:lang w:val="zh-CN" w:eastAsia="zh-CN"/>
              </w:rPr>
              <w:t xml:space="preserve">自2023年1月1日（含）以来，投标人</w:t>
            </w:r>
            <w:r>
              <w:rPr>
                <w:rFonts w:hint="eastAsia"/>
                <w:spacing w:val="-2"/>
                <w:sz w:val="24"/>
                <w:szCs w:val="24"/>
                <w:highlight w:val="none"/>
                <w:lang w:eastAsia="zh-CN"/>
              </w:rPr>
              <w:t xml:space="preserve">或所投产品制造商</w:t>
            </w:r>
            <w:r>
              <w:rPr>
                <w:rFonts w:hint="eastAsia"/>
                <w:spacing w:val="-2"/>
                <w:sz w:val="24"/>
                <w:szCs w:val="24"/>
                <w:highlight w:val="none"/>
                <w:lang w:val="zh-CN" w:eastAsia="zh-CN"/>
              </w:rPr>
              <w:t xml:space="preserve">承担过</w:t>
            </w:r>
            <w:r>
              <w:rPr>
                <w:rFonts w:hint="eastAsia"/>
                <w:sz w:val="24"/>
                <w:szCs w:val="24"/>
                <w:highlight w:val="none"/>
                <w:lang w:eastAsia="zh-CN"/>
              </w:rPr>
              <w:t xml:space="preserve">类似</w:t>
            </w:r>
            <w:r>
              <w:rPr>
                <w:rFonts w:hint="eastAsia"/>
                <w:spacing w:val="-2"/>
                <w:sz w:val="24"/>
                <w:szCs w:val="24"/>
                <w:highlight w:val="none"/>
                <w:lang w:val="zh-CN" w:eastAsia="zh-CN"/>
              </w:rPr>
              <w:t xml:space="preserve">项目业绩，且通过验收的，每提供一项得2分，本项最高得8分（投标文件中提供合同、验收单及发票复印件，其中合同和验收单复印件需加盖公章，时间以合同签订时间为准，合同需能反映产品清单，未提供或提供不全不得分）。</w:t>
            </w:r>
            <w:r>
              <w:rPr>
                <w:rFonts w:hint="eastAsia"/>
                <w:spacing w:val="-2"/>
                <w:sz w:val="24"/>
                <w:szCs w:val="24"/>
                <w:highlight w:val="none"/>
                <w:lang w:val="zh-CN" w:eastAsia="zh-CN"/>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w:t>
            </w:r>
            <w:r>
              <w:rPr>
                <w:rFonts w:hint="eastAsia" w:ascii="宋体" w:hAnsi="宋体" w:cs="宋体"/>
                <w:bCs/>
                <w:sz w:val="24"/>
                <w:szCs w:val="24"/>
                <w:highlight w:val="none"/>
              </w:rPr>
            </w:r>
            <w:r/>
          </w:p>
        </w:tc>
      </w:tr>
      <w:tr>
        <w:trPr/>
        <w:tc>
          <w:tcPr>
            <w:tcW w:w="399"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694"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b w:val="0"/>
                <w:bCs/>
                <w:sz w:val="24"/>
                <w:szCs w:val="24"/>
                <w:highlight w:val="none"/>
              </w:rPr>
              <w:t xml:space="preserve">综合实力（3分</w:t>
            </w:r>
            <w:r>
              <w:rPr>
                <w:rFonts w:hint="eastAsia" w:ascii="宋体" w:hAnsi="宋体" w:cs="宋体"/>
                <w:b/>
                <w:sz w:val="24"/>
                <w:szCs w:val="24"/>
                <w:highlight w:val="none"/>
              </w:rPr>
              <w:t xml:space="preserve">）</w:t>
            </w:r>
            <w:r>
              <w:rPr>
                <w:rFonts w:hint="eastAsia" w:ascii="宋体" w:hAnsi="宋体" w:cs="宋体"/>
                <w:sz w:val="24"/>
                <w:szCs w:val="24"/>
                <w:highlight w:val="none"/>
              </w:rPr>
            </w:r>
            <w:r/>
          </w:p>
        </w:tc>
        <w:tc>
          <w:tcPr>
            <w:tcW w:w="3529" w:type="dxa"/>
            <w:vAlign w:val="center"/>
            <w:textDirection w:val="lrTb"/>
            <w:noWrap w:val="false"/>
          </w:tcPr>
          <w:p>
            <w:pPr>
              <w:pStyle w:val="1063"/>
              <w:numPr>
                <w:ilvl w:val="0"/>
                <w:numId w:val="0"/>
              </w:numPr>
              <w:spacing w:line="420" w:lineRule="exact"/>
              <w:rPr>
                <w:rFonts w:hint="eastAsia" w:ascii="宋体" w:hAnsi="宋体" w:cs="宋体"/>
                <w:sz w:val="24"/>
                <w:szCs w:val="24"/>
                <w:highlight w:val="none"/>
              </w:rPr>
            </w:pPr>
            <w:r>
              <w:rPr>
                <w:rFonts w:hint="eastAsia" w:ascii="Segoe UI" w:hAnsi="Segoe UI" w:eastAsia="宋体" w:cs="Segoe UI"/>
                <w:color w:val="0f1115"/>
                <w:sz w:val="24"/>
                <w:szCs w:val="24"/>
                <w:highlight w:val="none"/>
                <w:shd w:val="clear" w:color="auto" w:fill="ffffff"/>
                <w:lang w:val="en-US" w:eastAsia="zh-CN"/>
              </w:rPr>
              <w:t xml:space="preserve">投标人或</w:t>
            </w:r>
            <w:r>
              <w:rPr>
                <w:rFonts w:ascii="Segoe UI" w:hAnsi="Segoe UI" w:eastAsia="Segoe UI" w:cs="Segoe UI"/>
                <w:i w:val="0"/>
                <w:iCs w:val="0"/>
                <w:caps w:val="0"/>
                <w:color w:val="0f1115"/>
                <w:spacing w:val="0"/>
                <w:sz w:val="24"/>
                <w:szCs w:val="24"/>
                <w:highlight w:val="none"/>
                <w:shd w:val="clear" w:color="auto" w:fill="ffffff"/>
              </w:rPr>
              <w:t xml:space="preserve">所投产品制造商</w:t>
            </w:r>
            <w:r>
              <w:rPr>
                <w:rFonts w:hint="eastAsia" w:ascii="宋体" w:hAnsi="宋体" w:cs="宋体"/>
                <w:sz w:val="24"/>
                <w:szCs w:val="24"/>
                <w:highlight w:val="none"/>
                <w:lang w:bidi="ar"/>
              </w:rPr>
              <w:t xml:space="preserve">每拥有1项与高光谱相关的软件著作权证证书得1分，最高得</w:t>
            </w: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分；</w:t>
            </w:r>
            <w:r>
              <w:rPr>
                <w:rFonts w:hint="eastAsia" w:ascii="宋体" w:hAnsi="宋体" w:cs="宋体"/>
                <w:sz w:val="24"/>
                <w:szCs w:val="24"/>
                <w:highlight w:val="none"/>
              </w:rPr>
            </w:r>
            <w:r/>
          </w:p>
          <w:p>
            <w:pPr>
              <w:pStyle w:val="1063"/>
              <w:jc w:val="left"/>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注：</w:t>
            </w:r>
            <w:r>
              <w:rPr>
                <w:rFonts w:hint="eastAsia" w:ascii="宋体" w:hAnsi="宋体" w:cs="宋体"/>
                <w:sz w:val="24"/>
                <w:szCs w:val="24"/>
                <w:highlight w:val="none"/>
                <w:lang w:val="en-US" w:eastAsia="zh-CN" w:bidi="ar"/>
              </w:rPr>
              <w:t xml:space="preserve">投标人提供所投产品制造商证书的，须同时</w:t>
            </w:r>
            <w:r>
              <w:rPr>
                <w:rFonts w:hint="eastAsia" w:ascii="宋体" w:hAnsi="宋体" w:cs="宋体"/>
                <w:sz w:val="24"/>
                <w:szCs w:val="24"/>
                <w:highlight w:val="none"/>
                <w:lang w:bidi="ar"/>
              </w:rPr>
              <w:t xml:space="preserve">提供</w:t>
            </w:r>
            <w:r>
              <w:rPr>
                <w:rFonts w:hint="eastAsia" w:ascii="宋体" w:hAnsi="宋体" w:cs="宋体"/>
                <w:sz w:val="24"/>
                <w:szCs w:val="24"/>
                <w:highlight w:val="none"/>
                <w:lang w:val="en-US" w:eastAsia="zh-CN" w:bidi="ar"/>
              </w:rPr>
              <w:t xml:space="preserve">制造商对本项目的授权书（或技术支持承诺函）并加盖双方公章。</w:t>
            </w:r>
            <w:r>
              <w:rPr>
                <w:rFonts w:hint="eastAsia" w:ascii="宋体" w:hAnsi="宋体" w:cs="宋体"/>
                <w:sz w:val="24"/>
                <w:szCs w:val="24"/>
                <w:highlight w:val="none"/>
              </w:rPr>
            </w:r>
            <w:r/>
          </w:p>
          <w:p>
            <w:pPr>
              <w:pStyle w:val="1063"/>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本项最高得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分（投标文件中须提供相关证明材料复印件加盖投标人公章）。</w:t>
            </w:r>
            <w:r>
              <w:rPr>
                <w:rFonts w:hint="eastAsia" w:ascii="宋体" w:hAnsi="宋体" w:cs="宋体"/>
                <w:sz w:val="24"/>
                <w:szCs w:val="24"/>
                <w:highlight w:val="none"/>
              </w:rPr>
            </w:r>
            <w:r/>
          </w:p>
        </w:tc>
        <w:tc>
          <w:tcPr>
            <w:tcW w:w="376"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rPr>
            </w:r>
            <w:r/>
          </w:p>
        </w:tc>
      </w:tr>
      <w:tr>
        <w:trPr>
          <w:trHeight w:val="628"/>
        </w:trPr>
        <w:tc>
          <w:tcPr>
            <w:gridSpan w:val="3"/>
            <w:tcW w:w="8736" w:type="dxa"/>
            <w:vAlign w:val="center"/>
            <w:textDirection w:val="lrTb"/>
            <w:noWrap w:val="false"/>
          </w:tcPr>
          <w:p>
            <w:pPr>
              <w:pStyle w:val="1063"/>
              <w:ind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总分</w:t>
            </w:r>
            <w:r>
              <w:rPr>
                <w:rFonts w:hint="eastAsia" w:ascii="宋体" w:hAnsi="宋体" w:cs="宋体"/>
                <w:b/>
                <w:bCs/>
                <w:sz w:val="24"/>
                <w:szCs w:val="24"/>
                <w:highlight w:val="none"/>
              </w:rPr>
            </w:r>
            <w:r/>
          </w:p>
        </w:tc>
        <w:tc>
          <w:tcPr>
            <w:tcW w:w="376"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100</w:t>
            </w:r>
            <w:r>
              <w:rPr>
                <w:rFonts w:hint="eastAsia" w:ascii="宋体" w:hAnsi="宋体" w:cs="宋体"/>
                <w:b/>
                <w:bCs/>
                <w:sz w:val="24"/>
                <w:szCs w:val="24"/>
                <w:highlight w:val="none"/>
              </w:rPr>
            </w:r>
            <w:r/>
          </w:p>
        </w:tc>
      </w:tr>
    </w:tbl>
    <w:p>
      <w:pPr>
        <w:pStyle w:val="1063"/>
        <w:ind w:firstLine="422"/>
        <w:spacing w:line="312" w:lineRule="auto"/>
        <w:rPr>
          <w:rFonts w:hint="eastAsia" w:ascii="宋体" w:hAnsi="宋体" w:cs="宋体"/>
          <w:b/>
          <w:bCs/>
          <w:highlight w:val="none"/>
        </w:rPr>
      </w:pPr>
      <w:r/>
      <w:bookmarkStart w:id="86" w:name="_Hlk106727412"/>
      <w:r/>
      <w:bookmarkStart w:id="87" w:name="_Toc32487"/>
      <w:r>
        <w:rPr>
          <w:rFonts w:hint="eastAsia" w:ascii="宋体" w:hAnsi="宋体" w:cs="宋体"/>
          <w:b/>
          <w:bCs/>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6"/>
      <w:r>
        <w:rPr>
          <w:rFonts w:hint="eastAsia" w:ascii="宋体" w:hAnsi="宋体" w:cs="宋体"/>
          <w:b/>
          <w:bCs/>
          <w:highlight w:val="none"/>
        </w:rPr>
      </w:r>
      <w:r/>
    </w:p>
    <w:p>
      <w:pPr>
        <w:pStyle w:val="1063"/>
        <w:ind w:firstLine="422"/>
        <w:spacing w:line="312" w:lineRule="auto"/>
        <w:rPr>
          <w:rFonts w:hint="eastAsia" w:ascii="宋体" w:hAnsi="宋体" w:cs="宋体"/>
          <w:b/>
          <w:bCs/>
          <w:highlight w:val="none"/>
        </w:rPr>
      </w:pPr>
      <w:r>
        <w:rPr>
          <w:rFonts w:hint="eastAsia" w:ascii="宋体" w:hAnsi="宋体" w:cs="宋体"/>
          <w:b/>
          <w:bCs/>
          <w:highlight w:val="none"/>
        </w:rPr>
        <w:t xml:space="preserve">说明：</w:t>
      </w:r>
      <w:r>
        <w:rPr>
          <w:rFonts w:hint="eastAsia" w:ascii="宋体" w:hAnsi="宋体" w:cs="宋体"/>
          <w:b/>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供应商提供的货物、工程或者服务符合下列情形的，享受本办法规定的中小企业扶持政策：</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（1）在货物采购项目中，货物由中小企业制造，即货物由中小企业生产且使用该中小企业商号或者注册商标；</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（2）在工程采购项目中，工程由中小企业承建，即工程施工单位为中小企业；</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cs="宋体"/>
          <w:bCs/>
          <w:highlight w:val="none"/>
        </w:rPr>
      </w:r>
      <w:r/>
    </w:p>
    <w:p>
      <w:pPr>
        <w:pStyle w:val="1063"/>
        <w:ind w:firstLine="420"/>
        <w:spacing w:line="312" w:lineRule="auto"/>
        <w:tabs>
          <w:tab w:val="left" w:pos="1080" w:leader="none"/>
          <w:tab w:val="left" w:pos="1589" w:leader="none"/>
        </w:tabs>
        <w:rPr>
          <w:rFonts w:hint="eastAsia" w:ascii="宋体" w:hAnsi="宋体" w:cs="宋体"/>
          <w:bCs/>
          <w:highlight w:val="none"/>
        </w:rPr>
      </w:pPr>
      <w:r>
        <w:rPr>
          <w:rFonts w:hint="eastAsia" w:ascii="宋体" w:hAnsi="宋体" w:cs="宋体"/>
          <w:bCs/>
          <w:highlight w:val="none"/>
        </w:rPr>
        <w:t xml:space="preserve">（四）采购本国产品的支持政策</w:t>
      </w:r>
      <w:r>
        <w:rPr>
          <w:rFonts w:hint="eastAsia" w:ascii="宋体" w:hAnsi="宋体" w:cs="宋体"/>
          <w:bCs/>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（五）异常低价审查</w:t>
      </w:r>
      <w:r>
        <w:rPr>
          <w:rFonts w:hint="eastAsia" w:ascii="宋体" w:hAnsi="宋体" w:cs="宋体"/>
          <w:bCs/>
          <w:highlight w:val="none"/>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lang w:val="zh-CN"/>
        </w:rPr>
        <w:t xml:space="preserve">评审过程中出现下列情形之一的，评标委员会应当启动异常低价投标审查程序:</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rPr>
        <w:t xml:space="preserve">（1）</w:t>
      </w:r>
      <w:r>
        <w:rPr>
          <w:rFonts w:hint="eastAsia" w:ascii="宋体" w:hAnsi="宋体" w:cs="宋体"/>
          <w:highlight w:val="none"/>
          <w:lang w:val="zh-CN"/>
        </w:rPr>
        <w:t xml:space="preserve">报价低于全部通过符合性审查</w:t>
      </w:r>
      <w:r>
        <w:rPr>
          <w:rFonts w:hint="eastAsia" w:ascii="宋体" w:hAnsi="宋体" w:cs="宋体"/>
          <w:highlight w:val="none"/>
        </w:rPr>
        <w:t xml:space="preserve">投标人</w:t>
      </w:r>
      <w:r>
        <w:rPr>
          <w:rFonts w:hint="eastAsia" w:ascii="宋体" w:hAnsi="宋体" w:cs="宋体"/>
          <w:highlight w:val="none"/>
          <w:lang w:val="zh-CN"/>
        </w:rPr>
        <w:t xml:space="preserve">投标（响应）报价平均值50%的，即投标（响应）报价&lt;全部通过符合性审查</w:t>
      </w:r>
      <w:r>
        <w:rPr>
          <w:rFonts w:hint="eastAsia" w:ascii="宋体" w:hAnsi="宋体" w:cs="宋体"/>
          <w:highlight w:val="none"/>
        </w:rPr>
        <w:t xml:space="preserve">投标人</w:t>
      </w:r>
      <w:r>
        <w:rPr>
          <w:rFonts w:hint="eastAsia" w:ascii="宋体" w:hAnsi="宋体" w:cs="宋体"/>
          <w:highlight w:val="none"/>
          <w:lang w:val="zh-CN"/>
        </w:rPr>
        <w:t xml:space="preserve">投标（响应）报价平均值×50%；</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rPr>
        <w:t xml:space="preserve">（2）</w:t>
      </w:r>
      <w:r>
        <w:rPr>
          <w:rFonts w:hint="eastAsia" w:ascii="宋体" w:hAnsi="宋体" w:cs="宋体"/>
          <w:highlight w:val="none"/>
          <w:lang w:val="zh-CN"/>
        </w:rPr>
        <w:t xml:space="preserve">报价低于通过符合性审查的次低报价供应商投标（响应）报价50%的，即投标（响应）报价&lt;通过符合性审查的次低报价供应商投标（响应）报价×50%；</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rPr>
        <w:t xml:space="preserve">（3）</w:t>
      </w:r>
      <w:r>
        <w:rPr>
          <w:rFonts w:hint="eastAsia" w:ascii="宋体" w:hAnsi="宋体" w:cs="宋体"/>
          <w:highlight w:val="none"/>
          <w:lang w:val="zh-CN"/>
        </w:rPr>
        <w:t xml:space="preserve">报价低于采购项目最高限价45%的，即投标（响应）报价&lt;采购项目最高限价×45%；</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zh-CN"/>
        </w:rPr>
        <w:t xml:space="preserve">评审委员会基于专业判断，认为</w:t>
      </w:r>
      <w:r>
        <w:rPr>
          <w:rFonts w:hint="eastAsia" w:ascii="宋体" w:hAnsi="宋体" w:cs="宋体"/>
          <w:highlight w:val="none"/>
        </w:rPr>
        <w:t xml:space="preserve">投标人</w:t>
      </w:r>
      <w:r>
        <w:rPr>
          <w:rFonts w:hint="eastAsia" w:ascii="宋体" w:hAnsi="宋体" w:cs="宋体"/>
          <w:highlight w:val="none"/>
          <w:lang w:val="zh-CN"/>
        </w:rPr>
        <w:t xml:space="preserve">报价过低，有可能影响产品质量或者不能诚信履约的其他情形。针对异常低价，</w:t>
      </w:r>
      <w:r>
        <w:rPr>
          <w:rFonts w:hint="eastAsia" w:ascii="宋体" w:hAnsi="宋体" w:cs="宋体"/>
          <w:highlight w:val="none"/>
        </w:rPr>
        <w:t xml:space="preserve">投标人需</w:t>
      </w:r>
      <w:r>
        <w:rPr>
          <w:rFonts w:hint="eastAsia" w:ascii="宋体" w:hAnsi="宋体" w:cs="宋体"/>
          <w:highlight w:val="none"/>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rPr>
          <w:rFonts w:hint="eastAsia" w:ascii="宋体" w:hAnsi="宋体" w:cs="宋体"/>
          <w:highlight w:val="none"/>
        </w:rPr>
      </w:r>
      <w:r/>
    </w:p>
    <w:p>
      <w:pPr>
        <w:pStyle w:val="1063"/>
        <w:ind w:firstLine="420"/>
        <w:spacing w:line="360" w:lineRule="auto"/>
        <w:rPr>
          <w:rFonts w:ascii="宋体" w:hAnsi="宋体" w:cs="宋体"/>
          <w:bCs/>
          <w:highlight w:val="none"/>
        </w:rPr>
        <w:sectPr>
          <w:footerReference w:type="default" r:id="rId18"/>
          <w:footnotePr/>
          <w:endnotePr/>
          <w:type w:val="nextPage"/>
          <w:pgSz w:w="11906" w:h="16838" w:orient="portrait"/>
          <w:pgMar w:top="1253" w:right="1253" w:bottom="1253" w:left="1253" w:header="851" w:footer="992" w:gutter="0"/>
          <w:cols w:num="1" w:sep="0" w:space="1701" w:equalWidth="1"/>
          <w:docGrid w:linePitch="360"/>
        </w:sectPr>
      </w:pPr>
      <w:r>
        <w:rPr>
          <w:rFonts w:ascii="宋体" w:hAnsi="宋体" w:cs="宋体"/>
          <w:bCs/>
          <w:highlight w:val="none"/>
        </w:rPr>
      </w:r>
      <w:r/>
    </w:p>
    <w:p>
      <w:pPr>
        <w:pStyle w:val="1121"/>
        <w:pageBreakBefore/>
        <w:spacing w:after="319" w:line="360" w:lineRule="auto"/>
        <w:widowControl w:val="off"/>
        <w:rPr>
          <w:rStyle w:val="1097"/>
          <w:rFonts w:hint="eastAsia" w:ascii="宋体" w:hAnsi="宋体" w:eastAsia="宋体" w:cs="宋体"/>
          <w:sz w:val="40"/>
          <w:szCs w:val="40"/>
          <w:highlight w:val="none"/>
        </w:rPr>
      </w:pPr>
      <w:r/>
      <w:bookmarkStart w:id="88" w:name="_Toc7926"/>
      <w:r/>
      <w:bookmarkStart w:id="89" w:name="_Toc24020"/>
      <w:r/>
      <w:bookmarkStart w:id="90" w:name="_Toc1249"/>
      <w:r/>
      <w:bookmarkStart w:id="91" w:name="_Toc17689"/>
      <w:r/>
      <w:bookmarkStart w:id="92" w:name="_Toc8148"/>
      <w:r/>
      <w:bookmarkStart w:id="93" w:name="_Toc23386"/>
      <w:r/>
      <w:bookmarkStart w:id="94" w:name="_Toc3075"/>
      <w:r/>
      <w:bookmarkStart w:id="95" w:name="_Toc2887"/>
      <w:r/>
      <w:bookmarkStart w:id="96" w:name="_Toc2670"/>
      <w:r/>
      <w:bookmarkStart w:id="97" w:name="_Toc22895"/>
      <w:r/>
      <w:bookmarkStart w:id="98" w:name="_Toc26517"/>
      <w:r/>
      <w:bookmarkStart w:id="99" w:name="_Toc4162"/>
      <w:r/>
      <w:bookmarkStart w:id="100" w:name="_Toc32227"/>
      <w:r/>
      <w:bookmarkStart w:id="101" w:name="_Toc21279"/>
      <w:r>
        <w:rPr>
          <w:rStyle w:val="1097"/>
          <w:rFonts w:hint="eastAsia" w:ascii="宋体" w:hAnsi="宋体" w:eastAsia="宋体" w:cs="宋体"/>
          <w:sz w:val="40"/>
          <w:szCs w:val="40"/>
          <w:highlight w:val="none"/>
        </w:rPr>
        <w:t xml:space="preserve">第六章  投标文件格式</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Style w:val="1097"/>
          <w:rFonts w:hint="eastAsia" w:ascii="宋体" w:hAnsi="宋体" w:eastAsia="宋体" w:cs="宋体"/>
          <w:sz w:val="40"/>
          <w:szCs w:val="40"/>
          <w:highlight w:val="none"/>
        </w:rPr>
      </w:r>
      <w:r/>
    </w:p>
    <w:p>
      <w:pPr>
        <w:pStyle w:val="1063"/>
        <w:ind w:firstLine="1928"/>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r>
      <w:r/>
    </w:p>
    <w:p>
      <w:pPr>
        <w:pStyle w:val="1063"/>
        <w:ind w:firstLine="1928"/>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r>
      <w:r/>
    </w:p>
    <w:p>
      <w:pPr>
        <w:pStyle w:val="1063"/>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t xml:space="preserve">投 标 文 件</w:t>
      </w:r>
      <w:r>
        <w:rPr>
          <w:rFonts w:hint="eastAsia" w:ascii="宋体" w:hAnsi="宋体" w:cs="宋体"/>
          <w:b/>
          <w:bCs/>
          <w:sz w:val="96"/>
          <w:szCs w:val="96"/>
          <w:highlight w:val="none"/>
        </w:rPr>
      </w:r>
      <w:r/>
    </w:p>
    <w:p>
      <w:pPr>
        <w:pStyle w:val="1063"/>
        <w:ind w:firstLine="1446"/>
        <w:spacing w:line="360" w:lineRule="auto"/>
        <w:rPr>
          <w:rFonts w:hint="eastAsia" w:ascii="宋体" w:hAnsi="宋体" w:cs="宋体"/>
          <w:b/>
          <w:bCs/>
          <w:sz w:val="72"/>
          <w:szCs w:val="72"/>
          <w:highlight w:val="none"/>
        </w:rPr>
      </w:pPr>
      <w:r>
        <w:rPr>
          <w:rFonts w:hint="eastAsia" w:ascii="宋体" w:hAnsi="宋体" w:cs="宋体"/>
          <w:b/>
          <w:bCs/>
          <w:sz w:val="72"/>
          <w:szCs w:val="72"/>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7"/>
        <w:ind w:firstLine="420"/>
        <w:spacing w:line="360" w:lineRule="auto"/>
        <w:rPr>
          <w:rFonts w:hint="eastAsia" w:ascii="宋体" w:hAnsi="宋体" w:cs="宋体"/>
          <w:highlight w:val="none"/>
        </w:rPr>
      </w:pPr>
      <w:r>
        <w:rPr>
          <w:rFonts w:hint="eastAsia" w:ascii="宋体" w:hAnsi="宋体" w:cs="宋体"/>
          <w:highlight w:val="none"/>
        </w:rPr>
      </w:r>
      <w:r/>
    </w:p>
    <w:p>
      <w:pPr>
        <w:pStyle w:val="1063"/>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ascii="宋体" w:hAnsi="宋体"/>
          <w:b/>
          <w:color w:val="000000"/>
          <w:sz w:val="36"/>
          <w:highlight w:val="none"/>
        </w:rPr>
      </w:r>
      <w:r/>
    </w:p>
    <w:p>
      <w:pPr>
        <w:pStyle w:val="1063"/>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ascii="宋体" w:hAnsi="宋体"/>
          <w:b/>
          <w:color w:val="000000"/>
          <w:sz w:val="36"/>
          <w:highlight w:val="none"/>
          <w:u w:val="single"/>
        </w:rPr>
      </w:r>
      <w:r/>
    </w:p>
    <w:p>
      <w:pPr>
        <w:pStyle w:val="1063"/>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rFonts w:ascii="宋体" w:hAnsi="宋体"/>
          <w:b/>
          <w:color w:val="000000"/>
          <w:sz w:val="36"/>
          <w:highlight w:val="none"/>
          <w:u w:val="single"/>
        </w:rPr>
      </w:r>
      <w:r/>
    </w:p>
    <w:p>
      <w:pPr>
        <w:pStyle w:val="1063"/>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ascii="宋体" w:hAnsi="宋体"/>
          <w:b/>
          <w:color w:val="000000"/>
          <w:sz w:val="36"/>
          <w:highlight w:val="none"/>
          <w:u w:val="single"/>
        </w:rPr>
      </w:r>
      <w:r/>
    </w:p>
    <w:p>
      <w:pPr>
        <w:pStyle w:val="1063"/>
        <w:ind w:firstLine="723"/>
        <w:jc w:val="center"/>
        <w:spacing w:line="360" w:lineRule="auto"/>
        <w:rPr>
          <w:rFonts w:hint="eastAsia" w:ascii="宋体" w:hAnsi="宋体" w:cs="宋体"/>
          <w:b/>
          <w:bCs/>
          <w:sz w:val="28"/>
          <w:szCs w:val="28"/>
          <w:highlight w:val="none"/>
        </w:rPr>
        <w:outlineLvl w:val="0"/>
      </w:pPr>
      <w:r>
        <w:rPr>
          <w:rFonts w:hint="eastAsia" w:ascii="宋体" w:hAnsi="宋体" w:cs="宋体"/>
          <w:b/>
          <w:bCs/>
          <w:sz w:val="36"/>
          <w:szCs w:val="36"/>
          <w:highlight w:val="none"/>
          <w:u w:val="single"/>
        </w:rPr>
        <w:br w:type="page" w:clear="all"/>
      </w:r>
      <w:bookmarkStart w:id="102" w:name="_Toc13790"/>
      <w:r/>
      <w:bookmarkStart w:id="103" w:name="_Toc7141"/>
      <w:r/>
      <w:bookmarkStart w:id="104" w:name="_Toc3128"/>
      <w:r/>
      <w:bookmarkStart w:id="105" w:name="_Toc22571"/>
      <w:r/>
      <w:bookmarkStart w:id="106" w:name="_Toc19311"/>
      <w:r/>
      <w:bookmarkStart w:id="107" w:name="_Toc8825"/>
      <w:r/>
      <w:bookmarkStart w:id="108" w:name="_Toc10180"/>
      <w:r/>
      <w:bookmarkStart w:id="109" w:name="_Toc27980"/>
      <w:r/>
      <w:bookmarkStart w:id="110" w:name="_Toc325"/>
      <w:r/>
      <w:bookmarkStart w:id="111" w:name="_Toc19377"/>
      <w:r/>
      <w:bookmarkStart w:id="112" w:name="_Toc24970"/>
      <w:r/>
      <w:bookmarkStart w:id="113" w:name="_Toc20614"/>
      <w:r/>
      <w:bookmarkStart w:id="114" w:name="_Toc18257"/>
      <w:r/>
      <w:bookmarkStart w:id="115" w:name="_Toc6344"/>
      <w:r/>
      <w:bookmarkStart w:id="116" w:name="_Toc16181"/>
      <w:r/>
      <w:bookmarkStart w:id="117" w:name="_Toc10236"/>
      <w:r/>
      <w:bookmarkStart w:id="118" w:name="_Toc8204"/>
      <w:r/>
      <w:bookmarkStart w:id="119" w:name="_Toc30261"/>
      <w:r/>
      <w:bookmarkStart w:id="120" w:name="_Toc23997"/>
      <w:r/>
      <w:bookmarkStart w:id="121" w:name="_Toc9946"/>
      <w:r/>
      <w:bookmarkStart w:id="122" w:name="_Toc31709"/>
      <w:r/>
      <w:bookmarkStart w:id="123" w:name="_Toc22845"/>
      <w:r/>
      <w:bookmarkStart w:id="124" w:name="_Toc9076"/>
      <w:r/>
      <w:bookmarkStart w:id="125" w:name="_Toc624"/>
      <w:r/>
      <w:bookmarkStart w:id="126" w:name="_Toc15260"/>
      <w:r/>
      <w:bookmarkStart w:id="127" w:name="_Toc32113"/>
      <w:r/>
      <w:bookmarkStart w:id="128" w:name="_Toc27729"/>
      <w:r/>
      <w:bookmarkStart w:id="129" w:name="_Toc19645"/>
      <w:r/>
      <w:bookmarkStart w:id="130" w:name="_Toc24811"/>
      <w:r/>
      <w:bookmarkStart w:id="131" w:name="_Toc10117"/>
      <w:r/>
      <w:bookmarkStart w:id="132" w:name="_Toc3439"/>
      <w:r/>
      <w:bookmarkStart w:id="133" w:name="_Toc16802"/>
      <w:r/>
      <w:bookmarkStart w:id="134" w:name="_Toc21981"/>
      <w:r/>
      <w:bookmarkStart w:id="135" w:name="_Toc16841"/>
      <w:r/>
      <w:bookmarkStart w:id="136" w:name="_Toc3515"/>
      <w:r/>
      <w:bookmarkStart w:id="137" w:name="_Toc24255"/>
      <w:r>
        <w:rPr>
          <w:rFonts w:hint="eastAsia" w:ascii="宋体" w:hAnsi="宋体" w:cs="宋体"/>
          <w:b/>
          <w:bCs/>
          <w:sz w:val="36"/>
          <w:szCs w:val="36"/>
          <w:highlight w:val="none"/>
        </w:rPr>
        <w:t xml:space="preserve">评分索引表</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ascii="宋体" w:hAnsi="宋体" w:cs="宋体"/>
          <w:b/>
          <w:bCs/>
          <w:sz w:val="28"/>
          <w:szCs w:val="28"/>
          <w:highlight w:val="none"/>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t xml:space="preserve">评分项目</w:t>
            </w: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t xml:space="preserve">在投标文件中的页码位置</w:t>
            </w: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bl>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p>
      <w:pPr>
        <w:pStyle w:val="1063"/>
        <w:ind w:firstLine="420"/>
        <w:jc w:val="center"/>
        <w:spacing w:line="360" w:lineRule="auto"/>
        <w:rPr>
          <w:rFonts w:hint="eastAsia" w:ascii="宋体" w:hAnsi="宋体" w:cs="宋体"/>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highlight w:val="none"/>
        </w:rPr>
      </w:r>
      <w:r/>
    </w:p>
    <w:p>
      <w:pPr>
        <w:pStyle w:val="1063"/>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1063"/>
        <w:jc w:val="center"/>
        <w:spacing w:line="360" w:lineRule="auto"/>
        <w:rPr>
          <w:rFonts w:ascii="宋体" w:hAnsi="宋体" w:cs="宋体"/>
          <w:sz w:val="28"/>
          <w:szCs w:val="28"/>
        </w:rPr>
      </w:pPr>
      <w:r>
        <w:rPr>
          <w:rFonts w:hint="eastAsia" w:ascii="宋体" w:hAnsi="宋体"/>
          <w:b/>
          <w:bCs/>
          <w:color w:val="000000"/>
          <w:sz w:val="32"/>
          <w:szCs w:val="32"/>
        </w:rPr>
        <w:t xml:space="preserve">投标文件目录</w:t>
      </w:r>
      <w:r>
        <w:rPr>
          <w:rFonts w:ascii="宋体" w:hAnsi="宋体" w:cs="宋体"/>
          <w:sz w:val="28"/>
          <w:szCs w:val="28"/>
        </w:rPr>
      </w:r>
      <w:r/>
    </w:p>
    <w:p>
      <w:pPr>
        <w:pStyle w:val="1063"/>
        <w:ind w:firstLine="560"/>
        <w:spacing w:line="360" w:lineRule="auto"/>
        <w:rPr>
          <w:rFonts w:ascii="宋体" w:hAnsi="宋体" w:cs="宋体"/>
          <w:sz w:val="24"/>
          <w:szCs w:val="24"/>
        </w:rPr>
      </w:pPr>
      <w:r>
        <w:rPr>
          <w:rFonts w:ascii="宋体" w:hAnsi="宋体" w:cs="宋体"/>
          <w:sz w:val="24"/>
          <w:szCs w:val="24"/>
        </w:rPr>
        <w:t xml:space="preserve">一、资格要求的证明文件</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二、投标函</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三、法定代表人授权委托书</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四、开标一览表</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五、报价明细表</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六、技术要求响应表</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七、商务要求响应表</w:t>
      </w:r>
      <w:r>
        <w:rPr>
          <w:rFonts w:ascii="宋体" w:hAnsi="宋体" w:cs="宋体"/>
          <w:sz w:val="24"/>
          <w:szCs w:val="24"/>
        </w:rPr>
      </w:r>
      <w:r/>
    </w:p>
    <w:p>
      <w:pPr>
        <w:pStyle w:val="1063"/>
        <w:ind w:firstLine="560"/>
        <w:spacing w:line="360" w:lineRule="auto"/>
        <w:rPr>
          <w:rFonts w:hint="eastAsia" w:ascii="宋体" w:hAnsi="宋体" w:cs="宋体"/>
          <w:sz w:val="24"/>
          <w:szCs w:val="24"/>
          <w:lang w:val="en-US" w:eastAsia="zh-CN"/>
        </w:rPr>
      </w:pPr>
      <w:r>
        <w:rPr>
          <w:rFonts w:ascii="宋体" w:hAnsi="宋体" w:cs="宋体"/>
          <w:sz w:val="24"/>
          <w:szCs w:val="24"/>
        </w:rPr>
        <w:t xml:space="preserve">八、</w:t>
      </w:r>
      <w:r>
        <w:rPr>
          <w:rFonts w:hint="eastAsia" w:ascii="宋体" w:hAnsi="宋体" w:cs="宋体"/>
          <w:sz w:val="24"/>
          <w:szCs w:val="24"/>
          <w:lang w:val="en-US" w:eastAsia="zh-CN"/>
        </w:rPr>
        <w:t xml:space="preserve">业绩</w:t>
      </w:r>
      <w:r>
        <w:rPr>
          <w:rFonts w:hint="eastAsia" w:ascii="宋体" w:hAnsi="宋体" w:cs="宋体"/>
          <w:sz w:val="24"/>
          <w:szCs w:val="24"/>
          <w:lang w:val="en-US" w:eastAsia="zh-CN"/>
        </w:rPr>
      </w:r>
      <w:r/>
    </w:p>
    <w:p>
      <w:pPr>
        <w:pStyle w:val="1063"/>
        <w:ind w:firstLine="560"/>
        <w:spacing w:line="360" w:lineRule="auto"/>
        <w:rPr>
          <w:rFonts w:ascii="宋体" w:hAnsi="宋体" w:cs="宋体"/>
          <w:sz w:val="24"/>
          <w:szCs w:val="24"/>
          <w:lang w:val="en-US" w:eastAsia="zh-CN"/>
        </w:rPr>
      </w:pPr>
      <w:r>
        <w:rPr>
          <w:rFonts w:hint="eastAsia" w:ascii="宋体" w:hAnsi="宋体" w:cs="宋体"/>
          <w:sz w:val="24"/>
          <w:szCs w:val="24"/>
          <w:lang w:val="en-US" w:eastAsia="zh-CN"/>
        </w:rPr>
        <w:t xml:space="preserve">九、方案（格式自拟）</w:t>
      </w:r>
      <w:r>
        <w:rPr>
          <w:rFonts w:ascii="宋体" w:hAnsi="宋体" w:cs="宋体"/>
          <w:sz w:val="24"/>
          <w:szCs w:val="24"/>
          <w:lang w:val="en-US" w:eastAsia="zh-CN"/>
        </w:rPr>
      </w:r>
      <w:r/>
    </w:p>
    <w:p>
      <w:pPr>
        <w:pStyle w:val="1063"/>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w:t>
      </w:r>
      <w:r>
        <w:rPr>
          <w:rFonts w:ascii="宋体" w:hAnsi="宋体" w:cs="宋体"/>
          <w:sz w:val="24"/>
          <w:szCs w:val="24"/>
        </w:rPr>
        <w:t xml:space="preserve">具备履行合同所必需的设备和专业技术能力的书面声明</w:t>
      </w:r>
      <w:r>
        <w:rPr>
          <w:rFonts w:ascii="宋体" w:hAnsi="宋体" w:cs="宋体"/>
          <w:sz w:val="24"/>
          <w:szCs w:val="24"/>
        </w:rPr>
      </w:r>
      <w:r/>
    </w:p>
    <w:p>
      <w:pPr>
        <w:pStyle w:val="1063"/>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十一</w:t>
      </w:r>
      <w:r>
        <w:rPr>
          <w:rFonts w:ascii="宋体" w:hAnsi="宋体" w:cs="宋体"/>
          <w:sz w:val="24"/>
          <w:szCs w:val="24"/>
        </w:rPr>
        <w:t xml:space="preserve">、三年内无重大违纪声明</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二</w:t>
      </w:r>
      <w:r>
        <w:rPr>
          <w:rFonts w:ascii="宋体" w:hAnsi="宋体" w:cs="宋体"/>
          <w:sz w:val="24"/>
          <w:szCs w:val="24"/>
        </w:rPr>
        <w:t xml:space="preserve">、</w:t>
      </w:r>
      <w:r>
        <w:rPr>
          <w:rFonts w:ascii="宋体" w:hAnsi="宋体" w:cs="宋体"/>
          <w:color w:val="000000"/>
          <w:sz w:val="24"/>
          <w:szCs w:val="24"/>
        </w:rPr>
        <w:t xml:space="preserve">中小企业声明函格式</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三</w:t>
      </w:r>
      <w:r>
        <w:rPr>
          <w:rFonts w:ascii="宋体" w:hAnsi="宋体" w:cs="宋体"/>
          <w:sz w:val="24"/>
          <w:szCs w:val="24"/>
        </w:rPr>
        <w:t xml:space="preserve">、残疾人福利性单位声明函</w:t>
      </w:r>
      <w:r>
        <w:rPr>
          <w:rFonts w:ascii="宋体" w:hAnsi="宋体" w:cs="宋体"/>
          <w:sz w:val="24"/>
          <w:szCs w:val="24"/>
        </w:rPr>
      </w:r>
      <w:r/>
    </w:p>
    <w:p>
      <w:pPr>
        <w:pStyle w:val="1063"/>
        <w:ind w:firstLine="560"/>
        <w:spacing w:line="360" w:lineRule="auto"/>
        <w:rPr>
          <w:rFonts w:ascii="宋体" w:hAnsi="宋体" w:cs="宋体"/>
          <w:sz w:val="24"/>
          <w:szCs w:val="24"/>
        </w:rPr>
      </w:pPr>
      <w:r>
        <w:rPr>
          <w:rFonts w:ascii="宋体" w:hAnsi="宋体" w:cs="宋体"/>
          <w:sz w:val="24"/>
          <w:szCs w:val="24"/>
        </w:rPr>
        <w:t xml:space="preserve">十</w:t>
      </w:r>
      <w:r>
        <w:rPr>
          <w:rFonts w:hint="eastAsia" w:ascii="宋体" w:hAnsi="宋体" w:cs="宋体"/>
          <w:sz w:val="24"/>
          <w:szCs w:val="24"/>
          <w:lang w:val="en-US" w:eastAsia="zh-CN"/>
        </w:rPr>
        <w:t xml:space="preserve">四</w:t>
      </w:r>
      <w:r>
        <w:rPr>
          <w:rFonts w:ascii="宋体" w:hAnsi="宋体" w:cs="宋体"/>
          <w:sz w:val="24"/>
          <w:szCs w:val="24"/>
        </w:rPr>
        <w:t xml:space="preserve">、关于符合本国产品标准的声明函</w:t>
      </w:r>
      <w:r>
        <w:rPr>
          <w:rFonts w:ascii="宋体" w:hAnsi="宋体" w:cs="宋体"/>
          <w:sz w:val="24"/>
          <w:szCs w:val="24"/>
        </w:rPr>
      </w:r>
      <w:r/>
    </w:p>
    <w:p>
      <w:pPr>
        <w:pStyle w:val="1063"/>
        <w:ind w:firstLine="560"/>
        <w:spacing w:line="360" w:lineRule="auto"/>
        <w:rPr>
          <w:rFonts w:ascii="宋体" w:hAnsi="宋体" w:cs="宋体"/>
          <w:sz w:val="24"/>
          <w:szCs w:val="24"/>
        </w:rPr>
      </w:pPr>
      <w:r>
        <w:rPr>
          <w:rFonts w:hint="eastAsia" w:ascii="宋体" w:hAnsi="宋体" w:cs="宋体"/>
          <w:sz w:val="24"/>
          <w:szCs w:val="24"/>
          <w:lang w:val="en-US" w:eastAsia="zh-CN"/>
        </w:rPr>
        <w:t xml:space="preserve">十</w:t>
      </w:r>
      <w:r>
        <w:rPr>
          <w:rFonts w:hint="eastAsia" w:ascii="宋体" w:hAnsi="宋体" w:cs="宋体"/>
          <w:sz w:val="24"/>
          <w:szCs w:val="24"/>
          <w:lang w:val="en-US" w:eastAsia="zh-CN"/>
        </w:rPr>
        <w:t xml:space="preserve">五</w:t>
      </w:r>
      <w:r>
        <w:rPr>
          <w:rFonts w:ascii="宋体" w:hAnsi="宋体" w:cs="宋体"/>
          <w:sz w:val="24"/>
          <w:szCs w:val="24"/>
        </w:rPr>
        <w:t xml:space="preserve">、</w:t>
      </w:r>
      <w:r>
        <w:rPr>
          <w:rFonts w:hint="eastAsia" w:ascii="宋体" w:hAnsi="宋体" w:cs="宋体"/>
          <w:sz w:val="24"/>
          <w:szCs w:val="24"/>
          <w:lang w:val="en-US" w:eastAsia="zh-CN"/>
        </w:rPr>
        <w:t xml:space="preserve">其他（如有）</w:t>
      </w:r>
      <w:r>
        <w:rPr>
          <w:rFonts w:ascii="宋体" w:hAnsi="宋体" w:cs="宋体"/>
          <w:sz w:val="24"/>
          <w:szCs w:val="24"/>
        </w:rPr>
      </w:r>
      <w:r/>
    </w:p>
    <w:p>
      <w:pPr>
        <w:pStyle w:val="1082"/>
        <w:numPr>
          <w:ilvl w:val="0"/>
          <w:numId w:val="0"/>
        </w:numPr>
        <w:ind w:firstLine="482"/>
        <w:spacing w:line="360" w:lineRule="auto"/>
        <w:rPr>
          <w:b/>
          <w:color w:val="000000"/>
          <w:sz w:val="24"/>
          <w:szCs w:val="24"/>
        </w:rPr>
      </w:pPr>
      <w:r>
        <w:rPr>
          <w:b/>
          <w:color w:val="000000"/>
          <w:sz w:val="24"/>
          <w:szCs w:val="24"/>
        </w:rPr>
        <w:t xml:space="preserve">注：如招标文件中提供的投标文件格式与苏采云系统内不一致的，以招标文件内的格式为准。</w:t>
      </w:r>
      <w:r>
        <w:rPr>
          <w:b/>
          <w:color w:val="000000"/>
          <w:sz w:val="24"/>
          <w:szCs w:val="24"/>
        </w:rPr>
      </w:r>
      <w:r/>
    </w:p>
    <w:p>
      <w:pPr>
        <w:pStyle w:val="1063"/>
        <w:ind w:firstLine="420"/>
        <w:jc w:val="center"/>
        <w:spacing w:line="360" w:lineRule="auto"/>
        <w:rPr>
          <w:rFonts w:ascii="宋体" w:hAnsi="宋体" w:cs="宋体"/>
          <w:color w:val="000000"/>
          <w:sz w:val="21"/>
          <w:szCs w:val="21"/>
        </w:rPr>
        <w:sectPr>
          <w:headerReference w:type="default" r:id="rId12"/>
          <w:footerReference w:type="default" r:id="rId19"/>
          <w:footnotePr/>
          <w:endnotePr/>
          <w:type w:val="nextPage"/>
          <w:pgSz w:w="11906" w:h="16838" w:orient="portrait"/>
          <w:pgMar w:top="1253" w:right="1253" w:bottom="1253" w:left="1253" w:header="624" w:footer="992" w:gutter="0"/>
          <w:lnNumType w:countBy="0" w:start="1"/>
          <w:cols w:num="1" w:sep="0" w:space="1701" w:equalWidth="1"/>
          <w:docGrid w:linePitch="360"/>
        </w:sectPr>
      </w:pPr>
      <w:r>
        <w:rPr>
          <w:rFonts w:ascii="宋体" w:hAnsi="宋体" w:cs="宋体"/>
          <w:color w:val="000000"/>
          <w:sz w:val="21"/>
          <w:szCs w:val="21"/>
        </w:rPr>
      </w:r>
      <w:r/>
    </w:p>
    <w:p>
      <w:pPr>
        <w:pStyle w:val="1063"/>
      </w:pPr>
      <w:r/>
      <w:r/>
    </w:p>
    <w:p>
      <w:pPr>
        <w:pStyle w:val="1123"/>
        <w:numPr>
          <w:ilvl w:val="0"/>
          <w:numId w:val="0"/>
        </w:numPr>
        <w:ind w:left="0" w:firstLine="0"/>
        <w:jc w:val="center"/>
        <w:spacing w:line="360" w:lineRule="auto"/>
        <w:tabs>
          <w:tab w:val="left" w:pos="720" w:leader="none"/>
        </w:tabs>
        <w:rPr>
          <w:rFonts w:ascii="宋体" w:hAnsi="宋体" w:cs="宋体"/>
          <w:color w:val="000000"/>
          <w:sz w:val="36"/>
          <w:szCs w:val="36"/>
        </w:rPr>
        <w:outlineLvl w:val="0"/>
      </w:pPr>
      <w:r/>
      <w:bookmarkStart w:id="138" w:name="_Toc21166"/>
      <w:r>
        <w:rPr>
          <w:rFonts w:ascii="宋体" w:hAnsi="宋体" w:cs="宋体"/>
          <w:color w:val="000000"/>
          <w:sz w:val="36"/>
          <w:szCs w:val="36"/>
        </w:rPr>
        <w:t xml:space="preserve">一、资格要求的证明文件</w:t>
      </w:r>
      <w:bookmarkEnd w:id="138"/>
      <w:r>
        <w:rPr>
          <w:rFonts w:ascii="宋体" w:hAnsi="宋体" w:cs="宋体"/>
          <w:color w:val="000000"/>
          <w:sz w:val="36"/>
          <w:szCs w:val="36"/>
        </w:rPr>
      </w:r>
      <w:r/>
    </w:p>
    <w:p>
      <w:pPr>
        <w:pStyle w:val="1063"/>
        <w:ind w:firstLine="480"/>
        <w:rPr>
          <w:rFonts w:ascii="宋体" w:hAnsi="宋体" w:cs="宋体"/>
          <w:b w:val="0"/>
          <w:bCs w:val="0"/>
          <w:color w:val="000000"/>
          <w:sz w:val="24"/>
          <w:szCs w:val="32"/>
        </w:rPr>
      </w:pPr>
      <w:r>
        <w:rPr>
          <w:sz w:val="24"/>
          <w:szCs w:val="24"/>
        </w:rPr>
        <w:t xml:space="preserve">本项目申请人的特定资格要求中要求提供的材料（加盖电子公章）</w:t>
      </w:r>
      <w:r>
        <w:rPr>
          <w:rFonts w:ascii="宋体" w:hAnsi="宋体" w:cs="宋体"/>
          <w:b w:val="0"/>
          <w:bCs w:val="0"/>
          <w:color w:val="000000"/>
          <w:sz w:val="24"/>
          <w:szCs w:val="32"/>
        </w:rPr>
      </w:r>
      <w:r/>
    </w:p>
    <w:p>
      <w:pPr>
        <w:pStyle w:val="1123"/>
        <w:numPr>
          <w:ilvl w:val="0"/>
          <w:numId w:val="0"/>
        </w:numPr>
        <w:jc w:val="center"/>
        <w:spacing w:line="360" w:lineRule="auto"/>
        <w:tabs>
          <w:tab w:val="left" w:pos="720" w:leader="none"/>
        </w:tabs>
        <w:rPr>
          <w:rFonts w:hint="eastAsia" w:ascii="宋体" w:hAnsi="宋体" w:cs="宋体"/>
          <w:sz w:val="36"/>
          <w:szCs w:val="36"/>
        </w:rPr>
        <w:sectPr>
          <w:footnotePr/>
          <w:endnotePr/>
          <w:type w:val="nextPage"/>
          <w:pgSz w:w="11906" w:h="16838" w:orient="portrait"/>
          <w:pgMar w:top="1253" w:right="1253" w:bottom="1253" w:left="1253" w:header="851" w:footer="992" w:gutter="0"/>
          <w:cols w:num="1" w:sep="0" w:space="1701" w:equalWidth="1"/>
          <w:docGrid w:linePitch="360"/>
        </w:sectPr>
        <w:outlineLvl w:val="0"/>
      </w:pPr>
      <w:r>
        <w:rPr>
          <w:rFonts w:hint="eastAsia" w:ascii="宋体" w:hAnsi="宋体" w:cs="宋体"/>
          <w:sz w:val="36"/>
          <w:szCs w:val="36"/>
        </w:rPr>
      </w:r>
      <w:r/>
    </w:p>
    <w:p>
      <w:pPr>
        <w:pStyle w:val="1123"/>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sz w:val="36"/>
          <w:szCs w:val="36"/>
          <w:lang w:val="en-US" w:eastAsia="zh-CN"/>
        </w:rPr>
        <w:t xml:space="preserve">二</w:t>
      </w:r>
      <w:r>
        <w:rPr>
          <w:rFonts w:hint="eastAsia" w:ascii="宋体" w:hAnsi="宋体" w:cs="宋体"/>
          <w:sz w:val="36"/>
          <w:szCs w:val="36"/>
        </w:rPr>
        <w:t xml:space="preserve">、投标函</w:t>
      </w:r>
      <w:r>
        <w:rPr>
          <w:rFonts w:hint="eastAsia" w:ascii="宋体" w:hAnsi="宋体" w:cs="宋体"/>
          <w:sz w:val="36"/>
          <w:szCs w:val="36"/>
        </w:rPr>
      </w:r>
      <w:r/>
    </w:p>
    <w:p>
      <w:pPr>
        <w:pStyle w:val="1119"/>
        <w:ind w:firstLine="0"/>
        <w:spacing w:before="0" w:after="0"/>
        <w:rPr>
          <w:rFonts w:ascii="宋体" w:hAnsi="宋体"/>
          <w:szCs w:val="21"/>
        </w:rPr>
      </w:pPr>
      <w:r>
        <w:rPr>
          <w:rFonts w:hint="eastAsia" w:ascii="宋体" w:hAnsi="宋体"/>
          <w:szCs w:val="21"/>
        </w:rPr>
        <w:t xml:space="preserve">致：南京达琛鑫工程咨询有限公司</w:t>
      </w:r>
      <w:r>
        <w:rPr>
          <w:rFonts w:ascii="宋体" w:hAnsi="宋体"/>
          <w:szCs w:val="21"/>
        </w:rPr>
      </w:r>
      <w:r/>
    </w:p>
    <w:p>
      <w:pPr>
        <w:pStyle w:val="1119"/>
        <w:spacing w:before="0" w:after="0"/>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lang w:val="zh-CN"/>
        </w:rPr>
        <w:t xml:space="preserve">（项目编号）</w:t>
      </w:r>
      <w:r>
        <w:rPr>
          <w:rFonts w:hint="eastAsia" w:ascii="宋体" w:hAnsi="宋体"/>
          <w:szCs w:val="21"/>
        </w:rPr>
        <w:t xml:space="preserve">招标文件，正式授权下述签字人</w:t>
      </w:r>
      <w:r>
        <w:rPr>
          <w:rFonts w:hint="eastAsia" w:ascii="宋体" w:hAnsi="宋体"/>
          <w:szCs w:val="21"/>
          <w:u w:val="single"/>
        </w:rPr>
        <w:t xml:space="preserve">     </w:t>
      </w:r>
      <w:r>
        <w:rPr>
          <w:rFonts w:hint="eastAsia" w:ascii="宋体" w:hAnsi="宋体"/>
          <w:szCs w:val="21"/>
        </w:rPr>
        <w:t xml:space="preserve">(姓名)代表我方</w:t>
      </w:r>
      <w:r>
        <w:rPr>
          <w:rFonts w:hint="eastAsia" w:ascii="宋体" w:hAnsi="宋体"/>
          <w:szCs w:val="21"/>
          <w:u w:val="single"/>
        </w:rPr>
        <w:t xml:space="preserve">        </w:t>
      </w:r>
      <w:r>
        <w:rPr>
          <w:rFonts w:hint="eastAsia" w:ascii="宋体" w:hAnsi="宋体"/>
          <w:szCs w:val="21"/>
        </w:rPr>
        <w:t xml:space="preserve">（投标人的名称），全权处理本次项目投标的有关事宜。</w:t>
      </w:r>
      <w:r>
        <w:rPr>
          <w:rFonts w:ascii="宋体" w:hAnsi="宋体"/>
          <w:szCs w:val="21"/>
        </w:rPr>
      </w:r>
      <w:r/>
    </w:p>
    <w:p>
      <w:pPr>
        <w:pStyle w:val="1119"/>
        <w:spacing w:before="0" w:after="0"/>
        <w:rPr>
          <w:rFonts w:ascii="宋体" w:hAnsi="宋体"/>
          <w:szCs w:val="21"/>
        </w:rPr>
      </w:pPr>
      <w:r>
        <w:rPr>
          <w:rFonts w:hint="eastAsia" w:ascii="宋体" w:hAnsi="宋体"/>
          <w:szCs w:val="21"/>
        </w:rPr>
        <w:t xml:space="preserve">据此函，签字人兹宣布同意如下：</w:t>
      </w:r>
      <w:r>
        <w:rPr>
          <w:rFonts w:ascii="宋体" w:hAnsi="宋体"/>
          <w:szCs w:val="21"/>
        </w:rPr>
      </w:r>
      <w:r/>
    </w:p>
    <w:p>
      <w:pPr>
        <w:pStyle w:val="1119"/>
        <w:spacing w:before="0" w:after="0"/>
        <w:rPr>
          <w:rFonts w:ascii="宋体" w:hAnsi="宋体"/>
          <w:szCs w:val="21"/>
        </w:rPr>
      </w:pPr>
      <w:r>
        <w:rPr>
          <w:rFonts w:hint="eastAsia" w:ascii="宋体" w:hAnsi="宋体"/>
          <w:szCs w:val="21"/>
        </w:rPr>
        <w:t xml:space="preserve">1.按招标文件规定的各项要求，向买方提供所需货物（包含与货物相关的服务）。</w:t>
      </w:r>
      <w:r>
        <w:rPr>
          <w:rFonts w:ascii="宋体" w:hAnsi="宋体"/>
          <w:szCs w:val="21"/>
        </w:rPr>
      </w:r>
      <w:r/>
    </w:p>
    <w:p>
      <w:pPr>
        <w:pStyle w:val="1119"/>
        <w:spacing w:before="0" w:after="0"/>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1119"/>
        <w:spacing w:before="0" w:after="0"/>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1119"/>
        <w:spacing w:before="0" w:after="0"/>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1119"/>
        <w:spacing w:before="0" w:after="0"/>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1119"/>
        <w:spacing w:before="0" w:after="0"/>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1063"/>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rPr>
          <w:rFonts w:ascii="宋体" w:hAnsi="宋体"/>
          <w:sz w:val="24"/>
          <w:szCs w:val="24"/>
        </w:rPr>
      </w:r>
      <w:r/>
    </w:p>
    <w:p>
      <w:pPr>
        <w:pStyle w:val="1119"/>
        <w:spacing w:before="0" w:after="0"/>
        <w:rPr>
          <w:rFonts w:ascii="宋体" w:hAnsi="宋体"/>
          <w:szCs w:val="21"/>
        </w:rPr>
      </w:pPr>
      <w:r>
        <w:rPr>
          <w:rFonts w:hint="eastAsia" w:ascii="宋体" w:hAnsi="宋体"/>
          <w:szCs w:val="21"/>
        </w:rPr>
        <w:t xml:space="preserve">8.与本投标有关的正式通讯地址为：</w:t>
      </w:r>
      <w:r>
        <w:rPr>
          <w:rFonts w:ascii="宋体" w:hAnsi="宋体"/>
          <w:szCs w:val="21"/>
        </w:rPr>
      </w:r>
      <w:r/>
    </w:p>
    <w:p>
      <w:pPr>
        <w:pStyle w:val="1119"/>
        <w:ind w:left="420"/>
        <w:spacing w:before="0" w:after="0"/>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（加盖CA电子公章）     </w:t>
      </w:r>
      <w:r>
        <w:rPr>
          <w:rFonts w:ascii="宋体" w:hAnsi="宋体"/>
          <w:szCs w:val="21"/>
          <w:u w:val="single"/>
        </w:rPr>
      </w:r>
      <w:r/>
    </w:p>
    <w:p>
      <w:pPr>
        <w:pStyle w:val="1119"/>
        <w:ind w:left="420"/>
        <w:spacing w:before="0" w:after="0"/>
        <w:rPr>
          <w:rFonts w:ascii="宋体" w:hAnsi="宋体"/>
          <w:szCs w:val="21"/>
          <w:u w:val="single"/>
        </w:rPr>
      </w:pPr>
      <w:r>
        <w:rPr>
          <w:rFonts w:hint="eastAsia" w:ascii="宋体" w:hAnsi="宋体"/>
          <w:szCs w:val="21"/>
        </w:rPr>
        <w:t xml:space="preserve">地      址：</w:t>
      </w:r>
      <w:r>
        <w:rPr>
          <w:rFonts w:ascii="宋体" w:hAnsi="宋体"/>
          <w:szCs w:val="21"/>
          <w:u w:val="single"/>
        </w:rPr>
      </w:r>
      <w:r/>
    </w:p>
    <w:p>
      <w:pPr>
        <w:pStyle w:val="1119"/>
        <w:ind w:left="420"/>
        <w:spacing w:before="0" w:after="0"/>
        <w:rPr>
          <w:rFonts w:ascii="宋体" w:hAnsi="宋体"/>
          <w:szCs w:val="21"/>
          <w:u w:val="single"/>
        </w:rPr>
      </w:pPr>
      <w:r>
        <w:rPr>
          <w:rFonts w:hint="eastAsia" w:ascii="宋体" w:hAnsi="宋体"/>
          <w:szCs w:val="21"/>
        </w:rPr>
        <w:t xml:space="preserve">邮      编：</w:t>
      </w:r>
      <w:r>
        <w:rPr>
          <w:rFonts w:ascii="宋体" w:hAnsi="宋体"/>
          <w:szCs w:val="21"/>
          <w:u w:val="single"/>
        </w:rPr>
      </w:r>
      <w:r/>
    </w:p>
    <w:p>
      <w:pPr>
        <w:pStyle w:val="1119"/>
        <w:ind w:left="420"/>
        <w:spacing w:before="0" w:after="0"/>
        <w:rPr>
          <w:rFonts w:ascii="宋体" w:hAnsi="宋体"/>
          <w:szCs w:val="21"/>
          <w:u w:val="single"/>
        </w:rPr>
      </w:pPr>
      <w:r>
        <w:rPr>
          <w:rFonts w:hint="eastAsia" w:ascii="宋体" w:hAnsi="宋体"/>
          <w:szCs w:val="21"/>
        </w:rPr>
        <w:t xml:space="preserve">电      话：</w:t>
      </w:r>
      <w:r>
        <w:rPr>
          <w:rFonts w:ascii="宋体" w:hAnsi="宋体"/>
          <w:szCs w:val="21"/>
          <w:u w:val="single"/>
        </w:rPr>
      </w:r>
      <w:r/>
    </w:p>
    <w:p>
      <w:pPr>
        <w:pStyle w:val="1119"/>
        <w:ind w:left="420"/>
        <w:spacing w:before="0" w:after="0"/>
        <w:rPr>
          <w:rFonts w:ascii="宋体" w:hAnsi="宋体"/>
          <w:szCs w:val="21"/>
          <w:u w:val="single"/>
        </w:rPr>
      </w:pPr>
      <w:r>
        <w:rPr>
          <w:rFonts w:hint="eastAsia" w:ascii="宋体" w:hAnsi="宋体"/>
          <w:szCs w:val="21"/>
        </w:rPr>
        <w:t xml:space="preserve">传      真：</w:t>
      </w:r>
      <w:r>
        <w:rPr>
          <w:rFonts w:ascii="宋体" w:hAnsi="宋体"/>
          <w:szCs w:val="21"/>
          <w:u w:val="single"/>
        </w:rPr>
      </w:r>
      <w:r/>
    </w:p>
    <w:p>
      <w:pPr>
        <w:pStyle w:val="1119"/>
        <w:ind w:left="420"/>
        <w:spacing w:before="0" w:after="0"/>
        <w:rPr>
          <w:rFonts w:ascii="宋体" w:hAnsi="宋体"/>
          <w:szCs w:val="21"/>
          <w:u w:val="single"/>
        </w:rPr>
      </w:pPr>
      <w:r>
        <w:rPr>
          <w:rFonts w:hint="eastAsia" w:ascii="宋体" w:hAnsi="宋体"/>
          <w:szCs w:val="21"/>
        </w:rPr>
        <w:t xml:space="preserve">投标人开户行：</w:t>
      </w:r>
      <w:r>
        <w:rPr>
          <w:rFonts w:ascii="宋体" w:hAnsi="宋体"/>
          <w:szCs w:val="21"/>
          <w:u w:val="single"/>
        </w:rPr>
      </w:r>
      <w:r/>
    </w:p>
    <w:p>
      <w:pPr>
        <w:pStyle w:val="1119"/>
        <w:ind w:left="420"/>
        <w:spacing w:before="0" w:after="0"/>
        <w:rPr>
          <w:rFonts w:ascii="宋体" w:hAnsi="宋体"/>
          <w:szCs w:val="21"/>
          <w:u w:val="single"/>
        </w:rPr>
      </w:pPr>
      <w:r>
        <w:rPr>
          <w:rFonts w:hint="eastAsia" w:ascii="宋体" w:hAnsi="宋体"/>
          <w:szCs w:val="21"/>
        </w:rPr>
        <w:t xml:space="preserve">账      号：</w:t>
      </w:r>
      <w:r>
        <w:rPr>
          <w:rFonts w:ascii="宋体" w:hAnsi="宋体"/>
          <w:szCs w:val="21"/>
          <w:u w:val="single"/>
        </w:rPr>
      </w:r>
      <w:r/>
    </w:p>
    <w:p>
      <w:pPr>
        <w:pStyle w:val="1119"/>
        <w:ind w:left="420"/>
        <w:spacing w:before="0" w:after="0"/>
        <w:rPr>
          <w:rFonts w:hint="eastAsia" w:ascii="宋体" w:hAnsi="宋体"/>
          <w:szCs w:val="21"/>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rPr>
        <w:t xml:space="preserve">日      期：年月日</w:t>
      </w:r>
      <w:r>
        <w:rPr>
          <w:rFonts w:hint="eastAsia" w:ascii="宋体" w:hAnsi="宋体"/>
          <w:szCs w:val="21"/>
        </w:rPr>
      </w:r>
      <w:r/>
    </w:p>
    <w:p>
      <w:pPr>
        <w:pStyle w:val="1063"/>
        <w:rPr>
          <w:rFonts w:hint="eastAsia"/>
        </w:rPr>
      </w:pPr>
      <w:r>
        <w:rPr>
          <w:rFonts w:hint="eastAsia"/>
        </w:rPr>
      </w:r>
      <w:r/>
    </w:p>
    <w:p>
      <w:pPr>
        <w:pStyle w:val="1123"/>
        <w:numPr>
          <w:ilvl w:val="0"/>
          <w:numId w:val="0"/>
        </w:numPr>
        <w:jc w:val="center"/>
        <w:spacing w:line="360" w:lineRule="auto"/>
        <w:tabs>
          <w:tab w:val="left" w:pos="720" w:leader="none"/>
        </w:tabs>
        <w:rPr>
          <w:rFonts w:ascii="宋体" w:hAnsi="宋体" w:cs="宋体"/>
          <w:sz w:val="36"/>
          <w:szCs w:val="36"/>
        </w:rPr>
        <w:outlineLvl w:val="0"/>
      </w:pPr>
      <w:r>
        <w:rPr>
          <w:rFonts w:hint="eastAsia" w:ascii="宋体" w:hAnsi="宋体" w:cs="宋体"/>
          <w:sz w:val="36"/>
          <w:szCs w:val="36"/>
          <w:lang w:val="en-US" w:eastAsia="zh-CN"/>
        </w:rPr>
        <w:t xml:space="preserve">三</w:t>
      </w:r>
      <w:r>
        <w:rPr>
          <w:rFonts w:hint="eastAsia" w:ascii="宋体" w:hAnsi="宋体" w:cs="宋体"/>
          <w:sz w:val="36"/>
          <w:szCs w:val="36"/>
        </w:rPr>
        <w:t xml:space="preserve">、法定代表人授权委托书</w:t>
      </w:r>
      <w:r>
        <w:rPr>
          <w:rFonts w:ascii="宋体" w:hAnsi="宋体" w:cs="宋体"/>
          <w:sz w:val="36"/>
          <w:szCs w:val="36"/>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 </w:t>
      </w:r>
      <w:r>
        <w:rPr>
          <w:rFonts w:hint="eastAsia" w:ascii="宋体" w:hAnsi="宋体" w:cs="宋体"/>
          <w:sz w:val="24"/>
          <w:szCs w:val="24"/>
          <w:u w:val="single"/>
        </w:rPr>
        <w:t xml:space="preserve">       </w:t>
      </w:r>
      <w:r>
        <w:rPr>
          <w:rFonts w:hint="eastAsia" w:ascii="宋体" w:hAnsi="宋体" w:cs="宋体"/>
          <w:sz w:val="24"/>
          <w:szCs w:val="24"/>
        </w:rPr>
        <w:t xml:space="preserve">（被授权人的姓名）为我方就</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none"/>
          <w:lang w:val="en-US" w:eastAsia="zh-CN"/>
        </w:rPr>
        <w:t xml:space="preserve">编</w:t>
      </w:r>
      <w:r>
        <w:rPr>
          <w:rFonts w:hint="eastAsia" w:ascii="宋体" w:hAnsi="宋体" w:cs="宋体"/>
          <w:sz w:val="24"/>
          <w:szCs w:val="24"/>
        </w:rPr>
        <w:t xml:space="preserve">号项目采购活动的合法代理人，以本单位名义全权处理一切与该项目采购有关的事务。</w:t>
      </w:r>
      <w:r>
        <w:rPr>
          <w:rFonts w:ascii="宋体" w:hAnsi="宋体" w:cs="宋体"/>
          <w:sz w:val="24"/>
          <w:szCs w:val="24"/>
        </w:rPr>
      </w:r>
      <w:r/>
    </w:p>
    <w:p>
      <w:pPr>
        <w:pStyle w:val="1126"/>
        <w:ind w:firstLine="480"/>
        <w:tabs>
          <w:tab w:val="left" w:pos="360" w:leader="none"/>
        </w:tabs>
        <w:rPr>
          <w:rFonts w:ascii="宋体" w:hAnsi="宋体" w:cs="宋体"/>
        </w:rPr>
      </w:pPr>
      <w:r>
        <w:rPr>
          <w:rFonts w:hint="eastAsia" w:ascii="宋体" w:hAnsi="宋体" w:cs="宋体"/>
        </w:rPr>
        <w:t xml:space="preserve">本授权书于______年____月____日起生效，特此声明。</w:t>
      </w:r>
      <w:r>
        <w:rPr>
          <w:rFonts w:ascii="宋体" w:hAnsi="宋体" w:cs="宋体"/>
        </w:rPr>
      </w:r>
      <w:r/>
    </w:p>
    <w:p>
      <w:pPr>
        <w:pStyle w:val="1126"/>
        <w:ind w:firstLine="480"/>
        <w:tabs>
          <w:tab w:val="left" w:pos="360" w:leader="none"/>
        </w:tabs>
        <w:rPr>
          <w:rFonts w:ascii="宋体" w:hAnsi="宋体" w:cs="宋体"/>
          <w:u w:val="single"/>
        </w:rPr>
      </w:pPr>
      <w:r>
        <w:rPr>
          <w:rFonts w:hint="eastAsia" w:ascii="宋体" w:hAnsi="宋体" w:cs="宋体"/>
        </w:rPr>
        <w:t xml:space="preserve">被授权人身份证号码：              </w:t>
      </w:r>
      <w:r>
        <w:rPr>
          <w:rFonts w:hint="eastAsia" w:ascii="宋体" w:hAnsi="宋体" w:cs="宋体"/>
          <w:u w:val="single"/>
        </w:rPr>
        <w:t xml:space="preserve">          </w:t>
      </w:r>
      <w:r>
        <w:rPr>
          <w:rFonts w:ascii="宋体" w:hAnsi="宋体" w:cs="宋体"/>
          <w:u w:val="single"/>
        </w:rPr>
      </w:r>
      <w:r/>
    </w:p>
    <w:p>
      <w:pPr>
        <w:pStyle w:val="1126"/>
        <w:ind w:firstLine="480"/>
        <w:tabs>
          <w:tab w:val="left" w:pos="360" w:leader="none"/>
        </w:tabs>
        <w:rPr>
          <w:rFonts w:ascii="宋体" w:hAnsi="宋体" w:cs="宋体"/>
          <w:u w:val="single"/>
        </w:rPr>
      </w:pPr>
      <w:r>
        <w:rPr>
          <w:rFonts w:hint="eastAsia" w:ascii="宋体" w:hAnsi="宋体" w:cs="宋体"/>
        </w:rPr>
        <w:t xml:space="preserve">被授权人联系电话：（手机）</w:t>
      </w:r>
      <w:r>
        <w:rPr>
          <w:rFonts w:ascii="宋体" w:hAnsi="宋体" w:cs="宋体"/>
          <w:u w:val="single"/>
        </w:rPr>
      </w:r>
      <w:r/>
    </w:p>
    <w:p>
      <w:pPr>
        <w:pStyle w:val="1126"/>
        <w:ind w:firstLine="480"/>
        <w:tabs>
          <w:tab w:val="left" w:pos="360" w:leader="none"/>
        </w:tabs>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                 </w:t>
      </w:r>
      <w:r>
        <w:rPr>
          <w:rFonts w:hint="eastAsia" w:ascii="宋体" w:hAnsi="宋体" w:cs="宋体"/>
        </w:rPr>
      </w:r>
      <w:r/>
    </w:p>
    <w:p>
      <w:pPr>
        <w:pStyle w:val="1126"/>
        <w:ind w:firstLine="480"/>
        <w:tabs>
          <w:tab w:val="left" w:pos="360" w:leader="none"/>
        </w:tabs>
        <w:rPr>
          <w:rFonts w:ascii="宋体" w:hAnsi="宋体" w:cs="宋体"/>
        </w:rPr>
      </w:pPr>
      <w:r>
        <w:rPr>
          <w:rFonts w:hint="eastAsia" w:ascii="宋体" w:hAnsi="宋体" w:cs="宋体"/>
        </w:rPr>
        <w:t xml:space="preserve">单位地址：</w:t>
      </w:r>
      <w:r>
        <w:rPr>
          <w:rFonts w:hint="eastAsia" w:ascii="宋体" w:hAnsi="宋体" w:cs="宋体"/>
          <w:u w:val="single"/>
        </w:rPr>
        <w:t xml:space="preserve">                     </w:t>
      </w:r>
      <w:r>
        <w:rPr>
          <w:rFonts w:ascii="宋体" w:hAnsi="宋体" w:cs="宋体"/>
        </w:rPr>
      </w:r>
      <w:r/>
    </w:p>
    <w:p>
      <w:pPr>
        <w:pStyle w:val="1126"/>
        <w:ind w:firstLine="480"/>
        <w:tabs>
          <w:tab w:val="left" w:pos="360" w:leader="none"/>
        </w:tabs>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ascii="宋体" w:hAnsi="宋体" w:cs="宋体"/>
        </w:rPr>
      </w:r>
      <w:r/>
    </w:p>
    <w:p>
      <w:pPr>
        <w:pStyle w:val="1063"/>
        <w:ind w:firstLine="482"/>
        <w:spacing w:line="312" w:lineRule="auto"/>
        <w:rPr>
          <w:rFonts w:hint="eastAsia" w:ascii="宋体" w:hAnsi="宋体" w:cs="宋体"/>
          <w:sz w:val="24"/>
          <w:szCs w:val="24"/>
        </w:rPr>
      </w:pPr>
      <w:r>
        <w:rPr>
          <w:rFonts w:hint="eastAsia" w:ascii="宋体" w:hAnsi="宋体" w:cs="宋体"/>
          <w:sz w:val="24"/>
          <w:szCs w:val="24"/>
        </w:rPr>
        <w:t xml:space="preserve">附：法定代表人及受托人身份证正反面。</w:t>
      </w:r>
      <w:r>
        <w:rPr>
          <w:rFonts w:hint="eastAsia" w:ascii="宋体" w:hAnsi="宋体" w:cs="宋体"/>
          <w:sz w:val="24"/>
          <w:szCs w:val="24"/>
        </w:rPr>
      </w:r>
      <w:r/>
    </w:p>
    <w:p>
      <w:pPr>
        <w:pStyle w:val="1126"/>
        <w:ind w:firstLine="480"/>
        <w:tabs>
          <w:tab w:val="left" w:pos="360" w:leader="none"/>
        </w:tabs>
        <w:rPr>
          <w:rFonts w:hint="eastAsia" w:ascii="宋体" w:hAnsi="宋体" w:cs="宋体"/>
        </w:rPr>
      </w:pPr>
      <w:r>
        <w:rPr>
          <w:rFonts w:hint="eastAsia" w:ascii="宋体" w:hAnsi="宋体" w:cs="宋体"/>
        </w:rPr>
      </w:r>
      <w:r/>
    </w:p>
    <w:p>
      <w:pPr>
        <w:pStyle w:val="1063"/>
        <w:ind w:firstLine="4560"/>
        <w:rPr>
          <w:rFonts w:hint="eastAsia" w:ascii="宋体" w:hAnsi="宋体" w:cs="宋体"/>
          <w:sz w:val="24"/>
          <w:szCs w:val="24"/>
        </w:rPr>
      </w:pPr>
      <w:r>
        <w:rPr>
          <w:rFonts w:hint="eastAsia" w:ascii="宋体" w:hAnsi="宋体" w:cs="宋体"/>
          <w:sz w:val="24"/>
          <w:szCs w:val="24"/>
        </w:rPr>
        <w:t xml:space="preserve">授权单位</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1063"/>
        <w:ind w:left="4070"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63"/>
        <w:rPr>
          <w:rFonts w:hint="eastAsia" w:ascii="宋体" w:hAnsi="宋体" w:cs="宋体"/>
          <w:sz w:val="24"/>
          <w:szCs w:val="24"/>
        </w:rPr>
      </w:pPr>
      <w:r>
        <w:rPr>
          <w:rFonts w:hint="eastAsia" w:ascii="宋体" w:hAnsi="宋体" w:cs="宋体"/>
          <w:sz w:val="24"/>
          <w:szCs w:val="24"/>
        </w:rPr>
        <w:t xml:space="preserve">                                      法定代表人（签字或签章）</w:t>
      </w:r>
      <w:r>
        <w:rPr>
          <w:rFonts w:hint="eastAsia" w:ascii="宋体" w:hAnsi="宋体" w:cs="宋体"/>
          <w:sz w:val="24"/>
          <w:szCs w:val="24"/>
        </w:rPr>
      </w:r>
      <w:r/>
    </w:p>
    <w:p>
      <w:pPr>
        <w:pStyle w:val="1063"/>
        <w:ind w:left="4070" w:firstLine="480"/>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63"/>
        <w:ind w:left="4070" w:firstLine="480"/>
        <w:rPr>
          <w:rFonts w:hint="eastAsia" w:ascii="宋体" w:hAnsi="宋体" w:cs="宋体"/>
          <w:sz w:val="24"/>
          <w:szCs w:val="24"/>
        </w:rPr>
      </w:pPr>
      <w:r>
        <w:rPr>
          <w:rFonts w:hint="eastAsia" w:ascii="宋体" w:hAnsi="宋体" w:cs="宋体"/>
          <w:sz w:val="24"/>
          <w:szCs w:val="24"/>
        </w:rPr>
        <w:t xml:space="preserve">年  月  日</w:t>
      </w:r>
      <w:r>
        <w:rPr>
          <w:rFonts w:hint="eastAsia" w:ascii="宋体" w:hAnsi="宋体" w:cs="宋体"/>
          <w:sz w:val="24"/>
          <w:szCs w:val="24"/>
        </w:rPr>
      </w:r>
      <w:r/>
    </w:p>
    <w:p>
      <w:pPr>
        <w:pStyle w:val="1119"/>
        <w:ind w:left="420"/>
        <w:spacing w:before="0" w:after="0"/>
        <w:rPr>
          <w:rFonts w:hint="eastAsia" w:ascii="宋体" w:hAnsi="宋体"/>
          <w:szCs w:val="21"/>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rPr>
      </w:r>
      <w:r/>
    </w:p>
    <w:p>
      <w:pPr>
        <w:pStyle w:val="1119"/>
        <w:ind w:left="420"/>
        <w:spacing w:before="0" w:after="0"/>
        <w:rPr>
          <w:rFonts w:hint="eastAsia" w:ascii="宋体" w:hAnsi="宋体"/>
          <w:szCs w:val="21"/>
        </w:rPr>
      </w:pPr>
      <w:r>
        <w:rPr>
          <w:rFonts w:hint="eastAsia" w:ascii="宋体" w:hAnsi="宋体"/>
          <w:szCs w:val="21"/>
        </w:rPr>
      </w:r>
      <w:r/>
    </w:p>
    <w:p>
      <w:pPr>
        <w:pStyle w:val="1123"/>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sz w:val="36"/>
          <w:szCs w:val="36"/>
          <w:lang w:val="en-US" w:eastAsia="zh-CN"/>
        </w:rPr>
        <w:t xml:space="preserve">四</w:t>
      </w:r>
      <w:r>
        <w:rPr>
          <w:rFonts w:hint="eastAsia" w:ascii="宋体" w:hAnsi="宋体" w:cs="宋体"/>
          <w:sz w:val="36"/>
          <w:szCs w:val="36"/>
        </w:rPr>
        <w:t xml:space="preserve">、开标一览表</w:t>
      </w:r>
      <w:r>
        <w:rPr>
          <w:rFonts w:hint="eastAsia" w:ascii="宋体" w:hAnsi="宋体" w:cs="宋体"/>
          <w:sz w:val="36"/>
          <w:szCs w:val="36"/>
        </w:rPr>
      </w:r>
      <w:r/>
    </w:p>
    <w:p>
      <w:pPr>
        <w:pStyle w:val="1132"/>
        <w:ind w:firstLine="320"/>
        <w:spacing w:line="360" w:lineRule="auto"/>
        <w:rPr>
          <w:rFonts w:hint="eastAsia" w:ascii="宋体" w:hAnsi="宋体" w:cs="宋体"/>
        </w:rPr>
      </w:pPr>
      <w:r>
        <w:rPr>
          <w:rFonts w:hint="eastAsia" w:ascii="宋体" w:hAnsi="宋体" w:cs="宋体"/>
        </w:rPr>
        <w:t xml:space="preserve">窗体顶端</w:t>
      </w:r>
      <w:r>
        <w:rPr>
          <w:rFonts w:hint="eastAsia" w:ascii="宋体" w:hAnsi="宋体" w:cs="宋体"/>
        </w:rPr>
      </w:r>
      <w:r/>
    </w:p>
    <w:tbl>
      <w:tblPr>
        <w:tblpPr w:horzAnchor="text" w:tblpXSpec="center" w:vertAnchor="text" w:tblpY="1" w:leftFromText="45" w:topFromText="0" w:rightFromText="45" w:bottomFromText="0"/>
        <w:tblW w:w="8361"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tblCellSpacing w:w="0" w:type="dxa"/>
          <w:trHeight w:val="1220"/>
        </w:trPr>
        <w:tc>
          <w:tcPr>
            <w:tcW w:w="1985" w:type="dxa"/>
            <w:vAlign w:val="center"/>
            <w:textDirection w:val="lrTb"/>
            <w:noWrap w:val="false"/>
          </w:tcPr>
          <w:p>
            <w:pPr>
              <w:pStyle w:val="1063"/>
              <w:ind w:firstLine="480"/>
              <w:jc w:val="center"/>
              <w:spacing w:line="360" w:lineRule="auto"/>
              <w:rPr>
                <w:sz w:val="24"/>
                <w:szCs w:val="28"/>
              </w:rPr>
              <w:framePr w:vAnchor="margin" w:hAnchor="page" w:xAlign="center"/>
            </w:pPr>
            <w:r>
              <w:rPr>
                <w:rFonts w:hint="eastAsia" w:ascii="宋体" w:hAnsi="宋体"/>
                <w:sz w:val="24"/>
                <w:szCs w:val="24"/>
              </w:rPr>
              <w:t xml:space="preserve">            </w:t>
            </w:r>
            <w:r>
              <w:rPr>
                <w:rFonts w:hint="eastAsia"/>
                <w:sz w:val="24"/>
                <w:szCs w:val="28"/>
              </w:rPr>
              <w:t xml:space="preserve">项目名称</w:t>
            </w:r>
            <w:r>
              <w:rPr>
                <w:sz w:val="24"/>
                <w:szCs w:val="28"/>
              </w:rPr>
            </w:r>
            <w:r/>
          </w:p>
        </w:tc>
        <w:tc>
          <w:tcPr>
            <w:tcW w:w="6376" w:type="dxa"/>
            <w:vAlign w:val="center"/>
            <w:textDirection w:val="lrTb"/>
            <w:noWrap w:val="false"/>
          </w:tcPr>
          <w:p>
            <w:pPr>
              <w:pStyle w:val="1063"/>
              <w:jc w:val="center"/>
              <w:framePr w:vAnchor="margin" w:hAnchor="page" w:xAlign="center"/>
            </w:pPr>
            <w:r/>
            <w:r/>
          </w:p>
        </w:tc>
      </w:tr>
      <w:tr>
        <w:trPr>
          <w:tblCellSpacing w:w="0" w:type="dxa"/>
          <w:trHeight w:val="1066"/>
        </w:trPr>
        <w:tc>
          <w:tcPr>
            <w:tcW w:w="1985" w:type="dxa"/>
            <w:vAlign w:val="center"/>
            <w:textDirection w:val="lrTb"/>
            <w:noWrap w:val="false"/>
          </w:tcPr>
          <w:p>
            <w:pPr>
              <w:pStyle w:val="1063"/>
              <w:jc w:val="center"/>
              <w:rPr>
                <w:sz w:val="24"/>
                <w:szCs w:val="28"/>
              </w:rPr>
              <w:framePr w:vAnchor="margin" w:hAnchor="page" w:xAlign="center"/>
            </w:pPr>
            <w:r>
              <w:rPr>
                <w:rFonts w:hint="eastAsia"/>
                <w:sz w:val="24"/>
                <w:szCs w:val="28"/>
              </w:rPr>
              <w:t xml:space="preserve">项目编号</w:t>
            </w:r>
            <w:r>
              <w:rPr>
                <w:sz w:val="24"/>
                <w:szCs w:val="28"/>
              </w:rPr>
            </w:r>
            <w:r/>
          </w:p>
        </w:tc>
        <w:tc>
          <w:tcPr>
            <w:tcW w:w="6376" w:type="dxa"/>
            <w:vAlign w:val="center"/>
            <w:textDirection w:val="lrTb"/>
            <w:noWrap w:val="false"/>
          </w:tcPr>
          <w:p>
            <w:pPr>
              <w:pStyle w:val="1063"/>
              <w:jc w:val="center"/>
              <w:framePr w:vAnchor="margin" w:hAnchor="page" w:xAlign="center"/>
            </w:pPr>
            <w:r/>
            <w:r/>
          </w:p>
        </w:tc>
      </w:tr>
      <w:tr>
        <w:trPr>
          <w:tblCellSpacing w:w="0" w:type="dxa"/>
          <w:trHeight w:val="1090"/>
        </w:trPr>
        <w:tc>
          <w:tcPr>
            <w:tcW w:w="1985" w:type="dxa"/>
            <w:vAlign w:val="center"/>
            <w:textDirection w:val="lrTb"/>
            <w:noWrap w:val="false"/>
          </w:tcPr>
          <w:p>
            <w:pPr>
              <w:pStyle w:val="1063"/>
              <w:jc w:val="center"/>
              <w:rPr>
                <w:sz w:val="24"/>
                <w:szCs w:val="28"/>
              </w:rPr>
              <w:framePr w:vAnchor="margin" w:hAnchor="page" w:xAlign="center"/>
            </w:pPr>
            <w:r>
              <w:rPr>
                <w:rFonts w:hint="eastAsia"/>
                <w:sz w:val="24"/>
                <w:szCs w:val="28"/>
              </w:rPr>
              <w:t xml:space="preserve">投标总价</w:t>
            </w:r>
            <w:r>
              <w:rPr>
                <w:sz w:val="24"/>
                <w:szCs w:val="28"/>
              </w:rPr>
            </w:r>
            <w:r/>
          </w:p>
          <w:p>
            <w:pPr>
              <w:pStyle w:val="1063"/>
              <w:jc w:val="center"/>
              <w:rPr>
                <w:sz w:val="24"/>
                <w:szCs w:val="28"/>
              </w:rPr>
              <w:framePr w:vAnchor="margin" w:hAnchor="page" w:xAlign="center"/>
            </w:pPr>
            <w:r>
              <w:rPr>
                <w:sz w:val="24"/>
                <w:szCs w:val="28"/>
              </w:rPr>
            </w:r>
            <w:r/>
          </w:p>
        </w:tc>
        <w:tc>
          <w:tcPr>
            <w:tcW w:w="6376" w:type="dxa"/>
            <w:vAlign w:val="center"/>
            <w:textDirection w:val="lrTb"/>
            <w:noWrap w:val="false"/>
          </w:tcPr>
          <w:p>
            <w:pPr>
              <w:pStyle w:val="1063"/>
              <w:framePr w:vAnchor="margin" w:hAnchor="page" w:xAlign="center"/>
            </w:pPr>
            <w:r/>
            <w:r/>
          </w:p>
          <w:p>
            <w:pPr>
              <w:pStyle w:val="1101"/>
              <w:ind w:firstLine="1200"/>
              <w:jc w:val="both"/>
              <w:spacing w:before="63"/>
              <w:framePr w:vAnchor="margin" w:hAnchor="page" w:xAlign="center"/>
            </w:pPr>
            <w:r>
              <w:rPr>
                <w:rFonts w:hint="eastAsia"/>
              </w:rPr>
              <w:t xml:space="preserve">人民币（小写）</w:t>
            </w:r>
            <w:r>
              <w:rPr>
                <w:rFonts w:hint="eastAsia"/>
                <w:u w:val="single"/>
              </w:rPr>
              <w:t xml:space="preserve">            </w:t>
            </w:r>
            <w:r/>
          </w:p>
          <w:p>
            <w:pPr>
              <w:pStyle w:val="1101"/>
              <w:ind w:firstLine="1200"/>
              <w:spacing w:before="63"/>
              <w:framePr w:vAnchor="margin" w:hAnchor="page" w:xAlign="center"/>
            </w:pPr>
            <w:r>
              <w:rPr>
                <w:rFonts w:hint="eastAsia"/>
              </w:rPr>
              <w:t xml:space="preserve">人民币 (大写)</w:t>
            </w:r>
            <w:r>
              <w:rPr>
                <w:rFonts w:hint="eastAsia"/>
                <w:u w:val="single"/>
              </w:rPr>
              <w:t xml:space="preserve">            </w:t>
            </w:r>
            <w:r>
              <w:rPr>
                <w:rFonts w:hint="eastAsia"/>
              </w:rPr>
              <w:t xml:space="preserve">           </w:t>
            </w:r>
            <w:r/>
          </w:p>
          <w:p>
            <w:pPr>
              <w:pStyle w:val="1063"/>
              <w:framePr w:vAnchor="margin" w:hAnchor="page" w:xAlign="center"/>
            </w:pPr>
            <w:r/>
            <w:r/>
          </w:p>
        </w:tc>
      </w:tr>
      <w:tr>
        <w:trPr>
          <w:tblCellSpacing w:w="0" w:type="dxa"/>
          <w:trHeight w:val="1090"/>
        </w:trPr>
        <w:tc>
          <w:tcPr>
            <w:tcW w:w="1985" w:type="dxa"/>
            <w:vAlign w:val="center"/>
            <w:textDirection w:val="lrTb"/>
            <w:noWrap w:val="false"/>
          </w:tcPr>
          <w:p>
            <w:pPr>
              <w:pStyle w:val="1063"/>
              <w:jc w:val="center"/>
              <w:rPr>
                <w:sz w:val="24"/>
                <w:szCs w:val="28"/>
              </w:rPr>
              <w:framePr w:vAnchor="margin" w:hAnchor="page" w:xAlign="center"/>
            </w:pPr>
            <w:r>
              <w:rPr>
                <w:rFonts w:hint="eastAsia"/>
                <w:sz w:val="24"/>
                <w:szCs w:val="28"/>
              </w:rPr>
              <w:t xml:space="preserve">交货期</w:t>
            </w:r>
            <w:r>
              <w:rPr>
                <w:sz w:val="24"/>
                <w:szCs w:val="28"/>
              </w:rPr>
            </w:r>
            <w:r/>
          </w:p>
        </w:tc>
        <w:tc>
          <w:tcPr>
            <w:tcW w:w="6376" w:type="dxa"/>
            <w:vAlign w:val="center"/>
            <w:textDirection w:val="lrTb"/>
            <w:noWrap w:val="false"/>
          </w:tcPr>
          <w:p>
            <w:pPr>
              <w:pStyle w:val="1101"/>
              <w:framePr w:vAnchor="margin" w:hAnchor="page" w:xAlign="center"/>
            </w:pPr>
            <w:r>
              <w:rPr>
                <w:rFonts w:hint="eastAsia"/>
              </w:rPr>
              <w:t xml:space="preserve">     </w:t>
            </w:r>
            <w:r>
              <w:rPr>
                <w:rFonts w:hint="eastAsia"/>
                <w:u w:val="single"/>
              </w:rPr>
              <w:t xml:space="preserve">                                </w:t>
            </w:r>
            <w:r>
              <w:rPr>
                <w:rFonts w:hint="eastAsia"/>
              </w:rPr>
              <w:t xml:space="preserve">         </w:t>
            </w:r>
            <w:r/>
          </w:p>
        </w:tc>
      </w:tr>
      <w:tr>
        <w:trPr>
          <w:tblCellSpacing w:w="0" w:type="dxa"/>
          <w:trHeight w:val="1090"/>
        </w:trPr>
        <w:tc>
          <w:tcPr>
            <w:gridSpan w:val="2"/>
            <w:tcW w:w="8361" w:type="dxa"/>
            <w:vAlign w:val="center"/>
            <w:textDirection w:val="lrTb"/>
            <w:noWrap w:val="false"/>
          </w:tcPr>
          <w:p>
            <w:pPr>
              <w:pStyle w:val="1063"/>
              <w:jc w:val="left"/>
              <w:rPr>
                <w:rFonts w:hint="eastAsia" w:ascii="宋体" w:hAnsi="宋体" w:cs="宋体"/>
                <w:sz w:val="24"/>
                <w:szCs w:val="24"/>
              </w:rPr>
              <w:framePr w:vAnchor="margin" w:hAnchor="page" w:xAlign="cente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rPr>
                <w:rFonts w:hint="eastAsia" w:ascii="宋体" w:hAnsi="宋体" w:cs="宋体"/>
                <w:sz w:val="24"/>
                <w:szCs w:val="24"/>
              </w:rPr>
            </w:r>
            <w:r/>
          </w:p>
          <w:p>
            <w:pPr>
              <w:pStyle w:val="1101"/>
              <w:rPr>
                <w:rFonts w:hint="eastAsia"/>
              </w:rPr>
              <w:framePr w:vAnchor="margin" w:hAnchor="page" w:xAlign="center"/>
            </w:pPr>
            <w:r>
              <w:rPr>
                <w:rFonts w:hint="eastAsia"/>
              </w:rPr>
              <w:t xml:space="preserve">证明材料在投标文件中的页码：</w:t>
            </w:r>
            <w:r>
              <w:rPr>
                <w:rFonts w:hint="eastAsia"/>
              </w:rPr>
            </w:r>
            <w:r/>
          </w:p>
        </w:tc>
      </w:tr>
    </w:tbl>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1101"/>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rPr>
          <w:rFonts w:hint="eastAsia"/>
        </w:rPr>
      </w:r>
      <w:r/>
    </w:p>
    <w:p>
      <w:pPr>
        <w:pStyle w:val="1063"/>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1101"/>
        <w:ind w:firstLine="480"/>
        <w:jc w:val="both"/>
        <w:spacing w:before="0" w:beforeAutospacing="0" w:after="0" w:afterAutospacing="0" w:line="360" w:lineRule="auto"/>
        <w:rPr>
          <w:rFonts w:hint="eastAsia"/>
        </w:rPr>
      </w:pPr>
      <w:r>
        <w:rPr>
          <w:rFonts w:hint="eastAsia"/>
        </w:rPr>
      </w:r>
      <w:r/>
    </w:p>
    <w:p>
      <w:pPr>
        <w:pStyle w:val="1063"/>
        <w:ind w:firstLine="422"/>
        <w:spacing w:line="360" w:lineRule="auto"/>
        <w:tabs>
          <w:tab w:val="left" w:pos="142" w:leader="none"/>
        </w:tabs>
        <w:rPr>
          <w:rStyle w:val="1107"/>
          <w:rFonts w:hint="eastAsia" w:ascii="宋体" w:hAnsi="宋体" w:cs="宋体"/>
        </w:rPr>
      </w:pPr>
      <w:r>
        <w:rPr>
          <w:rStyle w:val="1107"/>
          <w:rFonts w:hint="eastAsia" w:ascii="宋体" w:hAnsi="宋体" w:cs="宋体"/>
        </w:rPr>
      </w:r>
      <w:r/>
    </w:p>
    <w:p>
      <w:pPr>
        <w:pStyle w:val="1116"/>
        <w:ind w:firstLine="422"/>
        <w:spacing w:line="24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1116"/>
        <w:spacing w:line="240" w:lineRule="auto"/>
        <w:rPr>
          <w:rFonts w:hint="eastAsia" w:ascii="宋体" w:hAnsi="宋体" w:cs="宋体"/>
          <w:szCs w:val="21"/>
        </w:rPr>
      </w:pPr>
      <w:r>
        <w:rPr>
          <w:rFonts w:hint="eastAsia" w:ascii="宋体" w:hAnsi="宋体" w:cs="宋体"/>
          <w:szCs w:val="21"/>
        </w:rPr>
        <w:t xml:space="preserve">1、采用人民币报价。</w:t>
      </w:r>
      <w:r>
        <w:rPr>
          <w:rFonts w:hint="eastAsia" w:ascii="宋体" w:hAnsi="宋体" w:cs="宋体"/>
          <w:szCs w:val="21"/>
        </w:rPr>
      </w:r>
      <w:r/>
    </w:p>
    <w:p>
      <w:pPr>
        <w:pStyle w:val="1116"/>
        <w:spacing w:line="240" w:lineRule="auto"/>
        <w:rPr>
          <w:rFonts w:hint="eastAsia" w:ascii="宋体" w:hAnsi="宋体" w:cs="宋体"/>
          <w:szCs w:val="21"/>
        </w:rPr>
      </w:pPr>
      <w:r>
        <w:rPr>
          <w:rFonts w:hint="eastAsia" w:ascii="宋体" w:hAnsi="宋体" w:cs="宋体"/>
          <w:szCs w:val="21"/>
        </w:rPr>
        <w:t xml:space="preserve">2、投标报价应包括招标文件所规定的采购范围的全部内容。</w:t>
      </w:r>
      <w:r>
        <w:rPr>
          <w:rFonts w:hint="eastAsia" w:ascii="宋体" w:hAnsi="宋体" w:cs="宋体"/>
          <w:szCs w:val="21"/>
        </w:rPr>
      </w:r>
      <w:r/>
    </w:p>
    <w:p>
      <w:pPr>
        <w:pStyle w:val="1116"/>
        <w:spacing w:line="240" w:lineRule="auto"/>
        <w:rPr>
          <w:rFonts w:hint="eastAsia" w:ascii="宋体" w:hAnsi="宋体" w:cs="宋体"/>
          <w:szCs w:val="21"/>
        </w:rPr>
      </w:pPr>
      <w:r>
        <w:rPr>
          <w:rFonts w:hint="eastAsia" w:ascii="宋体" w:hAnsi="宋体" w:cs="宋体"/>
          <w:szCs w:val="21"/>
        </w:rPr>
        <w:t xml:space="preserve">3、供应商不得实质性改动报价一览表格式及内容。</w:t>
      </w:r>
      <w:r>
        <w:rPr>
          <w:rFonts w:hint="eastAsia" w:ascii="宋体" w:hAnsi="宋体" w:cs="宋体"/>
          <w:szCs w:val="21"/>
        </w:rPr>
      </w:r>
      <w:r/>
    </w:p>
    <w:p>
      <w:pPr>
        <w:pStyle w:val="1116"/>
        <w:spacing w:line="240" w:lineRule="auto"/>
        <w:rPr>
          <w:rFonts w:hint="eastAsia" w:ascii="宋体" w:hAnsi="宋体" w:cs="宋体"/>
        </w:rPr>
      </w:pPr>
      <w:r>
        <w:rPr>
          <w:rFonts w:hint="eastAsia" w:ascii="宋体" w:hAnsi="宋体" w:cs="宋体"/>
        </w:rPr>
        <w:br w:type="page" w:clear="all"/>
      </w:r>
      <w:r>
        <w:rPr>
          <w:rFonts w:hint="eastAsia" w:ascii="宋体" w:hAnsi="宋体" w:cs="宋体"/>
        </w:rPr>
      </w:r>
      <w:r/>
    </w:p>
    <w:p>
      <w:pPr>
        <w:pStyle w:val="1123"/>
        <w:numPr>
          <w:ilvl w:val="0"/>
          <w:numId w:val="0"/>
        </w:numPr>
        <w:jc w:val="center"/>
        <w:spacing w:line="360" w:lineRule="auto"/>
        <w:tabs>
          <w:tab w:val="left" w:pos="720" w:leader="none"/>
        </w:tabs>
        <w:rPr>
          <w:rFonts w:hint="eastAsia" w:ascii="宋体" w:hAnsi="宋体" w:cs="宋体"/>
          <w:sz w:val="36"/>
          <w:szCs w:val="36"/>
        </w:rPr>
        <w:outlineLvl w:val="0"/>
      </w:pPr>
      <w:r>
        <w:rPr>
          <w:rFonts w:hint="eastAsia" w:ascii="宋体" w:hAnsi="宋体" w:cs="宋体"/>
          <w:sz w:val="36"/>
          <w:szCs w:val="36"/>
          <w:lang w:val="en-US" w:eastAsia="zh-CN"/>
        </w:rPr>
        <w:t xml:space="preserve">五</w:t>
      </w:r>
      <w:r>
        <w:rPr>
          <w:rFonts w:hint="eastAsia" w:ascii="宋体" w:hAnsi="宋体" w:cs="宋体"/>
          <w:sz w:val="36"/>
          <w:szCs w:val="36"/>
        </w:rPr>
        <w:t xml:space="preserve">、报价明细表</w:t>
      </w:r>
      <w:r>
        <w:rPr>
          <w:rFonts w:hint="eastAsia" w:ascii="宋体" w:hAnsi="宋体" w:cs="宋体"/>
          <w:sz w:val="36"/>
          <w:szCs w:val="36"/>
        </w:rPr>
      </w:r>
      <w:r/>
    </w:p>
    <w:tbl>
      <w:tblPr>
        <w:tblpPr w:horzAnchor="page" w:tblpX="1689" w:vertAnchor="text" w:tblpY="102" w:leftFromText="180" w:topFromText="0" w:rightFromText="180" w:bottomFromText="0"/>
        <w:tblW w:w="87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868"/>
        <w:gridCol w:w="2783"/>
        <w:gridCol w:w="804"/>
        <w:gridCol w:w="1077"/>
        <w:gridCol w:w="1527"/>
      </w:tblGrid>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序号</w:t>
            </w: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产品名称</w:t>
            </w: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内容描述（品牌、型号、产地等）</w:t>
            </w: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数量</w:t>
            </w: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单价</w:t>
            </w:r>
            <w:r>
              <w:rPr>
                <w:rFonts w:ascii="宋体" w:hAnsi="宋体" w:cs="宋体"/>
                <w:sz w:val="24"/>
              </w:rPr>
            </w:r>
            <w:r/>
          </w:p>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（元）</w:t>
            </w: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单项合计价</w:t>
            </w:r>
            <w:r>
              <w:rPr>
                <w:rFonts w:ascii="宋体" w:hAnsi="宋体" w:cs="宋体"/>
                <w:sz w:val="24"/>
              </w:rPr>
            </w:r>
            <w:r/>
          </w:p>
          <w:p>
            <w:pPr>
              <w:pStyle w:val="1063"/>
              <w:jc w:val="center"/>
              <w:spacing w:line="0" w:lineRule="atLeast"/>
              <w:rPr>
                <w:rFonts w:ascii="宋体" w:hAnsi="宋体" w:cs="宋体"/>
                <w:sz w:val="24"/>
              </w:rPr>
              <w:framePr w:vAnchor="text" w:hAnchor="page" w:x="1689" w:y="102"/>
            </w:pPr>
            <w:r>
              <w:rPr>
                <w:rFonts w:hint="eastAsia" w:ascii="宋体" w:hAnsi="宋体" w:cs="宋体"/>
                <w:sz w:val="24"/>
              </w:rPr>
              <w:t xml:space="preserve">（元）</w:t>
            </w:r>
            <w:r>
              <w:rPr>
                <w:rFonts w:ascii="宋体" w:hAnsi="宋体" w:cs="宋体"/>
                <w:sz w:val="24"/>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868"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2783"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804"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07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c>
          <w:tcPr>
            <w:tcW w:w="1527" w:type="dxa"/>
            <w:vAlign w:val="center"/>
            <w:textDirection w:val="lrTb"/>
            <w:noWrap w:val="false"/>
          </w:tcPr>
          <w:p>
            <w:pPr>
              <w:pStyle w:val="1063"/>
              <w:jc w:val="center"/>
              <w:spacing w:line="0" w:lineRule="atLeast"/>
              <w:rPr>
                <w:rFonts w:ascii="宋体" w:hAnsi="宋体" w:cs="宋体"/>
                <w:sz w:val="24"/>
              </w:rPr>
              <w:framePr w:vAnchor="text" w:hAnchor="page" w:x="1689" w:y="102"/>
            </w:pPr>
            <w:r>
              <w:rPr>
                <w:rFonts w:ascii="宋体" w:hAnsi="宋体" w:cs="宋体"/>
                <w:sz w:val="24"/>
              </w:rPr>
            </w:r>
            <w:r/>
          </w:p>
        </w:tc>
      </w:tr>
      <w:tr>
        <w:trPr>
          <w:cantSplit/>
          <w:trHeight w:val="828"/>
        </w:trPr>
        <w:tc>
          <w:tcPr>
            <w:gridSpan w:val="6"/>
            <w:tcW w:w="8744" w:type="dxa"/>
            <w:vAlign w:val="center"/>
            <w:textDirection w:val="lrTb"/>
            <w:noWrap w:val="false"/>
          </w:tcPr>
          <w:p>
            <w:pPr>
              <w:pStyle w:val="1063"/>
              <w:jc w:val="left"/>
              <w:spacing w:line="0" w:lineRule="atLeast"/>
              <w:rPr>
                <w:rFonts w:ascii="宋体" w:hAnsi="宋体" w:cs="宋体"/>
                <w:sz w:val="24"/>
              </w:rPr>
              <w:framePr w:vAnchor="text" w:hAnchor="page" w:x="1689" w:y="102"/>
            </w:pPr>
            <w:r>
              <w:rPr>
                <w:rFonts w:hint="eastAsia" w:ascii="宋体" w:hAnsi="宋体" w:cs="宋体"/>
                <w:sz w:val="24"/>
              </w:rPr>
              <w:t xml:space="preserve">投标报价总计：</w:t>
            </w:r>
            <w:r>
              <w:rPr>
                <w:rFonts w:ascii="宋体" w:hAnsi="宋体" w:cs="宋体"/>
                <w:sz w:val="24"/>
              </w:rPr>
            </w:r>
            <w:r/>
          </w:p>
        </w:tc>
      </w:tr>
      <w:tr>
        <w:trPr>
          <w:cantSplit/>
          <w:trHeight w:val="1059"/>
        </w:trPr>
        <w:tc>
          <w:tcPr>
            <w:gridSpan w:val="6"/>
            <w:tcW w:w="8744" w:type="dxa"/>
            <w:vAlign w:val="center"/>
            <w:textDirection w:val="lrTb"/>
            <w:noWrap w:val="false"/>
          </w:tcPr>
          <w:p>
            <w:pPr>
              <w:pStyle w:val="1063"/>
              <w:jc w:val="left"/>
              <w:spacing w:line="0" w:lineRule="atLeast"/>
              <w:rPr>
                <w:rFonts w:hint="eastAsia" w:ascii="宋体" w:hAnsi="宋体" w:cs="宋体"/>
                <w:sz w:val="24"/>
              </w:rPr>
              <w:framePr w:vAnchor="text" w:hAnchor="page" w:x="1689" w:y="102"/>
            </w:pPr>
            <w:r>
              <w:rPr>
                <w:rFonts w:ascii="宋体" w:hAnsi="宋体" w:cs="宋体"/>
              </w:rPr>
              <w:t xml:space="preserve">本采购包中提供的符合本国产品标准的产品成本之和占该采购包提供的全部产品成本之和的比例为</w:t>
            </w:r>
            <w:r>
              <w:rPr>
                <w:rFonts w:hint="eastAsia" w:ascii="宋体" w:hAnsi="宋体" w:cs="宋体"/>
                <w:u w:val="single"/>
              </w:rPr>
              <w:t xml:space="preserve">     %</w:t>
            </w:r>
            <w:r>
              <w:rPr>
                <w:rFonts w:ascii="宋体" w:hAnsi="宋体" w:cs="宋体"/>
              </w:rPr>
              <w:t xml:space="preserve">。</w:t>
            </w:r>
            <w:r>
              <w:rPr>
                <w:rFonts w:hint="eastAsia" w:ascii="宋体" w:hAnsi="宋体" w:cs="宋体"/>
                <w:sz w:val="24"/>
              </w:rPr>
            </w:r>
            <w:r/>
          </w:p>
        </w:tc>
      </w:tr>
    </w:tbl>
    <w:p>
      <w:pPr>
        <w:pStyle w:val="1063"/>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1101"/>
        <w:spacing w:line="360" w:lineRule="auto"/>
        <w:rPr>
          <w:rFonts w:hint="eastAsia"/>
        </w:rPr>
      </w:pPr>
      <w:r>
        <w:rPr>
          <w:rFonts w:hint="eastAsia"/>
        </w:rPr>
        <w:t xml:space="preserve">    法定代表人或授权代表（签字或签章）： </w:t>
      </w:r>
      <w:r>
        <w:rPr>
          <w:rFonts w:hint="eastAsia"/>
          <w:u w:val="single"/>
        </w:rPr>
        <w:t xml:space="preserve">                 </w:t>
      </w:r>
      <w:r>
        <w:rPr>
          <w:rFonts w:hint="eastAsia"/>
        </w:rPr>
        <w:t xml:space="preserve">                                       </w:t>
      </w:r>
      <w:r>
        <w:rPr>
          <w:rFonts w:hint="eastAsia"/>
        </w:rPr>
      </w:r>
      <w:r/>
    </w:p>
    <w:p>
      <w:pPr>
        <w:pStyle w:val="1063"/>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rPr>
          <w:rFonts w:ascii="宋体" w:hAnsi="宋体"/>
        </w:rPr>
      </w:pPr>
      <w:r>
        <w:rPr>
          <w:rFonts w:hint="eastAsia" w:ascii="宋体" w:hAnsi="宋体"/>
        </w:rPr>
        <w:t xml:space="preserve">备注：</w:t>
      </w:r>
      <w:r>
        <w:rPr>
          <w:rFonts w:ascii="宋体" w:hAnsi="宋体"/>
        </w:rPr>
      </w:r>
      <w:r/>
    </w:p>
    <w:p>
      <w:pPr>
        <w:pStyle w:val="1063"/>
        <w:ind w:firstLine="420"/>
        <w:rPr>
          <w:rFonts w:ascii="宋体" w:hAnsi="宋体"/>
        </w:rPr>
      </w:pPr>
      <w:r>
        <w:rPr>
          <w:rFonts w:hint="eastAsia" w:ascii="宋体" w:hAnsi="宋体"/>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rPr>
      </w:r>
      <w:r/>
    </w:p>
    <w:p>
      <w:pPr>
        <w:pStyle w:val="1063"/>
        <w:ind w:firstLine="422"/>
        <w:rPr>
          <w:rFonts w:ascii="宋体" w:hAnsi="宋体"/>
          <w:b/>
          <w:bCs/>
        </w:rPr>
      </w:pPr>
      <w:r>
        <w:rPr>
          <w:rFonts w:hint="eastAsia" w:ascii="宋体" w:hAnsi="宋体"/>
          <w:b/>
          <w:bCs/>
        </w:rPr>
        <w:t xml:space="preserve">2.“报价明细表”中“投标报价总计”数额应当与“开标一览表”中“投标总价”数额一致。</w:t>
      </w:r>
      <w:r>
        <w:rPr>
          <w:rFonts w:ascii="宋体" w:hAnsi="宋体"/>
          <w:b/>
          <w:bCs/>
        </w:rPr>
      </w:r>
      <w:r/>
    </w:p>
    <w:p>
      <w:pPr>
        <w:pStyle w:val="1063"/>
        <w:ind w:firstLine="420"/>
        <w:rPr>
          <w:rFonts w:ascii="宋体" w:hAnsi="宋体"/>
        </w:rPr>
      </w:pPr>
      <w:r>
        <w:rPr>
          <w:rFonts w:hint="eastAsia" w:ascii="宋体" w:hAnsi="宋体"/>
        </w:rPr>
        <w:t xml:space="preserve">3.行数不够，可自行添加。</w:t>
      </w:r>
      <w:r>
        <w:rPr>
          <w:rFonts w:ascii="宋体" w:hAnsi="宋体"/>
        </w:rPr>
      </w:r>
      <w:r/>
    </w:p>
    <w:p>
      <w:pPr>
        <w:pStyle w:val="1063"/>
        <w:ind w:firstLine="420"/>
        <w:rPr>
          <w:rFonts w:hint="eastAsia" w:ascii="宋体" w:hAnsi="宋体" w:cs="宋体"/>
        </w:rPr>
      </w:pPr>
      <w:r>
        <w:rPr>
          <w:rFonts w:hint="eastAsia" w:ascii="宋体" w:hAnsi="宋体" w:cs="宋体"/>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rPr>
      </w:r>
      <w:r/>
    </w:p>
    <w:p>
      <w:pPr>
        <w:pStyle w:val="1063"/>
        <w:ind w:firstLine="480"/>
        <w:spacing w:line="360" w:lineRule="auto"/>
        <w:rPr>
          <w:rFonts w:hint="eastAsia" w:ascii="宋体" w:hAnsi="宋体" w:cs="宋体"/>
          <w:sz w:val="24"/>
        </w:rPr>
      </w:pPr>
      <w:r>
        <w:rPr>
          <w:rFonts w:hint="eastAsia" w:ascii="宋体" w:hAnsi="宋体" w:cs="宋体"/>
          <w:sz w:val="24"/>
        </w:rPr>
      </w:r>
      <w:r/>
    </w:p>
    <w:p>
      <w:pPr>
        <w:pStyle w:val="1123"/>
        <w:numPr>
          <w:ilvl w:val="0"/>
          <w:numId w:val="0"/>
        </w:numPr>
        <w:jc w:val="center"/>
        <w:spacing w:line="360" w:lineRule="auto"/>
        <w:tabs>
          <w:tab w:val="left" w:pos="720" w:leader="none"/>
        </w:tabs>
        <w:rPr>
          <w:rStyle w:val="1124"/>
          <w:rFonts w:hint="eastAsia" w:ascii="宋体" w:hAnsi="宋体" w:cs="宋体"/>
          <w:b/>
          <w:bCs/>
        </w:rPr>
        <w:outlineLvl w:val="0"/>
      </w:pPr>
      <w:r>
        <w:rPr>
          <w:rFonts w:hint="eastAsia" w:ascii="宋体" w:hAnsi="宋体" w:cs="宋体"/>
        </w:rPr>
        <w:br w:type="page" w:clear="all"/>
      </w:r>
      <w:r>
        <w:rPr>
          <w:rFonts w:hint="eastAsia" w:ascii="宋体" w:hAnsi="宋体" w:cs="宋体"/>
          <w:sz w:val="36"/>
          <w:szCs w:val="36"/>
          <w:lang w:val="en-US" w:eastAsia="zh-CN"/>
        </w:rPr>
        <w:t xml:space="preserve">六</w:t>
      </w:r>
      <w:r>
        <w:rPr>
          <w:rFonts w:hint="eastAsia" w:ascii="宋体" w:hAnsi="宋体" w:cs="宋体"/>
          <w:sz w:val="36"/>
          <w:szCs w:val="36"/>
        </w:rPr>
        <w:t xml:space="preserve">、技术要求响应表</w:t>
      </w:r>
      <w:r>
        <w:rPr>
          <w:rStyle w:val="1124"/>
          <w:rFonts w:hint="eastAsia" w:ascii="宋体" w:hAnsi="宋体" w:cs="宋体"/>
          <w:b/>
          <w:bCs/>
        </w:rPr>
      </w:r>
      <w:r/>
    </w:p>
    <w:p>
      <w:pPr>
        <w:pStyle w:val="1063"/>
        <w:ind w:firstLine="480"/>
        <w:spacing w:line="360" w:lineRule="auto"/>
        <w:rPr>
          <w:rFonts w:hint="eastAsia" w:ascii="宋体" w:hAnsi="宋体" w:cs="宋体"/>
          <w:sz w:val="24"/>
        </w:rPr>
      </w:pPr>
      <w:r>
        <w:rPr>
          <w:rFonts w:hint="eastAsia" w:ascii="宋体" w:hAnsi="宋体" w:cs="宋体"/>
          <w:sz w:val="24"/>
        </w:rPr>
        <w:t xml:space="preserve">填写说明：本表应包含“第四章　项目需求”中的各项技术要求。</w:t>
      </w:r>
      <w:r>
        <w:rPr>
          <w:rFonts w:hint="eastAsia" w:ascii="宋体" w:hAnsi="宋体" w:cs="宋体"/>
          <w:sz w:val="24"/>
        </w:rPr>
      </w:r>
      <w:r/>
    </w:p>
    <w:tbl>
      <w:tblPr>
        <w:tblW w:w="887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369"/>
        <w:gridCol w:w="1020"/>
      </w:tblGrid>
      <w:tr>
        <w:trPr>
          <w:trHeight w:val="643"/>
        </w:trPr>
        <w:tc>
          <w:tcPr>
            <w:tcW w:w="822" w:type="dxa"/>
            <w:vAlign w:val="center"/>
            <w:textDirection w:val="lrTb"/>
            <w:noWrap w:val="false"/>
          </w:tcPr>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726" w:type="dxa"/>
            <w:vAlign w:val="center"/>
            <w:textDirection w:val="lrTb"/>
            <w:noWrap w:val="false"/>
          </w:tcPr>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技术要求条目</w:t>
            </w:r>
            <w:r>
              <w:rPr>
                <w:rFonts w:hint="eastAsia" w:ascii="宋体" w:hAnsi="宋体" w:cs="宋体"/>
                <w:sz w:val="24"/>
                <w:szCs w:val="24"/>
              </w:rPr>
            </w:r>
            <w:r/>
          </w:p>
        </w:tc>
        <w:tc>
          <w:tcPr>
            <w:tcW w:w="1778" w:type="dxa"/>
            <w:vAlign w:val="center"/>
            <w:textDirection w:val="lrTb"/>
            <w:noWrap w:val="false"/>
          </w:tcPr>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招标文件中的</w:t>
            </w:r>
            <w:r>
              <w:rPr>
                <w:rFonts w:hint="eastAsia" w:ascii="宋体" w:hAnsi="宋体" w:cs="宋体"/>
                <w:sz w:val="24"/>
                <w:szCs w:val="24"/>
              </w:rPr>
            </w:r>
            <w:r/>
          </w:p>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技术要求</w:t>
            </w:r>
            <w:r>
              <w:rPr>
                <w:rFonts w:hint="eastAsia" w:ascii="宋体" w:hAnsi="宋体" w:cs="宋体"/>
                <w:sz w:val="24"/>
                <w:szCs w:val="24"/>
              </w:rPr>
            </w:r>
            <w:r/>
          </w:p>
        </w:tc>
        <w:tc>
          <w:tcPr>
            <w:tcW w:w="2163" w:type="dxa"/>
            <w:vAlign w:val="center"/>
            <w:textDirection w:val="lrTb"/>
            <w:noWrap w:val="false"/>
          </w:tcPr>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rPr>
            </w:r>
            <w:r/>
          </w:p>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的承诺或说明</w:t>
            </w:r>
            <w:r>
              <w:rPr>
                <w:rFonts w:hint="eastAsia" w:ascii="宋体" w:hAnsi="宋体" w:cs="宋体"/>
                <w:sz w:val="24"/>
                <w:szCs w:val="24"/>
              </w:rPr>
            </w:r>
            <w:r/>
          </w:p>
        </w:tc>
        <w:tc>
          <w:tcPr>
            <w:tcW w:w="1369" w:type="dxa"/>
            <w:vAlign w:val="center"/>
            <w:textDirection w:val="lrTb"/>
            <w:noWrap w:val="false"/>
          </w:tcPr>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偏离情况</w:t>
            </w:r>
            <w:r>
              <w:rPr>
                <w:rFonts w:hint="eastAsia" w:ascii="宋体" w:hAnsi="宋体" w:cs="宋体"/>
                <w:sz w:val="24"/>
                <w:szCs w:val="24"/>
              </w:rPr>
            </w:r>
            <w:r/>
          </w:p>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020" w:type="dxa"/>
            <w:vAlign w:val="center"/>
            <w:textDirection w:val="lrTb"/>
            <w:noWrap w:val="false"/>
          </w:tcPr>
          <w:p>
            <w:pPr>
              <w:pStyle w:val="1063"/>
              <w:jc w:val="center"/>
              <w:spacing w:line="360" w:lineRule="auto"/>
              <w:rPr>
                <w:rFonts w:hint="eastAsia" w:ascii="宋体" w:hAnsi="宋体" w:cs="宋体"/>
                <w:sz w:val="24"/>
                <w:szCs w:val="24"/>
              </w:rPr>
            </w:pPr>
            <w:r>
              <w:rPr>
                <w:rFonts w:hint="eastAsia" w:ascii="宋体" w:hAnsi="宋体" w:cs="宋体"/>
                <w:sz w:val="24"/>
                <w:szCs w:val="24"/>
              </w:rPr>
              <w:t xml:space="preserve">页码</w:t>
            </w:r>
            <w:r>
              <w:rPr>
                <w:rFonts w:hint="eastAsia" w:ascii="宋体" w:hAnsi="宋体" w:cs="宋体"/>
                <w:sz w:val="24"/>
                <w:szCs w:val="24"/>
              </w:rPr>
            </w:r>
            <w:r/>
          </w:p>
        </w:tc>
      </w:tr>
      <w:tr>
        <w:trPr>
          <w:trHeight w:val="537"/>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512"/>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541"/>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441"/>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576"/>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401"/>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r>
        <w:trPr>
          <w:trHeight w:val="461"/>
        </w:trPr>
        <w:tc>
          <w:tcPr>
            <w:tcW w:w="82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726"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（本表可根据需要自行添加行）</w:t>
            </w:r>
            <w:r>
              <w:rPr>
                <w:rFonts w:hint="eastAsia" w:ascii="宋体" w:hAnsi="宋体" w:cs="宋体"/>
              </w:rPr>
            </w:r>
            <w:r/>
          </w:p>
        </w:tc>
        <w:tc>
          <w:tcPr>
            <w:tcW w:w="1778"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216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369"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c>
          <w:tcPr>
            <w:tcW w:w="1020"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r>
            <w:r/>
          </w:p>
        </w:tc>
      </w:tr>
    </w:tbl>
    <w:p>
      <w:pPr>
        <w:pStyle w:val="1063"/>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1101"/>
        <w:ind w:firstLine="480"/>
        <w:spacing w:line="360" w:lineRule="auto"/>
        <w:rPr>
          <w:rFonts w:hint="eastAsia"/>
        </w:rPr>
      </w:pPr>
      <w:r>
        <w:rPr>
          <w:rFonts w:hint="eastAsia"/>
        </w:rPr>
        <w:t xml:space="preserve">法定代表人或授权代表（签字或签章）： </w:t>
      </w:r>
      <w:r>
        <w:rPr>
          <w:rFonts w:hint="eastAsia"/>
          <w:u w:val="single"/>
        </w:rPr>
        <w:t xml:space="preserve">                 </w:t>
      </w:r>
      <w:r>
        <w:rPr>
          <w:rFonts w:hint="eastAsia"/>
        </w:rPr>
        <w:t xml:space="preserve">                                       </w:t>
      </w:r>
      <w:r>
        <w:rPr>
          <w:rFonts w:hint="eastAsia"/>
        </w:rPr>
      </w:r>
      <w:r/>
    </w:p>
    <w:p>
      <w:pPr>
        <w:pStyle w:val="1063"/>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1063"/>
        <w:spacing w:line="360" w:lineRule="auto"/>
        <w:rPr>
          <w:rFonts w:hint="eastAsia" w:ascii="宋体" w:hAnsi="宋体"/>
          <w:sz w:val="24"/>
          <w:szCs w:val="24"/>
        </w:rPr>
      </w:pPr>
      <w:r>
        <w:rPr>
          <w:rFonts w:hint="eastAsia" w:ascii="宋体" w:hAnsi="宋体"/>
          <w:sz w:val="24"/>
          <w:szCs w:val="24"/>
        </w:rPr>
      </w:r>
      <w:r/>
    </w:p>
    <w:p>
      <w:pPr>
        <w:pStyle w:val="1063"/>
        <w:ind w:firstLine="440"/>
        <w:rPr>
          <w:sz w:val="22"/>
          <w:szCs w:val="20"/>
        </w:rPr>
      </w:pPr>
      <w:r>
        <w:rPr>
          <w:rFonts w:hint="eastAsia"/>
          <w:sz w:val="22"/>
          <w:szCs w:val="20"/>
        </w:rPr>
        <w:t xml:space="preserve">填写说明：</w:t>
      </w:r>
      <w:r>
        <w:rPr>
          <w:sz w:val="22"/>
          <w:szCs w:val="20"/>
        </w:rPr>
      </w:r>
      <w:r/>
    </w:p>
    <w:p>
      <w:pPr>
        <w:pStyle w:val="1063"/>
        <w:ind w:firstLine="440"/>
        <w:rPr>
          <w:sz w:val="22"/>
          <w:szCs w:val="20"/>
        </w:rPr>
      </w:pPr>
      <w:r>
        <w:rPr>
          <w:rFonts w:hint="eastAsia"/>
          <w:sz w:val="22"/>
          <w:szCs w:val="20"/>
        </w:rPr>
        <w:t xml:space="preserve">1、此表为表样，行数可自行添加，但表式不变。</w:t>
      </w:r>
      <w:r>
        <w:rPr>
          <w:sz w:val="22"/>
          <w:szCs w:val="20"/>
        </w:rPr>
      </w:r>
      <w:r/>
    </w:p>
    <w:p>
      <w:pPr>
        <w:pStyle w:val="1063"/>
        <w:ind w:firstLine="440"/>
        <w:rPr>
          <w:sz w:val="22"/>
          <w:szCs w:val="20"/>
        </w:rPr>
      </w:pPr>
      <w:r>
        <w:rPr>
          <w:rFonts w:hint="eastAsia"/>
          <w:sz w:val="22"/>
          <w:szCs w:val="20"/>
        </w:rPr>
        <w:t xml:space="preserve">2、是否偏离用符号“+、-”分别表示正偏离、负偏离。</w:t>
      </w:r>
      <w:r>
        <w:rPr>
          <w:sz w:val="22"/>
          <w:szCs w:val="20"/>
        </w:rPr>
      </w:r>
      <w:r/>
    </w:p>
    <w:p>
      <w:pPr>
        <w:pStyle w:val="1063"/>
        <w:ind w:firstLine="440"/>
        <w:rPr>
          <w:sz w:val="22"/>
          <w:szCs w:val="20"/>
        </w:rPr>
      </w:pPr>
      <w:r>
        <w:rPr>
          <w:rFonts w:hint="eastAsia"/>
          <w:sz w:val="22"/>
          <w:szCs w:val="20"/>
        </w:rPr>
        <w:t xml:space="preserve">3、投标人必须仔细阅读本招标文件中所有商务要求，并列入上表。</w:t>
      </w:r>
      <w:r>
        <w:rPr>
          <w:sz w:val="22"/>
          <w:szCs w:val="20"/>
        </w:rPr>
      </w:r>
      <w:r/>
    </w:p>
    <w:p>
      <w:pPr>
        <w:pStyle w:val="1063"/>
        <w:ind w:firstLine="440"/>
        <w:rPr>
          <w:sz w:val="22"/>
          <w:szCs w:val="20"/>
        </w:rPr>
      </w:pPr>
      <w:r>
        <w:rPr>
          <w:rFonts w:hint="eastAsia"/>
          <w:sz w:val="22"/>
          <w:szCs w:val="20"/>
        </w:rPr>
        <w:t xml:space="preserve">4、若投标文件中出现与此表表述不一致的，以此表为准。</w:t>
      </w:r>
      <w:r>
        <w:rPr>
          <w:sz w:val="22"/>
          <w:szCs w:val="20"/>
        </w:rPr>
      </w:r>
      <w:r/>
    </w:p>
    <w:p>
      <w:pPr>
        <w:pStyle w:val="1063"/>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1063"/>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1063"/>
        <w:ind w:firstLine="480"/>
        <w:jc w:val="left"/>
        <w:spacing w:line="360" w:lineRule="auto"/>
        <w:tabs>
          <w:tab w:val="left" w:pos="142" w:leader="none"/>
        </w:tabs>
        <w:rPr>
          <w:rFonts w:hint="eastAsia" w:ascii="宋体" w:hAnsi="宋体" w:cs="宋体"/>
          <w:sz w:val="24"/>
          <w:szCs w:val="24"/>
        </w:rPr>
      </w:pPr>
      <w:r>
        <w:rPr>
          <w:rFonts w:hint="eastAsia" w:ascii="宋体" w:hAnsi="宋体" w:cs="宋体"/>
          <w:sz w:val="24"/>
          <w:szCs w:val="24"/>
        </w:rPr>
      </w:r>
      <w:r/>
    </w:p>
    <w:p>
      <w:pPr>
        <w:pStyle w:val="112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1123"/>
        <w:numPr>
          <w:ilvl w:val="0"/>
          <w:numId w:val="0"/>
        </w:numPr>
        <w:jc w:val="center"/>
        <w:pageBreakBefore/>
        <w:spacing w:line="360" w:lineRule="auto"/>
        <w:widowControl w:val="off"/>
        <w:tabs>
          <w:tab w:val="left" w:pos="720" w:leader="none"/>
        </w:tabs>
        <w:rPr>
          <w:rFonts w:hint="eastAsia" w:ascii="宋体" w:hAnsi="宋体" w:cs="宋体"/>
          <w:sz w:val="36"/>
          <w:szCs w:val="36"/>
        </w:rPr>
        <w:outlineLvl w:val="0"/>
      </w:pPr>
      <w:r>
        <w:rPr>
          <w:rFonts w:hint="eastAsia" w:ascii="宋体" w:hAnsi="宋体" w:cs="宋体"/>
          <w:sz w:val="36"/>
          <w:szCs w:val="36"/>
          <w:lang w:val="en-US" w:eastAsia="zh-CN"/>
        </w:rPr>
        <w:t xml:space="preserve">七</w:t>
      </w:r>
      <w:r>
        <w:rPr>
          <w:rFonts w:hint="eastAsia" w:ascii="宋体" w:hAnsi="宋体" w:cs="宋体"/>
          <w:sz w:val="36"/>
          <w:szCs w:val="36"/>
        </w:rPr>
        <w:t xml:space="preserve">、商务要求响应表</w:t>
      </w:r>
      <w:r>
        <w:rPr>
          <w:rFonts w:hint="eastAsia" w:ascii="宋体" w:hAnsi="宋体" w:cs="宋体"/>
          <w:sz w:val="36"/>
          <w:szCs w:val="36"/>
        </w:rPr>
      </w:r>
      <w:r/>
    </w:p>
    <w:p>
      <w:pPr>
        <w:pStyle w:val="1063"/>
        <w:ind w:firstLine="480"/>
        <w:spacing w:line="360" w:lineRule="auto"/>
        <w:rPr>
          <w:rFonts w:hint="eastAsia" w:ascii="宋体" w:hAnsi="宋体" w:cs="宋体"/>
          <w:sz w:val="24"/>
        </w:rPr>
      </w:pPr>
      <w:r>
        <w:rPr>
          <w:rFonts w:hint="eastAsia" w:ascii="宋体" w:hAnsi="宋体" w:cs="宋体"/>
          <w:sz w:val="24"/>
        </w:rPr>
        <w:t xml:space="preserve">填写说明：本表应包含招标文件中的各项商务类要求。</w:t>
      </w:r>
      <w:r>
        <w:rPr>
          <w:rFonts w:hint="eastAsia" w:ascii="宋体" w:hAnsi="宋体" w:cs="宋体"/>
          <w:sz w:val="24"/>
        </w:rPr>
      </w:r>
      <w:r/>
    </w:p>
    <w:tbl>
      <w:tblPr>
        <w:tblW w:w="88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033"/>
        <w:gridCol w:w="1784"/>
        <w:gridCol w:w="2483"/>
        <w:gridCol w:w="1842"/>
      </w:tblGrid>
      <w:tr>
        <w:trPr>
          <w:trHeight w:val="64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序号</w:t>
            </w:r>
            <w:r>
              <w:rPr>
                <w:rFonts w:hint="eastAsia" w:ascii="宋体" w:hAnsi="宋体" w:cs="宋体"/>
              </w:rPr>
            </w:r>
            <w:r/>
          </w:p>
        </w:tc>
        <w:tc>
          <w:tcPr>
            <w:tcW w:w="203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商务要求条目</w:t>
            </w:r>
            <w:r>
              <w:rPr>
                <w:rFonts w:hint="eastAsia" w:ascii="宋体" w:hAnsi="宋体" w:cs="宋体"/>
              </w:rPr>
            </w:r>
            <w:r/>
          </w:p>
        </w:tc>
        <w:tc>
          <w:tcPr>
            <w:tcW w:w="1784"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招标文件中的</w:t>
            </w:r>
            <w:r>
              <w:rPr>
                <w:rFonts w:hint="eastAsia" w:ascii="宋体" w:hAnsi="宋体" w:cs="宋体"/>
              </w:rPr>
            </w:r>
            <w:r/>
          </w:p>
          <w:p>
            <w:pPr>
              <w:pStyle w:val="1063"/>
              <w:jc w:val="center"/>
              <w:spacing w:line="360" w:lineRule="auto"/>
              <w:rPr>
                <w:rFonts w:hint="eastAsia" w:ascii="宋体" w:hAnsi="宋体" w:cs="宋体"/>
              </w:rPr>
            </w:pPr>
            <w:r>
              <w:rPr>
                <w:rFonts w:hint="eastAsia" w:ascii="宋体" w:hAnsi="宋体" w:cs="宋体"/>
              </w:rPr>
              <w:t xml:space="preserve">商务要求</w:t>
            </w:r>
            <w:r>
              <w:rPr>
                <w:rFonts w:hint="eastAsia" w:ascii="宋体" w:hAnsi="宋体" w:cs="宋体"/>
              </w:rPr>
            </w:r>
            <w:r/>
          </w:p>
        </w:tc>
        <w:tc>
          <w:tcPr>
            <w:tcW w:w="2483"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投标人的承诺或说明</w:t>
            </w:r>
            <w:r>
              <w:rPr>
                <w:rFonts w:hint="eastAsia" w:ascii="宋体" w:hAnsi="宋体" w:cs="宋体"/>
              </w:rPr>
            </w:r>
            <w:r/>
          </w:p>
        </w:tc>
        <w:tc>
          <w:tcPr>
            <w:tcW w:w="184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偏离情况</w:t>
            </w:r>
            <w:r>
              <w:rPr>
                <w:rFonts w:hint="eastAsia" w:ascii="宋体" w:hAnsi="宋体" w:cs="宋体"/>
              </w:rPr>
            </w:r>
            <w:r/>
          </w:p>
          <w:p>
            <w:pPr>
              <w:pStyle w:val="1063"/>
              <w:jc w:val="center"/>
              <w:spacing w:line="360" w:lineRule="auto"/>
              <w:rPr>
                <w:rFonts w:hint="eastAsia" w:ascii="宋体" w:hAnsi="宋体" w:cs="宋体"/>
              </w:rPr>
            </w:pPr>
            <w:r>
              <w:rPr>
                <w:rFonts w:hint="eastAsia" w:ascii="宋体" w:hAnsi="宋体" w:cs="宋体"/>
              </w:rPr>
              <w:t xml:space="preserve">（+/-/=）</w:t>
            </w: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r>
        <w:trPr>
          <w:trHeight w:val="461"/>
        </w:trPr>
        <w:tc>
          <w:tcPr>
            <w:tcW w:w="712" w:type="dxa"/>
            <w:vAlign w:val="center"/>
            <w:textDirection w:val="lrTb"/>
            <w:noWrap w:val="false"/>
          </w:tcPr>
          <w:p>
            <w:pPr>
              <w:pStyle w:val="1063"/>
              <w:jc w:val="center"/>
              <w:spacing w:line="360"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203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t xml:space="preserve">（本表可根据需要自行添加行）</w:t>
            </w:r>
            <w:r>
              <w:rPr>
                <w:rFonts w:hint="eastAsia" w:ascii="宋体" w:hAnsi="宋体" w:cs="宋体"/>
              </w:rPr>
            </w:r>
            <w:r/>
          </w:p>
        </w:tc>
        <w:tc>
          <w:tcPr>
            <w:tcW w:w="1784"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2483"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c>
          <w:tcPr>
            <w:tcW w:w="1842" w:type="dxa"/>
            <w:vAlign w:val="center"/>
            <w:textDirection w:val="lrTb"/>
            <w:noWrap w:val="false"/>
          </w:tcPr>
          <w:p>
            <w:pPr>
              <w:pStyle w:val="1063"/>
              <w:spacing w:line="360" w:lineRule="auto"/>
              <w:rPr>
                <w:rFonts w:hint="eastAsia" w:ascii="宋体" w:hAnsi="宋体" w:cs="宋体"/>
              </w:rPr>
            </w:pPr>
            <w:r>
              <w:rPr>
                <w:rFonts w:hint="eastAsia" w:ascii="宋体" w:hAnsi="宋体" w:cs="宋体"/>
              </w:rPr>
            </w:r>
            <w:r/>
          </w:p>
        </w:tc>
      </w:tr>
    </w:tbl>
    <w:p>
      <w:pPr>
        <w:pStyle w:val="1063"/>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1101"/>
        <w:ind w:firstLine="480"/>
        <w:spacing w:line="360" w:lineRule="auto"/>
        <w:rPr>
          <w:rFonts w:hint="eastAsia"/>
        </w:rPr>
      </w:pPr>
      <w:r>
        <w:rPr>
          <w:rFonts w:hint="eastAsia"/>
        </w:rPr>
        <w:t xml:space="preserve">法定代表人或授权代表（签字或签章）： </w:t>
      </w:r>
      <w:r>
        <w:rPr>
          <w:rFonts w:hint="eastAsia"/>
          <w:u w:val="single"/>
        </w:rPr>
        <w:t xml:space="preserve">                 </w:t>
      </w:r>
      <w:r>
        <w:rPr>
          <w:rFonts w:hint="eastAsia"/>
        </w:rPr>
        <w:t xml:space="preserve">                                       </w:t>
      </w:r>
      <w:r>
        <w:rPr>
          <w:rFonts w:hint="eastAsia"/>
        </w:rPr>
      </w:r>
      <w:r/>
    </w:p>
    <w:p>
      <w:pPr>
        <w:pStyle w:val="1063"/>
        <w:ind w:firstLine="48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1063"/>
        <w:ind w:firstLine="480"/>
        <w:spacing w:line="360" w:lineRule="auto"/>
        <w:rPr>
          <w:rFonts w:hint="eastAsia" w:ascii="宋体" w:hAnsi="宋体" w:cs="宋体"/>
          <w:sz w:val="24"/>
        </w:rPr>
      </w:pPr>
      <w:r>
        <w:rPr>
          <w:rFonts w:hint="eastAsia" w:ascii="宋体" w:hAnsi="宋体" w:cs="宋体"/>
          <w:sz w:val="24"/>
        </w:rPr>
      </w:r>
      <w:r/>
    </w:p>
    <w:p>
      <w:pPr>
        <w:pStyle w:val="1063"/>
        <w:ind w:firstLine="480"/>
        <w:rPr>
          <w:rFonts w:hint="eastAsia" w:ascii="宋体" w:hAnsi="宋体" w:cs="宋体"/>
          <w:szCs w:val="18"/>
        </w:rPr>
      </w:pPr>
      <w:r>
        <w:rPr>
          <w:rFonts w:hint="eastAsia" w:ascii="宋体" w:hAnsi="宋体" w:cs="宋体"/>
          <w:szCs w:val="18"/>
        </w:rPr>
        <w:t xml:space="preserve">填写说明：</w:t>
      </w:r>
      <w:r>
        <w:rPr>
          <w:rFonts w:hint="eastAsia" w:ascii="宋体" w:hAnsi="宋体" w:cs="宋体"/>
          <w:szCs w:val="18"/>
        </w:rPr>
      </w:r>
      <w:r/>
    </w:p>
    <w:p>
      <w:pPr>
        <w:pStyle w:val="1063"/>
        <w:ind w:firstLine="420"/>
        <w:rPr>
          <w:rFonts w:hint="eastAsia" w:ascii="宋体" w:hAnsi="宋体" w:cs="宋体"/>
          <w:szCs w:val="18"/>
        </w:rPr>
      </w:pPr>
      <w:r>
        <w:rPr>
          <w:rFonts w:hint="eastAsia" w:ascii="宋体" w:hAnsi="宋体" w:cs="宋体"/>
          <w:szCs w:val="18"/>
        </w:rPr>
        <w:t xml:space="preserve">①此表为表样，行数可自行添加，但表式不变。</w:t>
      </w:r>
      <w:r>
        <w:rPr>
          <w:rFonts w:hint="eastAsia" w:ascii="宋体" w:hAnsi="宋体" w:cs="宋体"/>
          <w:szCs w:val="18"/>
        </w:rPr>
      </w:r>
      <w:r/>
    </w:p>
    <w:p>
      <w:pPr>
        <w:pStyle w:val="1063"/>
        <w:ind w:firstLine="420"/>
        <w:rPr>
          <w:rFonts w:hint="eastAsia" w:ascii="宋体" w:hAnsi="宋体" w:cs="宋体"/>
          <w:szCs w:val="18"/>
        </w:rPr>
      </w:pPr>
      <w:r>
        <w:rPr>
          <w:rFonts w:hint="eastAsia" w:ascii="宋体" w:hAnsi="宋体" w:cs="宋体"/>
          <w:szCs w:val="18"/>
        </w:rPr>
        <w:t xml:space="preserve">②是否偏离用符号“+、-”分别表示正偏离、负偏离。</w:t>
      </w:r>
      <w:r>
        <w:rPr>
          <w:rFonts w:hint="eastAsia" w:ascii="宋体" w:hAnsi="宋体" w:cs="宋体"/>
          <w:szCs w:val="18"/>
        </w:rPr>
      </w:r>
      <w:r/>
    </w:p>
    <w:p>
      <w:pPr>
        <w:pStyle w:val="1063"/>
        <w:ind w:firstLine="420"/>
        <w:rPr>
          <w:rFonts w:hint="eastAsia" w:ascii="宋体" w:hAnsi="宋体" w:cs="宋体"/>
          <w:szCs w:val="18"/>
        </w:rPr>
      </w:pPr>
      <w:r>
        <w:rPr>
          <w:rFonts w:hint="eastAsia" w:ascii="宋体" w:hAnsi="宋体" w:cs="宋体"/>
          <w:szCs w:val="18"/>
        </w:rPr>
        <w:t xml:space="preserve">③供应商必须仔细阅读本采购文件中所有商务要求，并列入上表。</w:t>
      </w:r>
      <w:r>
        <w:rPr>
          <w:rFonts w:hint="eastAsia" w:ascii="宋体" w:hAnsi="宋体" w:cs="宋体"/>
          <w:szCs w:val="18"/>
        </w:rPr>
      </w:r>
      <w:r/>
    </w:p>
    <w:p>
      <w:pPr>
        <w:pStyle w:val="1063"/>
        <w:ind w:firstLine="420"/>
        <w:rPr>
          <w:rFonts w:hint="eastAsia" w:ascii="宋体" w:hAnsi="宋体" w:cs="宋体"/>
          <w:szCs w:val="18"/>
        </w:rPr>
      </w:pPr>
      <w:r>
        <w:rPr>
          <w:rFonts w:hint="eastAsia" w:ascii="宋体" w:hAnsi="宋体" w:cs="宋体"/>
          <w:szCs w:val="18"/>
        </w:rPr>
        <w:t xml:space="preserve">④若响应文件中出现与此表表述不一致的，以此表为准。</w:t>
      </w:r>
      <w:r>
        <w:rPr>
          <w:rFonts w:hint="eastAsia" w:ascii="宋体" w:hAnsi="宋体" w:cs="宋体"/>
          <w:szCs w:val="18"/>
        </w:rPr>
      </w:r>
      <w:r/>
    </w:p>
    <w:p>
      <w:pPr>
        <w:pStyle w:val="112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112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1123"/>
        <w:numPr>
          <w:ilvl w:val="0"/>
          <w:numId w:val="0"/>
        </w:numPr>
        <w:jc w:val="center"/>
        <w:spacing w:line="360" w:lineRule="auto"/>
        <w:tabs>
          <w:tab w:val="left" w:pos="720" w:leader="none"/>
        </w:tabs>
        <w:rPr>
          <w:rFonts w:hint="eastAsia" w:ascii="宋体" w:hAnsi="宋体" w:cs="宋体"/>
          <w:sz w:val="24"/>
        </w:rPr>
        <w:outlineLvl w:val="9"/>
      </w:pPr>
      <w:r>
        <w:rPr>
          <w:rFonts w:hint="eastAsia" w:ascii="宋体" w:hAnsi="宋体" w:cs="宋体"/>
          <w:sz w:val="24"/>
        </w:rPr>
      </w:r>
      <w:r/>
    </w:p>
    <w:p>
      <w:pPr>
        <w:pStyle w:val="1123"/>
        <w:numPr>
          <w:ilvl w:val="0"/>
          <w:numId w:val="0"/>
        </w:numPr>
        <w:jc w:val="center"/>
        <w:spacing w:line="360" w:lineRule="auto"/>
        <w:tabs>
          <w:tab w:val="left" w:pos="720" w:leader="none"/>
        </w:tabs>
        <w:rPr>
          <w:rFonts w:hint="eastAsia"/>
          <w:lang w:val="en-US" w:eastAsia="zh-CN"/>
        </w:rPr>
        <w:sectPr>
          <w:footnotePr/>
          <w:endnotePr/>
          <w:type w:val="nextPage"/>
          <w:pgSz w:w="11906" w:h="16838" w:orient="portrait"/>
          <w:pgMar w:top="1253" w:right="1253" w:bottom="1253" w:left="1253" w:header="624" w:footer="992" w:gutter="0"/>
          <w:lnNumType w:countBy="0" w:start="1"/>
          <w:cols w:num="1" w:sep="0" w:space="1701" w:equalWidth="1"/>
          <w:docGrid w:linePitch="360"/>
        </w:sectPr>
        <w:outlineLvl w:val="0"/>
      </w:pPr>
      <w:r>
        <w:rPr>
          <w:rFonts w:hint="eastAsia"/>
        </w:rPr>
      </w:r>
      <w:bookmarkStart w:id="139" w:name="_Toc10794"/>
      <w:r/>
      <w:bookmarkStart w:id="140" w:name="_Toc28430"/>
      <w:r>
        <w:rPr>
          <w:rFonts w:hint="eastAsia" w:ascii="宋体" w:hAnsi="宋体" w:cs="宋体"/>
          <w:color w:val="000000"/>
          <w:sz w:val="30"/>
          <w:szCs w:val="30"/>
          <w:lang w:val="en-US" w:eastAsia="zh-CN"/>
        </w:rPr>
        <w:t xml:space="preserve">八</w:t>
      </w:r>
      <w:r>
        <w:rPr>
          <w:rFonts w:ascii="宋体" w:hAnsi="宋体" w:cs="宋体"/>
          <w:color w:val="000000"/>
          <w:sz w:val="30"/>
          <w:szCs w:val="30"/>
        </w:rPr>
        <w:t xml:space="preserve">：</w:t>
      </w:r>
      <w:r>
        <w:rPr>
          <w:rFonts w:hint="eastAsia" w:ascii="宋体" w:hAnsi="宋体" w:cs="宋体"/>
          <w:color w:val="000000"/>
          <w:sz w:val="30"/>
          <w:szCs w:val="30"/>
          <w:lang w:val="en-US" w:eastAsia="zh-CN"/>
        </w:rPr>
        <w:t xml:space="preserve">业绩（</w:t>
      </w:r>
      <w:r>
        <w:rPr>
          <w:rFonts w:hint="eastAsia" w:ascii="宋体" w:hAnsi="宋体" w:eastAsia="宋体" w:cs="宋体"/>
          <w:color w:val="000000"/>
          <w:lang w:val="en-US" w:eastAsia="zh-CN"/>
        </w:rPr>
        <w:t xml:space="preserve">加盖电子公章</w:t>
      </w:r>
      <w:bookmarkEnd w:id="139"/>
      <w:r/>
      <w:bookmarkEnd w:id="140"/>
      <w:r>
        <w:rPr>
          <w:rFonts w:hint="eastAsia" w:ascii="宋体" w:hAnsi="宋体" w:eastAsia="宋体" w:cs="宋体"/>
          <w:color w:val="000000"/>
          <w:lang w:val="en-US" w:eastAsia="zh-CN"/>
        </w:rPr>
        <w:t xml:space="preserve">）</w:t>
      </w:r>
      <w:r>
        <w:rPr>
          <w:rFonts w:hint="eastAsia"/>
          <w:lang w:val="en-US" w:eastAsia="zh-CN"/>
        </w:rPr>
      </w:r>
      <w:r/>
    </w:p>
    <w:p>
      <w:pPr>
        <w:pStyle w:val="1123"/>
        <w:numPr>
          <w:ilvl w:val="0"/>
          <w:numId w:val="0"/>
        </w:numPr>
        <w:ind w:left="0" w:firstLine="0"/>
        <w:jc w:val="center"/>
        <w:spacing w:line="360" w:lineRule="auto"/>
        <w:tabs>
          <w:tab w:val="left" w:pos="720" w:leader="none"/>
        </w:tabs>
        <w:rPr>
          <w:rFonts w:ascii="宋体" w:hAnsi="宋体" w:cs="宋体"/>
          <w:color w:val="000000"/>
          <w:sz w:val="30"/>
          <w:szCs w:val="30"/>
          <w:lang w:val="en-US" w:eastAsia="zh-CN"/>
        </w:rPr>
        <w:sectPr>
          <w:footnotePr/>
          <w:endnotePr/>
          <w:type w:val="nextPage"/>
          <w:pgSz w:w="11906" w:h="16838" w:orient="portrait"/>
          <w:pgMar w:top="1253" w:right="1253" w:bottom="1253" w:left="1253" w:header="624" w:footer="992" w:gutter="0"/>
          <w:lnNumType w:countBy="0" w:start="1"/>
          <w:cols w:num="1" w:sep="0" w:space="1701" w:equalWidth="1"/>
          <w:docGrid w:linePitch="360"/>
        </w:sectPr>
        <w:outlineLvl w:val="0"/>
      </w:pPr>
      <w:r/>
      <w:bookmarkStart w:id="141" w:name="_Toc13472"/>
      <w:r/>
      <w:bookmarkStart w:id="142" w:name="_Toc31485"/>
      <w:r>
        <w:rPr>
          <w:rFonts w:hint="eastAsia" w:ascii="宋体" w:hAnsi="宋体" w:cs="宋体"/>
          <w:color w:val="000000"/>
          <w:sz w:val="30"/>
          <w:szCs w:val="30"/>
          <w:lang w:val="en-US" w:eastAsia="zh-CN"/>
        </w:rPr>
        <w:t xml:space="preserve">九</w:t>
      </w:r>
      <w:r>
        <w:rPr>
          <w:rFonts w:ascii="宋体" w:hAnsi="宋体" w:cs="宋体"/>
          <w:color w:val="000000"/>
          <w:sz w:val="30"/>
          <w:szCs w:val="30"/>
        </w:rPr>
        <w:t xml:space="preserve">：</w:t>
      </w:r>
      <w:r>
        <w:rPr>
          <w:rFonts w:hint="eastAsia" w:ascii="宋体" w:hAnsi="宋体" w:cs="宋体"/>
          <w:color w:val="000000"/>
          <w:sz w:val="30"/>
          <w:szCs w:val="30"/>
          <w:lang w:val="en-US" w:eastAsia="zh-CN"/>
        </w:rPr>
        <w:t xml:space="preserve">方案（格式自拟，</w:t>
      </w:r>
      <w:r>
        <w:rPr>
          <w:rFonts w:hint="eastAsia" w:ascii="宋体" w:hAnsi="宋体" w:eastAsia="宋体" w:cs="宋体"/>
          <w:color w:val="000000"/>
          <w:lang w:val="en-US" w:eastAsia="zh-CN"/>
        </w:rPr>
        <w:t xml:space="preserve">加盖电子公章</w:t>
      </w:r>
      <w:r>
        <w:rPr>
          <w:rFonts w:hint="eastAsia" w:ascii="宋体" w:hAnsi="宋体" w:cs="宋体"/>
          <w:color w:val="000000"/>
          <w:sz w:val="30"/>
          <w:szCs w:val="30"/>
          <w:lang w:val="en-US" w:eastAsia="zh-CN"/>
        </w:rPr>
        <w:t xml:space="preserve">）</w:t>
      </w:r>
      <w:bookmarkEnd w:id="141"/>
      <w:r/>
      <w:bookmarkEnd w:id="142"/>
      <w:r>
        <w:rPr>
          <w:rFonts w:ascii="宋体" w:hAnsi="宋体" w:cs="宋体"/>
          <w:color w:val="000000"/>
          <w:sz w:val="30"/>
          <w:szCs w:val="30"/>
          <w:lang w:val="en-US" w:eastAsia="zh-CN"/>
        </w:rPr>
      </w:r>
      <w:r/>
    </w:p>
    <w:p>
      <w:pPr>
        <w:pStyle w:val="1063"/>
        <w:rPr>
          <w:rFonts w:hint="eastAsia"/>
        </w:rPr>
      </w:pPr>
      <w:r>
        <w:rPr>
          <w:rFonts w:hint="eastAsia"/>
        </w:rPr>
      </w:r>
      <w:r/>
    </w:p>
    <w:p>
      <w:pPr>
        <w:pStyle w:val="1123"/>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sz w:val="30"/>
          <w:szCs w:val="30"/>
          <w:lang w:val="en-US" w:eastAsia="zh-CN"/>
        </w:rPr>
        <w:t xml:space="preserve">十、  </w:t>
      </w:r>
      <w:r>
        <w:rPr>
          <w:rFonts w:hint="eastAsia" w:ascii="宋体" w:hAnsi="宋体" w:cs="宋体"/>
          <w:sz w:val="30"/>
          <w:szCs w:val="30"/>
        </w:rPr>
        <w:t xml:space="preserve">具备履行合同所必需的设备和专业技术能力的书面声明</w:t>
      </w:r>
      <w:r>
        <w:rPr>
          <w:rFonts w:hint="eastAsia" w:ascii="宋体" w:hAnsi="宋体" w:cs="宋体"/>
          <w:sz w:val="30"/>
          <w:szCs w:val="30"/>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1101"/>
        <w:ind w:firstLine="3840"/>
        <w:spacing w:line="360" w:lineRule="auto"/>
        <w:rPr>
          <w:rFonts w:hint="eastAsia"/>
        </w:rPr>
      </w:pPr>
      <w:r>
        <w:rPr>
          <w:rFonts w:hint="eastAsia"/>
        </w:rPr>
        <w:t xml:space="preserve">法定代表人或授权代表（签字或签章）：                                     </w:t>
      </w:r>
      <w:r>
        <w:rPr>
          <w:rFonts w:hint="eastAsia"/>
        </w:rPr>
      </w:r>
      <w:r/>
    </w:p>
    <w:p>
      <w:pPr>
        <w:pStyle w:val="1063"/>
        <w:ind w:firstLine="384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1063"/>
        <w:ind w:firstLine="4560"/>
        <w:spacing w:line="360" w:lineRule="auto"/>
        <w:rPr>
          <w:rFonts w:hint="eastAsia" w:ascii="宋体" w:hAnsi="宋体" w:cs="宋体"/>
          <w:sz w:val="24"/>
          <w:szCs w:val="24"/>
        </w:rPr>
      </w:pPr>
      <w:r>
        <w:rPr>
          <w:rFonts w:hint="eastAsia" w:ascii="宋体" w:hAnsi="宋体" w:cs="宋体"/>
          <w:sz w:val="24"/>
          <w:szCs w:val="24"/>
        </w:rPr>
      </w:r>
      <w:r/>
    </w:p>
    <w:p>
      <w:pPr>
        <w:pStyle w:val="1134"/>
        <w:ind w:firstLine="480"/>
        <w:spacing w:line="360" w:lineRule="auto"/>
        <w:rPr>
          <w:rFonts w:ascii="宋体" w:hAnsi="宋体" w:cs="宋体"/>
        </w:rPr>
      </w:pPr>
      <w:r>
        <w:rPr>
          <w:rFonts w:hint="eastAsia" w:ascii="宋体" w:hAnsi="宋体" w:cs="宋体"/>
        </w:rPr>
        <w:br w:type="page" w:clear="all"/>
      </w:r>
      <w:r>
        <w:rPr>
          <w:rFonts w:ascii="宋体" w:hAnsi="宋体" w:cs="宋体"/>
        </w:rPr>
      </w:r>
      <w:r/>
    </w:p>
    <w:p>
      <w:pPr>
        <w:pStyle w:val="1123"/>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sz w:val="30"/>
          <w:szCs w:val="30"/>
          <w:lang w:val="en-US" w:eastAsia="zh-CN"/>
        </w:rPr>
        <w:t xml:space="preserve">十一 、</w:t>
      </w:r>
      <w:r>
        <w:rPr>
          <w:rFonts w:hint="eastAsia" w:ascii="宋体" w:hAnsi="宋体" w:cs="宋体"/>
          <w:sz w:val="30"/>
          <w:szCs w:val="30"/>
        </w:rPr>
        <w:t xml:space="preserve">三年内无重大违纪声明</w:t>
      </w:r>
      <w:r>
        <w:rPr>
          <w:rFonts w:hint="eastAsia" w:ascii="宋体" w:hAnsi="宋体" w:cs="宋体"/>
          <w:sz w:val="30"/>
          <w:szCs w:val="30"/>
        </w:rPr>
      </w:r>
      <w:r/>
    </w:p>
    <w:p>
      <w:pPr>
        <w:pStyle w:val="1063"/>
        <w:ind w:firstLine="723"/>
        <w:jc w:val="center"/>
        <w:spacing w:line="360" w:lineRule="auto"/>
        <w:rPr>
          <w:rFonts w:hint="eastAsia" w:ascii="宋体" w:hAnsi="宋体" w:cs="宋体"/>
          <w:sz w:val="36"/>
          <w:szCs w:val="36"/>
        </w:rPr>
      </w:pPr>
      <w:r>
        <w:rPr>
          <w:rFonts w:hint="eastAsia" w:ascii="宋体" w:hAnsi="宋体" w:cs="宋体"/>
          <w:b/>
          <w:bCs/>
          <w:sz w:val="36"/>
          <w:szCs w:val="36"/>
        </w:rPr>
        <w:t xml:space="preserve">声  明</w:t>
      </w:r>
      <w:r>
        <w:rPr>
          <w:rFonts w:hint="eastAsia" w:ascii="宋体" w:hAnsi="宋体" w:cs="宋体"/>
          <w:sz w:val="36"/>
          <w:szCs w:val="36"/>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rPr>
          <w:rFonts w:ascii="宋体" w:hAnsi="宋体"/>
          <w:sz w:val="24"/>
          <w:szCs w:val="24"/>
        </w:rPr>
      </w:r>
      <w:r/>
    </w:p>
    <w:p>
      <w:pPr>
        <w:pStyle w:val="1101"/>
        <w:ind w:firstLine="3840"/>
        <w:spacing w:line="360" w:lineRule="auto"/>
        <w:rPr>
          <w:rFonts w:hint="eastAsia"/>
        </w:rPr>
      </w:pPr>
      <w:r>
        <w:rPr>
          <w:rFonts w:hint="eastAsia"/>
        </w:rPr>
        <w:t xml:space="preserve">法定代表人或授权代表（签字或签章）：                                     </w:t>
      </w:r>
      <w:r>
        <w:rPr>
          <w:rFonts w:hint="eastAsia"/>
        </w:rPr>
      </w:r>
      <w:r/>
    </w:p>
    <w:p>
      <w:pPr>
        <w:pStyle w:val="1063"/>
        <w:ind w:firstLine="3840"/>
        <w:spacing w:line="360" w:lineRule="auto"/>
        <w:rPr>
          <w:rFonts w:hint="eastAsia" w:ascii="宋体" w:hAnsi="宋体"/>
          <w:sz w:val="24"/>
          <w:szCs w:val="24"/>
        </w:rPr>
      </w:pPr>
      <w:r>
        <w:rPr>
          <w:rFonts w:hint="eastAsia" w:ascii="宋体" w:hAnsi="宋体"/>
          <w:sz w:val="24"/>
          <w:szCs w:val="24"/>
        </w:rPr>
        <w:t xml:space="preserve">日期：  年月日</w:t>
      </w:r>
      <w:r>
        <w:rPr>
          <w:rFonts w:hint="eastAsia" w:ascii="宋体" w:hAnsi="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063"/>
        <w:ind w:firstLine="482"/>
        <w:jc w:val="center"/>
        <w:spacing w:line="360" w:lineRule="auto"/>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r>
      <w:r/>
    </w:p>
    <w:p>
      <w:pPr>
        <w:pStyle w:val="1123"/>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sz w:val="30"/>
          <w:szCs w:val="30"/>
          <w:lang w:val="en-US" w:eastAsia="zh-CN"/>
        </w:rPr>
        <w:t xml:space="preserve">十二、 </w:t>
      </w:r>
      <w:r>
        <w:rPr>
          <w:rFonts w:hint="eastAsia" w:ascii="宋体" w:hAnsi="宋体" w:cs="宋体"/>
          <w:sz w:val="30"/>
          <w:szCs w:val="30"/>
        </w:rPr>
        <w:t xml:space="preserve">中小企业声明函格式（</w:t>
      </w:r>
      <w:r>
        <w:rPr>
          <w:rFonts w:hint="eastAsia" w:ascii="宋体" w:hAnsi="宋体" w:cs="宋体"/>
        </w:rPr>
        <w:t xml:space="preserve">如有</w:t>
      </w:r>
      <w:r>
        <w:rPr>
          <w:rFonts w:hint="eastAsia" w:ascii="宋体" w:hAnsi="宋体" w:cs="宋体"/>
          <w:sz w:val="30"/>
          <w:szCs w:val="30"/>
        </w:rPr>
        <w:t xml:space="preserve">）</w:t>
      </w:r>
      <w:r>
        <w:rPr>
          <w:rFonts w:hint="eastAsia" w:ascii="宋体" w:hAnsi="宋体" w:cs="宋体"/>
          <w:sz w:val="30"/>
          <w:szCs w:val="30"/>
        </w:rPr>
      </w:r>
      <w:r/>
    </w:p>
    <w:p>
      <w:pPr>
        <w:pStyle w:val="1063"/>
        <w:ind w:firstLine="240"/>
        <w:jc w:val="center"/>
        <w:spacing w:line="360" w:lineRule="auto"/>
        <w:rPr>
          <w:rFonts w:hint="eastAsia" w:ascii="宋体" w:hAnsi="宋体" w:cs="宋体"/>
          <w:sz w:val="24"/>
          <w:szCs w:val="24"/>
        </w:rPr>
      </w:pPr>
      <w:r>
        <w:rPr>
          <w:rFonts w:hint="eastAsia" w:ascii="宋体" w:hAnsi="宋体" w:cs="宋体"/>
          <w:sz w:val="24"/>
          <w:szCs w:val="24"/>
        </w:rPr>
        <w:t xml:space="preserve">中小企业声明函（货物）</w:t>
      </w:r>
      <w:r>
        <w:rPr>
          <w:rFonts w:hint="eastAsia" w:ascii="宋体" w:hAnsi="宋体" w:cs="宋体"/>
          <w:sz w:val="24"/>
          <w:szCs w:val="24"/>
        </w:rPr>
      </w:r>
      <w:r/>
    </w:p>
    <w:p>
      <w:pPr>
        <w:pStyle w:val="1063"/>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本公司（联合体）郑重声明，根据《政府采购促进中小企业发展管理办法》(财库[2020]46号)的规定，本公司（联合体）参加（公司名称 ）组织的 （项目名称）的采购活动，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 w:val="24"/>
          <w:szCs w:val="24"/>
        </w:rPr>
      </w:r>
      <w:r/>
    </w:p>
    <w:p>
      <w:pPr>
        <w:pStyle w:val="1063"/>
        <w:ind w:firstLine="36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ascii="宋体" w:hAnsi="宋体" w:cs="宋体"/>
          <w:i/>
          <w:sz w:val="24"/>
          <w:szCs w:val="24"/>
          <w:u w:val="single"/>
        </w:rPr>
      </w:r>
      <w:r/>
    </w:p>
    <w:p>
      <w:pPr>
        <w:pStyle w:val="1063"/>
        <w:ind w:firstLine="360"/>
        <w:spacing w:line="360" w:lineRule="auto"/>
        <w:rPr>
          <w:rFonts w:ascii="宋体" w:hAnsi="宋体" w:cs="宋体"/>
          <w:i/>
          <w:sz w:val="24"/>
          <w:szCs w:val="24"/>
          <w:u w:val="single"/>
        </w:rPr>
      </w:pPr>
      <w:r>
        <w:rPr>
          <w:rFonts w:hint="eastAsia" w:ascii="宋体" w:hAnsi="宋体" w:cs="宋体"/>
          <w:sz w:val="24"/>
          <w:szCs w:val="24"/>
        </w:rPr>
        <w:t xml:space="preserve">2.（标的名称）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rPr>
          <w:rFonts w:ascii="宋体" w:hAnsi="宋体" w:cs="宋体"/>
          <w:i/>
          <w:sz w:val="24"/>
          <w:szCs w:val="24"/>
          <w:u w:val="single"/>
        </w:rPr>
      </w:r>
      <w:r/>
    </w:p>
    <w:p>
      <w:pPr>
        <w:pStyle w:val="1063"/>
        <w:ind w:firstLine="36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1063"/>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1063"/>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rPr>
      </w:r>
      <w:r/>
    </w:p>
    <w:p>
      <w:pPr>
        <w:pStyle w:val="1063"/>
        <w:ind w:firstLine="360"/>
        <w:spacing w:line="360" w:lineRule="auto"/>
        <w:rPr>
          <w:rFonts w:ascii="宋体" w:hAnsi="宋体" w:cs="宋体"/>
          <w:sz w:val="24"/>
          <w:szCs w:val="24"/>
        </w:rPr>
      </w:pPr>
      <w:r>
        <w:rPr>
          <w:rFonts w:ascii="宋体" w:hAnsi="宋体" w:cs="宋体"/>
          <w:sz w:val="24"/>
          <w:szCs w:val="24"/>
        </w:rPr>
      </w:r>
      <w:r/>
    </w:p>
    <w:p>
      <w:pPr>
        <w:pStyle w:val="1063"/>
        <w:ind w:right="720"/>
        <w:spacing w:line="360" w:lineRule="auto"/>
        <w:rPr>
          <w:rFonts w:ascii="宋体" w:hAnsi="宋体" w:cs="宋体"/>
          <w:sz w:val="24"/>
          <w:szCs w:val="24"/>
        </w:rPr>
      </w:pPr>
      <w:r>
        <w:rPr>
          <w:rFonts w:ascii="宋体" w:hAnsi="宋体" w:cs="宋体"/>
          <w:sz w:val="24"/>
          <w:szCs w:val="24"/>
        </w:rPr>
      </w:r>
      <w:r/>
    </w:p>
    <w:p>
      <w:pPr>
        <w:pStyle w:val="1063"/>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rPr>
          <w:rFonts w:ascii="宋体" w:hAnsi="宋体" w:cs="宋体"/>
          <w:sz w:val="24"/>
          <w:szCs w:val="24"/>
        </w:rPr>
      </w:r>
      <w:r/>
    </w:p>
    <w:p>
      <w:pPr>
        <w:pStyle w:val="1063"/>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期：年___月___日</w:t>
      </w:r>
      <w:r>
        <w:rPr>
          <w:rFonts w:hint="eastAsia" w:ascii="宋体" w:hAnsi="宋体" w:cs="宋体"/>
          <w:sz w:val="24"/>
          <w:szCs w:val="24"/>
        </w:rPr>
      </w:r>
      <w:r/>
    </w:p>
    <w:p>
      <w:pPr>
        <w:pStyle w:val="1063"/>
        <w:ind w:firstLine="480"/>
        <w:rPr>
          <w:rFonts w:hint="eastAsia" w:ascii="宋体" w:hAnsi="宋体" w:cs="宋体"/>
          <w:sz w:val="24"/>
          <w:szCs w:val="24"/>
        </w:rPr>
      </w:pPr>
      <w:r>
        <w:rPr>
          <w:rFonts w:hint="eastAsia" w:ascii="宋体" w:hAnsi="宋体" w:cs="宋体"/>
          <w:sz w:val="24"/>
          <w:szCs w:val="24"/>
        </w:rPr>
        <w:t xml:space="preserve">说明：</w:t>
      </w:r>
      <w:r>
        <w:rPr>
          <w:rFonts w:hint="eastAsia" w:ascii="宋体" w:hAnsi="宋体" w:cs="宋体"/>
          <w:sz w:val="24"/>
          <w:szCs w:val="24"/>
        </w:rPr>
      </w:r>
      <w:r/>
    </w:p>
    <w:p>
      <w:pPr>
        <w:pStyle w:val="1063"/>
        <w:ind w:firstLine="480"/>
        <w:rPr>
          <w:rFonts w:hint="eastAsia" w:ascii="宋体" w:hAnsi="宋体" w:cs="宋体"/>
          <w:sz w:val="24"/>
          <w:szCs w:val="24"/>
        </w:rPr>
      </w:pPr>
      <w:r>
        <w:rPr>
          <w:rFonts w:hint="eastAsia" w:ascii="宋体" w:hAnsi="宋体" w:cs="宋体"/>
          <w:sz w:val="24"/>
          <w:szCs w:val="24"/>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sz w:val="24"/>
          <w:szCs w:val="24"/>
        </w:rPr>
      </w:r>
      <w:r/>
    </w:p>
    <w:p>
      <w:pPr>
        <w:pStyle w:val="1063"/>
        <w:ind w:firstLine="360"/>
        <w:rPr>
          <w:rFonts w:hint="eastAsia" w:ascii="宋体" w:hAnsi="宋体" w:cs="宋体"/>
          <w:sz w:val="24"/>
          <w:szCs w:val="24"/>
        </w:rPr>
      </w:pPr>
      <w:r>
        <w:rPr>
          <w:rFonts w:hint="eastAsia" w:ascii="宋体" w:hAnsi="宋体" w:cs="宋体"/>
          <w:sz w:val="24"/>
          <w:szCs w:val="24"/>
        </w:rPr>
        <w:t xml:space="preserve">2、从业人员、营业收入、资产总额填报上一年度数据，无上一年度数据的新成立企业可不填报。</w:t>
      </w:r>
      <w:r>
        <w:rPr>
          <w:rFonts w:hint="eastAsia" w:ascii="宋体" w:hAnsi="宋体" w:cs="宋体"/>
          <w:sz w:val="24"/>
          <w:szCs w:val="24"/>
        </w:rPr>
      </w:r>
      <w:r/>
    </w:p>
    <w:p>
      <w:pPr>
        <w:pStyle w:val="1063"/>
        <w:ind w:firstLine="360"/>
        <w:rPr>
          <w:rFonts w:hint="eastAsia" w:ascii="宋体" w:hAnsi="宋体" w:cs="宋体"/>
          <w:sz w:val="24"/>
          <w:szCs w:val="24"/>
        </w:rPr>
      </w:pPr>
      <w:r>
        <w:rPr>
          <w:rFonts w:hint="eastAsia" w:ascii="宋体" w:hAnsi="宋体" w:cs="宋体"/>
          <w:sz w:val="24"/>
          <w:szCs w:val="24"/>
        </w:rPr>
        <w:t xml:space="preserve">3、投标人如不提供此声明函，不得参加专门面向中小企业采购项目或者不得享受小微企业价格扣除政策。此声明函将随成交结果同时公告，接受社会监督。</w:t>
      </w:r>
      <w:r>
        <w:rPr>
          <w:rFonts w:hint="eastAsia" w:ascii="宋体" w:hAnsi="宋体" w:cs="宋体"/>
          <w:sz w:val="24"/>
          <w:szCs w:val="24"/>
        </w:rPr>
      </w:r>
      <w:r/>
    </w:p>
    <w:p>
      <w:pPr>
        <w:pStyle w:val="1063"/>
        <w:ind w:firstLine="360"/>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货物采购项目中，货物的制造商应当为中小企业，不对其中涉及的服务的承接商、工程的承建商作出要求。</w:t>
      </w:r>
      <w:r>
        <w:rPr>
          <w:rFonts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rPr>
      </w:r>
      <w:r/>
    </w:p>
    <w:p>
      <w:pPr>
        <w:pStyle w:val="1114"/>
        <w:ind w:firstLine="480"/>
        <w:spacing w:line="360" w:lineRule="auto"/>
        <w:rPr>
          <w:rFonts w:hint="eastAsia" w:ascii="宋体" w:hAnsi="宋体" w:cs="宋体"/>
          <w:sz w:val="24"/>
          <w:szCs w:val="24"/>
        </w:rPr>
      </w:pPr>
      <w:r>
        <w:rPr>
          <w:rFonts w:hint="eastAsia" w:ascii="宋体" w:hAnsi="宋体" w:cs="宋体"/>
          <w:sz w:val="24"/>
          <w:szCs w:val="24"/>
        </w:rPr>
      </w:r>
      <w:r/>
    </w:p>
    <w:p>
      <w:pPr>
        <w:pStyle w:val="1123"/>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sz w:val="30"/>
          <w:szCs w:val="30"/>
          <w:lang w:val="en-US" w:eastAsia="zh-CN"/>
        </w:rPr>
        <w:t xml:space="preserve">十三 、</w:t>
      </w:r>
      <w:r>
        <w:rPr>
          <w:rFonts w:hint="eastAsia" w:ascii="宋体" w:hAnsi="宋体" w:cs="宋体"/>
          <w:sz w:val="30"/>
          <w:szCs w:val="30"/>
        </w:rPr>
        <w:t xml:space="preserve">残疾人福利性单位声明函</w:t>
      </w:r>
      <w:r>
        <w:rPr>
          <w:rFonts w:hint="eastAsia" w:ascii="宋体" w:hAnsi="宋体" w:cs="宋体"/>
          <w:sz w:val="30"/>
          <w:szCs w:val="30"/>
        </w:rPr>
      </w:r>
      <w:r/>
    </w:p>
    <w:p>
      <w:pPr>
        <w:pStyle w:val="1063"/>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rPr>
          <w:rFonts w:hint="eastAsia" w:ascii="宋体" w:hAnsi="宋体" w:cs="宋体"/>
          <w:spacing w:val="6"/>
          <w:sz w:val="30"/>
          <w:szCs w:val="30"/>
        </w:rPr>
      </w:r>
      <w:r/>
    </w:p>
    <w:p>
      <w:pPr>
        <w:pStyle w:val="1063"/>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lang w:bidi="ar"/>
        </w:rPr>
        <w:t xml:space="preserve"> </w:t>
      </w:r>
      <w:r>
        <w:rPr>
          <w:rFonts w:hint="eastAsia" w:ascii="宋体" w:hAnsi="宋体" w:cs="宋体"/>
          <w:sz w:val="24"/>
          <w:szCs w:val="24"/>
        </w:rPr>
      </w:r>
      <w:r/>
    </w:p>
    <w:p>
      <w:pPr>
        <w:pStyle w:val="1063"/>
        <w:ind w:firstLine="480"/>
        <w:spacing w:line="360" w:lineRule="auto"/>
        <w:rPr>
          <w:rFonts w:hint="eastAsia"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4"/>
        </w:rPr>
      </w:r>
      <w:r/>
    </w:p>
    <w:p>
      <w:pPr>
        <w:pStyle w:val="1063"/>
        <w:ind w:firstLine="624"/>
        <w:spacing w:line="360" w:lineRule="auto"/>
        <w:rPr>
          <w:rFonts w:hint="eastAsia" w:ascii="宋体" w:hAnsi="宋体" w:cs="宋体"/>
          <w:spacing w:val="6"/>
          <w:sz w:val="30"/>
          <w:szCs w:val="30"/>
        </w:rPr>
      </w:pPr>
      <w:r>
        <w:rPr>
          <w:rFonts w:hint="eastAsia" w:ascii="宋体" w:hAnsi="宋体" w:cs="宋体"/>
          <w:spacing w:val="6"/>
          <w:sz w:val="30"/>
          <w:szCs w:val="30"/>
          <w:lang w:bidi="ar"/>
        </w:rPr>
        <w:t xml:space="preserve"> </w:t>
      </w:r>
      <w:r>
        <w:rPr>
          <w:rFonts w:hint="eastAsia" w:ascii="宋体" w:hAnsi="宋体" w:cs="宋体"/>
          <w:spacing w:val="6"/>
          <w:sz w:val="30"/>
          <w:szCs w:val="30"/>
        </w:rPr>
      </w:r>
      <w:r/>
    </w:p>
    <w:p>
      <w:pPr>
        <w:pStyle w:val="1063"/>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rPr>
          <w:rFonts w:ascii="宋体" w:hAnsi="宋体" w:cs="宋体"/>
          <w:sz w:val="24"/>
          <w:szCs w:val="24"/>
        </w:rPr>
      </w:r>
      <w:r/>
    </w:p>
    <w:p>
      <w:pPr>
        <w:pStyle w:val="1063"/>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期：年___月___日</w:t>
      </w:r>
      <w:r>
        <w:rPr>
          <w:rFonts w:hint="eastAsia" w:ascii="宋体" w:hAnsi="宋体" w:cs="宋体"/>
          <w:sz w:val="24"/>
          <w:szCs w:val="24"/>
        </w:rPr>
      </w:r>
      <w:r/>
    </w:p>
    <w:p>
      <w:pPr>
        <w:pStyle w:val="1063"/>
        <w:ind w:right="1560" w:firstLine="480"/>
        <w:jc w:val="center"/>
        <w:spacing w:line="360" w:lineRule="auto"/>
        <w:rPr>
          <w:rFonts w:hint="eastAsia" w:ascii="宋体" w:hAnsi="宋体" w:cs="宋体"/>
          <w:sz w:val="24"/>
          <w:szCs w:val="24"/>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sz w:val="24"/>
          <w:szCs w:val="24"/>
        </w:rPr>
      </w:r>
      <w:r/>
    </w:p>
    <w:p>
      <w:pPr>
        <w:pStyle w:val="1123"/>
        <w:numPr>
          <w:ilvl w:val="0"/>
          <w:numId w:val="0"/>
        </w:numPr>
        <w:jc w:val="center"/>
        <w:spacing w:line="360" w:lineRule="auto"/>
        <w:tabs>
          <w:tab w:val="left" w:pos="720" w:leader="none"/>
        </w:tabs>
        <w:rPr>
          <w:rFonts w:hint="eastAsia" w:ascii="宋体" w:hAnsi="宋体" w:cs="宋体"/>
          <w:sz w:val="30"/>
          <w:szCs w:val="30"/>
        </w:rPr>
        <w:outlineLvl w:val="0"/>
      </w:pPr>
      <w:r>
        <w:rPr>
          <w:rFonts w:hint="eastAsia" w:ascii="宋体" w:hAnsi="宋体" w:cs="宋体"/>
          <w:color w:val="000000"/>
          <w:sz w:val="30"/>
          <w:szCs w:val="30"/>
          <w:lang w:val="en-US" w:eastAsia="zh-CN"/>
        </w:rPr>
        <w:t xml:space="preserve">十四</w:t>
      </w:r>
      <w:r>
        <w:rPr>
          <w:rFonts w:hint="eastAsia" w:ascii="宋体" w:hAnsi="宋体" w:cs="宋体"/>
          <w:sz w:val="30"/>
          <w:szCs w:val="30"/>
          <w:lang w:eastAsia="zh-CN"/>
        </w:rPr>
        <w:t xml:space="preserve">、</w:t>
      </w:r>
      <w:r>
        <w:rPr>
          <w:rFonts w:hint="eastAsia" w:ascii="宋体" w:hAnsi="宋体" w:cs="宋体"/>
          <w:sz w:val="30"/>
          <w:szCs w:val="30"/>
        </w:rPr>
        <w:t xml:space="preserve">关于符合本国产品标准的声明函</w:t>
      </w:r>
      <w:r>
        <w:rPr>
          <w:rFonts w:hint="eastAsia" w:ascii="宋体" w:hAnsi="宋体" w:cs="宋体"/>
          <w:sz w:val="30"/>
          <w:szCs w:val="30"/>
        </w:rPr>
      </w:r>
      <w:r/>
    </w:p>
    <w:p>
      <w:pPr>
        <w:pStyle w:val="1101"/>
        <w:ind w:firstLine="420"/>
        <w:spacing w:before="0" w:beforeAutospacing="0" w:after="0" w:afterAutospacing="0" w:line="0" w:lineRule="atLeast"/>
        <w:rPr>
          <w:rFonts w:hint="eastAsia"/>
        </w:rPr>
      </w:pPr>
      <w:r>
        <w:rPr>
          <w:rFonts w:hint="eastAsia"/>
        </w:rPr>
      </w:r>
      <w:r/>
    </w:p>
    <w:p>
      <w:pPr>
        <w:pStyle w:val="1101"/>
        <w:ind w:firstLine="420"/>
        <w:spacing w:before="0" w:beforeAutospacing="0" w:after="0" w:afterAutospacing="0" w:line="360" w:lineRule="auto"/>
        <w:rPr>
          <w:rFonts w:hint="eastAsia"/>
          <w:lang w:bidi="ar"/>
        </w:rPr>
      </w:pPr>
      <w:r>
        <w:rPr>
          <w:rFonts w:hint="eastAsia"/>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lang w:bidi="ar"/>
        </w:rPr>
      </w:r>
      <w:r/>
    </w:p>
    <w:p>
      <w:pPr>
        <w:pStyle w:val="1101"/>
        <w:ind w:firstLine="420"/>
        <w:spacing w:before="30" w:beforeAutospacing="0" w:after="30" w:afterAutospacing="0" w:line="360" w:lineRule="auto"/>
        <w:rPr>
          <w:rFonts w:hint="eastAsia"/>
          <w:lang w:bidi="ar"/>
        </w:rPr>
      </w:pP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58420</wp:posOffset>
                </wp:positionH>
                <wp:positionV relativeFrom="paragraph">
                  <wp:posOffset>989965</wp:posOffset>
                </wp:positionV>
                <wp:extent cx="875665" cy="1054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56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4.6pt;mso-position-horizontal:absolute;mso-position-vertical-relative:text;margin-top:78.0pt;mso-position-vertical:absolute;width:69.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1249045</wp:posOffset>
                </wp:positionH>
                <wp:positionV relativeFrom="paragraph">
                  <wp:posOffset>989965</wp:posOffset>
                </wp:positionV>
                <wp:extent cx="847090" cy="1054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709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98.3pt;mso-position-horizontal:absolute;mso-position-vertical-relative:text;margin-top:78.0pt;mso-position-vertical:absolute;width:66.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1858645</wp:posOffset>
                </wp:positionH>
                <wp:positionV relativeFrom="paragraph">
                  <wp:posOffset>580390</wp:posOffset>
                </wp:positionV>
                <wp:extent cx="828040" cy="1054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2804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146.3pt;mso-position-horizontal:absolute;mso-position-vertical-relative:text;margin-top:45.7pt;mso-position-vertical:absolute;width:65.2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2954020</wp:posOffset>
                </wp:positionH>
                <wp:positionV relativeFrom="paragraph">
                  <wp:posOffset>599440</wp:posOffset>
                </wp:positionV>
                <wp:extent cx="885190" cy="8636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85190" cy="863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232.6pt;mso-position-horizontal:absolute;mso-position-vertical-relative:text;margin-top:47.2pt;mso-position-vertical:absolute;width:69.7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4106545</wp:posOffset>
                </wp:positionH>
                <wp:positionV relativeFrom="paragraph">
                  <wp:posOffset>580390</wp:posOffset>
                </wp:positionV>
                <wp:extent cx="837565" cy="1054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75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23.3pt;mso-position-horizontal:absolute;mso-position-vertical-relative:text;margin-top:45.7pt;mso-position-vertical:absolute;width:66.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4668520</wp:posOffset>
                </wp:positionH>
                <wp:positionV relativeFrom="paragraph">
                  <wp:posOffset>147320</wp:posOffset>
                </wp:positionV>
                <wp:extent cx="856615" cy="1384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56615" cy="1384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367.6pt;mso-position-horizontal:absolute;mso-position-vertical-relative:text;margin-top:11.6pt;mso-position-vertical:absolute;width:67.5pt;height:10.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lang w:bidi="ar"/>
        </w:rPr>
        <w:t xml:space="preserve">1.</w:t>
      </w:r>
      <w:r>
        <w:rPr>
          <w:rFonts w:hint="eastAsia"/>
          <w:u w:val="single"/>
          <w:lang w:bidi="ar"/>
        </w:rPr>
        <w:t xml:space="preserve">（产品名称1）</w:t>
      </w:r>
      <w:r>
        <w:rPr>
          <w:rFonts w:hint="eastAsia"/>
          <w:sz w:val="32"/>
          <w:szCs w:val="32"/>
          <w:vertAlign w:val="superscript"/>
          <w:lang w:bidi="ar"/>
        </w:rPr>
        <w:t xml:space="preserve">1</w:t>
      </w:r>
      <w:r>
        <w:rPr>
          <w:rFonts w:hint="eastAsia"/>
          <w:lang w:bidi="ar"/>
        </w:rPr>
        <w:t xml:space="preserve">，生产厂为</w:t>
      </w:r>
      <w:r>
        <w:rPr>
          <w:rFonts w:hint="eastAsia"/>
          <w:u w:val="single"/>
          <w:lang w:bidi="ar"/>
        </w:rPr>
        <w:t xml:space="preserve">（厂名）</w:t>
      </w:r>
      <w:r>
        <w:rPr>
          <w:rFonts w:hint="eastAsia"/>
          <w:sz w:val="32"/>
          <w:szCs w:val="32"/>
          <w:vertAlign w:val="superscript"/>
          <w:lang w:bidi="ar"/>
        </w:rPr>
        <w:t xml:space="preserve">2</w:t>
      </w:r>
      <w:r>
        <w:rPr>
          <w:rFonts w:hint="eastAsia"/>
          <w:lang w:bidi="ar"/>
        </w:rPr>
        <w:t xml:space="preserve">，厂址为</w:t>
      </w:r>
      <w:r>
        <w:rPr>
          <w:rFonts w:hint="eastAsia"/>
          <w:u w:val="single"/>
          <w:lang w:bidi="ar"/>
        </w:rPr>
        <w:t xml:space="preserve">（生产厂址）</w:t>
      </w:r>
      <w:r>
        <w:rPr>
          <w:rFonts w:hint="eastAsia"/>
          <w:lang w:bidi="ar"/>
        </w:rPr>
        <w:t xml:space="preserve">。 </w:t>
      </w:r>
      <w:r>
        <w:rPr>
          <w:rFonts w:hint="eastAsia"/>
          <w:u w:val="single"/>
          <w:lang w:bidi="ar"/>
        </w:rPr>
        <w:t xml:space="preserve">（产品名称1）</w:t>
      </w:r>
      <w:r>
        <w:rPr>
          <w:rFonts w:hint="eastAsia"/>
          <w:lang w:bidi="ar"/>
        </w:rPr>
        <w:t xml:space="preserve"> 的中国境内生产的组件成本占比≥</w:t>
      </w:r>
      <w:r>
        <w:rPr>
          <w:rFonts w:hint="eastAsia"/>
          <w:u w:val="single"/>
          <w:lang w:bidi="ar"/>
        </w:rPr>
        <w:t xml:space="preserve">（规定比例）</w:t>
      </w:r>
      <w:r>
        <w:rPr>
          <w:rFonts w:hint="eastAsia"/>
          <w:sz w:val="32"/>
          <w:szCs w:val="32"/>
          <w:vertAlign w:val="superscript"/>
          <w:lang w:bidi="ar"/>
        </w:rPr>
        <w:t xml:space="preserve">3</w:t>
      </w:r>
      <w:r>
        <w:rPr>
          <w:rFonts w:hint="eastAsia"/>
          <w:lang w:bidi="ar"/>
        </w:rPr>
        <w:t xml:space="preserve">。</w:t>
      </w:r>
      <w:r>
        <w:rPr>
          <w:rFonts w:hint="eastAsia"/>
          <w:u w:val="single"/>
          <w:lang w:bidi="ar"/>
        </w:rPr>
        <w:t xml:space="preserve">（产品名称1）</w:t>
      </w:r>
      <w:r>
        <w:rPr>
          <w:rFonts w:hint="eastAsia"/>
          <w:lang w:bidi="ar"/>
        </w:rPr>
        <w:t xml:space="preserve">的</w:t>
      </w:r>
      <w:r>
        <w:rPr>
          <w:rFonts w:hint="eastAsia"/>
          <w:u w:val="single"/>
          <w:lang w:bidi="ar"/>
        </w:rPr>
        <w:t xml:space="preserve">（关键组件）</w:t>
      </w:r>
      <w:r>
        <w:rPr>
          <w:rFonts w:hint="eastAsia"/>
          <w:sz w:val="32"/>
          <w:szCs w:val="32"/>
          <w:vertAlign w:val="superscript"/>
          <w:lang w:bidi="ar"/>
        </w:rPr>
        <w:t xml:space="preserve">4</w:t>
      </w:r>
      <w:r>
        <w:rPr>
          <w:rFonts w:hint="eastAsia"/>
          <w:lang w:bidi="ar"/>
        </w:rPr>
        <w:t xml:space="preserve">在中国境内生产。</w:t>
      </w:r>
      <w:r>
        <w:rPr>
          <w:rFonts w:hint="eastAsia"/>
          <w:u w:val="single"/>
          <w:lang w:bidi="ar"/>
        </w:rPr>
        <w:t xml:space="preserve">（产品名称1）</w:t>
      </w:r>
      <w:r>
        <w:rPr>
          <w:rFonts w:hint="eastAsia"/>
          <w:lang w:bidi="ar"/>
        </w:rPr>
        <w:t xml:space="preserve">的</w:t>
      </w:r>
      <w:r>
        <w:rPr>
          <w:rFonts w:hint="eastAsia"/>
          <w:u w:val="single"/>
          <w:lang w:bidi="ar"/>
        </w:rPr>
        <w:t xml:space="preserve">（关键工序）</w:t>
      </w:r>
      <w:r>
        <w:rPr>
          <w:rFonts w:hint="eastAsia"/>
          <w:sz w:val="32"/>
          <w:szCs w:val="32"/>
          <w:vertAlign w:val="superscript"/>
          <w:lang w:bidi="ar"/>
        </w:rPr>
        <w:t xml:space="preserve">5</w:t>
      </w:r>
      <w:r>
        <w:rPr>
          <w:rFonts w:hint="eastAsia"/>
          <w:lang w:bidi="ar"/>
        </w:rPr>
        <w:t xml:space="preserve">在中国境内完成。</w:t>
      </w:r>
      <w:r>
        <w:rPr>
          <w:rFonts w:hint="eastAsia"/>
          <w:lang w:bidi="ar"/>
        </w:rPr>
      </w:r>
      <w:r/>
    </w:p>
    <w:p>
      <w:pPr>
        <w:pStyle w:val="1101"/>
        <w:ind w:firstLine="420"/>
        <w:spacing w:before="30" w:beforeAutospacing="0" w:after="30" w:afterAutospacing="0" w:line="360" w:lineRule="auto"/>
        <w:rPr>
          <w:rFonts w:hint="eastAsia"/>
          <w:lang w:bidi="ar"/>
        </w:rPr>
      </w:pP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-46354</wp:posOffset>
                </wp:positionH>
                <wp:positionV relativeFrom="paragraph">
                  <wp:posOffset>708025</wp:posOffset>
                </wp:positionV>
                <wp:extent cx="713740" cy="9588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3740" cy="9588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pt;mso-position-horizontal:absolute;mso-position-vertical-relative:text;margin-top:55.8pt;mso-position-vertical:absolute;width:56.2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4639945</wp:posOffset>
                </wp:positionH>
                <wp:positionV relativeFrom="paragraph">
                  <wp:posOffset>88900</wp:posOffset>
                </wp:positionV>
                <wp:extent cx="80899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65.3pt;mso-position-horizontal:absolute;mso-position-vertical-relative:text;margin-top:7.0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1677670</wp:posOffset>
                </wp:positionH>
                <wp:positionV relativeFrom="paragraph">
                  <wp:posOffset>393700</wp:posOffset>
                </wp:positionV>
                <wp:extent cx="799465" cy="1244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99465"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32.1pt;mso-position-horizontal:absolute;mso-position-vertical-relative:text;margin-top:31.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2763520</wp:posOffset>
                </wp:positionH>
                <wp:positionV relativeFrom="paragraph">
                  <wp:posOffset>403225</wp:posOffset>
                </wp:positionV>
                <wp:extent cx="808990" cy="10541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217.6pt;mso-position-horizontal:absolute;mso-position-vertical-relative:text;margin-top:31.8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3839845</wp:posOffset>
                </wp:positionH>
                <wp:positionV relativeFrom="paragraph">
                  <wp:posOffset>374650</wp:posOffset>
                </wp:positionV>
                <wp:extent cx="856615" cy="13398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302.3pt;mso-position-horizontal:absolute;mso-position-vertical-relative:text;margin-top:29.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829945</wp:posOffset>
                </wp:positionH>
                <wp:positionV relativeFrom="paragraph">
                  <wp:posOffset>679450</wp:posOffset>
                </wp:positionV>
                <wp:extent cx="856615" cy="13398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65.3pt;mso-position-horizontal:absolute;mso-position-vertical-relative:text;margin-top:53.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lang w:bidi="ar"/>
        </w:rPr>
        <w:t xml:space="preserve">2.</w:t>
      </w:r>
      <w:r>
        <w:rPr>
          <w:rFonts w:hint="eastAsia"/>
          <w:u w:val="single"/>
          <w:lang w:bidi="ar"/>
        </w:rPr>
        <w:t xml:space="preserve">（产品名称2）</w:t>
      </w:r>
      <w:r>
        <w:rPr>
          <w:rFonts w:hint="eastAsia"/>
          <w:lang w:bidi="ar"/>
        </w:rPr>
        <w:t xml:space="preserve">，生产厂为</w:t>
      </w:r>
      <w:r>
        <w:rPr>
          <w:rFonts w:hint="eastAsia"/>
          <w:u w:val="single"/>
          <w:lang w:bidi="ar"/>
        </w:rPr>
        <w:t xml:space="preserve">（厂名）</w:t>
      </w:r>
      <w:r>
        <w:rPr>
          <w:rFonts w:hint="eastAsia"/>
          <w:lang w:bidi="ar"/>
        </w:rPr>
        <w:t xml:space="preserve">，厂址为</w:t>
      </w:r>
      <w:r>
        <w:rPr>
          <w:rFonts w:hint="eastAsia"/>
          <w:u w:val="single"/>
          <w:lang w:bidi="ar"/>
        </w:rPr>
        <w:t xml:space="preserve">（生产厂址）</w:t>
      </w:r>
      <w:r>
        <w:rPr>
          <w:rFonts w:hint="eastAsia"/>
          <w:lang w:bidi="ar"/>
        </w:rPr>
        <w:t xml:space="preserve">。</w:t>
      </w:r>
      <w:r>
        <w:rPr>
          <w:rFonts w:hint="eastAsia"/>
          <w:u w:val="single"/>
          <w:lang w:bidi="ar"/>
        </w:rPr>
        <w:t xml:space="preserve">（产品名称2）</w:t>
      </w:r>
      <w:r>
        <w:rPr>
          <w:rFonts w:hint="eastAsia"/>
          <w:lang w:bidi="ar"/>
        </w:rPr>
        <w:t xml:space="preserve">的中国境内生产的组件成本占比≥</w:t>
      </w:r>
      <w:r>
        <w:rPr>
          <w:rFonts w:hint="eastAsia"/>
          <w:u w:val="single"/>
          <w:lang w:bidi="ar"/>
        </w:rPr>
        <w:t xml:space="preserve">（规定比例）</w:t>
      </w:r>
      <w:r>
        <w:rPr>
          <w:rFonts w:hint="eastAsia"/>
          <w:lang w:bidi="ar"/>
        </w:rPr>
        <w:t xml:space="preserve">。</w:t>
      </w:r>
      <w:r>
        <w:rPr>
          <w:rFonts w:hint="eastAsia"/>
          <w:u w:val="single"/>
          <w:lang w:bidi="ar"/>
        </w:rPr>
        <w:t xml:space="preserve">（产品名称2）</w:t>
      </w:r>
      <w:r>
        <w:rPr>
          <w:rFonts w:hint="eastAsia"/>
          <w:lang w:bidi="ar"/>
        </w:rPr>
        <w:t xml:space="preserve">的</w:t>
      </w:r>
      <w:r>
        <w:rPr>
          <w:rFonts w:hint="eastAsia"/>
          <w:u w:val="single"/>
          <w:lang w:bidi="ar"/>
        </w:rPr>
        <w:t xml:space="preserve">（关键组件）</w:t>
      </w:r>
      <w:r>
        <w:rPr>
          <w:rFonts w:hint="eastAsia"/>
          <w:lang w:bidi="ar"/>
        </w:rPr>
        <w:t xml:space="preserve">在中国境内生产。</w:t>
      </w:r>
      <w:r>
        <w:rPr>
          <w:rFonts w:hint="eastAsia"/>
          <w:u w:val="single"/>
          <w:lang w:bidi="ar"/>
        </w:rPr>
        <w:t xml:space="preserve">（产品名称2）</w:t>
      </w:r>
      <w:r>
        <w:rPr>
          <w:rFonts w:hint="eastAsia"/>
          <w:lang w:bidi="ar"/>
        </w:rPr>
        <w:t xml:space="preserve">的</w:t>
      </w:r>
      <w:r>
        <w:rPr>
          <w:rFonts w:hint="eastAsia"/>
          <w:u w:val="single"/>
          <w:lang w:bidi="ar"/>
        </w:rPr>
        <w:t xml:space="preserve">（关键工序）</w:t>
      </w:r>
      <w:r>
        <w:rPr>
          <w:rFonts w:hint="eastAsia"/>
          <w:lang w:bidi="ar"/>
        </w:rPr>
        <w:t xml:space="preserve">在中国境内完成。</w:t>
      </w:r>
      <w:r>
        <w:rPr>
          <w:rFonts w:hint="eastAsia"/>
          <w:lang w:bidi="ar"/>
        </w:rPr>
      </w:r>
      <w:r/>
    </w:p>
    <w:p>
      <w:pPr>
        <w:pStyle w:val="1101"/>
        <w:ind w:firstLine="420"/>
        <w:spacing w:before="30" w:beforeAutospacing="0" w:after="30" w:afterAutospacing="0" w:line="360" w:lineRule="auto"/>
        <w:rPr>
          <w:rFonts w:hint="eastAsia"/>
          <w:lang w:bidi="ar"/>
        </w:rPr>
      </w:pPr>
      <w:r>
        <w:rPr>
          <w:rFonts w:hint="eastAsia"/>
          <w:lang w:bidi="ar"/>
        </w:rPr>
        <w:t xml:space="preserve">……</w:t>
      </w:r>
      <w:r>
        <w:rPr>
          <w:rFonts w:hint="eastAsia"/>
          <w:lang w:bidi="ar"/>
        </w:rPr>
      </w:r>
      <w:r/>
    </w:p>
    <w:p>
      <w:pPr>
        <w:pStyle w:val="1101"/>
        <w:ind w:firstLine="420"/>
        <w:spacing w:before="30" w:beforeAutospacing="0" w:after="30" w:afterAutospacing="0" w:line="360" w:lineRule="auto"/>
        <w:rPr>
          <w:rFonts w:hint="eastAsia"/>
          <w:lang w:bidi="ar"/>
        </w:rPr>
      </w:pPr>
      <w:r>
        <w:rPr>
          <w:rFonts w:hint="eastAsia"/>
          <w:lang w:bidi="ar"/>
        </w:rPr>
        <w:t xml:space="preserve">本公司（单位）对上述声明内容的真实性负责。如有虚假，愿承担相应法律责任。</w:t>
      </w:r>
      <w:r>
        <w:rPr>
          <w:rFonts w:hint="eastAsia"/>
          <w:lang w:bidi="ar"/>
        </w:rPr>
      </w:r>
      <w:r/>
    </w:p>
    <w:p>
      <w:pPr>
        <w:pStyle w:val="1101"/>
        <w:spacing w:before="30" w:beforeAutospacing="0" w:after="30" w:afterAutospacing="0" w:line="360" w:lineRule="auto"/>
        <w:rPr>
          <w:rFonts w:hint="eastAsia"/>
          <w:lang w:bidi="ar"/>
        </w:rPr>
      </w:pPr>
      <w:r>
        <w:rPr>
          <w:rFonts w:hint="eastAsia"/>
          <w:lang w:bidi="ar"/>
        </w:rPr>
      </w:r>
      <w:r/>
    </w:p>
    <w:p>
      <w:pPr>
        <w:pStyle w:val="1063"/>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rPr>
          <w:rFonts w:ascii="宋体" w:hAnsi="宋体" w:cs="宋体"/>
          <w:sz w:val="24"/>
          <w:szCs w:val="24"/>
        </w:rPr>
      </w:r>
      <w:r/>
    </w:p>
    <w:p>
      <w:pPr>
        <w:pStyle w:val="1063"/>
        <w:ind w:firstLine="5822"/>
        <w:spacing w:line="360" w:lineRule="auto"/>
        <w:rPr>
          <w:rFonts w:hint="eastAsia" w:ascii="宋体" w:hAnsi="宋体" w:cs="宋体"/>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年___月___日</w:t>
      </w:r>
      <w:r>
        <w:rPr>
          <w:rFonts w:hint="eastAsia" w:ascii="宋体" w:hAnsi="宋体" w:cs="宋体"/>
          <w:sz w:val="24"/>
          <w:szCs w:val="24"/>
        </w:rPr>
      </w:r>
      <w:r/>
    </w:p>
    <w:p>
      <w:pPr>
        <w:pStyle w:val="1101"/>
        <w:jc w:val="center"/>
        <w:spacing w:before="30" w:beforeAutospacing="0" w:after="30" w:afterAutospacing="0" w:line="360" w:lineRule="auto"/>
        <w:rPr>
          <w:rFonts w:hint="eastAsia"/>
          <w:sz w:val="21"/>
          <w:szCs w:val="21"/>
        </w:rPr>
      </w:pPr>
      <w:r>
        <w:rPr>
          <w:rFonts w:hint="eastAsia"/>
          <w:lang w:bidi="ar"/>
        </w:rPr>
        <w:t xml:space="preserve">：    </w:t>
      </w:r>
      <w:r>
        <w:rPr>
          <w:rFonts w:hint="eastAsia"/>
          <w:sz w:val="21"/>
          <w:szCs w:val="21"/>
          <w:shd w:val="clear" w:color="auto" w:fill="ffffff"/>
        </w:rPr>
        <w:t xml:space="preserve">     </w:t>
      </w:r>
      <w:r>
        <w:rPr>
          <w:rFonts w:hint="eastAsia"/>
          <w:sz w:val="21"/>
          <w:szCs w:val="21"/>
        </w:rPr>
      </w:r>
      <w:r/>
    </w:p>
    <w:p>
      <w:pPr>
        <w:pStyle w:val="1101"/>
        <w:ind w:firstLine="420"/>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r>
      <w:r/>
    </w:p>
    <w:p>
      <w:pPr>
        <w:pStyle w:val="1101"/>
        <w:ind w:firstLine="420"/>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注：</w:t>
      </w:r>
      <w:r>
        <w:rPr>
          <w:rFonts w:hint="eastAsia"/>
          <w:sz w:val="21"/>
          <w:szCs w:val="21"/>
          <w:shd w:val="clear" w:color="auto" w:fill="ffffff"/>
        </w:rPr>
      </w:r>
      <w:r/>
    </w:p>
    <w:p>
      <w:pPr>
        <w:pStyle w:val="110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110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110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rPr>
          <w:rFonts w:hint="eastAsia"/>
          <w:sz w:val="21"/>
          <w:szCs w:val="21"/>
        </w:rPr>
      </w:r>
      <w:r/>
    </w:p>
    <w:p>
      <w:pPr>
        <w:pStyle w:val="1101"/>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rPr>
          <w:rFonts w:hint="eastAsia"/>
          <w:sz w:val="21"/>
          <w:szCs w:val="21"/>
        </w:rPr>
      </w:r>
      <w:r/>
    </w:p>
    <w:p>
      <w:pPr>
        <w:pStyle w:val="1063"/>
        <w:ind w:firstLine="420"/>
        <w:rPr>
          <w:rFonts w:hint="eastAsia" w:ascii="宋体" w:hAnsi="宋体" w:cs="宋体"/>
          <w:shd w:val="clear" w:color="auto" w:fill="ffffff"/>
        </w:rPr>
      </w:pPr>
      <w:r>
        <w:rPr>
          <w:rFonts w:hint="eastAsia" w:ascii="宋体" w:hAnsi="宋体" w:cs="宋体"/>
          <w:shd w:val="clear" w:color="auto" w:fill="ffffff"/>
        </w:rPr>
        <w:t xml:space="preserve">5.该产品的关键工序要求实施前，“关键工序”栏可不填，下同。</w:t>
      </w:r>
      <w:r>
        <w:rPr>
          <w:rFonts w:hint="eastAsia" w:ascii="宋体" w:hAnsi="宋体" w:cs="宋体"/>
          <w:shd w:val="clear" w:color="auto" w:fill="ffffff"/>
        </w:rPr>
      </w:r>
      <w:r/>
    </w:p>
    <w:p>
      <w:pPr>
        <w:pStyle w:val="1063"/>
        <w:ind w:firstLine="420"/>
        <w:rPr>
          <w:rFonts w:hint="eastAsia" w:ascii="宋体" w:hAnsi="宋体" w:cs="宋体"/>
          <w:sz w:val="24"/>
          <w:szCs w:val="24"/>
          <w:lang w:bidi="ar"/>
        </w:rPr>
      </w:pPr>
      <w:r>
        <w:rPr>
          <w:rFonts w:hint="eastAsia" w:ascii="宋体" w:hAnsi="宋体" w:cs="宋体"/>
          <w:shd w:val="clear" w:color="auto" w:fill="ffffff"/>
        </w:rPr>
        <w:t xml:space="preserve">6.用斜线划除的地方无需填写。</w:t>
      </w:r>
      <w:r>
        <w:rPr>
          <w:rFonts w:hint="eastAsia" w:ascii="宋体" w:hAnsi="宋体" w:cs="宋体"/>
          <w:sz w:val="24"/>
          <w:szCs w:val="24"/>
          <w:lang w:bidi="ar"/>
        </w:rPr>
      </w:r>
      <w:r/>
    </w:p>
    <w:p>
      <w:pPr>
        <w:pStyle w:val="1063"/>
        <w:ind w:right="1560" w:firstLine="480"/>
        <w:jc w:val="center"/>
        <w:spacing w:line="360" w:lineRule="auto"/>
        <w:rPr>
          <w:rFonts w:hint="eastAsia" w:ascii="宋体" w:hAnsi="宋体" w:cs="宋体"/>
          <w:sz w:val="24"/>
          <w:szCs w:val="24"/>
          <w:lang w:bidi="ar"/>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sz w:val="24"/>
          <w:szCs w:val="24"/>
          <w:lang w:bidi="ar"/>
        </w:rPr>
      </w:r>
      <w:r/>
    </w:p>
    <w:p>
      <w:pPr>
        <w:pStyle w:val="1123"/>
        <w:numPr>
          <w:ilvl w:val="0"/>
          <w:numId w:val="0"/>
        </w:numPr>
        <w:jc w:val="center"/>
        <w:spacing w:line="360" w:lineRule="auto"/>
        <w:tabs>
          <w:tab w:val="left" w:pos="720" w:leader="none"/>
        </w:tabs>
        <w:rPr>
          <w:rFonts w:ascii="宋体" w:hAnsi="宋体" w:cs="宋体"/>
          <w:sz w:val="24"/>
          <w:szCs w:val="24"/>
          <w:lang w:bidi="ar"/>
        </w:rPr>
        <w:outlineLvl w:val="0"/>
      </w:pPr>
      <w:r>
        <w:rPr>
          <w:rFonts w:hint="eastAsia" w:ascii="宋体" w:hAnsi="宋体" w:cs="宋体"/>
          <w:sz w:val="36"/>
          <w:szCs w:val="36"/>
          <w:lang w:val="en-US" w:eastAsia="zh-CN"/>
        </w:rPr>
        <w:t xml:space="preserve">十</w:t>
      </w:r>
      <w:r>
        <w:rPr>
          <w:rFonts w:hint="eastAsia" w:ascii="宋体" w:hAnsi="宋体" w:cs="宋体"/>
          <w:sz w:val="36"/>
          <w:szCs w:val="36"/>
          <w:lang w:val="en-US" w:eastAsia="zh-CN"/>
        </w:rPr>
        <w:t xml:space="preserve">五</w:t>
      </w:r>
      <w:r>
        <w:rPr>
          <w:rFonts w:hint="eastAsia" w:ascii="宋体" w:hAnsi="宋体" w:cs="宋体"/>
          <w:sz w:val="36"/>
          <w:szCs w:val="36"/>
        </w:rPr>
        <w:t xml:space="preserve">、其它</w:t>
      </w:r>
      <w:r>
        <w:rPr>
          <w:rFonts w:ascii="宋体" w:hAnsi="宋体" w:cs="宋体"/>
          <w:color w:val="000000"/>
          <w:sz w:val="36"/>
          <w:szCs w:val="36"/>
        </w:rPr>
        <w:t xml:space="preserve">（</w:t>
      </w:r>
      <w:r>
        <w:rPr>
          <w:rFonts w:hint="eastAsia" w:ascii="宋体" w:hAnsi="宋体" w:cs="宋体"/>
          <w:color w:val="000000"/>
          <w:sz w:val="36"/>
          <w:szCs w:val="36"/>
          <w:lang w:val="en-US" w:eastAsia="zh-CN"/>
        </w:rPr>
        <w:t xml:space="preserve">如有，加盖电子公章</w:t>
      </w:r>
      <w:r>
        <w:rPr>
          <w:rFonts w:ascii="宋体" w:hAnsi="宋体" w:cs="宋体"/>
          <w:color w:val="000000"/>
          <w:sz w:val="36"/>
          <w:szCs w:val="36"/>
        </w:rPr>
        <w:t xml:space="preserve">）</w:t>
      </w:r>
      <w:r>
        <w:rPr>
          <w:rFonts w:ascii="宋体" w:hAnsi="宋体" w:cs="宋体"/>
          <w:sz w:val="24"/>
          <w:szCs w:val="24"/>
          <w:lang w:bidi="ar"/>
        </w:rPr>
      </w:r>
      <w:r/>
    </w:p>
    <w:p>
      <w:pPr>
        <w:pStyle w:val="1063"/>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1063"/>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1063"/>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1063"/>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p>
      <w:pPr>
        <w:pStyle w:val="1063"/>
        <w:ind w:right="1560" w:firstLine="480"/>
        <w:jc w:val="center"/>
        <w:spacing w:line="360" w:lineRule="auto"/>
        <w:rPr>
          <w:rFonts w:hint="eastAsia" w:ascii="宋体" w:hAnsi="宋体" w:cs="宋体"/>
          <w:sz w:val="24"/>
          <w:szCs w:val="24"/>
          <w:lang w:bidi="ar"/>
        </w:rPr>
      </w:pPr>
      <w:r>
        <w:rPr>
          <w:rFonts w:hint="eastAsia" w:ascii="宋体" w:hAnsi="宋体" w:cs="宋体"/>
          <w:sz w:val="24"/>
          <w:szCs w:val="24"/>
          <w:lang w:bidi="ar"/>
        </w:rPr>
      </w:r>
      <w:r/>
    </w:p>
    <w:sectPr>
      <w:headerReference w:type="default" r:id="rId13"/>
      <w:footerReference w:type="default" r:id="rId20"/>
      <w:footnotePr/>
      <w:endnotePr/>
      <w:type w:val="nextPage"/>
      <w:pgSz w:w="11906" w:h="16838" w:orient="portrait"/>
      <w:pgMar w:top="1253" w:right="1253" w:bottom="1253" w:left="125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Arial Unicode MS">
    <w:panose1 w:val="020B0604020202020204"/>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6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6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JSZC-320000-DCXG-G2026-0010</w:t>
    </w:r>
    <w:r>
      <w:rPr>
        <w:rFonts w:hint="eastAsia" w:ascii="宋体" w:hAnsi="宋体" w:cs="宋体"/>
      </w:rPr>
      <w:t xml:space="preserve">                                                  南京达琛鑫工程咨询有限公司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JSZC-320000-DCXG-G2026-0010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eastAsia="宋体" w:cs="宋体"/>
        <w:b w:val="0"/>
        <w:bCs w:val="0"/>
        <w:sz w:val="18"/>
        <w:szCs w:val="18"/>
        <w:highlight w:val="none"/>
        <w:u w:val="none"/>
        <w:lang w:eastAsia="zh-CN"/>
      </w:rPr>
      <w:t xml:space="preserve">JSZC-320000-DCXG-G2026-0010</w:t>
    </w:r>
    <w:r>
      <w:rPr>
        <w:rFonts w:hint="eastAsia" w:ascii="宋体" w:hAnsi="宋体" w:eastAsia="宋体" w:cs="宋体"/>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4"/>
      <w:isLgl w:val="false"/>
      <w:suff w:val="nothing"/>
      <w:lvlText w:val="第 %1 部分 "/>
      <w:lvlJc w:val="left"/>
      <w:pPr>
        <w:pStyle w:val="1063"/>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1065"/>
      <w:isLgl w:val="false"/>
      <w:suff w:val="nothing"/>
      <w:lvlText w:val="%1.%2 "/>
      <w:lvlJc w:val="left"/>
      <w:pPr>
        <w:pStyle w:val="1063"/>
      </w:pPr>
      <w:rPr>
        <w:rFonts w:hint="eastAsia"/>
      </w:rPr>
    </w:lvl>
    <w:lvl w:ilvl="2">
      <w:start w:val="1"/>
      <w:numFmt w:val="decimal"/>
      <w:pStyle w:val="1066"/>
      <w:isLgl w:val="false"/>
      <w:suff w:val="nothing"/>
      <w:lvlText w:val=""/>
      <w:lvlJc w:val="left"/>
      <w:pPr>
        <w:pStyle w:val="1063"/>
      </w:pPr>
      <w:rPr>
        <w:rFonts w:hint="eastAsia" w:ascii="Arial Unicode MS" w:hAnsi="Arial Unicode MS" w:eastAsia="Arial Unicode MS"/>
        <w:sz w:val="24"/>
        <w:u w:val="none"/>
      </w:rPr>
    </w:lvl>
    <w:lvl w:ilvl="3">
      <w:start w:val="1"/>
      <w:numFmt w:val="decimal"/>
      <w:isLgl w:val="false"/>
      <w:suff w:val="nothing"/>
      <w:lvlText w:val=""/>
      <w:lvlJc w:val="left"/>
      <w:pPr>
        <w:pStyle w:val="1063"/>
      </w:pPr>
      <w:rPr>
        <w:u w:val="none"/>
      </w:rPr>
    </w:lvl>
    <w:lvl w:ilvl="4">
      <w:start w:val="1"/>
      <w:numFmt w:val="decimal"/>
      <w:isLgl w:val="false"/>
      <w:suff w:val="nothing"/>
      <w:lvlText w:val="%1.%2.%3.%4.%5 "/>
      <w:lvlJc w:val="left"/>
      <w:pPr>
        <w:pStyle w:val="1063"/>
      </w:pPr>
      <w:rPr>
        <w:rFonts w:hint="eastAsia"/>
        <w:sz w:val="28"/>
        <w:szCs w:val="28"/>
      </w:rPr>
    </w:lvl>
    <w:lvl w:ilvl="5">
      <w:start w:val="1"/>
      <w:numFmt w:val="decimal"/>
      <w:isLgl w:val="false"/>
      <w:suff w:val="nothing"/>
      <w:lvlText w:val=""/>
      <w:lvlJc w:val="left"/>
      <w:pPr>
        <w:pStyle w:val="1063"/>
      </w:pPr>
      <w:rPr>
        <w:u w:val="none"/>
      </w:rPr>
    </w:lvl>
    <w:lvl w:ilvl="6">
      <w:start w:val="1"/>
      <w:numFmt w:val="decimal"/>
      <w:isLgl w:val="false"/>
      <w:suff w:val="nothing"/>
      <w:lvlText w:val=""/>
      <w:lvlJc w:val="left"/>
      <w:pPr>
        <w:pStyle w:val="1063"/>
      </w:pPr>
      <w:rPr>
        <w:u w:val="none"/>
      </w:rPr>
    </w:lvl>
    <w:lvl w:ilvl="7">
      <w:start w:val="1"/>
      <w:numFmt w:val="decimal"/>
      <w:isLgl w:val="false"/>
      <w:suff w:val="nothing"/>
      <w:lvlText w:val=""/>
      <w:lvlJc w:val="left"/>
      <w:pPr>
        <w:pStyle w:val="1063"/>
      </w:pPr>
      <w:rPr>
        <w:u w:val="none"/>
      </w:rPr>
    </w:lvl>
    <w:lvl w:ilvl="8">
      <w:start w:val="1"/>
      <w:numFmt w:val="decimal"/>
      <w:isLgl w:val="false"/>
      <w:suff w:val="nothing"/>
      <w:lvlText w:val=""/>
      <w:lvlJc w:val="left"/>
      <w:pPr>
        <w:pStyle w:val="1063"/>
      </w:pPr>
      <w:rPr>
        <w:u w:val="none"/>
      </w:rPr>
    </w:lvl>
  </w:abstractNum>
  <w:abstractNum w:abstractNumId="3">
    <w:multiLevelType w:val="hybridMultilevel"/>
    <w:lvl w:ilvl="0">
      <w:start w:val="1"/>
      <w:numFmt w:val="japaneseCounting"/>
      <w:pStyle w:val="1123"/>
      <w:isLgl w:val="false"/>
      <w:suff w:val="tab"/>
      <w:lvlText w:val="%1、"/>
      <w:lvlJc w:val="left"/>
      <w:pPr>
        <w:pStyle w:val="1063"/>
        <w:ind w:left="720" w:hanging="720"/>
        <w:tabs>
          <w:tab w:val="num" w:pos="720" w:leader="none"/>
        </w:tabs>
      </w:pPr>
      <w:rPr>
        <w:rFonts w:hint="eastAsia"/>
      </w:rPr>
    </w:lvl>
    <w:lvl w:ilvl="1">
      <w:start w:val="1"/>
      <w:numFmt w:val="chineseCountingThousand"/>
      <w:isLgl w:val="false"/>
      <w:suff w:val="tab"/>
      <w:lvlText w:val="（%2）"/>
      <w:lvlJc w:val="left"/>
      <w:pPr>
        <w:pStyle w:val="1063"/>
        <w:ind w:left="780" w:hanging="780"/>
        <w:tabs>
          <w:tab w:val="num" w:pos="780" w:leader="none"/>
        </w:tabs>
      </w:pPr>
      <w:rPr>
        <w:rFonts w:hint="eastAsia"/>
      </w:rPr>
    </w:lvl>
    <w:lvl w:ilvl="2">
      <w:start w:val="1"/>
      <w:numFmt w:val="lowerRoman"/>
      <w:isLgl w:val="false"/>
      <w:suff w:val="tab"/>
      <w:lvlText w:val="%3."/>
      <w:lvlJc w:val="right"/>
      <w:pPr>
        <w:pStyle w:val="1063"/>
        <w:ind w:left="1260" w:hanging="420"/>
        <w:tabs>
          <w:tab w:val="num" w:pos="1260" w:leader="none"/>
        </w:tabs>
      </w:pPr>
      <w:rPr>
        <w:rFonts w:hint="eastAsia"/>
      </w:rPr>
    </w:lvl>
    <w:lvl w:ilvl="3">
      <w:start w:val="1"/>
      <w:numFmt w:val="decimal"/>
      <w:isLgl w:val="false"/>
      <w:suff w:val="tab"/>
      <w:lvlText w:val="%4."/>
      <w:lvlJc w:val="left"/>
      <w:pPr>
        <w:pStyle w:val="1063"/>
        <w:ind w:left="1680" w:hanging="420"/>
        <w:tabs>
          <w:tab w:val="num" w:pos="1680" w:leader="none"/>
        </w:tabs>
      </w:pPr>
      <w:rPr>
        <w:rFonts w:hint="eastAsia"/>
      </w:rPr>
    </w:lvl>
    <w:lvl w:ilvl="4">
      <w:start w:val="1"/>
      <w:numFmt w:val="lowerLetter"/>
      <w:isLgl w:val="false"/>
      <w:suff w:val="tab"/>
      <w:lvlText w:val="%5)"/>
      <w:lvlJc w:val="left"/>
      <w:pPr>
        <w:pStyle w:val="1063"/>
        <w:ind w:left="2100" w:hanging="420"/>
        <w:tabs>
          <w:tab w:val="num" w:pos="2100" w:leader="none"/>
        </w:tabs>
      </w:pPr>
      <w:rPr>
        <w:rFonts w:hint="eastAsia"/>
      </w:rPr>
    </w:lvl>
    <w:lvl w:ilvl="5">
      <w:start w:val="1"/>
      <w:numFmt w:val="lowerRoman"/>
      <w:isLgl w:val="false"/>
      <w:suff w:val="tab"/>
      <w:lvlText w:val="%6."/>
      <w:lvlJc w:val="right"/>
      <w:pPr>
        <w:pStyle w:val="1063"/>
        <w:ind w:left="2520" w:hanging="420"/>
        <w:tabs>
          <w:tab w:val="num" w:pos="2520" w:leader="none"/>
        </w:tabs>
      </w:pPr>
      <w:rPr>
        <w:rFonts w:hint="eastAsia"/>
      </w:rPr>
    </w:lvl>
    <w:lvl w:ilvl="6">
      <w:start w:val="1"/>
      <w:numFmt w:val="decimal"/>
      <w:isLgl w:val="false"/>
      <w:suff w:val="tab"/>
      <w:lvlText w:val="%7."/>
      <w:lvlJc w:val="left"/>
      <w:pPr>
        <w:pStyle w:val="1063"/>
        <w:ind w:left="2940" w:hanging="420"/>
        <w:tabs>
          <w:tab w:val="num" w:pos="2940" w:leader="none"/>
        </w:tabs>
      </w:pPr>
      <w:rPr>
        <w:rFonts w:hint="eastAsia"/>
      </w:rPr>
    </w:lvl>
    <w:lvl w:ilvl="7">
      <w:start w:val="1"/>
      <w:numFmt w:val="lowerLetter"/>
      <w:isLgl w:val="false"/>
      <w:suff w:val="tab"/>
      <w:lvlText w:val="%8)"/>
      <w:lvlJc w:val="left"/>
      <w:pPr>
        <w:pStyle w:val="1063"/>
        <w:ind w:left="3360" w:hanging="420"/>
        <w:tabs>
          <w:tab w:val="num" w:pos="3360" w:leader="none"/>
        </w:tabs>
      </w:pPr>
      <w:rPr>
        <w:rFonts w:hint="eastAsia"/>
      </w:rPr>
    </w:lvl>
    <w:lvl w:ilvl="8">
      <w:start w:val="1"/>
      <w:numFmt w:val="lowerRoman"/>
      <w:isLgl w:val="false"/>
      <w:suff w:val="tab"/>
      <w:lvlText w:val="%9."/>
      <w:lvlJc w:val="right"/>
      <w:pPr>
        <w:pStyle w:val="1063"/>
        <w:ind w:left="3780" w:hanging="420"/>
        <w:tabs>
          <w:tab w:val="num" w:pos="3780" w:leader="none"/>
        </w:tabs>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name w:val="Heading 1"/>
    <w:basedOn w:val="1063"/>
    <w:next w:val="1063"/>
    <w:link w:val="886"/>
    <w:uiPriority w:val="9"/>
    <w:qFormat/>
    <w:pPr>
      <w:keepLines/>
      <w:keepNext/>
      <w:spacing w:before="480" w:after="200"/>
      <w:outlineLvl w:val="0"/>
    </w:pPr>
    <w:rPr>
      <w:rFonts w:ascii="Arial" w:hAnsi="Arial" w:eastAsia="Arial" w:cs="Arial"/>
      <w:sz w:val="40"/>
      <w:szCs w:val="40"/>
    </w:rPr>
  </w:style>
  <w:style w:type="character" w:styleId="886">
    <w:name w:val="Heading 1 Char"/>
    <w:link w:val="885"/>
    <w:uiPriority w:val="9"/>
    <w:rPr>
      <w:rFonts w:ascii="Arial" w:hAnsi="Arial" w:eastAsia="Arial" w:cs="Arial"/>
      <w:sz w:val="40"/>
      <w:szCs w:val="40"/>
    </w:rPr>
  </w:style>
  <w:style w:type="paragraph" w:styleId="887">
    <w:name w:val="Heading 2"/>
    <w:basedOn w:val="1063"/>
    <w:next w:val="1063"/>
    <w:link w:val="888"/>
    <w:uiPriority w:val="9"/>
    <w:unhideWhenUsed/>
    <w:qFormat/>
    <w:pPr>
      <w:keepLines/>
      <w:keepNext/>
      <w:spacing w:before="360" w:after="200"/>
      <w:outlineLvl w:val="1"/>
    </w:pPr>
    <w:rPr>
      <w:rFonts w:ascii="Arial" w:hAnsi="Arial" w:eastAsia="Arial" w:cs="Arial"/>
      <w:sz w:val="34"/>
    </w:rPr>
  </w:style>
  <w:style w:type="character" w:styleId="888">
    <w:name w:val="Heading 2 Char"/>
    <w:link w:val="887"/>
    <w:uiPriority w:val="9"/>
    <w:rPr>
      <w:rFonts w:ascii="Arial" w:hAnsi="Arial" w:eastAsia="Arial" w:cs="Arial"/>
      <w:sz w:val="34"/>
    </w:rPr>
  </w:style>
  <w:style w:type="paragraph" w:styleId="889">
    <w:name w:val="Heading 3"/>
    <w:basedOn w:val="1063"/>
    <w:next w:val="1063"/>
    <w:link w:val="890"/>
    <w:uiPriority w:val="9"/>
    <w:unhideWhenUsed/>
    <w:qFormat/>
    <w:pPr>
      <w:keepLines/>
      <w:keepNext/>
      <w:spacing w:before="320" w:after="200"/>
      <w:outlineLvl w:val="2"/>
    </w:pPr>
    <w:rPr>
      <w:rFonts w:ascii="Arial" w:hAnsi="Arial" w:eastAsia="Arial" w:cs="Arial"/>
      <w:sz w:val="30"/>
      <w:szCs w:val="30"/>
    </w:rPr>
  </w:style>
  <w:style w:type="character" w:styleId="890">
    <w:name w:val="Heading 3 Char"/>
    <w:link w:val="889"/>
    <w:uiPriority w:val="9"/>
    <w:rPr>
      <w:rFonts w:ascii="Arial" w:hAnsi="Arial" w:eastAsia="Arial" w:cs="Arial"/>
      <w:sz w:val="30"/>
      <w:szCs w:val="30"/>
    </w:rPr>
  </w:style>
  <w:style w:type="paragraph" w:styleId="891">
    <w:name w:val="Heading 4"/>
    <w:basedOn w:val="1063"/>
    <w:next w:val="1063"/>
    <w:link w:val="892"/>
    <w:uiPriority w:val="9"/>
    <w:unhideWhenUsed/>
    <w:qFormat/>
    <w:pPr>
      <w:keepLines/>
      <w:keepNext/>
      <w:spacing w:before="320" w:after="200"/>
      <w:outlineLvl w:val="3"/>
    </w:pPr>
    <w:rPr>
      <w:rFonts w:ascii="Arial" w:hAnsi="Arial" w:eastAsia="Arial" w:cs="Arial"/>
      <w:b/>
      <w:bCs/>
      <w:sz w:val="26"/>
      <w:szCs w:val="26"/>
    </w:rPr>
  </w:style>
  <w:style w:type="character" w:styleId="892">
    <w:name w:val="Heading 4 Char"/>
    <w:link w:val="891"/>
    <w:uiPriority w:val="9"/>
    <w:rPr>
      <w:rFonts w:ascii="Arial" w:hAnsi="Arial" w:eastAsia="Arial" w:cs="Arial"/>
      <w:b/>
      <w:bCs/>
      <w:sz w:val="26"/>
      <w:szCs w:val="26"/>
    </w:rPr>
  </w:style>
  <w:style w:type="paragraph" w:styleId="893">
    <w:name w:val="Heading 5"/>
    <w:basedOn w:val="1063"/>
    <w:next w:val="1063"/>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link w:val="893"/>
    <w:uiPriority w:val="9"/>
    <w:rPr>
      <w:rFonts w:ascii="Arial" w:hAnsi="Arial" w:eastAsia="Arial" w:cs="Arial"/>
      <w:b/>
      <w:bCs/>
      <w:sz w:val="24"/>
      <w:szCs w:val="24"/>
    </w:rPr>
  </w:style>
  <w:style w:type="paragraph" w:styleId="895">
    <w:name w:val="Heading 6"/>
    <w:basedOn w:val="1063"/>
    <w:next w:val="1063"/>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link w:val="895"/>
    <w:uiPriority w:val="9"/>
    <w:rPr>
      <w:rFonts w:ascii="Arial" w:hAnsi="Arial" w:eastAsia="Arial" w:cs="Arial"/>
      <w:b/>
      <w:bCs/>
      <w:sz w:val="22"/>
      <w:szCs w:val="22"/>
    </w:rPr>
  </w:style>
  <w:style w:type="paragraph" w:styleId="897">
    <w:name w:val="Heading 7"/>
    <w:basedOn w:val="1063"/>
    <w:next w:val="1063"/>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link w:val="897"/>
    <w:uiPriority w:val="9"/>
    <w:rPr>
      <w:rFonts w:ascii="Arial" w:hAnsi="Arial" w:eastAsia="Arial" w:cs="Arial"/>
      <w:b/>
      <w:bCs/>
      <w:i/>
      <w:iCs/>
      <w:sz w:val="22"/>
      <w:szCs w:val="22"/>
    </w:rPr>
  </w:style>
  <w:style w:type="paragraph" w:styleId="899">
    <w:name w:val="Heading 8"/>
    <w:basedOn w:val="1063"/>
    <w:next w:val="1063"/>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link w:val="899"/>
    <w:uiPriority w:val="9"/>
    <w:rPr>
      <w:rFonts w:ascii="Arial" w:hAnsi="Arial" w:eastAsia="Arial" w:cs="Arial"/>
      <w:i/>
      <w:iCs/>
      <w:sz w:val="22"/>
      <w:szCs w:val="22"/>
    </w:rPr>
  </w:style>
  <w:style w:type="paragraph" w:styleId="901">
    <w:name w:val="Heading 9"/>
    <w:basedOn w:val="1063"/>
    <w:next w:val="1063"/>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link w:val="901"/>
    <w:uiPriority w:val="9"/>
    <w:rPr>
      <w:rFonts w:ascii="Arial" w:hAnsi="Arial" w:eastAsia="Arial" w:cs="Arial"/>
      <w:i/>
      <w:iCs/>
      <w:sz w:val="21"/>
      <w:szCs w:val="21"/>
    </w:rPr>
  </w:style>
  <w:style w:type="paragraph" w:styleId="903">
    <w:name w:val="List Paragraph"/>
    <w:basedOn w:val="1063"/>
    <w:uiPriority w:val="34"/>
    <w:qFormat/>
    <w:pPr>
      <w:contextualSpacing/>
      <w:ind w:left="720"/>
    </w:pPr>
  </w:style>
  <w:style w:type="paragraph" w:styleId="904">
    <w:name w:val="No Spacing"/>
    <w:uiPriority w:val="1"/>
    <w:qFormat/>
    <w:pPr>
      <w:spacing w:before="0" w:after="0" w:line="240" w:lineRule="auto"/>
    </w:p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rFonts w:ascii="Calibri" w:hAnsi="Calibri" w:cs="Calibri"/>
      <w:sz w:val="21"/>
      <w:szCs w:val="21"/>
      <w:lang w:val="en-US" w:eastAsia="zh-CN" w:bidi="ar-SA"/>
    </w:rPr>
  </w:style>
  <w:style w:type="paragraph" w:styleId="1064">
    <w:name w:val="标题 1"/>
    <w:basedOn w:val="1063"/>
    <w:next w:val="1063"/>
    <w:link w:val="1071"/>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1065">
    <w:name w:val="标题 2"/>
    <w:basedOn w:val="1063"/>
    <w:next w:val="1063"/>
    <w:link w:val="1072"/>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1066">
    <w:name w:val="标题 3"/>
    <w:basedOn w:val="1063"/>
    <w:next w:val="1063"/>
    <w:link w:val="1073"/>
    <w:uiPriority w:val="99"/>
    <w:qFormat/>
    <w:pPr>
      <w:numPr>
        <w:ilvl w:val="2"/>
        <w:numId w:val="1"/>
      </w:numPr>
      <w:keepLines/>
      <w:keepNext/>
      <w:spacing w:before="260" w:after="260" w:line="415" w:lineRule="auto"/>
      <w:outlineLvl w:val="2"/>
    </w:pPr>
    <w:rPr>
      <w:b/>
      <w:bCs/>
      <w:sz w:val="32"/>
      <w:szCs w:val="32"/>
    </w:rPr>
  </w:style>
  <w:style w:type="paragraph" w:styleId="1067">
    <w:name w:val="标题 4"/>
    <w:basedOn w:val="1063"/>
    <w:next w:val="1063"/>
    <w:link w:val="1074"/>
    <w:uiPriority w:val="99"/>
    <w:qFormat/>
    <w:pPr>
      <w:keepLines/>
      <w:keepNext/>
      <w:spacing w:before="280" w:after="290" w:line="376" w:lineRule="auto"/>
      <w:outlineLvl w:val="3"/>
    </w:pPr>
    <w:rPr>
      <w:rFonts w:ascii="Calibri Light" w:hAnsi="Calibri Light" w:cs="Calibri Light"/>
      <w:b/>
      <w:bCs/>
      <w:sz w:val="28"/>
      <w:szCs w:val="28"/>
    </w:rPr>
  </w:style>
  <w:style w:type="paragraph" w:styleId="1068">
    <w:name w:val="标题 5"/>
    <w:basedOn w:val="1063"/>
    <w:next w:val="1063"/>
    <w:link w:val="1075"/>
    <w:qFormat/>
    <w:pPr>
      <w:keepLines/>
      <w:keepNext/>
      <w:spacing w:before="280" w:after="290" w:line="376" w:lineRule="auto"/>
      <w:outlineLvl w:val="4"/>
    </w:pPr>
    <w:rPr>
      <w:b/>
      <w:bCs/>
      <w:sz w:val="28"/>
      <w:szCs w:val="28"/>
    </w:rPr>
  </w:style>
  <w:style w:type="character" w:styleId="1069">
    <w:name w:val="默认段落字体"/>
    <w:next w:val="1069"/>
    <w:link w:val="1063"/>
    <w:uiPriority w:val="1"/>
    <w:unhideWhenUsed/>
    <w:qFormat/>
  </w:style>
  <w:style w:type="table" w:styleId="1070">
    <w:name w:val="普通表格"/>
    <w:next w:val="1070"/>
    <w:link w:val="106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71">
    <w:name w:val="标题 1 字符"/>
    <w:next w:val="1071"/>
    <w:link w:val="1064"/>
    <w:uiPriority w:val="9"/>
    <w:qFormat/>
    <w:rPr>
      <w:rFonts w:ascii="Calibri" w:hAnsi="Calibri" w:cs="Calibri"/>
      <w:b/>
      <w:bCs/>
      <w:sz w:val="44"/>
      <w:szCs w:val="44"/>
    </w:rPr>
  </w:style>
  <w:style w:type="character" w:styleId="1072">
    <w:name w:val="标题 2 字符"/>
    <w:next w:val="1072"/>
    <w:link w:val="1065"/>
    <w:uiPriority w:val="9"/>
    <w:qFormat/>
    <w:rPr>
      <w:rFonts w:ascii="Arial" w:hAnsi="Arial" w:eastAsia="楷体" w:cs="Times New Roman"/>
      <w:b/>
      <w:bCs/>
      <w:sz w:val="72"/>
      <w:szCs w:val="32"/>
    </w:rPr>
  </w:style>
  <w:style w:type="character" w:styleId="1073">
    <w:name w:val="标题 3 字符"/>
    <w:next w:val="1073"/>
    <w:link w:val="1066"/>
    <w:qFormat/>
    <w:rPr>
      <w:b/>
      <w:bCs/>
      <w:sz w:val="32"/>
      <w:szCs w:val="32"/>
    </w:rPr>
  </w:style>
  <w:style w:type="character" w:styleId="1074">
    <w:name w:val="标题 4 字符"/>
    <w:next w:val="1074"/>
    <w:link w:val="1067"/>
    <w:uiPriority w:val="9"/>
    <w:qFormat/>
    <w:rPr>
      <w:rFonts w:ascii="Cambria" w:hAnsi="Cambria" w:eastAsia="宋体" w:cs="Times New Roman"/>
      <w:b/>
      <w:bCs/>
      <w:sz w:val="28"/>
      <w:szCs w:val="28"/>
    </w:rPr>
  </w:style>
  <w:style w:type="character" w:styleId="1075">
    <w:name w:val="标题 5 字符"/>
    <w:next w:val="1075"/>
    <w:link w:val="1068"/>
    <w:qFormat/>
    <w:rPr>
      <w:rFonts w:ascii="Calibri" w:hAnsi="Calibri" w:cs="Calibri"/>
      <w:b/>
      <w:bCs/>
      <w:sz w:val="28"/>
      <w:szCs w:val="28"/>
    </w:rPr>
  </w:style>
  <w:style w:type="paragraph" w:styleId="1076">
    <w:name w:val="目录 7"/>
    <w:basedOn w:val="1063"/>
    <w:next w:val="1063"/>
    <w:link w:val="1063"/>
    <w:uiPriority w:val="39"/>
    <w:unhideWhenUsed/>
    <w:qFormat/>
    <w:pPr>
      <w:ind w:left="1701"/>
      <w:spacing w:after="57"/>
    </w:pPr>
  </w:style>
  <w:style w:type="paragraph" w:styleId="1077">
    <w:name w:val="正文缩进"/>
    <w:basedOn w:val="1063"/>
    <w:next w:val="1077"/>
    <w:link w:val="1063"/>
    <w:qFormat/>
    <w:pPr>
      <w:ind w:firstLine="420"/>
      <w:spacing w:line="360" w:lineRule="auto"/>
    </w:pPr>
    <w:rPr>
      <w:rFonts w:ascii="Times New Roman" w:hAnsi="Times New Roman" w:cs="Times New Roman"/>
      <w:sz w:val="24"/>
      <w:szCs w:val="24"/>
    </w:rPr>
  </w:style>
  <w:style w:type="paragraph" w:styleId="1078">
    <w:name w:val="批注文字"/>
    <w:basedOn w:val="1063"/>
    <w:next w:val="1078"/>
    <w:link w:val="1079"/>
    <w:unhideWhenUsed/>
    <w:qFormat/>
    <w:pPr>
      <w:jc w:val="left"/>
    </w:pPr>
  </w:style>
  <w:style w:type="character" w:styleId="1079">
    <w:name w:val="批注文字 字符"/>
    <w:next w:val="1079"/>
    <w:link w:val="1078"/>
    <w:qFormat/>
    <w:rPr>
      <w:rFonts w:ascii="Calibri" w:hAnsi="Calibri" w:cs="Calibri"/>
      <w:sz w:val="21"/>
      <w:szCs w:val="21"/>
    </w:rPr>
  </w:style>
  <w:style w:type="paragraph" w:styleId="1080">
    <w:name w:val="正文文本"/>
    <w:basedOn w:val="1063"/>
    <w:next w:val="1063"/>
    <w:link w:val="1081"/>
    <w:uiPriority w:val="99"/>
    <w:qFormat/>
    <w:pPr>
      <w:ind w:firstLine="200"/>
      <w:spacing w:line="360" w:lineRule="auto"/>
    </w:pPr>
    <w:rPr>
      <w:rFonts w:ascii="楷体_GB2312" w:hAnsi="Arial" w:eastAsia="楷体_GB2312" w:cs="楷体_GB2312"/>
      <w:sz w:val="28"/>
      <w:szCs w:val="28"/>
    </w:rPr>
  </w:style>
  <w:style w:type="character" w:styleId="1081">
    <w:name w:val="正文文本 字符"/>
    <w:next w:val="1081"/>
    <w:link w:val="1080"/>
    <w:uiPriority w:val="99"/>
    <w:qFormat/>
    <w:rPr>
      <w:rFonts w:ascii="Calibri" w:hAnsi="Calibri" w:cs="Calibri"/>
      <w:szCs w:val="21"/>
    </w:rPr>
  </w:style>
  <w:style w:type="paragraph" w:styleId="1082">
    <w:name w:val="正文文本缩进"/>
    <w:basedOn w:val="1063"/>
    <w:next w:val="1083"/>
    <w:link w:val="1063"/>
    <w:uiPriority w:val="99"/>
    <w:qFormat/>
    <w:pPr>
      <w:ind w:firstLine="403"/>
      <w:spacing w:line="440" w:lineRule="exact"/>
    </w:pPr>
    <w:rPr>
      <w:rFonts w:ascii="宋体" w:hAnsi="宋体" w:cs="宋体"/>
    </w:rPr>
  </w:style>
  <w:style w:type="paragraph" w:styleId="1083">
    <w:name w:val="寄信人地址"/>
    <w:basedOn w:val="1063"/>
    <w:next w:val="1076"/>
    <w:link w:val="1063"/>
    <w:qFormat/>
    <w:rPr>
      <w:rFonts w:ascii="Arial" w:hAnsi="Arial"/>
    </w:rPr>
  </w:style>
  <w:style w:type="paragraph" w:styleId="1084">
    <w:name w:val="索引 4"/>
    <w:basedOn w:val="1063"/>
    <w:next w:val="1063"/>
    <w:link w:val="1063"/>
    <w:uiPriority w:val="99"/>
    <w:qFormat/>
    <w:pPr>
      <w:ind w:left="600"/>
    </w:pPr>
    <w:rPr>
      <w:rFonts w:ascii="Verdana" w:hAnsi="Verdana"/>
      <w:szCs w:val="20"/>
    </w:rPr>
  </w:style>
  <w:style w:type="paragraph" w:styleId="1085">
    <w:name w:val="纯文本"/>
    <w:basedOn w:val="1063"/>
    <w:next w:val="1085"/>
    <w:link w:val="1086"/>
    <w:uiPriority w:val="99"/>
    <w:qFormat/>
    <w:pPr>
      <w:ind w:firstLine="200"/>
      <w:spacing w:line="360" w:lineRule="auto"/>
    </w:pPr>
    <w:rPr>
      <w:rFonts w:ascii="宋体" w:hAnsi="Courier New" w:cs="宋体"/>
      <w:sz w:val="24"/>
      <w:szCs w:val="24"/>
    </w:rPr>
  </w:style>
  <w:style w:type="character" w:styleId="1086">
    <w:name w:val="纯文本 字符"/>
    <w:next w:val="1086"/>
    <w:link w:val="1085"/>
    <w:uiPriority w:val="99"/>
    <w:qFormat/>
    <w:rPr>
      <w:rFonts w:ascii="宋体" w:hAnsi="Courier New" w:cs="Courier New"/>
      <w:szCs w:val="21"/>
    </w:rPr>
  </w:style>
  <w:style w:type="paragraph" w:styleId="1087">
    <w:name w:val="日期"/>
    <w:basedOn w:val="1063"/>
    <w:next w:val="1063"/>
    <w:link w:val="1088"/>
    <w:uiPriority w:val="99"/>
    <w:qFormat/>
    <w:pPr>
      <w:ind w:firstLine="200"/>
      <w:spacing w:line="360" w:lineRule="auto"/>
    </w:pPr>
    <w:rPr>
      <w:rFonts w:ascii="Times New Roman" w:hAnsi="Times New Roman" w:cs="Times New Roman"/>
      <w:sz w:val="24"/>
      <w:szCs w:val="24"/>
    </w:rPr>
  </w:style>
  <w:style w:type="character" w:styleId="1088">
    <w:name w:val="日期 字符"/>
    <w:next w:val="1088"/>
    <w:link w:val="1087"/>
    <w:uiPriority w:val="99"/>
    <w:qFormat/>
    <w:rPr>
      <w:rFonts w:ascii="Calibri" w:hAnsi="Calibri" w:cs="Calibri"/>
      <w:szCs w:val="21"/>
    </w:rPr>
  </w:style>
  <w:style w:type="paragraph" w:styleId="1089">
    <w:name w:val="批注框文本"/>
    <w:basedOn w:val="1063"/>
    <w:next w:val="1089"/>
    <w:link w:val="1090"/>
    <w:qFormat/>
    <w:rPr>
      <w:sz w:val="18"/>
      <w:szCs w:val="18"/>
    </w:rPr>
  </w:style>
  <w:style w:type="character" w:styleId="1090">
    <w:name w:val="批注框文本 字符"/>
    <w:next w:val="1090"/>
    <w:link w:val="1089"/>
    <w:qFormat/>
    <w:rPr>
      <w:rFonts w:ascii="Calibri" w:hAnsi="Calibri" w:cs="Calibri"/>
      <w:sz w:val="18"/>
      <w:szCs w:val="18"/>
    </w:rPr>
  </w:style>
  <w:style w:type="paragraph" w:styleId="1091">
    <w:name w:val="页脚"/>
    <w:basedOn w:val="1063"/>
    <w:next w:val="1091"/>
    <w:link w:val="1092"/>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1092">
    <w:name w:val="页脚 字符"/>
    <w:next w:val="1092"/>
    <w:link w:val="1091"/>
    <w:uiPriority w:val="99"/>
    <w:qFormat/>
    <w:rPr>
      <w:rFonts w:ascii="Calibri" w:hAnsi="Calibri" w:cs="Calibri"/>
      <w:sz w:val="18"/>
      <w:szCs w:val="18"/>
    </w:rPr>
  </w:style>
  <w:style w:type="paragraph" w:styleId="1093">
    <w:name w:val="页眉"/>
    <w:basedOn w:val="1063"/>
    <w:next w:val="1063"/>
    <w:link w:val="1094"/>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094">
    <w:name w:val="页眉 字符"/>
    <w:next w:val="1094"/>
    <w:link w:val="1093"/>
    <w:uiPriority w:val="99"/>
    <w:qFormat/>
    <w:rPr>
      <w:rFonts w:ascii="Calibri" w:hAnsi="Calibri" w:cs="Calibri"/>
      <w:sz w:val="18"/>
      <w:szCs w:val="18"/>
    </w:rPr>
  </w:style>
  <w:style w:type="paragraph" w:styleId="1095">
    <w:name w:val="目录 1"/>
    <w:basedOn w:val="1063"/>
    <w:next w:val="1063"/>
    <w:link w:val="1063"/>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1096">
    <w:name w:val="副标题"/>
    <w:basedOn w:val="1063"/>
    <w:next w:val="1063"/>
    <w:link w:val="1097"/>
    <w:qFormat/>
    <w:pPr>
      <w:jc w:val="center"/>
      <w:spacing w:before="240" w:after="60" w:line="312" w:lineRule="auto"/>
      <w:outlineLvl w:val="1"/>
    </w:pPr>
    <w:rPr>
      <w:rFonts w:ascii="Cambria" w:hAnsi="Cambria" w:cs="Times New Roman"/>
      <w:b/>
      <w:bCs/>
      <w:sz w:val="32"/>
      <w:szCs w:val="32"/>
    </w:rPr>
  </w:style>
  <w:style w:type="character" w:styleId="1097">
    <w:name w:val="副标题 字符"/>
    <w:next w:val="1097"/>
    <w:link w:val="1096"/>
    <w:qFormat/>
    <w:rPr>
      <w:rFonts w:ascii="Cambria" w:hAnsi="Cambria" w:cs="Times New Roman"/>
      <w:b/>
      <w:bCs/>
      <w:sz w:val="32"/>
      <w:szCs w:val="32"/>
    </w:rPr>
  </w:style>
  <w:style w:type="paragraph" w:styleId="1098">
    <w:name w:val="目录 2"/>
    <w:basedOn w:val="1063"/>
    <w:next w:val="1063"/>
    <w:link w:val="1063"/>
    <w:uiPriority w:val="39"/>
    <w:qFormat/>
    <w:pPr>
      <w:ind w:left="420"/>
    </w:pPr>
  </w:style>
  <w:style w:type="paragraph" w:styleId="1099">
    <w:name w:val="正文文本 2"/>
    <w:basedOn w:val="1063"/>
    <w:next w:val="1099"/>
    <w:link w:val="1063"/>
    <w:uiPriority w:val="99"/>
    <w:unhideWhenUsed/>
    <w:qFormat/>
    <w:pPr>
      <w:spacing w:after="120" w:line="480" w:lineRule="auto"/>
    </w:pPr>
  </w:style>
  <w:style w:type="paragraph" w:styleId="1100">
    <w:name w:val="HTML 预设格式"/>
    <w:basedOn w:val="1063"/>
    <w:next w:val="1100"/>
    <w:link w:val="1063"/>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1101">
    <w:name w:val="普通(网站)"/>
    <w:basedOn w:val="1063"/>
    <w:next w:val="1101"/>
    <w:link w:val="1063"/>
    <w:qFormat/>
    <w:pPr>
      <w:jc w:val="left"/>
      <w:spacing w:before="100" w:beforeAutospacing="1" w:after="100" w:afterAutospacing="1"/>
      <w:widowControl/>
    </w:pPr>
    <w:rPr>
      <w:rFonts w:ascii="宋体" w:hAnsi="宋体" w:cs="宋体"/>
      <w:sz w:val="24"/>
      <w:szCs w:val="24"/>
    </w:rPr>
  </w:style>
  <w:style w:type="paragraph" w:styleId="1102">
    <w:name w:val="批注主题"/>
    <w:basedOn w:val="1078"/>
    <w:next w:val="1078"/>
    <w:link w:val="1103"/>
    <w:unhideWhenUsed/>
    <w:qFormat/>
    <w:rPr>
      <w:b/>
      <w:bCs/>
    </w:rPr>
  </w:style>
  <w:style w:type="character" w:styleId="1103">
    <w:name w:val="批注主题 字符"/>
    <w:next w:val="1103"/>
    <w:link w:val="1102"/>
    <w:semiHidden/>
    <w:qFormat/>
    <w:rPr>
      <w:rFonts w:ascii="Calibri" w:hAnsi="Calibri" w:cs="Calibri"/>
      <w:b/>
      <w:bCs/>
      <w:sz w:val="21"/>
      <w:szCs w:val="21"/>
    </w:rPr>
  </w:style>
  <w:style w:type="paragraph" w:styleId="1104">
    <w:name w:val="正文首行缩进"/>
    <w:basedOn w:val="1080"/>
    <w:next w:val="1063"/>
    <w:link w:val="1063"/>
    <w:unhideWhenUsed/>
    <w:qFormat/>
    <w:pPr>
      <w:ind w:firstLine="420"/>
    </w:pPr>
    <w:rPr>
      <w:rFonts w:ascii="Calibri" w:hAnsi="Calibri" w:eastAsia="宋体"/>
      <w:sz w:val="28"/>
      <w:szCs w:val="28"/>
    </w:rPr>
  </w:style>
  <w:style w:type="paragraph" w:styleId="1105">
    <w:name w:val="正文首行缩进 2"/>
    <w:basedOn w:val="1063"/>
    <w:next w:val="1063"/>
    <w:link w:val="1063"/>
    <w:uiPriority w:val="99"/>
    <w:qFormat/>
    <w:pPr>
      <w:ind w:firstLine="420"/>
    </w:pPr>
  </w:style>
  <w:style w:type="table" w:styleId="1106">
    <w:name w:val="网格型"/>
    <w:basedOn w:val="1070"/>
    <w:next w:val="1106"/>
    <w:link w:val="1063"/>
    <w:uiPriority w:val="99"/>
    <w:qFormat/>
    <w:pPr>
      <w:jc w:val="both"/>
      <w:widowControl w:val="off"/>
    </w:pPr>
    <w:tblPr/>
  </w:style>
  <w:style w:type="character" w:styleId="1107">
    <w:name w:val="要点"/>
    <w:next w:val="1107"/>
    <w:link w:val="1063"/>
    <w:uiPriority w:val="99"/>
    <w:qFormat/>
    <w:rPr>
      <w:b/>
      <w:bCs/>
    </w:rPr>
  </w:style>
  <w:style w:type="character" w:styleId="1108">
    <w:name w:val="页码"/>
    <w:next w:val="1108"/>
    <w:link w:val="1063"/>
    <w:uiPriority w:val="99"/>
    <w:qFormat/>
    <w:rPr>
      <w:rFonts w:ascii="Times New Roman" w:hAnsi="Times New Roman" w:eastAsia="宋体" w:cs="Times New Roman"/>
    </w:rPr>
  </w:style>
  <w:style w:type="character" w:styleId="1109">
    <w:name w:val="强调"/>
    <w:next w:val="1109"/>
    <w:link w:val="1063"/>
    <w:qFormat/>
    <w:rPr>
      <w:i/>
    </w:rPr>
  </w:style>
  <w:style w:type="character" w:styleId="1110">
    <w:name w:val="超链接"/>
    <w:next w:val="1110"/>
    <w:link w:val="1063"/>
    <w:uiPriority w:val="99"/>
    <w:qFormat/>
    <w:rPr>
      <w:color w:val="0000ff"/>
      <w:u w:val="single"/>
    </w:rPr>
  </w:style>
  <w:style w:type="character" w:styleId="1111">
    <w:name w:val="HTML 代码"/>
    <w:next w:val="1111"/>
    <w:link w:val="1063"/>
    <w:qFormat/>
    <w:rPr>
      <w:rFonts w:ascii="Courier New" w:hAnsi="Courier New"/>
      <w:sz w:val="20"/>
    </w:rPr>
  </w:style>
  <w:style w:type="character" w:styleId="1112">
    <w:name w:val="批注引用"/>
    <w:next w:val="1112"/>
    <w:link w:val="1063"/>
    <w:qFormat/>
    <w:rPr>
      <w:sz w:val="21"/>
      <w:szCs w:val="21"/>
    </w:rPr>
  </w:style>
  <w:style w:type="character" w:styleId="1113">
    <w:name w:val="默认段落字体1"/>
    <w:next w:val="1113"/>
    <w:link w:val="1063"/>
    <w:uiPriority w:val="1"/>
    <w:unhideWhenUsed/>
    <w:qFormat/>
  </w:style>
  <w:style w:type="paragraph" w:styleId="1114">
    <w:name w:val="列表段落"/>
    <w:basedOn w:val="1063"/>
    <w:next w:val="1114"/>
    <w:link w:val="1063"/>
    <w:uiPriority w:val="34"/>
    <w:qFormat/>
    <w:pPr>
      <w:ind w:firstLine="420"/>
    </w:pPr>
  </w:style>
  <w:style w:type="paragraph" w:styleId="1115">
    <w:name w:val="_Style 1"/>
    <w:basedOn w:val="1063"/>
    <w:next w:val="1115"/>
    <w:link w:val="1063"/>
    <w:qFormat/>
    <w:pPr>
      <w:ind w:firstLine="420"/>
    </w:pPr>
    <w:rPr>
      <w:sz w:val="20"/>
    </w:rPr>
  </w:style>
  <w:style w:type="paragraph" w:styleId="1116">
    <w:name w:val="DAS正文"/>
    <w:next w:val="1116"/>
    <w:link w:val="1063"/>
    <w:qFormat/>
    <w:pPr>
      <w:ind w:right="181" w:firstLine="480"/>
      <w:jc w:val="both"/>
      <w:spacing w:line="360" w:lineRule="auto"/>
      <w:widowControl w:val="off"/>
    </w:pPr>
    <w:rPr>
      <w:rFonts w:ascii="Verdana" w:hAnsi="Verdana"/>
      <w:sz w:val="21"/>
      <w:szCs w:val="24"/>
      <w:lang w:val="en-US" w:eastAsia="zh-CN" w:bidi="ar-SA"/>
    </w:rPr>
  </w:style>
  <w:style w:type="paragraph" w:styleId="1117">
    <w:name w:val="报告正文"/>
    <w:basedOn w:val="1063"/>
    <w:next w:val="1117"/>
    <w:link w:val="1063"/>
    <w:qFormat/>
    <w:pPr>
      <w:ind w:firstLine="560"/>
    </w:pPr>
    <w:rPr>
      <w:szCs w:val="20"/>
      <w:lang w:val="zh-CN"/>
    </w:rPr>
  </w:style>
  <w:style w:type="character" w:styleId="1118">
    <w:name w:val="标题 3 Char"/>
    <w:next w:val="1118"/>
    <w:link w:val="1063"/>
    <w:uiPriority w:val="9"/>
    <w:qFormat/>
    <w:rPr>
      <w:rFonts w:ascii="Calibri" w:hAnsi="Calibri" w:cs="Calibri"/>
      <w:b/>
      <w:bCs/>
      <w:sz w:val="32"/>
      <w:szCs w:val="32"/>
    </w:rPr>
  </w:style>
  <w:style w:type="paragraph" w:styleId="1119">
    <w:name w:val="普通正文"/>
    <w:basedOn w:val="1063"/>
    <w:next w:val="1119"/>
    <w:link w:val="1120"/>
    <w:uiPriority w:val="99"/>
    <w:qFormat/>
    <w:pPr>
      <w:ind w:firstLine="480"/>
      <w:jc w:val="left"/>
      <w:spacing w:before="120" w:after="120" w:line="360" w:lineRule="auto"/>
    </w:pPr>
    <w:rPr>
      <w:rFonts w:ascii="Arial" w:hAnsi="Arial" w:cs="Arial"/>
      <w:sz w:val="24"/>
      <w:szCs w:val="24"/>
    </w:rPr>
  </w:style>
  <w:style w:type="character" w:styleId="1120">
    <w:name w:val="普通正文 Char"/>
    <w:next w:val="1120"/>
    <w:link w:val="1119"/>
    <w:uiPriority w:val="99"/>
    <w:qFormat/>
    <w:rPr>
      <w:rFonts w:ascii="Arial" w:hAnsi="Arial" w:cs="Arial"/>
      <w:sz w:val="24"/>
      <w:szCs w:val="24"/>
    </w:rPr>
  </w:style>
  <w:style w:type="paragraph" w:styleId="1121">
    <w:name w:val="一级目录"/>
    <w:next w:val="1063"/>
    <w:link w:val="1122"/>
    <w:uiPriority w:val="99"/>
    <w:qFormat/>
    <w:pPr>
      <w:jc w:val="center"/>
      <w:outlineLvl w:val="0"/>
    </w:pPr>
    <w:rPr>
      <w:rFonts w:ascii="黑体" w:eastAsia="黑体"/>
      <w:b/>
      <w:bCs/>
      <w:sz w:val="44"/>
      <w:szCs w:val="44"/>
      <w:lang w:val="en-US" w:eastAsia="zh-CN" w:bidi="ar-SA"/>
    </w:rPr>
  </w:style>
  <w:style w:type="character" w:styleId="1122">
    <w:name w:val="一级目录 Char"/>
    <w:next w:val="1122"/>
    <w:link w:val="1121"/>
    <w:uiPriority w:val="99"/>
    <w:qFormat/>
    <w:rPr>
      <w:rFonts w:ascii="黑体" w:eastAsia="黑体"/>
      <w:b/>
      <w:bCs/>
      <w:sz w:val="44"/>
      <w:szCs w:val="44"/>
      <w:lang w:val="en-US" w:eastAsia="zh-CN" w:bidi="ar-SA"/>
    </w:rPr>
  </w:style>
  <w:style w:type="paragraph" w:styleId="1123">
    <w:name w:val="二级目录"/>
    <w:next w:val="1063"/>
    <w:link w:val="1124"/>
    <w:uiPriority w:val="99"/>
    <w:qFormat/>
    <w:pPr>
      <w:numPr>
        <w:ilvl w:val="0"/>
        <w:numId w:val="2"/>
      </w:numPr>
      <w:tabs>
        <w:tab w:val="left" w:pos="720" w:leader="none"/>
      </w:tabs>
      <w:outlineLvl w:val="1"/>
    </w:pPr>
    <w:rPr>
      <w:rFonts w:ascii="Calibri" w:hAnsi="Calibri"/>
      <w:b/>
      <w:bCs/>
      <w:sz w:val="28"/>
      <w:szCs w:val="28"/>
      <w:lang w:val="en-US" w:eastAsia="zh-CN" w:bidi="ar-SA"/>
    </w:rPr>
  </w:style>
  <w:style w:type="character" w:styleId="1124">
    <w:name w:val="二级目录 Char"/>
    <w:next w:val="1124"/>
    <w:link w:val="1123"/>
    <w:uiPriority w:val="99"/>
    <w:qFormat/>
    <w:rPr>
      <w:rFonts w:ascii="Calibri" w:hAnsi="Calibri"/>
      <w:b/>
      <w:bCs/>
      <w:sz w:val="28"/>
      <w:szCs w:val="28"/>
      <w:lang w:val="en-US" w:eastAsia="zh-CN" w:bidi="ar-SA"/>
    </w:rPr>
  </w:style>
  <w:style w:type="paragraph" w:styleId="1125">
    <w:name w:val="列出段落1"/>
    <w:basedOn w:val="1063"/>
    <w:next w:val="1125"/>
    <w:link w:val="1063"/>
    <w:uiPriority w:val="99"/>
    <w:qFormat/>
    <w:pPr>
      <w:ind w:firstLine="420"/>
    </w:pPr>
  </w:style>
  <w:style w:type="paragraph" w:styleId="1126">
    <w:name w:val="Char"/>
    <w:basedOn w:val="1063"/>
    <w:next w:val="1126"/>
    <w:link w:val="1063"/>
    <w:uiPriority w:val="99"/>
    <w:qFormat/>
    <w:pPr>
      <w:ind w:firstLine="200"/>
      <w:spacing w:line="360" w:lineRule="auto"/>
      <w:tabs>
        <w:tab w:val="left" w:pos="360" w:leader="none"/>
      </w:tabs>
    </w:pPr>
    <w:rPr>
      <w:rFonts w:ascii="Times New Roman" w:hAnsi="Times New Roman" w:cs="Times New Roman"/>
      <w:sz w:val="24"/>
      <w:szCs w:val="24"/>
    </w:rPr>
  </w:style>
  <w:style w:type="paragraph" w:styleId="1127">
    <w:name w:val="☆ 正文"/>
    <w:basedOn w:val="1063"/>
    <w:next w:val="1127"/>
    <w:link w:val="1063"/>
    <w:uiPriority w:val="99"/>
    <w:qFormat/>
  </w:style>
  <w:style w:type="paragraph" w:styleId="1128">
    <w:name w:val="p0"/>
    <w:basedOn w:val="1063"/>
    <w:next w:val="1128"/>
    <w:link w:val="1063"/>
    <w:uiPriority w:val="99"/>
    <w:qFormat/>
    <w:pPr>
      <w:widowControl/>
    </w:pPr>
    <w:rPr>
      <w:rFonts w:ascii="Times New Roman" w:hAnsi="Times New Roman" w:cs="Times New Roman"/>
    </w:rPr>
  </w:style>
  <w:style w:type="paragraph" w:styleId="1129">
    <w:name w:val="_Style 5"/>
    <w:basedOn w:val="1063"/>
    <w:next w:val="1063"/>
    <w:link w:val="1063"/>
    <w:uiPriority w:val="99"/>
    <w:qFormat/>
    <w:pPr>
      <w:jc w:val="center"/>
      <w:widowControl/>
      <w:pBdr>
        <w:bottom w:val="single" w:color="000000" w:sz="6" w:space="1"/>
      </w:pBdr>
    </w:pPr>
    <w:rPr>
      <w:rFonts w:ascii="Arial" w:hAnsi="Arial" w:cs="Arial"/>
      <w:vanish/>
      <w:sz w:val="16"/>
      <w:szCs w:val="16"/>
    </w:rPr>
  </w:style>
  <w:style w:type="paragraph" w:styleId="1130">
    <w:name w:val="_Style 8"/>
    <w:basedOn w:val="1063"/>
    <w:next w:val="1063"/>
    <w:link w:val="1063"/>
    <w:uiPriority w:val="99"/>
    <w:qFormat/>
    <w:pPr>
      <w:jc w:val="center"/>
      <w:widowControl/>
      <w:pBdr>
        <w:top w:val="single" w:color="000000" w:sz="6" w:space="1"/>
      </w:pBdr>
    </w:pPr>
    <w:rPr>
      <w:rFonts w:ascii="Arial" w:hAnsi="Arial" w:cs="Arial"/>
      <w:vanish/>
      <w:sz w:val="16"/>
      <w:szCs w:val="16"/>
    </w:rPr>
  </w:style>
  <w:style w:type="paragraph" w:styleId="1131">
    <w:name w:val="Default"/>
    <w:next w:val="1131"/>
    <w:link w:val="1063"/>
    <w:uiPriority w:val="99"/>
    <w:qFormat/>
    <w:pPr>
      <w:widowControl w:val="off"/>
    </w:pPr>
    <w:rPr>
      <w:rFonts w:ascii="仿宋" w:hAnsi="仿宋" w:eastAsia="仿宋" w:cs="仿宋"/>
      <w:color w:val="000000"/>
      <w:sz w:val="24"/>
      <w:szCs w:val="24"/>
      <w:lang w:val="en-US" w:eastAsia="zh-CN" w:bidi="ar-SA"/>
    </w:rPr>
  </w:style>
  <w:style w:type="paragraph" w:styleId="1132">
    <w:name w:val="_Style 3"/>
    <w:basedOn w:val="1063"/>
    <w:next w:val="1132"/>
    <w:link w:val="1063"/>
    <w:uiPriority w:val="99"/>
    <w:qFormat/>
    <w:pPr>
      <w:jc w:val="center"/>
      <w:widowControl/>
      <w:pBdr>
        <w:bottom w:val="single" w:color="000000" w:sz="6" w:space="1"/>
      </w:pBdr>
    </w:pPr>
    <w:rPr>
      <w:rFonts w:ascii="Arial" w:hAnsi="Arial" w:cs="Arial"/>
      <w:vanish/>
      <w:sz w:val="16"/>
      <w:szCs w:val="16"/>
    </w:rPr>
  </w:style>
  <w:style w:type="paragraph" w:styleId="1133">
    <w:name w:val="正文1"/>
    <w:next w:val="1133"/>
    <w:link w:val="1063"/>
    <w:uiPriority w:val="99"/>
    <w:qFormat/>
    <w:rPr>
      <w:rFonts w:ascii="Calibri" w:hAnsi="Calibri" w:cs="Calibri"/>
      <w:sz w:val="24"/>
      <w:szCs w:val="24"/>
      <w:lang w:val="en-US" w:eastAsia="zh-CN" w:bidi="ar-SA"/>
    </w:rPr>
  </w:style>
  <w:style w:type="paragraph" w:styleId="1134">
    <w:name w:val="Char1"/>
    <w:basedOn w:val="1063"/>
    <w:next w:val="1134"/>
    <w:link w:val="1063"/>
    <w:uiPriority w:val="99"/>
    <w:qFormat/>
    <w:rPr>
      <w:rFonts w:ascii="Tahoma" w:hAnsi="Tahoma" w:cs="Tahoma"/>
      <w:sz w:val="24"/>
      <w:szCs w:val="24"/>
    </w:rPr>
  </w:style>
  <w:style w:type="character" w:styleId="1135">
    <w:name w:val="项目编号A Char Char"/>
    <w:next w:val="1135"/>
    <w:link w:val="1136"/>
    <w:qFormat/>
    <w:rPr>
      <w:rFonts w:ascii="Arial" w:hAnsi="Arial"/>
      <w:sz w:val="24"/>
      <w:szCs w:val="24"/>
    </w:rPr>
  </w:style>
  <w:style w:type="paragraph" w:styleId="1136">
    <w:name w:val="项目编号A"/>
    <w:basedOn w:val="1063"/>
    <w:next w:val="1136"/>
    <w:link w:val="1135"/>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1137">
    <w:name w:val="方案文档 Char Char"/>
    <w:next w:val="1137"/>
    <w:link w:val="1138"/>
    <w:qFormat/>
    <w:rPr>
      <w:rFonts w:ascii="Arial" w:hAnsi="Arial"/>
      <w:color w:val="ff00ff"/>
      <w:sz w:val="24"/>
      <w:lang w:val="zh-CN"/>
    </w:rPr>
  </w:style>
  <w:style w:type="paragraph" w:styleId="1138">
    <w:name w:val="方案文档"/>
    <w:basedOn w:val="1063"/>
    <w:next w:val="1138"/>
    <w:link w:val="1137"/>
    <w:qFormat/>
    <w:pPr>
      <w:ind w:right="32"/>
      <w:spacing w:before="120" w:after="120" w:line="360" w:lineRule="auto"/>
    </w:pPr>
    <w:rPr>
      <w:rFonts w:ascii="Arial" w:hAnsi="Arial" w:cs="Times New Roman"/>
      <w:color w:val="ff00ff"/>
      <w:sz w:val="24"/>
      <w:szCs w:val="20"/>
      <w:lang w:val="zh-CN"/>
    </w:rPr>
  </w:style>
  <w:style w:type="paragraph" w:styleId="1139">
    <w:name w:val="列出段落2"/>
    <w:basedOn w:val="1063"/>
    <w:next w:val="1139"/>
    <w:link w:val="1063"/>
    <w:uiPriority w:val="34"/>
    <w:qFormat/>
    <w:pPr>
      <w:ind w:firstLine="420"/>
    </w:pPr>
  </w:style>
  <w:style w:type="paragraph" w:styleId="1140">
    <w:name w:val="列出段落3"/>
    <w:basedOn w:val="1063"/>
    <w:next w:val="1140"/>
    <w:link w:val="1063"/>
    <w:uiPriority w:val="34"/>
    <w:qFormat/>
    <w:pPr>
      <w:ind w:left="720"/>
      <w:jc w:val="left"/>
      <w:widowControl/>
    </w:pPr>
    <w:rPr>
      <w:sz w:val="24"/>
      <w:szCs w:val="24"/>
      <w:lang w:eastAsia="en-US" w:bidi="en-US"/>
    </w:rPr>
  </w:style>
  <w:style w:type="character" w:styleId="1141">
    <w:name w:val="font71"/>
    <w:next w:val="1141"/>
    <w:link w:val="1063"/>
    <w:qFormat/>
    <w:rPr>
      <w:rFonts w:hint="eastAsia" w:ascii="微软雅黑" w:hAnsi="微软雅黑" w:eastAsia="微软雅黑" w:cs="微软雅黑"/>
      <w:color w:val="ff0000"/>
      <w:sz w:val="28"/>
      <w:szCs w:val="28"/>
      <w:u w:val="none"/>
    </w:rPr>
  </w:style>
  <w:style w:type="character" w:styleId="1142">
    <w:name w:val="font11"/>
    <w:next w:val="1142"/>
    <w:link w:val="1063"/>
    <w:qFormat/>
    <w:rPr>
      <w:rFonts w:hint="eastAsia" w:ascii="微软雅黑" w:hAnsi="微软雅黑" w:eastAsia="微软雅黑" w:cs="微软雅黑"/>
      <w:color w:val="000000"/>
      <w:sz w:val="28"/>
      <w:szCs w:val="28"/>
      <w:u w:val="none"/>
    </w:rPr>
  </w:style>
  <w:style w:type="paragraph" w:styleId="1143">
    <w:name w:val="_Style 2"/>
    <w:basedOn w:val="1063"/>
    <w:next w:val="1143"/>
    <w:link w:val="1063"/>
    <w:uiPriority w:val="34"/>
    <w:qFormat/>
    <w:pPr>
      <w:contextualSpacing/>
      <w:ind w:left="720"/>
      <w:jc w:val="left"/>
      <w:widowControl/>
    </w:pPr>
    <w:rPr>
      <w:sz w:val="24"/>
      <w:szCs w:val="24"/>
      <w:lang w:eastAsia="en-US" w:bidi="en-US"/>
    </w:rPr>
  </w:style>
  <w:style w:type="character" w:styleId="1144">
    <w:name w:val="font61"/>
    <w:next w:val="1144"/>
    <w:link w:val="1063"/>
    <w:qFormat/>
    <w:rPr>
      <w:rFonts w:hint="eastAsia" w:ascii="宋体" w:hAnsi="宋体" w:eastAsia="宋体" w:cs="宋体"/>
      <w:color w:val="000000"/>
      <w:sz w:val="17"/>
      <w:szCs w:val="17"/>
      <w:u w:val="none"/>
    </w:rPr>
  </w:style>
  <w:style w:type="character" w:styleId="1145">
    <w:name w:val="font81"/>
    <w:next w:val="1145"/>
    <w:link w:val="1063"/>
    <w:qFormat/>
    <w:rPr>
      <w:rFonts w:hint="eastAsia" w:ascii="宋体" w:hAnsi="宋体" w:eastAsia="宋体" w:cs="宋体"/>
      <w:color w:val="000000"/>
      <w:sz w:val="17"/>
      <w:szCs w:val="17"/>
      <w:u w:val="none"/>
    </w:rPr>
  </w:style>
  <w:style w:type="paragraph" w:styleId="1146">
    <w:name w:val="表中文字"/>
    <w:basedOn w:val="1063"/>
    <w:next w:val="1146"/>
    <w:link w:val="1063"/>
    <w:qFormat/>
    <w:rPr>
      <w:rFonts w:ascii="Times New Roman" w:hAnsi="Times New Roman" w:cs="Times New Roman"/>
      <w:sz w:val="24"/>
      <w:szCs w:val="24"/>
    </w:rPr>
  </w:style>
  <w:style w:type="paragraph" w:styleId="1147">
    <w:name w:val="标准文本"/>
    <w:basedOn w:val="1063"/>
    <w:next w:val="1147"/>
    <w:link w:val="1063"/>
    <w:qFormat/>
    <w:pPr>
      <w:ind w:firstLine="480"/>
      <w:spacing w:line="360" w:lineRule="auto"/>
    </w:pPr>
    <w:rPr>
      <w:rFonts w:cs="宋体"/>
      <w:sz w:val="24"/>
      <w:szCs w:val="20"/>
    </w:rPr>
  </w:style>
  <w:style w:type="paragraph" w:styleId="1148">
    <w:name w:val="标准文件_标准正文"/>
    <w:basedOn w:val="1063"/>
    <w:next w:val="1148"/>
    <w:link w:val="1063"/>
    <w:uiPriority w:val="99"/>
    <w:qFormat/>
    <w:pPr>
      <w:ind w:firstLine="560"/>
      <w:jc w:val="left"/>
      <w:spacing w:line="300" w:lineRule="auto"/>
      <w:widowControl/>
    </w:pPr>
    <w:rPr>
      <w:rFonts w:ascii="宋体" w:hAnsi="宋体"/>
      <w:bCs/>
      <w:color w:val="000000"/>
      <w:sz w:val="28"/>
      <w:szCs w:val="28"/>
    </w:rPr>
  </w:style>
  <w:style w:type="character" w:styleId="1149">
    <w:name w:val="15"/>
    <w:next w:val="1149"/>
    <w:link w:val="1063"/>
    <w:qFormat/>
    <w:rPr>
      <w:rFonts w:ascii="Times New Roman" w:hAnsi="Times New Roman" w:cs="Times New Roman"/>
    </w:rPr>
  </w:style>
  <w:style w:type="paragraph" w:styleId="1150">
    <w:name w:val="WPSOffice手动目录 1"/>
    <w:next w:val="1150"/>
    <w:link w:val="1063"/>
    <w:qFormat/>
    <w:rPr>
      <w:lang w:val="en-US" w:eastAsia="zh-CN" w:bidi="ar-SA"/>
    </w:rPr>
  </w:style>
  <w:style w:type="paragraph" w:styleId="1151">
    <w:name w:val="表内文字"/>
    <w:basedOn w:val="1063"/>
    <w:next w:val="1151"/>
    <w:link w:val="1063"/>
    <w:uiPriority w:val="99"/>
    <w:qFormat/>
    <w:rPr>
      <w:rFonts w:ascii="仿宋_GB2312"/>
    </w:rPr>
  </w:style>
  <w:style w:type="paragraph" w:styleId="1152">
    <w:name w:val="修订1"/>
    <w:next w:val="1152"/>
    <w:link w:val="1063"/>
    <w:uiPriority w:val="99"/>
    <w:unhideWhenUsed/>
    <w:qFormat/>
    <w:rPr>
      <w:rFonts w:ascii="Calibri" w:hAnsi="Calibri" w:cs="Calibri"/>
      <w:sz w:val="21"/>
      <w:szCs w:val="21"/>
      <w:lang w:val="en-US" w:eastAsia="zh-CN" w:bidi="ar-SA"/>
    </w:rPr>
  </w:style>
  <w:style w:type="paragraph" w:styleId="1153">
    <w:name w:val="样式 样式 首行缩进:  2 字符 + 行距: 1.5 倍行距"/>
    <w:basedOn w:val="1063"/>
    <w:next w:val="1153"/>
    <w:link w:val="1063"/>
    <w:qFormat/>
    <w:pPr>
      <w:ind w:firstLine="470"/>
      <w:spacing w:line="360" w:lineRule="auto"/>
    </w:pPr>
    <w:rPr>
      <w:rFonts w:eastAsia="Calibri" w:cs="宋体"/>
      <w:sz w:val="24"/>
      <w:szCs w:val="20"/>
      <w:lang w:val="zh-CN"/>
    </w:rPr>
  </w:style>
  <w:style w:type="paragraph" w:styleId="1154">
    <w:name w:val="招标"/>
    <w:basedOn w:val="1063"/>
    <w:next w:val="1154"/>
    <w:link w:val="1063"/>
    <w:qFormat/>
    <w:pPr>
      <w:ind w:firstLine="420"/>
      <w:jc w:val="left"/>
      <w:spacing w:line="400" w:lineRule="exact"/>
    </w:pPr>
    <w:rPr>
      <w:rFonts w:ascii="宋体" w:hAnsi="宋体"/>
    </w:rPr>
  </w:style>
  <w:style w:type="paragraph" w:styleId="1155">
    <w:name w:val="修订"/>
    <w:next w:val="1155"/>
    <w:link w:val="1063"/>
    <w:uiPriority w:val="99"/>
    <w:unhideWhenUsed/>
    <w:rPr>
      <w:rFonts w:ascii="Calibri" w:hAnsi="Calibri" w:cs="Calibri"/>
      <w:sz w:val="21"/>
      <w:szCs w:val="21"/>
      <w:lang w:val="en-US" w:eastAsia="zh-CN" w:bidi="ar-SA"/>
    </w:rPr>
  </w:style>
  <w:style w:type="paragraph" w:styleId="1156">
    <w:name w:val="首行缩进"/>
    <w:basedOn w:val="1063"/>
    <w:next w:val="1156"/>
    <w:link w:val="1063"/>
    <w:qFormat/>
    <w:pPr>
      <w:ind w:firstLine="480"/>
    </w:pPr>
    <w:rPr>
      <w:rFonts w:cs="宋体"/>
      <w:sz w:val="20"/>
      <w:szCs w:val="20"/>
    </w:rPr>
  </w:style>
  <w:style w:type="table" w:styleId="1157">
    <w:name w:val="Table Normal"/>
    <w:next w:val="1157"/>
    <w:link w:val="1063"/>
    <w:uiPriority w:val="2"/>
    <w:qFormat/>
    <w:rPr>
      <w:lang w:val="en-US" w:eastAsia="zh-CN" w:bidi="ar-SA"/>
    </w:rPr>
    <w:tblPr/>
  </w:style>
  <w:style w:type="paragraph" w:styleId="1158">
    <w:name w:val="Table Text"/>
    <w:basedOn w:val="1063"/>
    <w:next w:val="1158"/>
    <w:link w:val="1063"/>
    <w:semiHidden/>
    <w:qFormat/>
    <w:rPr>
      <w:rFonts w:ascii="宋体" w:hAnsi="宋体" w:cs="宋体"/>
      <w:lang w:eastAsia="en-US"/>
    </w:rPr>
  </w:style>
  <w:style w:type="paragraph" w:styleId="1159">
    <w:name w:val="纯文本1"/>
    <w:basedOn w:val="1063"/>
    <w:next w:val="1159"/>
    <w:link w:val="1063"/>
    <w:qFormat/>
    <w:rPr>
      <w:rFonts w:ascii="宋体" w:hAnsi="Courier New"/>
      <w:sz w:val="20"/>
      <w:szCs w:val="21"/>
    </w:rPr>
  </w:style>
  <w:style w:type="paragraph" w:styleId="1160">
    <w:name w:val="普通(网站)1"/>
    <w:basedOn w:val="1063"/>
    <w:next w:val="1160"/>
    <w:link w:val="1063"/>
    <w:uiPriority w:val="99"/>
    <w:unhideWhenUsed/>
    <w:qFormat/>
    <w:pPr>
      <w:spacing w:before="100" w:beforeAutospacing="1" w:after="100" w:afterAutospacing="1"/>
      <w:widowControl/>
    </w:pPr>
    <w:rPr>
      <w:sz w:val="24"/>
      <w:szCs w:val="24"/>
    </w:rPr>
  </w:style>
  <w:style w:type="character" w:styleId="1161">
    <w:name w:val="要点1"/>
    <w:next w:val="1161"/>
    <w:link w:val="1063"/>
    <w:uiPriority w:val="22"/>
    <w:qFormat/>
    <w:rPr>
      <w:rFonts w:ascii="Calibri" w:hAnsi="Calibri" w:cs="Calibri"/>
      <w:sz w:val="21"/>
      <w:szCs w:val="21"/>
      <w:lang w:val="en-US" w:eastAsia="zh-CN" w:bidi="ar-SA"/>
    </w:rPr>
  </w:style>
  <w:style w:type="character" w:styleId="1162">
    <w:name w:val="强调1"/>
    <w:next w:val="1162"/>
    <w:link w:val="1063"/>
    <w:uiPriority w:val="20"/>
    <w:qFormat/>
    <w:rPr>
      <w:i/>
    </w:rPr>
  </w:style>
  <w:style w:type="paragraph" w:styleId="1163">
    <w:name w:val="页脚1"/>
    <w:basedOn w:val="1063"/>
    <w:next w:val="1163"/>
    <w:link w:val="1063"/>
    <w:uiPriority w:val="99"/>
    <w:qFormat/>
    <w:pPr>
      <w:jc w:val="left"/>
      <w:tabs>
        <w:tab w:val="center" w:pos="4153" w:leader="none"/>
        <w:tab w:val="right" w:pos="8306" w:leader="none"/>
      </w:tabs>
    </w:pPr>
    <w:rPr>
      <w:sz w:val="18"/>
    </w:rPr>
  </w:style>
  <w:style w:type="table" w:styleId="1164">
    <w:name w:val="table"/>
    <w:basedOn w:val="1070"/>
    <w:next w:val="1164"/>
    <w:link w:val="1063"/>
    <w:qFormat/>
    <w:tblPr/>
  </w:style>
  <w:style w:type="paragraph" w:styleId="1165">
    <w:name w:val="正文文本1"/>
    <w:basedOn w:val="1063"/>
    <w:next w:val="1165"/>
    <w:link w:val="1063"/>
    <w:uiPriority w:val="1"/>
    <w:qFormat/>
    <w:rPr>
      <w:sz w:val="21"/>
      <w:szCs w:val="21"/>
    </w:rPr>
  </w:style>
  <w:style w:type="paragraph" w:styleId="1166">
    <w:name w:val="标题 31"/>
    <w:basedOn w:val="1063"/>
    <w:next w:val="1167"/>
    <w:link w:val="1063"/>
    <w:qFormat/>
    <w:pPr>
      <w:keepLines/>
      <w:keepNext/>
      <w:spacing w:before="260" w:after="260" w:line="416" w:lineRule="auto"/>
      <w:outlineLvl w:val="2"/>
    </w:pPr>
    <w:rPr>
      <w:b/>
      <w:bCs/>
      <w:sz w:val="32"/>
      <w:szCs w:val="32"/>
    </w:rPr>
  </w:style>
  <w:style w:type="paragraph" w:styleId="1167">
    <w:name w:val="正文缩进1"/>
    <w:basedOn w:val="1063"/>
    <w:next w:val="1167"/>
    <w:link w:val="1063"/>
    <w:qFormat/>
    <w:pPr>
      <w:ind w:firstLine="420"/>
    </w:pPr>
    <w:rPr>
      <w:sz w:val="20"/>
      <w:szCs w:val="21"/>
    </w:rPr>
  </w:style>
  <w:style w:type="paragraph" w:styleId="1168">
    <w:name w:val="标题 41"/>
    <w:basedOn w:val="1063"/>
    <w:next w:val="1167"/>
    <w:link w:val="1063"/>
    <w:qFormat/>
    <w:pPr>
      <w:keepLines/>
      <w:keepNext/>
      <w:spacing w:before="280" w:after="290" w:line="376" w:lineRule="auto"/>
      <w:outlineLvl w:val="3"/>
    </w:pPr>
    <w:rPr>
      <w:rFonts w:ascii="Arial" w:hAnsi="Arial" w:eastAsia="黑体"/>
      <w:b/>
      <w:bCs/>
      <w:sz w:val="28"/>
      <w:szCs w:val="28"/>
    </w:rPr>
  </w:style>
  <w:style w:type="paragraph" w:styleId="1169">
    <w:name w:val="普通(网站)11"/>
    <w:basedOn w:val="1063"/>
    <w:next w:val="1169"/>
    <w:link w:val="1063"/>
    <w:qFormat/>
    <w:pPr>
      <w:jc w:val="left"/>
      <w:spacing w:before="100" w:beforeAutospacing="1" w:after="100" w:afterAutospacing="1"/>
    </w:pPr>
    <w:rPr>
      <w:sz w:val="24"/>
    </w:rPr>
  </w:style>
  <w:style w:type="character" w:styleId="1170" w:default="1">
    <w:name w:val="Default Paragraph Font"/>
    <w:uiPriority w:val="1"/>
    <w:semiHidden/>
    <w:unhideWhenUsed/>
  </w:style>
  <w:style w:type="numbering" w:styleId="1171" w:default="1">
    <w:name w:val="No List"/>
    <w:uiPriority w:val="99"/>
    <w:semiHidden/>
    <w:unhideWhenUsed/>
  </w:style>
  <w:style w:type="table" w:styleId="11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钟山</cp:lastModifiedBy>
  <cp:revision>8</cp:revision>
  <dcterms:created xsi:type="dcterms:W3CDTF">2026-04-19T13:02:00Z</dcterms:created>
  <dcterms:modified xsi:type="dcterms:W3CDTF">2026-07-01T02:57:43Z</dcterms:modified>
</cp:coreProperties>
</file>