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spacing w:before="120" w:beforeAutospacing="0" w:after="120" w:afterAutospacing="0" w:line="360" w:lineRule="auto"/>
      </w:pPr>
      <w:r>
        <w:t xml:space="preserve"> </w:t>
      </w:r>
      <w:r/>
    </w:p>
    <w:p>
      <w:pPr>
        <w:ind w:firstLine="0"/>
        <w:jc w:val="center"/>
        <w:widowControl w:val="off"/>
        <w:rPr>
          <w:rFonts w:ascii="方正小标宋_GBK" w:hAnsi="方正小标宋_GBK" w:eastAsia="方正小标宋_GBK" w:cs="方正小标宋_GBK"/>
          <w:bCs/>
          <w:color w:val="000000"/>
          <w:sz w:val="96"/>
          <w:szCs w:val="96"/>
        </w:rPr>
      </w:pPr>
      <w:r>
        <w:rPr>
          <w:rFonts w:ascii="方正小标宋_GBK" w:hAnsi="方正小标宋_GBK" w:eastAsia="方正小标宋_GBK" w:cs="方正小标宋_GBK"/>
          <w:bCs/>
          <w:color w:val="000000"/>
          <w:sz w:val="96"/>
          <w:szCs w:val="96"/>
        </w:rPr>
      </w:r>
      <w:r/>
    </w:p>
    <w:p>
      <w:pPr>
        <w:ind w:firstLine="0"/>
        <w:jc w:val="center"/>
        <w:widowControl w:val="off"/>
        <w:rPr>
          <w:rFonts w:ascii="方正小标宋_GBK" w:hAnsi="方正小标宋_GBK" w:eastAsia="方正小标宋_GBK" w:cs="方正小标宋_GBK"/>
          <w:bCs/>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pStyle w:val="721"/>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721"/>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721"/>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721"/>
        <w:ind w:firstLine="0"/>
        <w:jc w:val="center"/>
        <w:spacing w:before="120" w:beforeAutospacing="0" w:after="120" w:afterAutospacing="0" w:line="360" w:lineRule="auto"/>
        <w:rPr>
          <w:rFonts w:ascii="Arial" w:hAnsi="Arial" w:eastAsia="宋体" w:cs="Arial"/>
          <w:b/>
          <w:sz w:val="32"/>
          <w:szCs w:val="32"/>
        </w:rPr>
      </w:pPr>
      <w:r>
        <w:rPr>
          <w:rFonts w:hint="eastAsia" w:ascii="Arial" w:hAnsi="Arial" w:eastAsia="宋体" w:cs="Arial"/>
          <w:b/>
          <w:sz w:val="32"/>
          <w:szCs w:val="32"/>
        </w:rPr>
        <w:t xml:space="preserve">   </w:t>
      </w:r>
      <w:r/>
    </w:p>
    <w:p>
      <w:pPr>
        <w:pStyle w:val="721"/>
        <w:ind w:firstLine="0"/>
        <w:jc w:val="center"/>
        <w:spacing w:before="120" w:beforeAutospacing="0" w:after="120" w:afterAutospacing="0" w:line="360" w:lineRule="auto"/>
        <w:rPr>
          <w:rFonts w:hint="eastAsia" w:ascii="宋体" w:hAnsi="Times New Roman" w:eastAsia="宋体"/>
          <w:b/>
          <w:color w:val="000000"/>
          <w:sz w:val="32"/>
          <w:szCs w:val="20"/>
        </w:rPr>
      </w:pPr>
      <w:r>
        <w:rPr>
          <w:rFonts w:hint="eastAsia" w:ascii="宋体" w:hAnsi="Times New Roman" w:eastAsia="宋体"/>
          <w:b/>
          <w:color w:val="000000"/>
          <w:sz w:val="32"/>
          <w:szCs w:val="20"/>
        </w:rPr>
        <w:t xml:space="preserve">项目编号：</w:t>
      </w:r>
      <w:r>
        <w:rPr>
          <w:rFonts w:hint="eastAsia" w:ascii="宋体" w:hAnsi="Times New Roman" w:eastAsia="宋体"/>
          <w:b/>
          <w:color w:val="000000"/>
          <w:sz w:val="32"/>
          <w:szCs w:val="20"/>
          <w:lang w:val="en-US" w:eastAsia="zh-CN"/>
        </w:rPr>
        <w:t xml:space="preserve">JSZC</w:t>
      </w:r>
      <w:r>
        <w:rPr>
          <w:rFonts w:hint="eastAsia" w:ascii="宋体" w:hAnsi="Times New Roman" w:eastAsia="宋体"/>
          <w:b/>
          <w:color w:val="000000"/>
          <w:sz w:val="32"/>
          <w:szCs w:val="20"/>
        </w:rPr>
        <w:t xml:space="preserve">-32090</w:t>
      </w:r>
      <w:r>
        <w:rPr>
          <w:rFonts w:hint="eastAsia" w:ascii="宋体" w:hAnsi="Times New Roman" w:eastAsia="宋体"/>
          <w:b/>
          <w:color w:val="000000"/>
          <w:sz w:val="32"/>
          <w:szCs w:val="20"/>
          <w:lang w:val="en-US" w:eastAsia="zh-CN"/>
        </w:rPr>
        <w:t xml:space="preserve">0</w:t>
      </w:r>
      <w:r>
        <w:rPr>
          <w:rFonts w:hint="eastAsia" w:ascii="宋体" w:hAnsi="Times New Roman" w:eastAsia="宋体"/>
          <w:b/>
          <w:color w:val="000000"/>
          <w:sz w:val="32"/>
          <w:szCs w:val="20"/>
        </w:rPr>
        <w:t xml:space="preserve">-</w:t>
      </w:r>
      <w:r>
        <w:rPr>
          <w:rFonts w:hint="eastAsia" w:ascii="宋体" w:hAnsi="Times New Roman" w:eastAsia="宋体"/>
          <w:b/>
          <w:color w:val="000000"/>
          <w:sz w:val="32"/>
          <w:szCs w:val="20"/>
          <w:lang w:val="en-US" w:eastAsia="zh-CN"/>
        </w:rPr>
        <w:t xml:space="preserve">YDZJ</w:t>
      </w:r>
      <w:r>
        <w:rPr>
          <w:rFonts w:hint="eastAsia" w:ascii="宋体" w:hAnsi="Times New Roman" w:eastAsia="宋体"/>
          <w:b/>
          <w:color w:val="000000"/>
          <w:sz w:val="32"/>
          <w:szCs w:val="20"/>
        </w:rPr>
        <w:t xml:space="preserve">-</w:t>
      </w:r>
      <w:r>
        <w:rPr>
          <w:rFonts w:hint="eastAsia" w:ascii="宋体" w:hAnsi="Times New Roman" w:eastAsia="宋体"/>
          <w:b/>
          <w:color w:val="000000"/>
          <w:sz w:val="32"/>
          <w:szCs w:val="20"/>
          <w:lang w:val="en-US" w:eastAsia="zh-CN"/>
        </w:rPr>
        <w:t xml:space="preserve">G</w:t>
      </w:r>
      <w:r>
        <w:rPr>
          <w:rFonts w:hint="eastAsia" w:ascii="宋体" w:hAnsi="Times New Roman" w:eastAsia="宋体"/>
          <w:b/>
          <w:color w:val="000000"/>
          <w:sz w:val="32"/>
          <w:szCs w:val="20"/>
        </w:rPr>
        <w:t xml:space="preserve">2026-000</w:t>
      </w:r>
      <w:r>
        <w:rPr>
          <w:rFonts w:hint="eastAsia" w:ascii="宋体" w:hAnsi="Times New Roman" w:eastAsia="宋体"/>
          <w:b/>
          <w:color w:val="000000"/>
          <w:sz w:val="32"/>
          <w:szCs w:val="20"/>
          <w:lang w:val="en-US" w:eastAsia="zh-CN"/>
        </w:rPr>
        <w:t xml:space="preserve">4</w:t>
      </w:r>
      <w:r>
        <w:rPr>
          <w:rFonts w:hint="eastAsia" w:ascii="宋体" w:hAnsi="Times New Roman" w:eastAsia="宋体"/>
          <w:b/>
          <w:color w:val="000000"/>
          <w:sz w:val="32"/>
          <w:szCs w:val="20"/>
        </w:rPr>
        <w:t xml:space="preserve">   </w:t>
      </w:r>
      <w:r/>
    </w:p>
    <w:p>
      <w:pPr>
        <w:pStyle w:val="721"/>
        <w:ind w:firstLine="0"/>
        <w:jc w:val="center"/>
        <w:spacing w:before="120" w:beforeAutospacing="0" w:after="120" w:afterAutospacing="0" w:line="360" w:lineRule="auto"/>
        <w:rPr>
          <w:rFonts w:hint="eastAsia" w:ascii="宋体" w:hAnsi="Times New Roman" w:eastAsia="宋体"/>
          <w:bCs/>
          <w:color w:val="000000"/>
          <w:sz w:val="32"/>
          <w:szCs w:val="20"/>
          <w:lang w:eastAsia="zh-CN"/>
        </w:rPr>
      </w:pPr>
      <w:r>
        <w:rPr>
          <w:rFonts w:hint="eastAsia" w:ascii="宋体" w:hAnsi="Times New Roman" w:eastAsia="宋体"/>
          <w:b/>
          <w:color w:val="000000"/>
          <w:sz w:val="32"/>
          <w:szCs w:val="20"/>
        </w:rPr>
        <w:t xml:space="preserve">项目名称：</w:t>
      </w:r>
      <w:r>
        <w:rPr>
          <w:rFonts w:hint="eastAsia" w:ascii="宋体" w:hAnsi="Times New Roman" w:eastAsia="宋体"/>
          <w:b/>
          <w:color w:val="000000"/>
          <w:sz w:val="32"/>
          <w:szCs w:val="20"/>
          <w:lang w:eastAsia="zh-CN"/>
        </w:rPr>
        <w:t xml:space="preserve">新四军纪念馆可移动文物数字化保护项目</w:t>
      </w:r>
      <w:r/>
    </w:p>
    <w:p>
      <w:pPr>
        <w:pStyle w:val="721"/>
        <w:spacing w:beforeAutospacing="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 </w:t>
      </w:r>
      <w:r/>
    </w:p>
    <w:p>
      <w:pPr>
        <w:pStyle w:val="721"/>
        <w:spacing w:beforeAutospacing="0" w:afterAutospacing="0" w:line="360" w:lineRule="auto"/>
        <w:rPr>
          <w:sz w:val="36"/>
          <w:szCs w:val="36"/>
        </w:rPr>
      </w:pPr>
      <w:r>
        <w:rPr>
          <w:sz w:val="36"/>
          <w:szCs w:val="36"/>
        </w:rPr>
        <w:t xml:space="preserve"> </w:t>
      </w:r>
      <w:r>
        <w:rPr>
          <w:rFonts w:hint="eastAsia" w:eastAsia="宋体"/>
          <w:sz w:val="36"/>
          <w:szCs w:val="36"/>
        </w:rPr>
        <w:t xml:space="preserve">              </w:t>
      </w:r>
      <w:r>
        <w:rPr>
          <w:sz w:val="36"/>
          <w:szCs w:val="36"/>
        </w:rPr>
        <w:t xml:space="preserve"> </w:t>
      </w:r>
      <w:r/>
    </w:p>
    <w:p>
      <w:pPr>
        <w:pStyle w:val="721"/>
        <w:spacing w:beforeAutospacing="0" w:afterAutospacing="0" w:line="360" w:lineRule="auto"/>
        <w:rPr>
          <w:sz w:val="36"/>
          <w:szCs w:val="36"/>
        </w:rPr>
      </w:pPr>
      <w:r>
        <w:rPr>
          <w:sz w:val="36"/>
          <w:szCs w:val="36"/>
        </w:rPr>
        <w:t xml:space="preserve"> </w:t>
      </w:r>
      <w:r/>
    </w:p>
    <w:p>
      <w:pPr>
        <w:pStyle w:val="721"/>
        <w:spacing w:beforeAutospacing="0" w:afterAutospacing="0" w:line="360" w:lineRule="auto"/>
        <w:rPr>
          <w:sz w:val="36"/>
          <w:szCs w:val="36"/>
        </w:rPr>
      </w:pPr>
      <w:r>
        <w:rPr>
          <w:sz w:val="36"/>
          <w:szCs w:val="36"/>
        </w:rPr>
      </w:r>
      <w:r/>
    </w:p>
    <w:p>
      <w:pPr>
        <w:pStyle w:val="721"/>
        <w:spacing w:beforeAutospacing="0" w:afterAutospacing="0" w:line="360" w:lineRule="auto"/>
        <w:rPr>
          <w:sz w:val="36"/>
          <w:szCs w:val="36"/>
        </w:rPr>
      </w:pPr>
      <w:r>
        <w:rPr>
          <w:sz w:val="36"/>
          <w:szCs w:val="36"/>
        </w:rPr>
        <w:t xml:space="preserve">  </w:t>
      </w:r>
      <w:r/>
    </w:p>
    <w:p>
      <w:pPr>
        <w:pStyle w:val="721"/>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新四军纪念馆</w:t>
      </w:r>
      <w:r/>
    </w:p>
    <w:p>
      <w:pPr>
        <w:pStyle w:val="721"/>
        <w:ind w:firstLine="0"/>
        <w:jc w:val="center"/>
        <w:spacing w:before="120" w:beforeAutospacing="0" w:after="120" w:afterAutospacing="0" w:line="360" w:lineRule="auto"/>
        <w:rPr>
          <w:rFonts w:hint="eastAsia" w:ascii="宋体" w:hAnsi="Times New Roman" w:eastAsia="宋体"/>
          <w:bCs/>
          <w:color w:val="000000"/>
          <w:sz w:val="32"/>
          <w:szCs w:val="20"/>
          <w:lang w:eastAsia="zh-CN"/>
        </w:rPr>
      </w:pPr>
      <w:r>
        <w:rPr>
          <w:rFonts w:hint="eastAsia" w:ascii="宋体" w:hAnsi="Times New Roman" w:eastAsia="宋体"/>
          <w:bCs/>
          <w:color w:val="000000"/>
          <w:sz w:val="32"/>
          <w:szCs w:val="20"/>
          <w:lang w:eastAsia="zh-CN"/>
        </w:rPr>
        <w:t xml:space="preserve">江苏盐渎工程咨询有限公司 </w:t>
      </w:r>
      <w:r/>
    </w:p>
    <w:p>
      <w:pPr>
        <w:pStyle w:val="721"/>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2026年</w:t>
      </w:r>
      <w:r>
        <w:rPr>
          <w:rFonts w:hint="eastAsia" w:ascii="宋体" w:hAnsi="Times New Roman" w:eastAsia="宋体"/>
          <w:bCs/>
          <w:color w:val="000000"/>
          <w:sz w:val="32"/>
          <w:szCs w:val="20"/>
          <w:lang w:val="en-US" w:eastAsia="zh-CN"/>
        </w:rPr>
        <w:t xml:space="preserve">6</w:t>
      </w:r>
      <w:r>
        <w:rPr>
          <w:rFonts w:hint="eastAsia" w:ascii="宋体" w:hAnsi="Times New Roman" w:eastAsia="宋体"/>
          <w:bCs/>
          <w:color w:val="000000"/>
          <w:sz w:val="32"/>
          <w:szCs w:val="20"/>
        </w:rPr>
        <w:t xml:space="preserve">月</w:t>
      </w:r>
      <w:r/>
    </w:p>
    <w:p>
      <w:pPr>
        <w:pStyle w:val="721"/>
        <w:spacing w:before="120" w:beforeAutospacing="0" w:after="120" w:afterAutospacing="0" w:line="360" w:lineRule="auto"/>
      </w:pPr>
      <w:r>
        <w:rPr>
          <w:rFonts w:ascii="Arial" w:hAnsi="Arial" w:cs="Arial"/>
        </w:rPr>
        <w:t xml:space="preserve">                        </w:t>
      </w:r>
      <w:r/>
    </w:p>
    <w:p>
      <w:pPr>
        <w:pStyle w:val="721"/>
        <w:jc w:val="center"/>
        <w:spacing w:before="120" w:beforeAutospacing="0" w:after="120" w:afterAutospacing="0" w:line="360" w:lineRule="auto"/>
      </w:pPr>
      <w:r>
        <w:t xml:space="preserve"> </w:t>
      </w:r>
      <w:r/>
    </w:p>
    <w:p>
      <w:pPr>
        <w:ind w:firstLine="0"/>
        <w:jc w:val="center"/>
        <w:spacing w:line="480" w:lineRule="auto"/>
        <w:widowControl w:val="off"/>
        <w:rPr>
          <w:rFonts w:hint="eastAsia" w:ascii="宋体" w:hAnsi="宋体" w:eastAsia="宋体" w:cs="宋体"/>
          <w:b/>
          <w:bCs/>
          <w:color w:val="000000"/>
          <w:sz w:val="44"/>
          <w:szCs w:val="21"/>
        </w:rPr>
      </w:pPr>
      <w:r>
        <w:rPr>
          <w:rFonts w:ascii="Times New Roman" w:hAnsi="Times New Roman"/>
          <w:szCs w:val="21"/>
        </w:rPr>
        <w:br w:type="page" w:clear="all"/>
      </w:r>
      <w:bookmarkStart w:id="0" w:name="_Toc479757206"/>
      <w:r/>
      <w:bookmarkStart w:id="1" w:name="_Toc523127445"/>
      <w:r/>
      <w:bookmarkStart w:id="2" w:name="_Toc513029200"/>
      <w:r/>
      <w:bookmarkStart w:id="3" w:name="_Toc16938516"/>
      <w:r/>
      <w:bookmarkStart w:id="4" w:name="_Toc120614210"/>
      <w:r/>
      <w:bookmarkStart w:id="5" w:name="_Toc20823272"/>
      <w:r>
        <w:rPr>
          <w:rFonts w:hint="eastAsia" w:ascii="宋体" w:hAnsi="宋体" w:eastAsia="宋体" w:cs="宋体"/>
          <w:b/>
          <w:bCs/>
          <w:color w:val="000000"/>
          <w:sz w:val="44"/>
          <w:szCs w:val="21"/>
        </w:rPr>
        <w:t xml:space="preserve">总  目  录</w:t>
      </w:r>
      <w:bookmarkEnd w:id="0"/>
      <w:r/>
      <w:bookmarkEnd w:id="1"/>
      <w:r/>
      <w:bookmarkEnd w:id="2"/>
      <w:r/>
      <w:bookmarkEnd w:id="3"/>
      <w:r/>
      <w:bookmarkEnd w:id="4"/>
      <w:r/>
      <w:bookmarkEnd w:id="5"/>
      <w:r/>
      <w:r/>
    </w:p>
    <w:p>
      <w:pPr>
        <w:ind w:firstLine="0"/>
        <w:jc w:val="center"/>
        <w:spacing w:line="480" w:lineRule="auto"/>
        <w:widowControl w:val="off"/>
        <w:rPr>
          <w:rFonts w:hint="eastAsia" w:ascii="宋体" w:hAnsi="宋体" w:eastAsia="宋体" w:cs="宋体"/>
          <w:b/>
          <w:bCs/>
          <w:color w:val="000000"/>
          <w:sz w:val="44"/>
          <w:szCs w:val="21"/>
        </w:rPr>
      </w:pPr>
      <w:r>
        <w:rPr>
          <w:rFonts w:hint="eastAsia" w:ascii="宋体" w:hAnsi="宋体" w:eastAsia="宋体" w:cs="宋体"/>
          <w:b/>
          <w:bCs/>
          <w:color w:val="000000"/>
          <w:sz w:val="44"/>
          <w:szCs w:val="21"/>
        </w:rPr>
      </w:r>
      <w:r/>
    </w:p>
    <w:p>
      <w:pPr>
        <w:ind w:right="1015" w:firstLine="980"/>
        <w:spacing w:line="60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招标公告………………………………………1</w:t>
      </w:r>
      <w:r/>
    </w:p>
    <w:p>
      <w:pPr>
        <w:ind w:right="1015" w:firstLine="980"/>
        <w:spacing w:line="60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第二章  投标人须知……………………………………5  </w:t>
      </w:r>
      <w:r/>
    </w:p>
    <w:p>
      <w:pPr>
        <w:ind w:right="1015" w:firstLine="980"/>
        <w:spacing w:line="60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第三章  合同条款………………………………………22</w:t>
      </w:r>
      <w:r/>
    </w:p>
    <w:p>
      <w:pPr>
        <w:ind w:right="1015" w:firstLine="980"/>
        <w:spacing w:line="600" w:lineRule="auto"/>
        <w:widowControl w:val="off"/>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第四章  采购需求………………………………………</w:t>
      </w:r>
      <w:r>
        <w:rPr>
          <w:rFonts w:hint="eastAsia" w:ascii="宋体" w:hAnsi="宋体" w:eastAsia="宋体" w:cs="宋体"/>
          <w:color w:val="000000"/>
          <w:sz w:val="28"/>
          <w:szCs w:val="28"/>
          <w:lang w:val="en-US" w:eastAsia="zh-CN"/>
        </w:rPr>
        <w:t xml:space="preserve">43</w:t>
      </w:r>
      <w:r/>
    </w:p>
    <w:p>
      <w:pPr>
        <w:ind w:right="1015" w:firstLine="980"/>
        <w:spacing w:line="600" w:lineRule="auto"/>
        <w:widowControl w:val="off"/>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第五章  评标方法与评标标准…………………………</w:t>
      </w:r>
      <w:r>
        <w:rPr>
          <w:rFonts w:hint="eastAsia" w:ascii="宋体" w:hAnsi="宋体" w:eastAsia="宋体" w:cs="宋体"/>
          <w:color w:val="000000"/>
          <w:sz w:val="28"/>
          <w:szCs w:val="28"/>
          <w:lang w:val="en-US" w:eastAsia="zh-CN"/>
        </w:rPr>
        <w:t xml:space="preserve">50</w:t>
      </w:r>
      <w:r/>
    </w:p>
    <w:p>
      <w:pPr>
        <w:ind w:right="1015" w:firstLine="980"/>
        <w:spacing w:line="600" w:lineRule="auto"/>
        <w:widowControl w:val="off"/>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lang w:val="en-US" w:eastAsia="zh-CN"/>
        </w:rPr>
        <w:t xml:space="preserve">55</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ind w:firstLine="440"/>
        <w:jc w:val="center"/>
        <w:keepNext/>
        <w:spacing w:beforeAutospacing="0" w:afterAutospacing="0"/>
        <w:sectPr>
          <w:footnotePr/>
          <w:endnotePr/>
          <w:type w:val="nextPage"/>
          <w:pgSz w:w="11906" w:h="16838" w:orient="portrait"/>
          <w:pgMar w:top="1134" w:right="1134" w:bottom="1134" w:left="1134" w:header="851" w:footer="992" w:gutter="0"/>
          <w:cols w:num="1" w:sep="0" w:space="425" w:equalWidth="1"/>
          <w:docGrid w:linePitch="360"/>
        </w:sectPr>
      </w:pPr>
      <w:r/>
      <w:r/>
    </w:p>
    <w:p>
      <w:pPr>
        <w:pStyle w:val="721"/>
        <w:ind w:firstLine="3360"/>
        <w:keepNext/>
        <w:spacing w:beforeAutospacing="0" w:afterAutospacing="0"/>
        <w:rPr>
          <w:rFonts w:ascii="方正小标宋_GBK" w:hAnsi="方正小标宋_GBK" w:eastAsia="方正小标宋_GBK" w:cs="方正小标宋_GBK"/>
          <w:sz w:val="44"/>
          <w:szCs w:val="44"/>
        </w:rPr>
        <w:outlineLvl w:val="0"/>
      </w:pPr>
      <w:r>
        <w:t xml:space="preserve"> </w:t>
      </w:r>
      <w:bookmarkStart w:id="6" w:name="_Toc28359086"/>
      <w:r>
        <w:rPr>
          <w:rFonts w:hint="eastAsia" w:ascii="方正小标宋_GBK" w:hAnsi="方正小标宋_GBK" w:eastAsia="方正小标宋_GBK" w:cs="方正小标宋_GBK"/>
          <w:color w:val="000000"/>
          <w:sz w:val="44"/>
          <w:szCs w:val="44"/>
        </w:rPr>
        <w:t xml:space="preserve">第一章  招标公告</w:t>
      </w:r>
      <w:r/>
    </w:p>
    <w:p>
      <w:pPr>
        <w:pStyle w:val="721"/>
        <w:ind w:firstLine="480"/>
        <w:jc w:val="both"/>
        <w:spacing w:beforeAutospacing="0" w:afterAutospacing="0" w:line="500" w:lineRule="exact"/>
        <w:widowControl w:val="off"/>
        <w:rPr>
          <w:rFonts w:hint="eastAsia" w:ascii="宋体" w:hAnsi="宋体" w:eastAsia="宋体" w:cs="宋体"/>
        </w:rPr>
        <w:pBdr>
          <w:top w:val="single" w:color="000000" w:sz="4" w:space="0"/>
          <w:left w:val="single" w:color="000000" w:sz="4" w:space="0"/>
          <w:bottom w:val="single" w:color="000000" w:sz="4" w:space="0"/>
          <w:right w:val="single" w:color="000000" w:sz="4" w:space="11"/>
        </w:pBdr>
      </w:pPr>
      <w:r>
        <w:rPr>
          <w:rFonts w:hint="eastAsia" w:ascii="宋体" w:hAnsi="宋体" w:eastAsia="宋体" w:cs="宋体"/>
          <w:color w:val="000000"/>
        </w:rPr>
        <w:t xml:space="preserve">项目概况</w:t>
      </w:r>
      <w:r/>
    </w:p>
    <w:p>
      <w:pPr>
        <w:pStyle w:val="721"/>
        <w:ind w:firstLine="480"/>
        <w:jc w:val="both"/>
        <w:spacing w:beforeAutospacing="0" w:afterAutospacing="0" w:line="500" w:lineRule="exact"/>
        <w:widowControl w:val="off"/>
        <w:rPr>
          <w:rFonts w:hint="eastAsia" w:ascii="宋体" w:hAnsi="宋体" w:eastAsia="宋体"/>
          <w:shd w:val="clear" w:color="auto" w:fill="ffffff" w:themeFill="background1"/>
        </w:rPr>
        <w:pBdr>
          <w:top w:val="single" w:color="000000" w:sz="4" w:space="0"/>
          <w:left w:val="single" w:color="000000" w:sz="4" w:space="0"/>
          <w:bottom w:val="single" w:color="000000" w:sz="4" w:space="0"/>
          <w:right w:val="single" w:color="000000" w:sz="4" w:space="11"/>
        </w:pBdr>
      </w:pPr>
      <w:r>
        <w:rPr>
          <w:rFonts w:hint="eastAsia" w:ascii="宋体" w:hAnsi="宋体" w:eastAsia="宋体"/>
          <w:shd w:val="clear" w:color="auto" w:fill="ffffff" w:themeFill="background1"/>
          <w:lang w:eastAsia="zh-CN"/>
        </w:rPr>
        <w:t xml:space="preserve">新四军纪念馆可移动文物数字化保护项目（</w:t>
      </w:r>
      <w:r>
        <w:rPr>
          <w:rFonts w:hint="eastAsia" w:ascii="宋体" w:hAnsi="宋体" w:eastAsia="宋体"/>
          <w:shd w:val="clear" w:color="auto" w:fill="ffffff" w:themeFill="background1"/>
          <w:lang w:val="en-US" w:eastAsia="zh-CN"/>
        </w:rPr>
        <w:t xml:space="preserve">JSZC</w:t>
      </w:r>
      <w:r>
        <w:rPr>
          <w:rFonts w:hint="eastAsia" w:ascii="宋体" w:hAnsi="宋体" w:eastAsia="宋体"/>
          <w:shd w:val="clear" w:color="auto" w:fill="ffffff" w:themeFill="background1"/>
          <w:lang w:eastAsia="zh-CN"/>
        </w:rPr>
        <w:t xml:space="preserve">-32090</w:t>
      </w:r>
      <w:r>
        <w:rPr>
          <w:rFonts w:hint="eastAsia" w:ascii="宋体" w:hAnsi="宋体" w:eastAsia="宋体"/>
          <w:shd w:val="clear" w:color="auto" w:fill="ffffff" w:themeFill="background1"/>
          <w:lang w:val="en-US" w:eastAsia="zh-CN"/>
        </w:rPr>
        <w:t xml:space="preserve">0</w:t>
      </w:r>
      <w:r>
        <w:rPr>
          <w:rFonts w:hint="eastAsia" w:ascii="宋体" w:hAnsi="宋体" w:eastAsia="宋体"/>
          <w:shd w:val="clear" w:color="auto" w:fill="ffffff" w:themeFill="background1"/>
          <w:lang w:eastAsia="zh-CN"/>
        </w:rPr>
        <w:t xml:space="preserve">-</w:t>
      </w:r>
      <w:r>
        <w:rPr>
          <w:rFonts w:hint="eastAsia" w:ascii="宋体" w:hAnsi="宋体" w:eastAsia="宋体"/>
          <w:shd w:val="clear" w:color="auto" w:fill="ffffff" w:themeFill="background1"/>
          <w:lang w:val="en-US" w:eastAsia="zh-CN"/>
        </w:rPr>
        <w:t xml:space="preserve">YDZJ</w:t>
      </w:r>
      <w:r>
        <w:rPr>
          <w:rFonts w:hint="eastAsia" w:ascii="宋体" w:hAnsi="宋体" w:eastAsia="宋体"/>
          <w:shd w:val="clear" w:color="auto" w:fill="ffffff" w:themeFill="background1"/>
          <w:lang w:eastAsia="zh-CN"/>
        </w:rPr>
        <w:t xml:space="preserve">-</w:t>
      </w:r>
      <w:r>
        <w:rPr>
          <w:rFonts w:hint="eastAsia" w:ascii="宋体" w:hAnsi="宋体" w:eastAsia="宋体"/>
          <w:shd w:val="clear" w:color="auto" w:fill="ffffff" w:themeFill="background1"/>
          <w:lang w:val="en-US" w:eastAsia="zh-CN"/>
        </w:rPr>
        <w:t xml:space="preserve">G</w:t>
      </w:r>
      <w:r>
        <w:rPr>
          <w:rFonts w:hint="eastAsia" w:ascii="宋体" w:hAnsi="宋体" w:eastAsia="宋体"/>
          <w:shd w:val="clear" w:color="auto" w:fill="ffffff" w:themeFill="background1"/>
          <w:lang w:eastAsia="zh-CN"/>
        </w:rPr>
        <w:t xml:space="preserve">2026-000</w:t>
      </w:r>
      <w:r>
        <w:rPr>
          <w:rFonts w:hint="eastAsia" w:ascii="宋体" w:hAnsi="宋体" w:eastAsia="宋体"/>
          <w:shd w:val="clear" w:color="auto" w:fill="ffffff" w:themeFill="background1"/>
          <w:lang w:val="en-US" w:eastAsia="zh-CN"/>
        </w:rPr>
        <w:t xml:space="preserve">4</w:t>
      </w:r>
      <w:r>
        <w:rPr>
          <w:rFonts w:hint="eastAsia" w:ascii="宋体" w:hAnsi="宋体" w:eastAsia="宋体"/>
          <w:shd w:val="clear" w:color="auto" w:fill="ffffff" w:themeFill="background1"/>
          <w:lang w:eastAsia="zh-CN"/>
        </w:rPr>
        <w:t xml:space="preserve">）</w:t>
      </w:r>
      <w:r>
        <w:rPr>
          <w:rFonts w:hint="eastAsia" w:ascii="宋体" w:hAnsi="宋体" w:eastAsia="宋体"/>
          <w:shd w:val="clear" w:color="auto" w:fill="ffffff" w:themeFill="background1"/>
        </w:rPr>
        <w:t xml:space="preserve">招标项目的潜在投标人应在“苏采云”系统内免费下载（投标人必须在苏采云系统中获取采购文件，方能参与政府采购项目）获取招标文件，并于</w:t>
      </w:r>
      <w:r>
        <w:rPr>
          <w:rFonts w:hint="eastAsia" w:ascii="宋体" w:hAnsi="宋体" w:eastAsia="宋体"/>
          <w:u w:val="single"/>
          <w:shd w:val="clear" w:color="auto" w:fill="ffffff" w:themeFill="background1"/>
        </w:rPr>
        <w:t xml:space="preserve">2026年</w:t>
      </w:r>
      <w:r>
        <w:rPr>
          <w:rFonts w:hint="eastAsia" w:ascii="宋体" w:hAnsi="宋体" w:eastAsia="宋体"/>
          <w:u w:val="single"/>
          <w:shd w:val="clear" w:color="auto" w:fill="ffffff" w:themeFill="background1"/>
          <w:lang w:val="en-US" w:eastAsia="zh-CN"/>
        </w:rPr>
        <w:t xml:space="preserve">07</w:t>
      </w:r>
      <w:r>
        <w:rPr>
          <w:rFonts w:hint="eastAsia" w:ascii="宋体" w:hAnsi="宋体" w:eastAsia="宋体"/>
          <w:u w:val="single"/>
          <w:shd w:val="clear" w:color="auto" w:fill="ffffff" w:themeFill="background1"/>
        </w:rPr>
        <w:t xml:space="preserve">月17</w:t>
      </w:r>
      <w:r>
        <w:rPr>
          <w:rFonts w:hint="eastAsia" w:ascii="宋体" w:hAnsi="宋体" w:eastAsia="宋体"/>
          <w:u w:val="single"/>
          <w:shd w:val="clear" w:color="auto" w:fill="ffffff" w:themeFill="background1"/>
        </w:rPr>
        <w:t xml:space="preserve">日09点00分</w:t>
      </w:r>
      <w:r>
        <w:rPr>
          <w:rFonts w:hint="eastAsia" w:ascii="宋体" w:hAnsi="宋体" w:eastAsia="宋体"/>
          <w:shd w:val="clear" w:color="auto" w:fill="ffffff" w:themeFill="background1"/>
        </w:rPr>
        <w:t xml:space="preserve">（北京时间）前递交投标文件。</w:t>
      </w:r>
      <w:r/>
    </w:p>
    <w:p>
      <w:pPr>
        <w:ind w:firstLine="723"/>
        <w:spacing w:line="500" w:lineRule="exact"/>
        <w:widowControl w:val="off"/>
        <w:rPr>
          <w:rFonts w:hint="eastAsia" w:ascii="宋体" w:hAnsi="宋体" w:eastAsia="宋体" w:cs="宋体"/>
          <w:sz w:val="24"/>
        </w:rPr>
      </w:pPr>
      <w:r>
        <w:rPr>
          <w:rFonts w:hint="eastAsia" w:ascii="宋体" w:hAnsi="宋体" w:cs="宋体"/>
          <w:b/>
          <w:bCs/>
          <w:sz w:val="24"/>
        </w:rPr>
        <w:t xml:space="preserve">一、项目基本情况</w:t>
      </w:r>
      <w:r/>
    </w:p>
    <w:p>
      <w:pPr>
        <w:ind w:firstLine="480"/>
        <w:spacing w:line="500" w:lineRule="exact"/>
        <w:widowControl w:val="off"/>
        <w:rPr>
          <w:rFonts w:hint="eastAsia" w:ascii="宋体" w:hAnsi="宋体" w:eastAsia="宋体"/>
          <w:sz w:val="24"/>
          <w:shd w:val="clear" w:color="auto" w:fill="ffffff" w:themeFill="background1"/>
          <w:lang w:eastAsia="zh-CN"/>
        </w:rPr>
      </w:pPr>
      <w:r/>
      <w:bookmarkStart w:id="7" w:name="OLE_LINK15"/>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lang w:val="en-US" w:eastAsia="zh-CN"/>
        </w:rPr>
        <w:t xml:space="preserve">JSZC</w:t>
      </w:r>
      <w:r>
        <w:rPr>
          <w:rFonts w:hint="eastAsia" w:ascii="宋体" w:hAnsi="宋体" w:eastAsia="宋体"/>
          <w:sz w:val="24"/>
          <w:shd w:val="clear" w:color="auto" w:fill="ffffff" w:themeFill="background1"/>
        </w:rPr>
        <w:t xml:space="preserve">-32090</w:t>
      </w:r>
      <w:r>
        <w:rPr>
          <w:rFonts w:hint="eastAsia" w:ascii="宋体" w:hAnsi="宋体" w:eastAsia="宋体"/>
          <w:sz w:val="24"/>
          <w:shd w:val="clear" w:color="auto" w:fill="ffffff" w:themeFill="background1"/>
          <w:lang w:val="en-US" w:eastAsia="zh-CN"/>
        </w:rPr>
        <w:t xml:space="preserve">0</w:t>
      </w:r>
      <w:r>
        <w:rPr>
          <w:rFonts w:hint="eastAsia"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lang w:val="en-US" w:eastAsia="zh-CN"/>
        </w:rPr>
        <w:t xml:space="preserve">YDZJ</w:t>
      </w:r>
      <w:r>
        <w:rPr>
          <w:rFonts w:hint="eastAsia"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lang w:val="en-US" w:eastAsia="zh-CN"/>
        </w:rPr>
        <w:t xml:space="preserve">G</w:t>
      </w:r>
      <w:r>
        <w:rPr>
          <w:rFonts w:hint="eastAsia" w:ascii="宋体" w:hAnsi="宋体" w:eastAsia="宋体"/>
          <w:sz w:val="24"/>
          <w:shd w:val="clear" w:color="auto" w:fill="ffffff" w:themeFill="background1"/>
        </w:rPr>
        <w:t xml:space="preserve">2026-000</w:t>
      </w:r>
      <w:r>
        <w:rPr>
          <w:rFonts w:hint="eastAsia" w:ascii="宋体" w:hAnsi="宋体" w:eastAsia="宋体"/>
          <w:sz w:val="24"/>
          <w:shd w:val="clear" w:color="auto" w:fill="ffffff" w:themeFill="background1"/>
          <w:lang w:val="en-US" w:eastAsia="zh-CN"/>
        </w:rPr>
        <w:t xml:space="preserve">4</w:t>
      </w:r>
      <w:r/>
    </w:p>
    <w:p>
      <w:pPr>
        <w:ind w:firstLine="480"/>
        <w:spacing w:line="500" w:lineRule="exact"/>
        <w:widowControl w:val="off"/>
        <w:rPr>
          <w:rFonts w:hint="eastAsia" w:ascii="宋体" w:hAnsi="宋体" w:eastAsia="宋体"/>
          <w:sz w:val="24"/>
          <w:shd w:val="clear" w:color="auto" w:fill="ffffff" w:themeFill="background1"/>
          <w:lang w:eastAsia="zh-CN"/>
        </w:rPr>
      </w:pPr>
      <w:r>
        <w:rPr>
          <w:rFonts w:hint="eastAsia" w:ascii="宋体" w:hAnsi="宋体" w:eastAsia="宋体"/>
          <w:sz w:val="24"/>
          <w:shd w:val="clear" w:color="auto" w:fill="ffffff" w:themeFill="background1"/>
        </w:rPr>
        <w:t xml:space="preserve">2.项目名称：</w:t>
      </w:r>
      <w:r>
        <w:rPr>
          <w:rFonts w:hint="eastAsia" w:ascii="宋体" w:hAnsi="宋体" w:eastAsia="宋体"/>
          <w:sz w:val="24"/>
          <w:shd w:val="clear" w:color="auto" w:fill="ffffff" w:themeFill="background1"/>
          <w:lang w:eastAsia="zh-CN"/>
        </w:rPr>
        <w:t xml:space="preserve">新四军纪念馆可移动文物数字化保护项目</w:t>
      </w:r>
      <w:r/>
    </w:p>
    <w:p>
      <w:pPr>
        <w:ind w:firstLine="480"/>
        <w:spacing w:line="500" w:lineRule="exact"/>
        <w:widowControl w:val="off"/>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jc w:val="left"/>
        <w:spacing w:line="500" w:lineRule="exact"/>
        <w:widowControl w:val="off"/>
        <w:rPr>
          <w:rFonts w:hint="eastAsia" w:ascii="宋体" w:hAnsi="宋体" w:eastAsia="宋体"/>
          <w:sz w:val="24"/>
          <w:shd w:val="clear" w:color="auto" w:fill="ffffff" w:themeFill="background1"/>
          <w:lang w:eastAsia="zh-CN"/>
        </w:rPr>
      </w:pPr>
      <w:r>
        <w:rPr>
          <w:rFonts w:hint="eastAsia" w:ascii="宋体" w:hAnsi="宋体" w:eastAsia="宋体"/>
          <w:sz w:val="24"/>
          <w:shd w:val="clear" w:color="auto" w:fill="ffffff" w:themeFill="background1"/>
        </w:rPr>
        <w:t xml:space="preserve">4.预算金额：</w:t>
      </w:r>
      <w:r>
        <w:rPr>
          <w:rFonts w:hint="eastAsia" w:ascii="宋体" w:hAnsi="宋体" w:eastAsia="宋体"/>
          <w:sz w:val="24"/>
          <w:shd w:val="clear" w:color="auto" w:fill="ffffff" w:themeFill="background1"/>
          <w:lang w:eastAsia="zh-CN"/>
        </w:rPr>
        <w:t xml:space="preserve">110万元</w:t>
      </w:r>
      <w:r/>
    </w:p>
    <w:p>
      <w:pPr>
        <w:ind w:firstLine="480"/>
        <w:jc w:val="left"/>
        <w:spacing w:line="500" w:lineRule="exact"/>
        <w:widowControl w:val="off"/>
        <w:rPr>
          <w:rFonts w:hint="eastAsia" w:ascii="宋体" w:hAnsi="宋体" w:eastAsia="宋体"/>
          <w:sz w:val="24"/>
          <w:shd w:val="clear" w:color="auto" w:fill="ffffff" w:themeFill="background1"/>
          <w:lang w:eastAsia="zh-CN"/>
        </w:rPr>
      </w:pPr>
      <w:r>
        <w:rPr>
          <w:rFonts w:hint="eastAsia" w:ascii="宋体" w:hAnsi="宋体" w:eastAsia="宋体"/>
          <w:sz w:val="24"/>
          <w:shd w:val="clear" w:color="auto" w:fill="ffffff" w:themeFill="background1"/>
        </w:rPr>
        <w:t xml:space="preserve">5.最高限价（如有）：</w:t>
      </w:r>
      <w:bookmarkEnd w:id="7"/>
      <w:r>
        <w:rPr>
          <w:rFonts w:hint="eastAsia" w:ascii="宋体" w:hAnsi="宋体" w:eastAsia="宋体"/>
          <w:sz w:val="24"/>
          <w:shd w:val="clear" w:color="auto" w:fill="ffffff" w:themeFill="background1"/>
          <w:lang w:eastAsia="zh-CN"/>
        </w:rPr>
        <w:t xml:space="preserve">110万元</w:t>
      </w:r>
      <w:r/>
    </w:p>
    <w:p>
      <w:pPr>
        <w:ind w:firstLine="480"/>
        <w:spacing w:line="50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6.采购需求</w:t>
      </w:r>
      <w:bookmarkStart w:id="8" w:name="_Toc35393791"/>
      <w:r/>
      <w:bookmarkStart w:id="9" w:name="_Toc38985264"/>
      <w:r/>
      <w:bookmarkStart w:id="10" w:name="_Toc28359080"/>
      <w:r/>
      <w:bookmarkStart w:id="11" w:name="_Toc28359003"/>
      <w:r/>
      <w:bookmarkStart w:id="12" w:name="_Toc35393622"/>
      <w:r>
        <w:rPr>
          <w:rFonts w:hint="eastAsia" w:ascii="宋体" w:hAnsi="宋体" w:eastAsia="宋体"/>
          <w:sz w:val="24"/>
          <w:shd w:val="clear" w:color="auto" w:fill="ffffff" w:themeFill="background1"/>
        </w:rPr>
        <w:t xml:space="preserve">（简介）：</w:t>
      </w:r>
      <w:r>
        <w:rPr>
          <w:rFonts w:hint="eastAsia" w:ascii="宋体" w:hAnsi="宋体" w:eastAsia="宋体"/>
          <w:sz w:val="24"/>
          <w:shd w:val="clear" w:color="auto" w:fill="ffffff" w:themeFill="background1"/>
          <w:lang w:val="en-US" w:eastAsia="zh-CN"/>
        </w:rPr>
        <w:t xml:space="preserve">本项目拟完成460件馆藏等级文物的采集加工制作，其中，对375件重要文物二维高清存档级数据采集加工制作，85件研究价值较高的文物进行三维信息采集加工制作，为文物研究、宣传展示提供基础性数据。对文物进行修复、病害分析及保养，同时为陈列展览提供重要的辅助资料。同时为珍贵文物数字化成果提供存储升级服务，保障新四军纪念馆数据安全存储及使用。</w:t>
      </w:r>
      <w:r>
        <w:rPr>
          <w:rFonts w:hint="eastAsia" w:ascii="宋体" w:hAnsi="宋体" w:eastAsia="宋体"/>
          <w:sz w:val="24"/>
          <w:shd w:val="clear" w:color="auto" w:fill="ffffff" w:themeFill="background1"/>
        </w:rPr>
        <w:t xml:space="preserve">（详细内容见本招标文件第四章）</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7.</w:t>
      </w:r>
      <w:r>
        <w:rPr>
          <w:rFonts w:hint="eastAsia" w:eastAsia="宋体" w:asciiTheme="minorEastAsia" w:hAnsiTheme="minorEastAsia" w:cstheme="minorEastAsia"/>
          <w:sz w:val="24"/>
          <w:highlight w:val="none"/>
          <w:shd w:val="clear" w:color="auto" w:fill="ffffff" w:themeFill="background1"/>
          <w:lang w:val="en-US" w:eastAsia="zh-CN"/>
        </w:rPr>
        <w:t xml:space="preserve">建设工期</w:t>
      </w:r>
      <w:r>
        <w:rPr>
          <w:rFonts w:hint="eastAsia" w:asciiTheme="minorEastAsia" w:hAnsiTheme="minorEastAsia" w:cstheme="minorEastAsia"/>
          <w:sz w:val="24"/>
          <w:highlight w:val="none"/>
          <w:shd w:val="clear" w:color="auto" w:fill="ffffff" w:themeFill="background1"/>
        </w:rPr>
        <w:t xml:space="preserve">：</w:t>
      </w:r>
      <w:r>
        <w:rPr>
          <w:rFonts w:hint="eastAsia" w:asciiTheme="minorEastAsia" w:hAnsiTheme="minorEastAsia" w:cstheme="minorEastAsia"/>
          <w:sz w:val="24"/>
          <w:highlight w:val="none"/>
          <w:shd w:val="clear" w:color="auto" w:fill="ffffff" w:themeFill="background1"/>
          <w:lang w:val="en-US" w:eastAsia="zh-CN"/>
        </w:rPr>
        <w:t xml:space="preserve">21</w:t>
      </w:r>
      <w:r>
        <w:rPr>
          <w:rFonts w:hint="eastAsia" w:asciiTheme="minorEastAsia" w:hAnsiTheme="minorEastAsia" w:cstheme="minorEastAsia"/>
          <w:sz w:val="24"/>
          <w:highlight w:val="none"/>
          <w:shd w:val="clear" w:color="auto" w:fill="ffffff" w:themeFill="background1"/>
        </w:rPr>
        <w:t xml:space="preserve">0天。</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8.</w:t>
      </w:r>
      <w:r>
        <w:rPr>
          <w:rFonts w:hint="eastAsia" w:asciiTheme="minorEastAsia" w:hAnsiTheme="minorEastAsia" w:cstheme="minorEastAsia"/>
          <w:sz w:val="24"/>
          <w:shd w:val="clear" w:color="auto" w:fill="ffffff" w:themeFill="background1"/>
        </w:rPr>
        <w:t xml:space="preserve">本项目（是/否）接受联合体投标：否</w:t>
      </w:r>
      <w:r/>
    </w:p>
    <w:p>
      <w:pPr>
        <w:ind w:firstLine="723"/>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二、申请人的资格要求</w:t>
      </w:r>
      <w:bookmarkEnd w:id="8"/>
      <w:r/>
      <w:bookmarkEnd w:id="9"/>
      <w:r/>
      <w:bookmarkEnd w:id="10"/>
      <w:r/>
      <w:bookmarkEnd w:id="11"/>
      <w:r/>
      <w:bookmarkEnd w:id="12"/>
      <w:r/>
      <w:r/>
    </w:p>
    <w:p>
      <w:pPr>
        <w:pStyle w:val="721"/>
        <w:ind w:firstLine="480"/>
        <w:jc w:val="both"/>
        <w:spacing w:beforeAutospacing="0" w:afterAutospacing="0" w:line="500" w:lineRule="exact"/>
        <w:rPr>
          <w:rFonts w:hint="eastAsia" w:asciiTheme="minorEastAsia" w:hAnsiTheme="minorEastAsia" w:cstheme="minorEastAsia"/>
        </w:rPr>
      </w:pPr>
      <w:r>
        <w:rPr>
          <w:rFonts w:hint="eastAsia" w:asciiTheme="minorEastAsia" w:hAnsiTheme="minorEastAsia" w:cstheme="minorEastAsia"/>
          <w:color w:val="000000"/>
        </w:rPr>
        <w:t xml:space="preserve">（一）满足《中华人民共和国政府采购法》第二十二条规定，并提供下列材料：</w:t>
      </w:r>
      <w:r/>
    </w:p>
    <w:p>
      <w:pPr>
        <w:pStyle w:val="721"/>
        <w:ind w:firstLine="480"/>
        <w:jc w:val="both"/>
        <w:spacing w:beforeAutospacing="0" w:afterAutospacing="0" w:line="500" w:lineRule="exact"/>
        <w:rPr>
          <w:rFonts w:hint="eastAsia" w:asciiTheme="minorEastAsia" w:hAnsiTheme="minorEastAsia" w:cstheme="minorEastAsia"/>
        </w:rPr>
      </w:pPr>
      <w:r>
        <w:rPr>
          <w:rFonts w:hint="eastAsia" w:ascii="宋体" w:hAnsi="宋体" w:eastAsia="宋体" w:cstheme="minorBidi"/>
          <w:shd w:val="clear" w:color="auto" w:fill="ffffff" w:themeFill="background1"/>
        </w:rPr>
        <w:t xml:space="preserve">1.1</w:t>
      </w:r>
      <w:bookmarkStart w:id="13" w:name="OLE_LINK29"/>
      <w:r>
        <w:rPr>
          <w:rFonts w:hint="eastAsia" w:asciiTheme="minorEastAsia" w:hAnsiTheme="minorEastAsia" w:cstheme="minorEastAsia"/>
          <w:color w:val="000000"/>
        </w:rPr>
        <w:t xml:space="preserve">法人或者其他组织的营业执照等证明文件，自然人的身份证明。</w:t>
      </w:r>
      <w:bookmarkEnd w:id="13"/>
      <w:r/>
      <w:r/>
    </w:p>
    <w:p>
      <w:pPr>
        <w:pStyle w:val="72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theme="minorBidi"/>
          <w:shd w:val="clear" w:color="auto" w:fill="ffffff" w:themeFill="background1"/>
        </w:rPr>
        <w:t xml:space="preserve">1.2</w:t>
      </w:r>
      <w:bookmarkStart w:id="14" w:name="OLE_LINK8"/>
      <w:r/>
      <w:bookmarkStart w:id="15" w:name="OLE_LINK9"/>
      <w:r/>
      <w:bookmarkStart w:id="16" w:name="OLE_LINK31"/>
      <w:r>
        <w:rPr>
          <w:rFonts w:hint="eastAsia" w:ascii="宋体" w:hAnsi="宋体" w:eastAsia="宋体" w:cs="宋体"/>
          <w:color w:val="000000"/>
        </w:rPr>
        <w:t xml:space="preserve">上一年度的财务状况报</w:t>
      </w:r>
      <w:r>
        <w:rPr>
          <w:rFonts w:hint="eastAsia" w:ascii="宋体" w:hAnsi="宋体" w:eastAsia="宋体" w:cs="宋体"/>
          <w:color w:val="000000"/>
          <w:lang w:val="en-US" w:eastAsia="zh-CN"/>
        </w:rPr>
        <w:t xml:space="preserve">告</w:t>
      </w:r>
      <w:r>
        <w:rPr>
          <w:rFonts w:hint="eastAsia" w:ascii="宋体" w:hAnsi="宋体" w:eastAsia="宋体" w:cs="宋体"/>
          <w:color w:val="000000"/>
        </w:rPr>
        <w:t xml:space="preserve">（2025年财务状况表未出的，可使用2024年度报表，成立不满一年无需提供）。</w:t>
      </w:r>
      <w:bookmarkEnd w:id="14"/>
      <w:r/>
      <w:bookmarkEnd w:id="15"/>
      <w:r/>
      <w:bookmarkEnd w:id="16"/>
      <w:r/>
      <w:r/>
    </w:p>
    <w:p>
      <w:pPr>
        <w:pStyle w:val="721"/>
        <w:ind w:firstLine="480"/>
        <w:jc w:val="both"/>
        <w:spacing w:beforeAutospacing="0" w:afterAutospacing="0" w:line="500" w:lineRule="exact"/>
        <w:rPr>
          <w:rFonts w:hint="eastAsia" w:asciiTheme="minorEastAsia" w:hAnsiTheme="minorEastAsia" w:cstheme="minorEastAsia"/>
          <w:color w:val="000000"/>
        </w:rPr>
      </w:pPr>
      <w:r>
        <w:rPr>
          <w:rFonts w:hint="eastAsia" w:ascii="宋体" w:hAnsi="宋体" w:eastAsia="宋体" w:cstheme="minorBidi"/>
          <w:shd w:val="clear" w:color="auto" w:fill="ffffff" w:themeFill="background1"/>
        </w:rPr>
        <w:t xml:space="preserve">1.3</w:t>
      </w:r>
      <w:bookmarkStart w:id="17" w:name="OLE_LINK32"/>
      <w:r>
        <w:rPr>
          <w:rFonts w:hint="eastAsia" w:asciiTheme="minorEastAsia" w:hAnsiTheme="minorEastAsia" w:cstheme="minorEastAsia"/>
          <w:color w:val="000000"/>
        </w:rPr>
        <w:t xml:space="preserve">具备履行合同所必需的设备和专业技术能力的书面声明。</w:t>
      </w:r>
      <w:bookmarkEnd w:id="17"/>
      <w:r/>
      <w:r/>
    </w:p>
    <w:p>
      <w:pPr>
        <w:pStyle w:val="721"/>
        <w:ind w:firstLine="480"/>
        <w:jc w:val="both"/>
        <w:spacing w:beforeAutospacing="0" w:afterAutospacing="0" w:line="500" w:lineRule="exact"/>
        <w:rPr>
          <w:rFonts w:hint="eastAsia" w:asciiTheme="minorEastAsia" w:hAnsiTheme="minorEastAsia" w:cstheme="minorEastAsia"/>
        </w:rPr>
      </w:pPr>
      <w:r>
        <w:rPr>
          <w:rFonts w:hint="eastAsia" w:ascii="宋体" w:hAnsi="宋体" w:eastAsia="宋体" w:cstheme="minorBidi"/>
          <w:shd w:val="clear" w:color="auto" w:fill="ffffff" w:themeFill="background1"/>
        </w:rPr>
        <w:t xml:space="preserve">1.4</w:t>
      </w:r>
      <w:bookmarkStart w:id="18" w:name="OLE_LINK33"/>
      <w:r/>
      <w:bookmarkStart w:id="19" w:name="OLE_LINK38"/>
      <w:r>
        <w:rPr>
          <w:rFonts w:hint="eastAsia" w:asciiTheme="minorEastAsia" w:hAnsiTheme="minorEastAsia" w:cstheme="minorEastAsia"/>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8"/>
      <w:r/>
      <w:bookmarkEnd w:id="19"/>
      <w:r/>
      <w:r/>
    </w:p>
    <w:p>
      <w:pPr>
        <w:pStyle w:val="721"/>
        <w:ind w:firstLine="480"/>
        <w:jc w:val="both"/>
        <w:spacing w:beforeAutospacing="0" w:afterAutospacing="0" w:line="500" w:lineRule="exact"/>
        <w:rPr>
          <w:rFonts w:hint="eastAsia" w:asciiTheme="minorEastAsia" w:hAnsiTheme="minorEastAsia" w:cstheme="minorEastAsia"/>
          <w:color w:val="000000"/>
        </w:rPr>
      </w:pPr>
      <w:r>
        <w:rPr>
          <w:rFonts w:hint="eastAsia" w:ascii="宋体" w:hAnsi="宋体" w:eastAsia="宋体" w:cstheme="minorBidi"/>
          <w:shd w:val="clear" w:color="auto" w:fill="ffffff" w:themeFill="background1"/>
        </w:rPr>
        <w:t xml:space="preserve">1.5</w:t>
      </w:r>
      <w:bookmarkStart w:id="20" w:name="OLE_LINK34"/>
      <w:r>
        <w:rPr>
          <w:rFonts w:hint="eastAsia" w:asciiTheme="minorEastAsia" w:hAnsiTheme="minorEastAsia" w:cstheme="minorEastAsia"/>
          <w:color w:val="000000"/>
        </w:rPr>
        <w:t xml:space="preserve">参加政府采购活动前3年内在经营活动中没有重大违法记录的书面声明。</w:t>
      </w:r>
      <w:bookmarkEnd w:id="20"/>
      <w:r/>
      <w:r/>
    </w:p>
    <w:p>
      <w:pPr>
        <w:pStyle w:val="721"/>
        <w:ind w:firstLine="480"/>
        <w:jc w:val="both"/>
        <w:spacing w:beforeAutospacing="0" w:afterAutospacing="0" w:line="500" w:lineRule="exact"/>
        <w:rPr>
          <w:rFonts w:hint="eastAsia" w:asciiTheme="minorEastAsia" w:hAnsiTheme="minorEastAsia" w:cstheme="minorEastAsia"/>
          <w:color w:val="000000"/>
        </w:rPr>
      </w:pPr>
      <w:r>
        <w:rPr>
          <w:rFonts w:hint="eastAsia" w:ascii="宋体" w:hAnsi="宋体" w:eastAsia="宋体" w:cstheme="minorBidi"/>
          <w:shd w:val="clear" w:color="auto" w:fill="ffffff" w:themeFill="background1"/>
        </w:rPr>
        <w:t xml:space="preserve">1.6</w:t>
      </w:r>
      <w:bookmarkStart w:id="21" w:name="OLE_LINK35"/>
      <w:r>
        <w:rPr>
          <w:rFonts w:hint="eastAsia" w:ascii="宋体" w:hAnsi="宋体" w:eastAsia="宋体" w:cstheme="minorBidi"/>
          <w:shd w:val="clear" w:color="auto" w:fill="ffffff" w:themeFill="background1"/>
        </w:rPr>
        <w:t xml:space="preserve">法</w:t>
      </w:r>
      <w:r>
        <w:rPr>
          <w:rFonts w:hint="eastAsia" w:asciiTheme="minorEastAsia" w:hAnsiTheme="minorEastAsia" w:cstheme="minorEastAsia"/>
          <w:color w:val="000000"/>
        </w:rPr>
        <w:t xml:space="preserve">律、行政法规规定的其他条件。</w:t>
      </w:r>
      <w:bookmarkEnd w:id="21"/>
      <w:r/>
      <w:r/>
    </w:p>
    <w:p>
      <w:pPr>
        <w:pStyle w:val="721"/>
        <w:ind w:firstLine="480"/>
        <w:jc w:val="both"/>
        <w:spacing w:beforeAutospacing="0" w:afterAutospacing="0" w:line="500" w:lineRule="exact"/>
        <w:rPr>
          <w:rFonts w:hint="eastAsia" w:asciiTheme="minorEastAsia" w:hAnsiTheme="minorEastAsia" w:cstheme="minorEastAsia"/>
          <w:color w:val="000000"/>
        </w:rPr>
      </w:pPr>
      <w:r/>
      <w:bookmarkStart w:id="22" w:name="OLE_LINK17"/>
      <w:r>
        <w:rPr>
          <w:rFonts w:hint="eastAsia" w:ascii="宋体" w:hAnsi="宋体" w:eastAsia="宋体" w:cstheme="minorBidi"/>
          <w:shd w:val="clear" w:color="auto" w:fill="ffffff" w:themeFill="background1"/>
        </w:rPr>
        <w:t xml:space="preserve">1.7</w:t>
      </w:r>
      <w:bookmarkStart w:id="23" w:name="OLE_LINK36"/>
      <w:r>
        <w:rPr>
          <w:rFonts w:hint="eastAsia" w:asciiTheme="minorEastAsia" w:hAnsiTheme="minorEastAsia" w:cstheme="minorEastAsia"/>
          <w:shd w:val="clear" w:color="auto" w:fill="ffffff" w:themeFill="background1"/>
        </w:rPr>
        <w:t xml:space="preserve">在“信用中国”网站查询，无被列入失信被执行人、重大税收违法案件当事人名单、政府采购严重失信行为记录名单及其他不符合《中华人民共和国政府采购法》第二十二条规定条件的信用记录。</w:t>
      </w:r>
      <w:bookmarkEnd w:id="22"/>
      <w:r/>
      <w:bookmarkEnd w:id="23"/>
      <w:r>
        <w:rPr>
          <w:rFonts w:hint="eastAsia" w:asciiTheme="minorEastAsia" w:hAnsiTheme="minorEastAsia" w:cstheme="minorEastAsia"/>
          <w:shd w:val="clear" w:color="auto" w:fill="ffffff" w:themeFill="background1"/>
        </w:rPr>
        <w:t xml:space="preserve">（响应文件中无需提供证明材料）</w:t>
      </w:r>
      <w:r/>
    </w:p>
    <w:p>
      <w:pPr>
        <w:pStyle w:val="721"/>
        <w:ind w:firstLine="480"/>
        <w:jc w:val="both"/>
        <w:spacing w:beforeAutospacing="0" w:afterAutospacing="0" w:line="500" w:lineRule="exact"/>
        <w:rPr>
          <w:rFonts w:hint="eastAsia" w:asciiTheme="minorEastAsia" w:hAnsiTheme="minorEastAsia" w:cstheme="minorEastAsia"/>
          <w:color w:val="000000"/>
        </w:rPr>
      </w:pPr>
      <w:r>
        <w:rPr>
          <w:rFonts w:hint="eastAsia" w:ascii="宋体" w:hAnsi="宋体" w:eastAsia="宋体" w:cstheme="minorBidi"/>
          <w:shd w:val="clear" w:color="auto" w:fill="ffffff" w:themeFill="background1"/>
        </w:rPr>
        <w:t xml:space="preserve">1.8</w:t>
      </w:r>
      <w:bookmarkStart w:id="24" w:name="OLE_LINK37"/>
      <w:r>
        <w:rPr>
          <w:rFonts w:hint="eastAsia" w:ascii="宋体" w:hAnsi="宋体" w:eastAsia="宋体" w:cstheme="minorBidi"/>
          <w:shd w:val="clear" w:color="auto" w:fill="ffffff" w:themeFill="background1"/>
        </w:rPr>
        <w:t xml:space="preserve">单</w:t>
      </w:r>
      <w:r>
        <w:rPr>
          <w:rFonts w:hint="eastAsia" w:asciiTheme="minorEastAsia" w:hAnsiTheme="minorEastAsia" w:cstheme="minorEastAsia"/>
          <w:color w:val="000000"/>
        </w:rPr>
        <w:t xml:space="preserve">位负责人为同一人或者存在直接控股、管理关系的不同供应商，不得参加同一合同项下的政府采购活动</w:t>
      </w:r>
      <w:bookmarkEnd w:id="24"/>
      <w:r>
        <w:rPr>
          <w:rFonts w:hint="eastAsia" w:asciiTheme="minorEastAsia" w:hAnsiTheme="minorEastAsia" w:cstheme="minorEastAsia"/>
          <w:color w:val="000000"/>
        </w:rPr>
        <w:t xml:space="preserve">。</w:t>
      </w:r>
      <w:r/>
    </w:p>
    <w:p>
      <w:pPr>
        <w:pStyle w:val="721"/>
        <w:ind w:firstLine="480"/>
        <w:jc w:val="both"/>
        <w:spacing w:beforeAutospacing="0" w:afterAutospacing="0" w:line="500" w:lineRule="exact"/>
        <w:rPr>
          <w:rFonts w:hint="eastAsia" w:asciiTheme="minorEastAsia" w:hAnsiTheme="minorEastAsia" w:cstheme="minorEastAsia"/>
          <w:color w:val="000000"/>
        </w:rPr>
      </w:pPr>
      <w:r>
        <w:rPr>
          <w:rFonts w:hint="eastAsia" w:asciiTheme="minorEastAsia" w:hAnsiTheme="minorEastAsia" w:cstheme="minorEastAsia"/>
          <w:color w:val="000000"/>
        </w:rPr>
        <w:t xml:space="preserve">（二）落实政府采购政策需满足的资格要求：</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color w:val="000000"/>
          <w:sz w:val="24"/>
        </w:rPr>
        <w:t xml:space="preserve">本项目专门面向中小企业采购。采购标的的所属行业为</w:t>
      </w:r>
      <w:r>
        <w:rPr>
          <w:rFonts w:hint="eastAsia" w:asciiTheme="minorEastAsia" w:hAnsiTheme="minorEastAsia" w:cstheme="minorEastAsia"/>
          <w:color w:val="000000"/>
          <w:sz w:val="24"/>
          <w:lang w:val="en-US" w:eastAsia="zh-CN"/>
        </w:rPr>
        <w:t xml:space="preserve">其他未列明行业</w:t>
      </w:r>
      <w:r>
        <w:rPr>
          <w:rFonts w:hint="eastAsia" w:asciiTheme="minorEastAsia" w:hAnsiTheme="minorEastAsia" w:cstheme="minorEastAsia"/>
          <w:color w:val="000000"/>
          <w:sz w:val="24"/>
        </w:rPr>
        <w:t xml:space="preserve">，投标人需按照采购文件的要求提供相应的《中小企业声明函》。企业标准请参照《关于印发中小企业划型标准规定的通知》（工信部联企业[2011]300号）文件规定自行填写。</w:t>
      </w:r>
      <w:r/>
    </w:p>
    <w:p>
      <w:pPr>
        <w:pStyle w:val="721"/>
        <w:ind w:firstLine="480"/>
        <w:jc w:val="both"/>
        <w:spacing w:beforeAutospacing="0" w:afterAutospacing="0" w:line="500" w:lineRule="exact"/>
        <w:rPr>
          <w:rFonts w:hint="eastAsia" w:asciiTheme="minorEastAsia" w:hAnsiTheme="minorEastAsia" w:cstheme="minorEastAsia"/>
          <w:color w:val="000000"/>
        </w:rPr>
      </w:pPr>
      <w:r>
        <w:rPr>
          <w:rFonts w:hint="eastAsia" w:asciiTheme="minorEastAsia" w:hAnsiTheme="minorEastAsia" w:cstheme="minorEastAsia"/>
          <w:color w:val="000000"/>
        </w:rPr>
        <w:t xml:space="preserve">（三）</w:t>
      </w:r>
      <w:r>
        <w:rPr>
          <w:rFonts w:hint="eastAsia" w:asciiTheme="minorEastAsia" w:hAnsiTheme="minorEastAsia" w:cstheme="minorEastAsia"/>
          <w:bCs/>
          <w:color w:val="000000"/>
        </w:rPr>
        <w:t xml:space="preserve">本项目的特定资格要求：</w:t>
      </w:r>
      <w:r>
        <w:rPr>
          <w:rFonts w:hint="eastAsia" w:asciiTheme="minorEastAsia" w:hAnsiTheme="minorEastAsia" w:cstheme="minorEastAsia"/>
          <w:color w:val="000000"/>
        </w:rPr>
        <w:t xml:space="preserve">无</w:t>
      </w:r>
      <w:r/>
    </w:p>
    <w:p>
      <w:pPr>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三、获取招标文件</w:t>
      </w:r>
      <w:r/>
    </w:p>
    <w:p>
      <w:pPr>
        <w:ind w:firstLine="480"/>
        <w:jc w:val="left"/>
        <w:spacing w:line="50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1.时间：自招标文件公告发布之日起5个工作日 。</w:t>
      </w:r>
      <w:r/>
    </w:p>
    <w:p>
      <w:pPr>
        <w:ind w:firstLine="480"/>
        <w:jc w:val="left"/>
        <w:spacing w:line="50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2.地点：“苏采云”系统内免费下载（投标人必须在苏采云系统中获取采购文件，方能参与政府采购项目）；</w:t>
      </w:r>
      <w:r/>
    </w:p>
    <w:p>
      <w:pPr>
        <w:ind w:firstLine="480"/>
        <w:jc w:val="left"/>
        <w:spacing w:line="50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jc w:val="left"/>
        <w:spacing w:line="500" w:lineRule="exact"/>
        <w:rPr>
          <w:rFonts w:hint="eastAsia" w:asciiTheme="minorEastAsia" w:hAnsiTheme="minorEastAsia" w:cstheme="minorEastAsia"/>
          <w:sz w:val="24"/>
        </w:rPr>
      </w:pPr>
      <w:r>
        <w:rPr>
          <w:rFonts w:hint="eastAsia" w:ascii="宋体" w:hAnsi="宋体" w:eastAsia="宋体"/>
          <w:sz w:val="24"/>
          <w:shd w:val="clear" w:color="auto" w:fill="ffffff" w:themeFill="background1"/>
        </w:rPr>
        <w:t xml:space="preserve">4.售价：0元</w:t>
      </w:r>
      <w:r/>
    </w:p>
    <w:p>
      <w:pPr>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四、提交投标文件截止时间、开标时间和地点</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Theme="minorEastAsia" w:hAnsiTheme="minorEastAsia" w:cstheme="minorEastAsia"/>
          <w:sz w:val="24"/>
          <w:shd w:val="clear" w:color="auto" w:fill="ffffff" w:themeFill="background1"/>
        </w:rPr>
        <w:t xml:space="preserve">时间：2026年</w:t>
      </w:r>
      <w:r>
        <w:rPr>
          <w:rFonts w:hint="eastAsia" w:asciiTheme="minorEastAsia" w:hAnsiTheme="minorEastAsia" w:cstheme="minorEastAsia"/>
          <w:sz w:val="24"/>
          <w:shd w:val="clear" w:color="auto" w:fill="ffffff" w:themeFill="background1"/>
          <w:lang w:val="en-US" w:eastAsia="zh-CN"/>
        </w:rPr>
        <w:t xml:space="preserve">07</w:t>
      </w:r>
      <w:r>
        <w:rPr>
          <w:rFonts w:hint="eastAsia" w:asciiTheme="minorEastAsia" w:hAnsiTheme="minorEastAsia" w:cstheme="minorEastAsia"/>
          <w:sz w:val="24"/>
          <w:shd w:val="clear" w:color="auto" w:fill="ffffff" w:themeFill="background1"/>
        </w:rPr>
        <w:t xml:space="preserve">月17</w:t>
      </w:r>
      <w:r>
        <w:rPr>
          <w:rFonts w:hint="eastAsia" w:asciiTheme="minorEastAsia" w:hAnsiTheme="minorEastAsia" w:cstheme="minorEastAsia"/>
          <w:sz w:val="24"/>
          <w:shd w:val="clear" w:color="auto" w:fill="ffffff" w:themeFill="background1"/>
        </w:rPr>
        <w:t xml:space="preserve">日9:00（北京时间）</w:t>
      </w:r>
      <w:r/>
    </w:p>
    <w:p>
      <w:pPr>
        <w:pStyle w:val="721"/>
        <w:ind w:firstLine="480"/>
        <w:jc w:val="both"/>
        <w:spacing w:beforeAutospacing="0" w:afterAutospacing="0" w:line="500" w:lineRule="exact"/>
        <w:rPr>
          <w:rFonts w:hint="eastAsia" w:asciiTheme="minorEastAsia" w:hAnsiTheme="minorEastAsia" w:cstheme="minorEastAsia"/>
        </w:rPr>
      </w:pPr>
      <w:r>
        <w:rPr>
          <w:rFonts w:hint="eastAsia" w:ascii="宋体" w:hAnsi="宋体" w:eastAsia="宋体" w:cstheme="minorBidi"/>
          <w:shd w:val="clear" w:color="auto" w:fill="ffffff" w:themeFill="background1"/>
        </w:rPr>
        <w:t xml:space="preserve">2.</w:t>
      </w:r>
      <w:r>
        <w:rPr>
          <w:rFonts w:hint="eastAsia" w:asciiTheme="minorEastAsia" w:hAnsiTheme="minorEastAsia" w:cstheme="minorEastAsia"/>
          <w:color w:val="000000"/>
        </w:rPr>
        <w:t xml:space="preserve">地点：苏采云“不见面”开标大厅 。</w:t>
      </w:r>
      <w:r/>
    </w:p>
    <w:p>
      <w:pPr>
        <w:spacing w:line="500" w:lineRule="exact"/>
        <w:widowControl w:val="off"/>
        <w:rPr>
          <w:rFonts w:hint="eastAsia" w:asciiTheme="minorEastAsia" w:hAnsiTheme="minorEastAsia" w:cstheme="minorEastAsia"/>
          <w:b/>
          <w:bCs/>
          <w:sz w:val="24"/>
        </w:rPr>
      </w:pPr>
      <w:r/>
      <w:bookmarkStart w:id="25" w:name="_Toc35393625"/>
      <w:r/>
      <w:bookmarkStart w:id="26" w:name="_Toc28359084"/>
      <w:r/>
      <w:bookmarkStart w:id="27" w:name="_Toc35393794"/>
      <w:r/>
      <w:bookmarkStart w:id="28" w:name="_Toc38985267"/>
      <w:r/>
      <w:bookmarkStart w:id="29" w:name="_Toc28359007"/>
      <w:r>
        <w:rPr>
          <w:rFonts w:hint="eastAsia" w:asciiTheme="minorEastAsia" w:hAnsiTheme="minorEastAsia" w:cstheme="minorEastAsia"/>
          <w:b/>
          <w:bCs/>
          <w:sz w:val="24"/>
        </w:rPr>
        <w:t xml:space="preserve">五、公告期限</w:t>
      </w:r>
      <w:bookmarkEnd w:id="25"/>
      <w:r/>
      <w:bookmarkEnd w:id="26"/>
      <w:r/>
      <w:bookmarkEnd w:id="27"/>
      <w:r/>
      <w:bookmarkEnd w:id="28"/>
      <w:r/>
      <w:bookmarkEnd w:id="29"/>
      <w:r/>
      <w:r/>
    </w:p>
    <w:p>
      <w:pPr>
        <w:ind w:firstLine="480"/>
        <w:spacing w:line="500" w:lineRule="exact"/>
        <w:rPr>
          <w:rFonts w:hint="eastAsia" w:asciiTheme="minorEastAsia" w:hAnsiTheme="minorEastAsia" w:cstheme="minorEastAsia"/>
          <w:sz w:val="24"/>
          <w:shd w:val="clear" w:color="auto" w:fill="ffffff" w:themeFill="background1"/>
        </w:rPr>
      </w:pPr>
      <w:r/>
      <w:bookmarkStart w:id="30" w:name="_Toc38985268"/>
      <w:r/>
      <w:bookmarkStart w:id="31" w:name="_Toc35393795"/>
      <w:r/>
      <w:bookmarkStart w:id="32" w:name="_Toc35393626"/>
      <w:r>
        <w:rPr>
          <w:rFonts w:hint="eastAsia" w:asciiTheme="minorEastAsia" w:hAnsiTheme="minorEastAsia" w:cstheme="minorEastAsia"/>
          <w:sz w:val="24"/>
          <w:shd w:val="clear" w:color="auto" w:fill="ffffff" w:themeFill="background1"/>
        </w:rPr>
        <w:t xml:space="preserve">自本公告发布之日起5个工作日。</w:t>
      </w:r>
      <w:bookmarkEnd w:id="30"/>
      <w:r/>
      <w:bookmarkEnd w:id="31"/>
      <w:r/>
      <w:bookmarkEnd w:id="32"/>
      <w:r/>
      <w:r/>
    </w:p>
    <w:p>
      <w:pPr>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六、其他补充事宜</w:t>
      </w:r>
      <w:r/>
    </w:p>
    <w:p>
      <w:pPr>
        <w:spacing w:line="500" w:lineRule="exact"/>
        <w:widowControl w:val="off"/>
        <w:rPr>
          <w:rFonts w:hint="eastAsia" w:asciiTheme="minorEastAsia" w:hAnsiTheme="minorEastAsia" w:cstheme="minorEastAsia"/>
          <w:sz w:val="24"/>
        </w:rPr>
      </w:pPr>
      <w:r/>
      <w:bookmarkStart w:id="33" w:name="_Toc28359018"/>
      <w:r>
        <w:rPr>
          <w:rFonts w:hint="eastAsia" w:asciiTheme="minorEastAsia" w:hAnsiTheme="minorEastAsia" w:cstheme="minorEastAsia"/>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领取CA和办理电子签章</w:t>
      </w:r>
      <w:r>
        <w:rPr>
          <w:rFonts w:hint="eastAsia" w:asciiTheme="minorEastAsia" w:hAnsiTheme="minorEastAsia" w:cstheme="minorEastAsia"/>
          <w:color w:val="auto"/>
          <w:sz w:val="24"/>
        </w:rPr>
        <w:t xml:space="preserve">（请至盐城市盐都区府西路1号盐城市政务服务中心4楼盐城市公共资源交易中心10号、11号窗口办理，联系</w:t>
      </w:r>
      <w:r>
        <w:rPr>
          <w:rFonts w:hint="eastAsia" w:asciiTheme="minorEastAsia" w:hAnsiTheme="minorEastAsia" w:cstheme="minorEastAsia"/>
          <w:sz w:val="24"/>
        </w:rPr>
        <w:t xml:space="preserve">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 潜在供应商访问电子招标响应交易平台的网络地址和方法：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2.2 潜在投标人访问“苏采云”系统方法：江苏省政府采购网首页-“苏采云”链接。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2.3 采购文件（后缀名为“.kedt”）、供应商操作手册及政府采购客户端 工具可通过“苏采云”系统相应链接进行下载。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2.4 采购代理机构将数据电文形式的采购文件加载至“苏采云”系统，供潜在供应商下载或者查阅。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2.5 请潜在投标单位提前安装相应的控件（详见《“苏采云”系统供应商操作手册》）并使用谷歌浏览器登录“苏采云”系统参与不见面开评标。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如潜在投标人未按上述要求操作，将自行承担所产生的风险。</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3.有关本次招标的事项若存在变动或修改，敬请及时关注采购代理机构在“中国政府采购网”“江苏政府采购网”“盐城市政府采购网”发布的更正公告。</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4.本次招标不收取投标保证金，不收取质量保证金。</w:t>
      </w:r>
      <w:r/>
    </w:p>
    <w:p>
      <w:pPr>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七、对本次招标提出询问，请按以下方式联系</w:t>
      </w:r>
      <w:bookmarkEnd w:id="33"/>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Theme="minorEastAsia" w:hAnsiTheme="minorEastAsia" w:cstheme="minorEastAsia"/>
          <w:sz w:val="24"/>
          <w:shd w:val="clear" w:color="auto" w:fill="ffffff" w:themeFill="background1"/>
        </w:rPr>
        <w:t xml:space="preserve">采购人信息</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名 称：新四军纪念馆</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地址：盐城市建军东路159号</w:t>
      </w:r>
      <w:r/>
    </w:p>
    <w:p>
      <w:pPr>
        <w:ind w:firstLine="480"/>
        <w:spacing w:line="500" w:lineRule="exact"/>
        <w:rPr>
          <w:rFonts w:hint="eastAsia" w:asciiTheme="minorEastAsia" w:hAnsiTheme="minorEastAsia" w:eastAsiaTheme="minorEastAsia" w:cstheme="minorEastAsia"/>
          <w:sz w:val="24"/>
          <w:shd w:val="clear" w:color="auto" w:fill="ffffff" w:themeFill="background1"/>
          <w:lang w:val="en-US" w:eastAsia="zh-CN"/>
        </w:rPr>
      </w:pPr>
      <w:r>
        <w:rPr>
          <w:rFonts w:hint="eastAsia" w:asciiTheme="minorEastAsia" w:hAnsiTheme="minorEastAsia" w:cstheme="minorEastAsia"/>
          <w:sz w:val="24"/>
          <w:shd w:val="clear" w:color="auto" w:fill="ffffff" w:themeFill="background1"/>
        </w:rPr>
        <w:t xml:space="preserve">联系人：</w:t>
      </w:r>
      <w:r>
        <w:rPr>
          <w:rFonts w:hint="eastAsia" w:asciiTheme="minorEastAsia" w:hAnsiTheme="minorEastAsia" w:cstheme="minorEastAsia"/>
          <w:sz w:val="24"/>
          <w:shd w:val="clear" w:color="auto" w:fill="ffffff" w:themeFill="background1"/>
          <w:lang w:val="en-US" w:eastAsia="zh-CN"/>
        </w:rPr>
        <w:t xml:space="preserve">潘先生</w:t>
      </w:r>
      <w:r/>
    </w:p>
    <w:p>
      <w:pPr>
        <w:ind w:firstLine="480"/>
        <w:spacing w:line="500" w:lineRule="exact"/>
        <w:rPr>
          <w:rFonts w:hint="default" w:asciiTheme="minorEastAsia" w:hAnsiTheme="minorEastAsia" w:eastAsiaTheme="minorEastAsia" w:cstheme="minorEastAsia"/>
          <w:sz w:val="24"/>
          <w:shd w:val="clear" w:color="auto" w:fill="ffffff" w:themeFill="background1"/>
          <w:lang w:val="en-US" w:eastAsia="zh-CN"/>
        </w:rPr>
      </w:pPr>
      <w:r>
        <w:rPr>
          <w:rFonts w:hint="eastAsia" w:asciiTheme="minorEastAsia" w:hAnsiTheme="minorEastAsia" w:cstheme="minorEastAsia"/>
          <w:sz w:val="24"/>
          <w:shd w:val="clear" w:color="auto" w:fill="ffffff" w:themeFill="background1"/>
        </w:rPr>
        <w:t xml:space="preserve">联系方式：</w:t>
      </w:r>
      <w:r>
        <w:rPr>
          <w:rFonts w:hint="eastAsia" w:asciiTheme="minorEastAsia" w:hAnsiTheme="minorEastAsia" w:cstheme="minorEastAsia"/>
          <w:sz w:val="24"/>
          <w:shd w:val="clear" w:color="auto" w:fill="ffffff" w:themeFill="background1"/>
          <w:lang w:val="en-US" w:eastAsia="zh-CN"/>
        </w:rPr>
        <w:t xml:space="preserve">18762391566</w:t>
      </w:r>
      <w:r/>
    </w:p>
    <w:p>
      <w:pPr>
        <w:ind w:firstLine="480"/>
        <w:spacing w:line="500" w:lineRule="exact"/>
        <w:rPr>
          <w:rFonts w:hint="eastAsia" w:asciiTheme="minorEastAsia" w:hAnsiTheme="minorEastAsia" w:cstheme="minorEastAsia"/>
          <w:sz w:val="24"/>
          <w:shd w:val="clear" w:color="auto" w:fill="ffffff" w:themeFill="background1"/>
        </w:rPr>
      </w:pPr>
      <w:r/>
      <w:bookmarkStart w:id="34" w:name="_Toc28359087"/>
      <w:r/>
      <w:bookmarkStart w:id="35" w:name="_Toc28359010"/>
      <w:r>
        <w:rPr>
          <w:rFonts w:hint="eastAsia" w:ascii="宋体" w:hAnsi="宋体" w:eastAsia="宋体"/>
          <w:sz w:val="24"/>
          <w:shd w:val="clear" w:color="auto" w:fill="ffffff" w:themeFill="background1"/>
        </w:rPr>
        <w:t xml:space="preserve">2.</w:t>
      </w:r>
      <w:r>
        <w:rPr>
          <w:rFonts w:hint="eastAsia" w:asciiTheme="minorEastAsia" w:hAnsiTheme="minorEastAsia" w:cstheme="minorEastAsia"/>
          <w:sz w:val="24"/>
          <w:shd w:val="clear" w:color="auto" w:fill="ffffff" w:themeFill="background1"/>
        </w:rPr>
        <w:t xml:space="preserve">采购代理机构信息</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名 称：</w:t>
      </w:r>
      <w:r>
        <w:rPr>
          <w:rFonts w:hint="eastAsia" w:asciiTheme="minorEastAsia" w:hAnsiTheme="minorEastAsia" w:cstheme="minorEastAsia"/>
          <w:sz w:val="24"/>
          <w:shd w:val="clear" w:color="auto" w:fill="ffffff" w:themeFill="background1"/>
          <w:lang w:eastAsia="zh-CN"/>
        </w:rPr>
        <w:t xml:space="preserve">江苏盐渎工程咨询有限公司 </w:t>
      </w:r>
      <w:r>
        <w:rPr>
          <w:rFonts w:hint="eastAsia" w:asciiTheme="minorEastAsia" w:hAnsiTheme="minorEastAsia" w:cstheme="minorEastAsia"/>
          <w:sz w:val="24"/>
          <w:shd w:val="clear" w:color="auto" w:fill="ffffff" w:themeFill="background1"/>
        </w:rPr>
        <w:t xml:space="preserve">　</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地　址：</w:t>
      </w:r>
      <w:bookmarkStart w:id="36" w:name="OLE_LINK23"/>
      <w:r/>
      <w:bookmarkStart w:id="37" w:name="OLE_LINK25"/>
      <w:r>
        <w:rPr>
          <w:rFonts w:hint="eastAsia" w:asciiTheme="minorEastAsia" w:hAnsiTheme="minorEastAsia" w:cstheme="minorEastAsia"/>
          <w:sz w:val="24"/>
          <w:shd w:val="clear" w:color="auto" w:fill="ffffff" w:themeFill="background1"/>
          <w:lang w:eastAsia="zh-CN"/>
        </w:rPr>
        <w:t xml:space="preserve">盐城市盐南高新区钱江财富广场东区B座21楼</w:t>
      </w:r>
      <w:r>
        <w:rPr>
          <w:rFonts w:hint="eastAsia" w:asciiTheme="minorEastAsia" w:hAnsiTheme="minorEastAsia" w:cstheme="minorEastAsia"/>
          <w:sz w:val="24"/>
          <w:shd w:val="clear" w:color="auto" w:fill="ffffff" w:themeFill="background1"/>
        </w:rPr>
        <w:t xml:space="preserve">　</w:t>
      </w:r>
      <w:bookmarkEnd w:id="36"/>
      <w:r/>
      <w:bookmarkEnd w:id="37"/>
      <w:r/>
      <w:r/>
    </w:p>
    <w:p>
      <w:pPr>
        <w:ind w:firstLine="480"/>
        <w:spacing w:line="500" w:lineRule="exact"/>
        <w:rPr>
          <w:rFonts w:hint="default" w:asciiTheme="minorEastAsia" w:hAnsiTheme="minorEastAsia" w:eastAsiaTheme="minorEastAsia" w:cstheme="minorEastAsia"/>
          <w:sz w:val="24"/>
          <w:shd w:val="clear" w:color="auto" w:fill="ffffff" w:themeFill="background1"/>
          <w:lang w:val="en-US" w:eastAsia="zh-CN"/>
        </w:rPr>
      </w:pPr>
      <w:r>
        <w:rPr>
          <w:rFonts w:hint="eastAsia" w:asciiTheme="minorEastAsia" w:hAnsiTheme="minorEastAsia" w:cstheme="minorEastAsia"/>
          <w:sz w:val="24"/>
          <w:shd w:val="clear" w:color="auto" w:fill="ffffff" w:themeFill="background1"/>
        </w:rPr>
        <w:t xml:space="preserve">联系人：</w:t>
      </w:r>
      <w:r>
        <w:rPr>
          <w:rFonts w:hint="eastAsia" w:asciiTheme="minorEastAsia" w:hAnsiTheme="minorEastAsia" w:cstheme="minorEastAsia"/>
          <w:sz w:val="24"/>
          <w:shd w:val="clear" w:color="auto" w:fill="ffffff" w:themeFill="background1"/>
          <w:lang w:val="en-US" w:eastAsia="zh-CN"/>
        </w:rPr>
        <w:t xml:space="preserve">杨先生</w:t>
      </w:r>
      <w:bookmarkStart w:id="216" w:name="_GoBack"/>
      <w:r/>
      <w:bookmarkEnd w:id="216"/>
      <w:r/>
      <w:r/>
    </w:p>
    <w:p>
      <w:pPr>
        <w:ind w:firstLine="480"/>
        <w:spacing w:line="500" w:lineRule="exact"/>
        <w:rPr>
          <w:rFonts w:hint="default" w:asciiTheme="minorEastAsia" w:hAnsiTheme="minorEastAsia" w:eastAsiaTheme="minorEastAsia" w:cstheme="minorEastAsia"/>
          <w:sz w:val="24"/>
          <w:shd w:val="clear" w:color="auto" w:fill="ffffff" w:themeFill="background1"/>
          <w:lang w:val="en-US" w:eastAsia="zh-CN"/>
        </w:rPr>
      </w:pPr>
      <w:r>
        <w:rPr>
          <w:rFonts w:hint="eastAsia" w:asciiTheme="minorEastAsia" w:hAnsiTheme="minorEastAsia" w:cstheme="minorEastAsia"/>
          <w:sz w:val="24"/>
          <w:shd w:val="clear" w:color="auto" w:fill="ffffff" w:themeFill="background1"/>
        </w:rPr>
        <w:t xml:space="preserve">联系方式：</w:t>
      </w:r>
      <w:r>
        <w:rPr>
          <w:rFonts w:hint="eastAsia" w:asciiTheme="minorEastAsia" w:hAnsiTheme="minorEastAsia" w:cstheme="minorEastAsia"/>
          <w:sz w:val="24"/>
          <w:shd w:val="clear" w:color="auto" w:fill="ffffff" w:themeFill="background1"/>
          <w:lang w:val="en-US" w:eastAsia="zh-CN"/>
        </w:rPr>
        <w:t xml:space="preserve">18662083000</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3.</w:t>
      </w:r>
      <w:r>
        <w:rPr>
          <w:rFonts w:hint="eastAsia" w:asciiTheme="minorEastAsia" w:hAnsiTheme="minorEastAsia" w:cstheme="minorEastAsia"/>
          <w:sz w:val="24"/>
          <w:shd w:val="clear" w:color="auto" w:fill="ffffff" w:themeFill="background1"/>
        </w:rPr>
        <w:t xml:space="preserve">项目联系方式</w:t>
      </w:r>
      <w:bookmarkEnd w:id="34"/>
      <w:r/>
      <w:bookmarkEnd w:id="35"/>
      <w:r/>
      <w:r/>
    </w:p>
    <w:p>
      <w:pPr>
        <w:ind w:firstLine="480"/>
        <w:spacing w:line="500" w:lineRule="exact"/>
        <w:rPr>
          <w:rFonts w:hint="eastAsia" w:asciiTheme="minorEastAsia" w:hAnsiTheme="minorEastAsia" w:eastAsiaTheme="minorEastAsia" w:cstheme="minorEastAsia"/>
          <w:sz w:val="24"/>
          <w:shd w:val="clear" w:color="auto" w:fill="ffffff" w:themeFill="background1"/>
          <w:lang w:eastAsia="zh-CN"/>
        </w:rPr>
      </w:pPr>
      <w:r>
        <w:rPr>
          <w:rFonts w:hint="eastAsia" w:asciiTheme="minorEastAsia" w:hAnsiTheme="minorEastAsia" w:cstheme="minorEastAsia"/>
          <w:sz w:val="24"/>
          <w:shd w:val="clear" w:color="auto" w:fill="ffffff" w:themeFill="background1"/>
        </w:rPr>
        <w:t xml:space="preserve">联系人：</w:t>
      </w:r>
      <w:r>
        <w:rPr>
          <w:rFonts w:hint="eastAsia" w:asciiTheme="minorEastAsia" w:hAnsiTheme="minorEastAsia" w:cstheme="minorEastAsia"/>
          <w:sz w:val="24"/>
          <w:shd w:val="clear" w:color="auto" w:fill="ffffff" w:themeFill="background1"/>
          <w:lang w:val="en-US" w:eastAsia="zh-CN"/>
        </w:rPr>
        <w:t xml:space="preserve">潘先生</w:t>
      </w:r>
      <w:r/>
    </w:p>
    <w:p>
      <w:pPr>
        <w:ind w:firstLine="480"/>
        <w:jc w:val="left"/>
        <w:spacing w:line="500" w:lineRule="exact"/>
        <w:rPr>
          <w:rFonts w:hint="eastAsia" w:ascii="黑体" w:hAnsi="宋体" w:eastAsia="黑体" w:cs="黑体"/>
          <w:b/>
          <w:color w:val="000000"/>
          <w:sz w:val="44"/>
          <w:szCs w:val="44"/>
        </w:rPr>
      </w:pPr>
      <w:r>
        <w:rPr>
          <w:rFonts w:hint="eastAsia" w:asciiTheme="minorEastAsia" w:hAnsiTheme="minorEastAsia" w:cstheme="minorEastAsia"/>
          <w:sz w:val="24"/>
          <w:shd w:val="clear" w:color="auto" w:fill="ffffff" w:themeFill="background1"/>
        </w:rPr>
        <w:t xml:space="preserve">联系方式：</w:t>
      </w:r>
      <w:r>
        <w:rPr>
          <w:rFonts w:hint="eastAsia" w:asciiTheme="minorEastAsia" w:hAnsiTheme="minorEastAsia" w:cstheme="minorEastAsia"/>
          <w:sz w:val="24"/>
          <w:shd w:val="clear" w:color="auto" w:fill="ffffff" w:themeFill="background1"/>
          <w:lang w:val="en-US" w:eastAsia="zh-CN"/>
        </w:rPr>
        <w:t xml:space="preserve">18762391566</w:t>
      </w:r>
      <w:r>
        <w:rPr>
          <w:rFonts w:ascii="黑体" w:hAnsi="宋体" w:eastAsia="黑体" w:cs="黑体"/>
          <w:b/>
          <w:color w:val="000000"/>
          <w:sz w:val="44"/>
          <w:szCs w:val="44"/>
        </w:rPr>
        <w:br w:type="page" w:clear="all"/>
      </w:r>
      <w:r/>
    </w:p>
    <w:p>
      <w:pPr>
        <w:pStyle w:val="721"/>
        <w:ind w:firstLine="440"/>
        <w:jc w:val="center"/>
        <w:keepNext/>
        <w:spacing w:beforeAutospacing="0" w:afterAutospacing="0"/>
        <w:rPr>
          <w:rFonts w:ascii="方正小标宋_GBK" w:hAnsi="方正小标宋_GBK" w:eastAsia="方正小标宋_GBK" w:cs="方正小标宋_GBK"/>
          <w:color w:val="000000"/>
          <w:sz w:val="44"/>
          <w:szCs w:val="44"/>
        </w:rPr>
        <w:outlineLvl w:val="0"/>
      </w:pPr>
      <w:r/>
      <w:bookmarkStart w:id="38" w:name="_Toc16938590"/>
      <w:r/>
      <w:bookmarkStart w:id="39" w:name="_Toc479757211"/>
      <w:r/>
      <w:bookmarkStart w:id="40" w:name="_Toc462564139"/>
      <w:r/>
      <w:bookmarkStart w:id="41" w:name="_Toc120614244"/>
      <w:r/>
      <w:bookmarkStart w:id="42" w:name="_Hlt16619350"/>
      <w:r/>
      <w:bookmarkStart w:id="43" w:name="_Toc20823346"/>
      <w:r/>
      <w:bookmarkStart w:id="44" w:name="_Hlt16619369"/>
      <w:r/>
      <w:bookmarkStart w:id="45" w:name="_Toc513029226"/>
      <w:r/>
      <w:bookmarkStart w:id="46" w:name="_Hlt26668975"/>
      <w:r/>
      <w:bookmarkStart w:id="47" w:name="_Hlt26670486"/>
      <w:r/>
      <w:bookmarkStart w:id="48" w:name="_Hlt26954848"/>
      <w:r/>
      <w:bookmarkStart w:id="49" w:name="_Hlt26954846"/>
      <w:r/>
      <w:bookmarkStart w:id="50" w:name="_Hlt26670360"/>
      <w:r/>
      <w:bookmarkStart w:id="51" w:name="_Hlt16619475"/>
      <w:r/>
      <w:bookmarkStart w:id="52" w:name="_Hlt26954739"/>
      <w:r/>
      <w:bookmarkStart w:id="53" w:name="_Hlt26954852"/>
      <w:r/>
      <w:bookmarkStart w:id="54" w:name="_Hlt26954731"/>
      <w:r/>
      <w:bookmarkStart w:id="55" w:name="_Hlt26670482"/>
      <w:r/>
      <w:bookmarkStart w:id="56" w:name="_Hlt26954838"/>
      <w:r>
        <w:rPr>
          <w:rFonts w:hint="eastAsia" w:ascii="方正小标宋_GBK" w:hAnsi="方正小标宋_GBK" w:eastAsia="方正小标宋_GBK" w:cs="方正小标宋_GBK"/>
          <w:color w:val="000000"/>
          <w:sz w:val="44"/>
          <w:szCs w:val="44"/>
        </w:rPr>
        <w:t xml:space="preserve">第二章  </w:t>
      </w:r>
      <w:bookmarkStart w:id="57" w:name="_Toc513029202"/>
      <w:r/>
      <w:bookmarkStart w:id="58" w:name="_Toc20823274"/>
      <w:r/>
      <w:bookmarkStart w:id="59" w:name="_Toc16938518"/>
      <w:r/>
      <w:bookmarkStart w:id="60" w:name="_Toc120614213"/>
      <w:r>
        <w:rPr>
          <w:rFonts w:hint="eastAsia" w:ascii="方正小标宋_GBK" w:hAnsi="方正小标宋_GBK" w:eastAsia="方正小标宋_GBK" w:cs="方正小标宋_GBK"/>
          <w:color w:val="000000"/>
          <w:sz w:val="44"/>
          <w:szCs w:val="44"/>
        </w:rPr>
        <w:t xml:space="preserve">投标人须知</w:t>
      </w:r>
      <w:bookmarkEnd w:id="57"/>
      <w:r/>
      <w:bookmarkEnd w:id="58"/>
      <w:r/>
      <w:bookmarkEnd w:id="59"/>
      <w:r/>
      <w:bookmarkEnd w:id="60"/>
      <w:r/>
      <w:r/>
    </w:p>
    <w:p>
      <w:pPr>
        <w:spacing w:line="500" w:lineRule="exact"/>
        <w:widowControl w:val="off"/>
        <w:rPr>
          <w:rFonts w:hint="eastAsia" w:asciiTheme="minorEastAsia" w:hAnsiTheme="minorEastAsia" w:cstheme="minorEastAsia"/>
          <w:b/>
          <w:bCs/>
          <w:sz w:val="24"/>
        </w:rPr>
      </w:pPr>
      <w:r/>
      <w:bookmarkStart w:id="61" w:name="_Toc20823275"/>
      <w:r/>
      <w:bookmarkStart w:id="62" w:name="_Toc513029203"/>
      <w:r/>
      <w:bookmarkStart w:id="63" w:name="_Toc16938519"/>
      <w:r/>
      <w:bookmarkStart w:id="64" w:name="_Toc120614214"/>
      <w:r>
        <w:rPr>
          <w:rFonts w:hint="eastAsia" w:asciiTheme="minorEastAsia" w:hAnsiTheme="minorEastAsia" w:cstheme="minorEastAsia"/>
          <w:b/>
          <w:bCs/>
          <w:sz w:val="24"/>
        </w:rPr>
        <w:t xml:space="preserve">一、总则</w:t>
      </w:r>
      <w:bookmarkEnd w:id="61"/>
      <w:r/>
      <w:bookmarkEnd w:id="62"/>
      <w:r/>
      <w:bookmarkEnd w:id="63"/>
      <w:r/>
      <w:bookmarkEnd w:id="64"/>
      <w:r/>
      <w:r/>
    </w:p>
    <w:p>
      <w:pPr>
        <w:ind w:firstLine="480"/>
        <w:spacing w:line="500" w:lineRule="exact"/>
        <w:widowControl w:val="off"/>
        <w:rPr>
          <w:rFonts w:hint="eastAsia" w:ascii="宋体" w:hAnsi="宋体" w:eastAsia="宋体" w:cs="宋体"/>
          <w:color w:val="000000"/>
          <w:sz w:val="24"/>
        </w:rPr>
      </w:pPr>
      <w:r/>
      <w:bookmarkStart w:id="65" w:name="_Toc20823276"/>
      <w:r/>
      <w:bookmarkStart w:id="66" w:name="_Toc458694821"/>
      <w:r/>
      <w:bookmarkStart w:id="67" w:name="_Toc513029204"/>
      <w:r/>
      <w:bookmarkStart w:id="68" w:name="_Toc16938520"/>
      <w:r>
        <w:rPr>
          <w:rFonts w:hint="eastAsia" w:ascii="宋体" w:hAnsi="宋体" w:eastAsia="宋体" w:cs="宋体"/>
          <w:color w:val="000000"/>
          <w:sz w:val="24"/>
        </w:rPr>
        <w:t xml:space="preserve">1</w:t>
      </w:r>
      <w:bookmarkEnd w:id="65"/>
      <w:r>
        <w:rPr>
          <w:rFonts w:hint="eastAsia" w:ascii="宋体" w:hAnsi="宋体" w:eastAsia="宋体" w:cs="宋体"/>
          <w:color w:val="000000"/>
          <w:sz w:val="24"/>
        </w:rPr>
        <w:t xml:space="preserve">、招标方式</w:t>
      </w:r>
      <w:bookmarkEnd w:id="66"/>
      <w:r/>
      <w:bookmarkEnd w:id="67"/>
      <w:r/>
      <w:bookmarkEnd w:id="68"/>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1.1本次招标采取公开招标方式，本招标文件仅适用于招标公告中所述项目。</w:t>
      </w:r>
      <w:r/>
    </w:p>
    <w:p>
      <w:pPr>
        <w:ind w:firstLine="480"/>
        <w:spacing w:line="500" w:lineRule="exact"/>
        <w:widowControl w:val="off"/>
        <w:rPr>
          <w:rFonts w:hint="eastAsia" w:ascii="宋体" w:hAnsi="宋体" w:eastAsia="宋体" w:cs="宋体"/>
          <w:color w:val="000000"/>
          <w:sz w:val="24"/>
        </w:rPr>
      </w:pPr>
      <w:r/>
      <w:bookmarkStart w:id="69" w:name="_Toc20823277"/>
      <w:r/>
      <w:bookmarkStart w:id="70" w:name="_Toc16938521"/>
      <w:r/>
      <w:bookmarkStart w:id="71" w:name="_Toc513029205"/>
      <w:r>
        <w:rPr>
          <w:rFonts w:hint="eastAsia" w:ascii="宋体" w:hAnsi="宋体" w:eastAsia="宋体" w:cs="宋体"/>
          <w:color w:val="000000"/>
          <w:sz w:val="24"/>
        </w:rPr>
        <w:t xml:space="preserve">2、合格的投标人</w:t>
      </w:r>
      <w:bookmarkEnd w:id="69"/>
      <w:r/>
      <w:bookmarkEnd w:id="70"/>
      <w:r/>
      <w:bookmarkEnd w:id="71"/>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2.1满足招标公告中供应商的资格要求的规定。</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2.2满足本文件实质性要求和条件的规定。</w:t>
      </w:r>
      <w:r/>
    </w:p>
    <w:p>
      <w:pPr>
        <w:ind w:firstLine="480"/>
        <w:spacing w:line="500" w:lineRule="exact"/>
        <w:widowControl w:val="off"/>
        <w:rPr>
          <w:rFonts w:hint="eastAsia" w:ascii="宋体" w:hAnsi="宋体" w:eastAsia="宋体" w:cs="宋体"/>
          <w:sz w:val="24"/>
        </w:rPr>
      </w:pPr>
      <w:r/>
      <w:bookmarkStart w:id="72" w:name="_Toc513029206"/>
      <w:r/>
      <w:bookmarkStart w:id="73" w:name="_Toc16938522"/>
      <w:r/>
      <w:bookmarkStart w:id="74" w:name="_Toc20823278"/>
      <w:r>
        <w:rPr>
          <w:rFonts w:hint="eastAsia" w:ascii="宋体" w:hAnsi="宋体" w:eastAsia="宋体" w:cs="宋体"/>
          <w:sz w:val="24"/>
        </w:rPr>
        <w:t xml:space="preserve">3、适用法律</w:t>
      </w:r>
      <w:bookmarkEnd w:id="72"/>
      <w:r/>
      <w:bookmarkEnd w:id="73"/>
      <w:r/>
      <w:bookmarkEnd w:id="74"/>
      <w:r>
        <w:rPr>
          <w:rFonts w:hint="eastAsia" w:ascii="宋体" w:hAnsi="宋体" w:eastAsia="宋体" w:cs="宋体"/>
          <w:sz w:val="24"/>
        </w:rPr>
        <w:t xml:space="preserve">和标准</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3.1本次招标及由此产生的合同受中华人民共和国有关的法律法规制约和保护。</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3.2在本项目政府采购活动过程中，如果所执行的标准有更新的，按照最新标准执行。</w:t>
      </w:r>
      <w:r/>
    </w:p>
    <w:p>
      <w:pPr>
        <w:ind w:firstLine="480"/>
        <w:spacing w:line="500" w:lineRule="exact"/>
        <w:widowControl w:val="off"/>
        <w:rPr>
          <w:rFonts w:hint="eastAsia" w:ascii="宋体" w:hAnsi="宋体" w:eastAsia="宋体" w:cs="宋体"/>
          <w:color w:val="000000"/>
          <w:sz w:val="24"/>
        </w:rPr>
      </w:pPr>
      <w:r/>
      <w:bookmarkStart w:id="75" w:name="_Toc16938523"/>
      <w:r/>
      <w:bookmarkStart w:id="76" w:name="_Toc20823279"/>
      <w:r/>
      <w:bookmarkStart w:id="77" w:name="_Toc513029207"/>
      <w:r/>
      <w:bookmarkStart w:id="78" w:name="_Toc462564067"/>
      <w:r>
        <w:rPr>
          <w:rFonts w:hint="eastAsia" w:ascii="宋体" w:hAnsi="宋体" w:eastAsia="宋体" w:cs="宋体"/>
          <w:color w:val="000000"/>
          <w:sz w:val="24"/>
        </w:rPr>
        <w:t xml:space="preserve">4、投标费用</w:t>
      </w:r>
      <w:bookmarkEnd w:id="75"/>
      <w:r/>
      <w:bookmarkEnd w:id="76"/>
      <w:r/>
      <w:bookmarkEnd w:id="77"/>
      <w:r/>
      <w:bookmarkEnd w:id="78"/>
      <w:r/>
      <w:r/>
    </w:p>
    <w:p>
      <w:pPr>
        <w:ind w:firstLine="480"/>
        <w:spacing w:line="500" w:lineRule="exact"/>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4</w:t>
      </w:r>
      <w:r>
        <w:rPr>
          <w:rFonts w:ascii="宋体" w:hAnsi="宋体" w:eastAsia="宋体" w:cs="宋体"/>
          <w:bCs/>
          <w:color w:val="000000"/>
          <w:sz w:val="24"/>
        </w:rPr>
        <w:t xml:space="preserve">.1</w:t>
      </w:r>
      <w:r>
        <w:rPr>
          <w:rFonts w:hint="eastAsia" w:ascii="宋体" w:hAnsi="宋体" w:eastAsia="宋体" w:cs="宋体"/>
          <w:bCs/>
          <w:color w:val="000000"/>
          <w:sz w:val="24"/>
        </w:rPr>
        <w:t xml:space="preserve">投标人应自行承担所有与参加投标有关的费用，无论投标过程中的做法和结果如何，采购人和采购代理机构在任何情况下均无义务和责任承担这些费用。</w:t>
      </w:r>
      <w:r/>
    </w:p>
    <w:p>
      <w:pPr>
        <w:pStyle w:val="935"/>
        <w:ind w:left="0" w:firstLine="480"/>
        <w:spacing w:after="0" w:line="500" w:lineRule="exact"/>
        <w:widowControl w:val="off"/>
        <w:rPr>
          <w:rFonts w:hint="eastAsia" w:ascii="宋体" w:hAnsi="宋体" w:eastAsia="宋体"/>
          <w:color w:val="auto"/>
          <w:sz w:val="24"/>
        </w:rPr>
      </w:pPr>
      <w:r>
        <w:rPr>
          <w:rFonts w:hint="eastAsia" w:ascii="宋体" w:hAnsi="宋体" w:eastAsia="宋体"/>
          <w:color w:val="auto"/>
          <w:sz w:val="24"/>
        </w:rPr>
        <w:t xml:space="preserve">4.2本项目的招标代理服务费由中标单位承担，招标代理服务费按《关于印发江苏省政府采购代理服务收费指导意见》（苏政采协[2024]20号文）标准*</w:t>
      </w:r>
      <w:r>
        <w:rPr>
          <w:rFonts w:hint="eastAsia" w:ascii="宋体" w:hAnsi="宋体" w:eastAsia="宋体"/>
          <w:color w:val="auto"/>
          <w:sz w:val="24"/>
          <w:lang w:val="en-US" w:eastAsia="zh-CN"/>
        </w:rPr>
        <w:t xml:space="preserve">90</w:t>
      </w:r>
      <w:r>
        <w:rPr>
          <w:rFonts w:hint="eastAsia" w:ascii="宋体" w:hAnsi="宋体" w:eastAsia="宋体"/>
          <w:color w:val="auto"/>
          <w:sz w:val="24"/>
        </w:rPr>
        <w:t xml:space="preserve">%计取。投标人在投标时应将此费用自行考虑在投标报价中，不单列，中标后由中标单位在领取成交通知书前直接向代理机构一次性付清。</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5、招标文件的约束力</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5.1投标人一旦参加本项目采购活动，即被认为接受了本招标文件的规定和约束</w:t>
      </w:r>
      <w:r>
        <w:rPr>
          <w:rFonts w:hint="eastAsia" w:asciiTheme="minorEastAsia" w:hAnsiTheme="minorEastAsia" w:cstheme="minorEastAsia"/>
          <w:sz w:val="24"/>
          <w:shd w:val="clear" w:color="auto" w:fill="ffffff" w:themeFill="background1"/>
        </w:rPr>
        <w:t xml:space="preserve">。</w:t>
      </w:r>
      <w:r/>
    </w:p>
    <w:p>
      <w:pPr>
        <w:spacing w:line="500" w:lineRule="exact"/>
        <w:widowControl w:val="off"/>
        <w:rPr>
          <w:rFonts w:hint="eastAsia" w:asciiTheme="minorEastAsia" w:hAnsiTheme="minorEastAsia" w:cstheme="minorEastAsia"/>
          <w:b/>
          <w:bCs/>
          <w:sz w:val="24"/>
        </w:rPr>
      </w:pPr>
      <w:r/>
      <w:bookmarkStart w:id="79" w:name="_Toc120614215"/>
      <w:r/>
      <w:bookmarkStart w:id="80" w:name="_Toc513029209"/>
      <w:r/>
      <w:bookmarkStart w:id="81" w:name="_Toc20823281"/>
      <w:r/>
      <w:bookmarkStart w:id="82" w:name="_Toc16938525"/>
      <w:r>
        <w:rPr>
          <w:rFonts w:hint="eastAsia" w:asciiTheme="minorEastAsia" w:hAnsiTheme="minorEastAsia" w:cstheme="minorEastAsia"/>
          <w:b/>
          <w:bCs/>
          <w:sz w:val="24"/>
        </w:rPr>
        <w:t xml:space="preserve">二、招标文件</w:t>
      </w:r>
      <w:bookmarkEnd w:id="79"/>
      <w:r/>
      <w:bookmarkEnd w:id="80"/>
      <w:r/>
      <w:bookmarkEnd w:id="81"/>
      <w:r/>
      <w:bookmarkEnd w:id="82"/>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6、招标文件构成</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6.1招标文件由以下部分组成：</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（1）招标公告</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（2）投标人须知</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（3）合同条款</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（4）采购需求</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（5）评标方法与评标标准</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（6）投标文件格式</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请仔细检查招标文件是否齐全，如有缺漏请立即与采购代理机构联系解决。</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widowControl w:val="off"/>
        <w:rPr>
          <w:rFonts w:hint="eastAsia" w:asciiTheme="minorEastAsia" w:hAnsiTheme="minorEastAsia" w:cstheme="minorEastAsia"/>
          <w:sz w:val="24"/>
          <w:shd w:val="clear" w:color="auto" w:fill="ffffff" w:themeFill="background1"/>
        </w:rPr>
      </w:pPr>
      <w:r/>
      <w:bookmarkStart w:id="83" w:name="_Toc16938527"/>
      <w:r/>
      <w:bookmarkStart w:id="84" w:name="_Toc20823283"/>
      <w:r/>
      <w:bookmarkStart w:id="85" w:name="_Toc462564070"/>
      <w:r/>
      <w:bookmarkStart w:id="86" w:name="_Toc513029211"/>
      <w:r>
        <w:rPr>
          <w:rFonts w:hint="eastAsia" w:ascii="宋体" w:hAnsi="宋体" w:eastAsia="宋体" w:cs="宋体"/>
          <w:color w:val="000000"/>
          <w:sz w:val="24"/>
        </w:rPr>
        <w:t xml:space="preserve">7</w:t>
      </w:r>
      <w:r>
        <w:rPr>
          <w:rFonts w:hint="eastAsia" w:asciiTheme="minorEastAsia" w:hAnsiTheme="minorEastAsia" w:cstheme="minorEastAsia"/>
          <w:sz w:val="24"/>
          <w:shd w:val="clear" w:color="auto" w:fill="ffffff" w:themeFill="background1"/>
        </w:rPr>
        <w:t xml:space="preserve">、招标文件的澄清</w:t>
      </w:r>
      <w:bookmarkEnd w:id="83"/>
      <w:r/>
      <w:bookmarkEnd w:id="84"/>
      <w:r/>
      <w:bookmarkEnd w:id="85"/>
      <w:r/>
      <w:bookmarkEnd w:id="86"/>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7.1任何要求对招标文件进行澄清的投标人，应在投标截止期十日前按招标公告中的通讯地址</w:t>
      </w:r>
      <w:r>
        <w:rPr>
          <w:rFonts w:hint="eastAsia" w:asciiTheme="minorEastAsia" w:hAnsiTheme="minorEastAsia" w:cstheme="minorEastAsia"/>
          <w:sz w:val="24"/>
          <w:shd w:val="clear" w:color="auto" w:fill="ffffff" w:themeFill="background1"/>
        </w:rPr>
        <w:t xml:space="preserve">，以书面形式通知采购代理机构。</w:t>
      </w:r>
      <w:r/>
    </w:p>
    <w:p>
      <w:pPr>
        <w:ind w:firstLine="480"/>
        <w:spacing w:line="500" w:lineRule="exact"/>
        <w:widowControl w:val="off"/>
        <w:rPr>
          <w:rFonts w:hint="eastAsia" w:ascii="宋体" w:hAnsi="宋体" w:eastAsia="宋体" w:cs="宋体"/>
          <w:color w:val="000000"/>
          <w:sz w:val="24"/>
        </w:rPr>
      </w:pPr>
      <w:r/>
      <w:bookmarkStart w:id="87" w:name="_Toc16938528"/>
      <w:r/>
      <w:bookmarkStart w:id="88" w:name="_Toc20823284"/>
      <w:r/>
      <w:bookmarkStart w:id="89" w:name="_Toc462564071"/>
      <w:r/>
      <w:bookmarkStart w:id="90" w:name="_Toc513029212"/>
      <w:r>
        <w:rPr>
          <w:rFonts w:hint="eastAsia" w:ascii="宋体" w:hAnsi="宋体" w:eastAsia="宋体" w:cs="宋体"/>
          <w:color w:val="000000"/>
          <w:sz w:val="24"/>
        </w:rPr>
        <w:t xml:space="preserve">8、招标文件的修改</w:t>
      </w:r>
      <w:bookmarkEnd w:id="87"/>
      <w:r/>
      <w:bookmarkEnd w:id="88"/>
      <w:r/>
      <w:bookmarkEnd w:id="89"/>
      <w:r/>
      <w:bookmarkEnd w:id="90"/>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8.1在投标截止时间前，采购代理机构可以对招标文件进行修改。</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8.2采购代理机构有权按照法定的要求推迟投标截止日期和开标日期。</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8.3</w:t>
      </w:r>
      <w:r>
        <w:rPr>
          <w:rFonts w:hint="eastAsia" w:asciiTheme="minorEastAsia" w:hAnsiTheme="minorEastAsia" w:cstheme="minorEastAsia"/>
          <w:sz w:val="24"/>
          <w:shd w:val="clear" w:color="auto" w:fill="ffffff" w:themeFill="background1"/>
        </w:rPr>
        <w:t xml:space="preserve">招标文件的修改将在“中国政府采购网、江苏政府采购网、盐城市政府采购网”公布，补充文件将作为招标文件的组成部分，并对投标人具有约束力。</w:t>
      </w:r>
      <w:r/>
    </w:p>
    <w:p>
      <w:pPr>
        <w:spacing w:line="500" w:lineRule="exact"/>
        <w:widowControl w:val="off"/>
        <w:rPr>
          <w:rFonts w:hint="eastAsia" w:asciiTheme="minorEastAsia" w:hAnsiTheme="minorEastAsia" w:cstheme="minorEastAsia"/>
          <w:b/>
          <w:bCs/>
          <w:sz w:val="24"/>
        </w:rPr>
      </w:pPr>
      <w:r/>
      <w:bookmarkStart w:id="91" w:name="_Toc120614216"/>
      <w:r/>
      <w:bookmarkStart w:id="92" w:name="_Toc20823285"/>
      <w:r/>
      <w:bookmarkStart w:id="93" w:name="_Toc16938529"/>
      <w:r/>
      <w:bookmarkStart w:id="94" w:name="_Toc462564072"/>
      <w:r/>
      <w:bookmarkStart w:id="95" w:name="_Toc513029213"/>
      <w:r>
        <w:rPr>
          <w:rFonts w:hint="eastAsia" w:asciiTheme="minorEastAsia" w:hAnsiTheme="minorEastAsia" w:cstheme="minorEastAsia"/>
          <w:b/>
          <w:bCs/>
          <w:sz w:val="24"/>
        </w:rPr>
        <w:t xml:space="preserve">三、投标文件的编制</w:t>
      </w:r>
      <w:bookmarkEnd w:id="91"/>
      <w:r/>
      <w:bookmarkEnd w:id="92"/>
      <w:r/>
      <w:bookmarkEnd w:id="93"/>
      <w:r/>
      <w:bookmarkEnd w:id="94"/>
      <w:r/>
      <w:bookmarkEnd w:id="95"/>
      <w:r/>
      <w:r/>
    </w:p>
    <w:p>
      <w:pPr>
        <w:ind w:firstLine="480"/>
        <w:spacing w:line="500" w:lineRule="exact"/>
        <w:widowControl w:val="off"/>
        <w:rPr>
          <w:rFonts w:hint="eastAsia" w:ascii="宋体" w:hAnsi="宋体" w:eastAsia="宋体" w:cs="宋体"/>
          <w:color w:val="000000"/>
          <w:sz w:val="24"/>
        </w:rPr>
      </w:pPr>
      <w:r/>
      <w:bookmarkStart w:id="96" w:name="_Toc20823286"/>
      <w:r/>
      <w:bookmarkStart w:id="97" w:name="_Toc16938530"/>
      <w:r/>
      <w:bookmarkStart w:id="98" w:name="_Toc462564073"/>
      <w:r/>
      <w:bookmarkStart w:id="99" w:name="_Toc513029214"/>
      <w:r>
        <w:rPr>
          <w:rFonts w:hint="eastAsia" w:ascii="宋体" w:hAnsi="宋体" w:eastAsia="宋体" w:cs="宋体"/>
          <w:color w:val="000000"/>
          <w:sz w:val="24"/>
        </w:rPr>
        <w:t xml:space="preserve">9、投标文件的语言及度量衡单位</w:t>
      </w:r>
      <w:bookmarkEnd w:id="96"/>
      <w:r/>
      <w:bookmarkEnd w:id="97"/>
      <w:r/>
      <w:bookmarkEnd w:id="98"/>
      <w:r/>
      <w:bookmarkEnd w:id="99"/>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9.1投标人提交的投标文件以及投标人与采购代理机构就有关投标的所有来往通知、函件和文件均应使用简体中文。</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9.2除技术性能另有规定外，投标文件所使用的度量衡单位，均须采用国家法定计量单位。</w:t>
      </w:r>
      <w:r/>
    </w:p>
    <w:p>
      <w:pPr>
        <w:ind w:firstLine="480"/>
        <w:spacing w:line="500" w:lineRule="exact"/>
        <w:widowControl w:val="off"/>
        <w:rPr>
          <w:rFonts w:hint="eastAsia" w:ascii="宋体" w:hAnsi="宋体" w:eastAsia="宋体" w:cs="宋体"/>
          <w:color w:val="000000"/>
          <w:sz w:val="24"/>
        </w:rPr>
      </w:pPr>
      <w:r/>
      <w:bookmarkStart w:id="100" w:name="_Toc462564074"/>
      <w:r/>
      <w:bookmarkStart w:id="101" w:name="_Toc20823287"/>
      <w:r/>
      <w:bookmarkStart w:id="102" w:name="_Toc16938531"/>
      <w:r/>
      <w:bookmarkStart w:id="103" w:name="_Toc513029215"/>
      <w:r>
        <w:rPr>
          <w:rFonts w:hint="eastAsia" w:ascii="宋体" w:hAnsi="宋体" w:eastAsia="宋体" w:cs="宋体"/>
          <w:color w:val="000000"/>
          <w:sz w:val="24"/>
        </w:rPr>
        <w:t xml:space="preserve">10、投标文件构成</w:t>
      </w:r>
      <w:bookmarkEnd w:id="100"/>
      <w:r/>
      <w:bookmarkEnd w:id="101"/>
      <w:r/>
      <w:bookmarkEnd w:id="102"/>
      <w:r/>
      <w:bookmarkEnd w:id="103"/>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10.1</w:t>
      </w:r>
      <w:r>
        <w:rPr>
          <w:rFonts w:hint="eastAsia" w:asciiTheme="minorEastAsia" w:hAnsiTheme="minorEastAsia" w:cstheme="minorEastAsia"/>
          <w:sz w:val="24"/>
          <w:shd w:val="clear" w:color="auto" w:fill="ffffff" w:themeFill="background1"/>
        </w:rPr>
        <w:t xml:space="preserve">投标人编写的投标文件应包括资格证明文件、符合性证明文件、投标分项报价表、技术需求响应及偏离表、商务需求响应及偏离表、其他证明文件、投标函、开标一览表等部分。</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10.2</w:t>
      </w:r>
      <w:r>
        <w:rPr>
          <w:rFonts w:hint="eastAsia" w:asciiTheme="minorEastAsia" w:hAnsiTheme="minorEastAsia" w:cstheme="minorEastAsia"/>
          <w:sz w:val="24"/>
          <w:shd w:val="clear" w:color="auto" w:fill="ffffff" w:themeFill="background1"/>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500" w:lineRule="exact"/>
        <w:widowControl w:val="off"/>
        <w:rPr>
          <w:rFonts w:hint="eastAsia" w:ascii="宋体" w:hAnsi="宋体" w:eastAsia="宋体" w:cs="宋体"/>
          <w:color w:val="000000"/>
          <w:sz w:val="24"/>
        </w:rPr>
      </w:pPr>
      <w:r/>
      <w:bookmarkStart w:id="104" w:name="_Toc14577357"/>
      <w:r/>
      <w:bookmarkStart w:id="105" w:name="_Toc49090508"/>
      <w:r/>
      <w:bookmarkStart w:id="106" w:name="_Toc513029219"/>
      <w:r/>
      <w:bookmarkStart w:id="107" w:name="_Toc14577354"/>
      <w:r/>
      <w:bookmarkStart w:id="108" w:name="_Toc14577355"/>
      <w:r/>
      <w:bookmarkStart w:id="109" w:name="_Toc513029216"/>
      <w:r/>
      <w:bookmarkStart w:id="110" w:name="_Toc49090507"/>
      <w:r/>
      <w:bookmarkStart w:id="111" w:name="_Toc49090509"/>
      <w:r>
        <w:rPr>
          <w:rFonts w:hint="eastAsia" w:ascii="宋体" w:hAnsi="宋体" w:eastAsia="宋体" w:cs="宋体"/>
          <w:color w:val="000000"/>
          <w:sz w:val="24"/>
        </w:rPr>
        <w:t xml:space="preserve">11、证明投标人及投标标的符合招标文件规定的文件</w:t>
      </w:r>
      <w:bookmarkEnd w:id="104"/>
      <w:r/>
      <w:bookmarkEnd w:id="105"/>
      <w:r/>
      <w:bookmarkEnd w:id="106"/>
      <w:r/>
      <w:bookmarkEnd w:id="107"/>
      <w:r/>
      <w:bookmarkEnd w:id="108"/>
      <w:r/>
      <w:bookmarkEnd w:id="109"/>
      <w:r/>
      <w:bookmarkEnd w:id="110"/>
      <w:r/>
      <w:bookmarkEnd w:id="111"/>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11.1投标人应按照招标文件要求提交证明文件，证明其及投标标的符合招标文件规定。</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11.2招标文件对证明文件无明确形式要求的，证明文件可以以文字资料、图纸和数据等形式提交。</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12、投标分项报价表</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12.1</w:t>
      </w:r>
      <w:r>
        <w:rPr>
          <w:rFonts w:hint="eastAsia" w:asciiTheme="minorEastAsia" w:hAnsiTheme="minorEastAsia" w:cstheme="minorEastAsia"/>
          <w:sz w:val="24"/>
          <w:shd w:val="clear" w:color="auto" w:fill="ffffff" w:themeFill="background1"/>
        </w:rPr>
        <w:t xml:space="preserve">投标人应按照招标文件规定格式填报投标分项报价表。</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13、技术需求响应及偏离表、商务需求响应及偏离表</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13.1</w:t>
      </w:r>
      <w:r>
        <w:rPr>
          <w:rFonts w:hint="eastAsia" w:asciiTheme="minorEastAsia" w:hAnsiTheme="minorEastAsia" w:cstheme="minorEastAsia"/>
          <w:sz w:val="24"/>
          <w:shd w:val="clear" w:color="auto" w:fill="ffffff" w:themeFill="background1"/>
        </w:rPr>
        <w:t xml:space="preserve">投标人需对招标文件中的技术需求与商务需求逐项作出响应或偏离，并说明原因。</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13.2投标人可在投标文件中提供认为需要的其他技术文件或说明。</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14、服务承诺、培训计划、人员安排及其他</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14.1</w:t>
      </w:r>
      <w:r>
        <w:rPr>
          <w:rFonts w:hint="eastAsia" w:asciiTheme="minorEastAsia" w:hAnsiTheme="minorEastAsia" w:cstheme="minorEastAsia"/>
          <w:sz w:val="24"/>
          <w:shd w:val="clear" w:color="auto" w:fill="ffffff" w:themeFill="background1"/>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14.2投标人需根据招标文件要求提供培训计划。</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14.3</w:t>
      </w:r>
      <w:r>
        <w:rPr>
          <w:rFonts w:hint="eastAsia" w:asciiTheme="minorEastAsia" w:hAnsiTheme="minorEastAsia" w:cstheme="minorEastAsia"/>
          <w:sz w:val="24"/>
          <w:shd w:val="clear" w:color="auto" w:fill="ffffff" w:themeFill="background1"/>
        </w:rPr>
        <w:t xml:space="preserve">投标人需根据招标文件要求提供所投标的的主要组成部分、功能设计、实现思路及关键技术等。</w:t>
      </w:r>
      <w:r/>
    </w:p>
    <w:p>
      <w:pPr>
        <w:ind w:firstLine="480"/>
        <w:spacing w:line="500" w:lineRule="exact"/>
        <w:widowControl w:val="off"/>
        <w:rPr>
          <w:rFonts w:hint="eastAsia" w:asciiTheme="minorEastAsia" w:hAnsiTheme="minorEastAsia" w:cstheme="minorEastAsia"/>
          <w:sz w:val="24"/>
          <w:shd w:val="clear" w:color="auto" w:fill="ffffff" w:themeFill="background1"/>
        </w:rPr>
      </w:pPr>
      <w:r/>
      <w:bookmarkStart w:id="112" w:name="_Toc14577359"/>
      <w:r/>
      <w:bookmarkStart w:id="113" w:name="_Toc49090510"/>
      <w:r>
        <w:rPr>
          <w:rFonts w:hint="eastAsia" w:ascii="宋体" w:hAnsi="宋体" w:eastAsia="宋体" w:cs="宋体"/>
          <w:color w:val="000000"/>
          <w:sz w:val="24"/>
        </w:rPr>
        <w:t xml:space="preserve">15、</w:t>
      </w:r>
      <w:r>
        <w:rPr>
          <w:rFonts w:hint="eastAsia" w:asciiTheme="minorEastAsia" w:hAnsiTheme="minorEastAsia" w:cstheme="minorEastAsia"/>
          <w:sz w:val="24"/>
          <w:shd w:val="clear" w:color="auto" w:fill="ffffff" w:themeFill="background1"/>
        </w:rPr>
        <w:t xml:space="preserve">投标函和开标一览表</w:t>
      </w:r>
      <w:bookmarkEnd w:id="112"/>
      <w:r/>
      <w:bookmarkEnd w:id="113"/>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15.1</w:t>
      </w:r>
      <w:r>
        <w:rPr>
          <w:rFonts w:hint="eastAsia" w:asciiTheme="minorEastAsia" w:hAnsiTheme="minorEastAsia" w:cstheme="minorEastAsia"/>
          <w:sz w:val="24"/>
          <w:shd w:val="clear" w:color="auto" w:fill="ffffff" w:themeFill="background1"/>
        </w:rPr>
        <w:t xml:space="preserve">投标人应按照招标文件中提供的格式完整、正确填写投标函、开标一览表。</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15.2</w:t>
      </w:r>
      <w:r>
        <w:rPr>
          <w:rFonts w:hint="eastAsia" w:asciiTheme="minorEastAsia" w:hAnsiTheme="minorEastAsia" w:cstheme="minorEastAsia"/>
          <w:sz w:val="24"/>
          <w:shd w:val="clear" w:color="auto" w:fill="ffffff" w:themeFill="background1"/>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widowControl w:val="off"/>
        <w:rPr>
          <w:rFonts w:hint="eastAsia" w:ascii="宋体" w:hAnsi="宋体" w:eastAsia="宋体" w:cs="宋体"/>
          <w:color w:val="000000"/>
          <w:sz w:val="24"/>
        </w:rPr>
      </w:pPr>
      <w:r/>
      <w:bookmarkStart w:id="114" w:name="_Toc49090511"/>
      <w:r/>
      <w:bookmarkStart w:id="115" w:name="_Toc14577360"/>
      <w:r>
        <w:rPr>
          <w:rFonts w:hint="eastAsia" w:ascii="宋体" w:hAnsi="宋体" w:eastAsia="宋体" w:cs="宋体"/>
          <w:color w:val="000000"/>
          <w:sz w:val="24"/>
        </w:rPr>
        <w:t xml:space="preserve">16、投标有效期</w:t>
      </w:r>
      <w:bookmarkEnd w:id="114"/>
      <w:r/>
      <w:bookmarkEnd w:id="115"/>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16.1</w:t>
      </w:r>
      <w:r>
        <w:rPr>
          <w:rFonts w:hint="eastAsia" w:asciiTheme="minorEastAsia" w:hAnsiTheme="minorEastAsia" w:cstheme="minorEastAsia"/>
          <w:sz w:val="24"/>
          <w:shd w:val="clear" w:color="auto" w:fill="ffffff" w:themeFill="background1"/>
        </w:rPr>
        <w:t xml:space="preserve">投标有效期为采购代理机构规定的开标之日后九十（90）天。投标有效期比规定短的将被视为未实质性响应招标文件而予以拒绝。</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17、</w:t>
      </w:r>
      <w:r>
        <w:rPr>
          <w:rFonts w:hint="eastAsia" w:asciiTheme="minorEastAsia" w:hAnsiTheme="minorEastAsia" w:cstheme="minorEastAsia"/>
          <w:sz w:val="24"/>
          <w:shd w:val="clear" w:color="auto" w:fill="ffffff" w:themeFill="background1"/>
        </w:rPr>
        <w:t xml:space="preserve">投标有效期的延长</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17.1</w:t>
      </w:r>
      <w:r>
        <w:rPr>
          <w:rFonts w:hint="eastAsia" w:asciiTheme="minorEastAsia" w:hAnsiTheme="minorEastAsia" w:cstheme="minorEastAsia"/>
          <w:sz w:val="24"/>
          <w:shd w:val="clear" w:color="auto" w:fill="ffffff" w:themeFill="background1"/>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00" w:lineRule="exact"/>
        <w:widowControl w:val="off"/>
        <w:rPr>
          <w:rFonts w:hint="eastAsia" w:asciiTheme="minorEastAsia" w:hAnsiTheme="minorEastAsia" w:cstheme="minorEastAsia"/>
          <w:b/>
          <w:bCs/>
          <w:sz w:val="24"/>
        </w:rPr>
      </w:pPr>
      <w:r/>
      <w:bookmarkStart w:id="116" w:name="_Toc16938540"/>
      <w:r/>
      <w:bookmarkStart w:id="117" w:name="_Toc513029224"/>
      <w:r/>
      <w:bookmarkStart w:id="118" w:name="_Toc120614217"/>
      <w:r/>
      <w:bookmarkStart w:id="119" w:name="_Toc20823296"/>
      <w:r>
        <w:rPr>
          <w:rFonts w:hint="eastAsia" w:asciiTheme="minorEastAsia" w:hAnsiTheme="minorEastAsia" w:cstheme="minorEastAsia"/>
          <w:b/>
          <w:bCs/>
          <w:sz w:val="24"/>
        </w:rPr>
        <w:t xml:space="preserve">四、投标文件的递交</w:t>
      </w:r>
      <w:bookmarkEnd w:id="116"/>
      <w:r/>
      <w:bookmarkEnd w:id="117"/>
      <w:r/>
      <w:bookmarkEnd w:id="118"/>
      <w:r/>
      <w:bookmarkEnd w:id="119"/>
      <w:r/>
      <w:r/>
    </w:p>
    <w:p>
      <w:pPr>
        <w:ind w:firstLine="480"/>
        <w:spacing w:line="500" w:lineRule="exact"/>
        <w:widowControl w:val="off"/>
        <w:rPr>
          <w:rFonts w:hint="eastAsia" w:asciiTheme="minorEastAsia" w:hAnsiTheme="minorEastAsia" w:cstheme="minorEastAsia"/>
          <w:sz w:val="24"/>
          <w:shd w:val="clear" w:color="auto" w:fill="ffffff" w:themeFill="background1"/>
        </w:rPr>
      </w:pPr>
      <w:r/>
      <w:bookmarkStart w:id="120" w:name="_Toc16938541"/>
      <w:r/>
      <w:bookmarkStart w:id="121" w:name="_Toc20823297"/>
      <w:r/>
      <w:bookmarkStart w:id="122" w:name="_Toc513029225"/>
      <w:r/>
      <w:bookmarkStart w:id="123" w:name="_Toc462564084"/>
      <w:r>
        <w:rPr>
          <w:rFonts w:hint="eastAsia" w:ascii="宋体" w:hAnsi="宋体" w:eastAsia="宋体" w:cs="宋体"/>
          <w:color w:val="000000"/>
          <w:sz w:val="24"/>
        </w:rPr>
        <w:t xml:space="preserve">18、电</w:t>
      </w:r>
      <w:r>
        <w:rPr>
          <w:rFonts w:hint="eastAsia" w:asciiTheme="minorEastAsia" w:hAnsiTheme="minorEastAsia" w:cstheme="minorEastAsia"/>
          <w:sz w:val="24"/>
          <w:shd w:val="clear" w:color="auto" w:fill="ffffff" w:themeFill="background1"/>
        </w:rPr>
        <w:t xml:space="preserve">子投标文件</w:t>
      </w:r>
      <w:bookmarkEnd w:id="120"/>
      <w:r/>
      <w:bookmarkEnd w:id="121"/>
      <w:r/>
      <w:bookmarkEnd w:id="122"/>
      <w:r/>
      <w:bookmarkEnd w:id="123"/>
      <w:r>
        <w:rPr>
          <w:rFonts w:hint="eastAsia" w:asciiTheme="minorEastAsia" w:hAnsiTheme="minorEastAsia" w:cstheme="minorEastAsia"/>
          <w:sz w:val="24"/>
          <w:shd w:val="clear" w:color="auto" w:fill="ffffff" w:themeFill="background1"/>
        </w:rPr>
        <w:t xml:space="preserve">的递交</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24" w:name="_Toc20823298"/>
      <w:r/>
      <w:bookmarkEnd w:id="124"/>
      <w:r/>
      <w:bookmarkStart w:id="125" w:name="_Toc16938542"/>
      <w:r/>
      <w:bookmarkEnd w:id="125"/>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19、</w:t>
      </w:r>
      <w:r>
        <w:rPr>
          <w:rFonts w:hint="eastAsia" w:asciiTheme="minorEastAsia" w:hAnsiTheme="minorEastAsia" w:cstheme="minorEastAsia"/>
          <w:sz w:val="24"/>
          <w:shd w:val="clear" w:color="auto" w:fill="ffffff" w:themeFill="background1"/>
        </w:rPr>
        <w:t xml:space="preserve">投标截止日期</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i/>
          <w:color w:val="000000"/>
          <w:u w:val="single"/>
        </w:rPr>
        <w:t xml:space="preserve">19.1投标人上传电子投标文件的时间不得迟于招标公告中规定的投标截止时间。</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19.2采购代理机构可以按照规定，通过修改招标文件酌情延长投标截止日期，在此情况下，投标人的所有权利和义务以及投标人受制的截止日期均应以延长后新的截止日期为准。</w:t>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26" w:name="_Toc16938543"/>
      <w:r/>
      <w:bookmarkStart w:id="127" w:name="_Toc513029227"/>
      <w:r/>
      <w:bookmarkStart w:id="128" w:name="_Toc20823299"/>
      <w:r>
        <w:rPr>
          <w:rFonts w:hint="eastAsia" w:ascii="宋体" w:hAnsi="宋体" w:eastAsia="宋体" w:cs="宋体"/>
          <w:color w:val="000000"/>
        </w:rPr>
        <w:t xml:space="preserve">20、投标文件</w:t>
      </w:r>
      <w:bookmarkEnd w:id="126"/>
      <w:r/>
      <w:bookmarkEnd w:id="127"/>
      <w:r/>
      <w:bookmarkEnd w:id="128"/>
      <w:r>
        <w:rPr>
          <w:rFonts w:hint="eastAsia" w:ascii="宋体" w:hAnsi="宋体" w:eastAsia="宋体" w:cs="宋体"/>
          <w:color w:val="000000"/>
        </w:rPr>
        <w:t xml:space="preserve">的拒收</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20.1采购代理机构拒绝接收在其规定的投标截止时间后上传的任何投标文件。</w:t>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29" w:name="_Toc16938544"/>
      <w:r/>
      <w:bookmarkStart w:id="130" w:name="_Toc20823300"/>
      <w:r/>
      <w:bookmarkStart w:id="131" w:name="_Toc513029228"/>
      <w:r>
        <w:rPr>
          <w:rFonts w:hint="eastAsia" w:ascii="宋体" w:hAnsi="宋体" w:eastAsia="宋体" w:cs="宋体"/>
          <w:color w:val="000000"/>
        </w:rPr>
        <w:t xml:space="preserve">21、投标文件的撤回和修改</w:t>
      </w:r>
      <w:bookmarkEnd w:id="129"/>
      <w:r/>
      <w:bookmarkEnd w:id="130"/>
      <w:r/>
      <w:bookmarkEnd w:id="131"/>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21.1投标文件的撤回</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21.1.1电子投标文件的撤回</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投标人可在投标截止时间前，撤回其电子投标文件，具体操作方法见《操作手册》。</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21.1.2投标人撤回电子投标文件，则认为其不再参与本项目投标活动。</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21.2投标文件的修改</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21.2.1投标人可在投标截止时间前，对其电子投标文件进行修改，具体操作方法见《操作手册》。</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21.2.2在投标截止时间之后，投标人不得对其电子投标文件作任何修改。</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21.3在投标截止时间至招标文件中规定的投标有效期满之间的这段时间内，投标人不得撤回其投标。</w:t>
      </w:r>
      <w:r/>
    </w:p>
    <w:p>
      <w:pPr>
        <w:spacing w:line="500" w:lineRule="exact"/>
        <w:widowControl w:val="off"/>
        <w:rPr>
          <w:rFonts w:hint="eastAsia" w:asciiTheme="minorEastAsia" w:hAnsiTheme="minorEastAsia" w:cstheme="minorEastAsia"/>
          <w:b/>
          <w:bCs/>
          <w:sz w:val="24"/>
        </w:rPr>
      </w:pPr>
      <w:r/>
      <w:bookmarkStart w:id="132" w:name="_Toc20823301"/>
      <w:r/>
      <w:bookmarkStart w:id="133" w:name="_Toc120614218"/>
      <w:r/>
      <w:bookmarkStart w:id="134" w:name="_Toc16938545"/>
      <w:r/>
      <w:bookmarkStart w:id="135" w:name="_Toc513029229"/>
      <w:r>
        <w:rPr>
          <w:rFonts w:hint="eastAsia" w:asciiTheme="minorEastAsia" w:hAnsiTheme="minorEastAsia" w:cstheme="minorEastAsia"/>
          <w:b/>
          <w:bCs/>
          <w:sz w:val="24"/>
        </w:rPr>
        <w:t xml:space="preserve">五、开标与评标</w:t>
      </w:r>
      <w:bookmarkEnd w:id="132"/>
      <w:r/>
      <w:bookmarkEnd w:id="133"/>
      <w:r/>
      <w:bookmarkEnd w:id="134"/>
      <w:r/>
      <w:bookmarkEnd w:id="135"/>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36" w:name="_Toc513029230"/>
      <w:r/>
      <w:bookmarkStart w:id="137" w:name="_Toc20823302"/>
      <w:r/>
      <w:bookmarkStart w:id="138" w:name="_Toc16938546"/>
      <w:r>
        <w:rPr>
          <w:rFonts w:hint="eastAsia" w:ascii="宋体" w:hAnsi="宋体" w:eastAsia="宋体" w:cs="宋体"/>
          <w:color w:val="000000"/>
        </w:rPr>
        <w:t xml:space="preserve">22、开标</w:t>
      </w:r>
      <w:bookmarkEnd w:id="136"/>
      <w:r/>
      <w:bookmarkEnd w:id="137"/>
      <w:r/>
      <w:bookmarkEnd w:id="138"/>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22.1采购代理机构将在招标公告中规定的时间和地点组织公开开标。投标人应当按照《操作手册》规定，参加开标活动和在苏采云系统规定的时间内对投标文件进行解密。</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22.2开标仪式由采购代理机构组织。苏采云系统将自动对项目进行开标，并宣布各投标人名称和投标价格。</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22.3投标人在开标过程中涉及到的投标文件解密、开标结果确认等工作，应按照《操作手册》规定执行。</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22.4投标人如果对开标过程和开标记录有疑义，应当根据《操作手册》规定提出，如 苏采云系统中《开标记录表》宣布后5分钟内未提出的，视同认可开标结果。</w:t>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39" w:name="_Toc513029231"/>
      <w:r/>
      <w:bookmarkStart w:id="140" w:name="_Toc16938547"/>
      <w:r/>
      <w:bookmarkStart w:id="141" w:name="_Toc20823303"/>
      <w:r>
        <w:rPr>
          <w:rFonts w:hint="eastAsia" w:ascii="宋体" w:hAnsi="宋体" w:eastAsia="宋体" w:cs="宋体"/>
          <w:color w:val="000000"/>
        </w:rPr>
        <w:t xml:space="preserve">23、评标委员会</w:t>
      </w:r>
      <w:bookmarkEnd w:id="139"/>
      <w:r/>
      <w:bookmarkEnd w:id="140"/>
      <w:r/>
      <w:bookmarkEnd w:id="141"/>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23.1开标后，采购代理机构将立即组织评标委员会（以下简称评委会）进行评标。</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23.2评委会由采购人代表和有关技术、经济等方面的专家组成，且人员构成符合政府采购有关规定。</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23.3评委会独立工作，负责评审所有投标文件并确定中标候选人。</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24、评标过程的保密与公正</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24.3采购代理机构和评标委员会不向未中标的投标人解释未中标原因，也不公布评标过程中的相关细节。</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24.4采用综合评分法的项目，未中标的投标人可于中标结果公告期限届满之日起通过苏采云系统查看自己的评审得分及排序情况。</w:t>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42" w:name="_Toc513029232"/>
      <w:r/>
      <w:bookmarkStart w:id="143" w:name="_Toc20823304"/>
      <w:r/>
      <w:bookmarkStart w:id="144" w:name="_Toc16938548"/>
      <w:r>
        <w:rPr>
          <w:rFonts w:hint="eastAsia" w:ascii="宋体" w:hAnsi="宋体" w:eastAsia="宋体" w:cs="宋体"/>
          <w:color w:val="000000"/>
        </w:rPr>
        <w:t xml:space="preserve">25、投标文件的澄清</w:t>
      </w:r>
      <w:bookmarkEnd w:id="142"/>
      <w:r/>
      <w:bookmarkEnd w:id="143"/>
      <w:r/>
      <w:bookmarkEnd w:id="144"/>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45" w:name="_Toc16938549"/>
      <w:r/>
      <w:bookmarkStart w:id="146" w:name="_Toc513029233"/>
      <w:r/>
      <w:bookmarkStart w:id="147" w:name="_Toc20823305"/>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45"/>
      <w:r/>
      <w:bookmarkEnd w:id="146"/>
      <w:r/>
      <w:bookmarkEnd w:id="147"/>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评标委员会并非对每个投标人都做澄清要求。</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25.3接到评委会澄清、说明和补正要求的投标人如未按规定做出澄清、说明和补正，其风险由投标人自行承担。</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26、对投标文件的初审</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26.1投标文件初审分为资格审查和符合性审查。</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26.1.1资格审查：依据法律法规和招标文件的规定，由采购人对投标文件中的资格证明文件进行审查。资格审查的结论，采购人以书面形式向评委会进行反馈。</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采购人在进行资格性审查的同时，将在“信用中国”网站查询投标人的信用记录，以确定投标人是否具备投标资格,查询结果留存并归档。</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26.1.2符合性审查：依据招标文件的规定，由评委会从投标文件的有效性、完整性和对招标文件的响应程度进行审查，以确定是否对招标文件的实质性要求作出响应。</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（2）大写金额和小写金额不一致的，以大写金额为准。</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48" w:name="_Toc16938550"/>
      <w:r/>
      <w:bookmarkStart w:id="149" w:name="_Toc20823306"/>
      <w:r/>
      <w:bookmarkStart w:id="150" w:name="_Toc513029234"/>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8"/>
      <w:r/>
      <w:bookmarkEnd w:id="149"/>
      <w:r/>
      <w:bookmarkEnd w:id="150"/>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26.7投标人在开、评标全过程中应保持通讯畅通，及时登录苏采云系统查阅、答复相关信息，并安排专人与采购代理机构及评标委员会联系。</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27、无效投标条款和废标条款</w:t>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51" w:name="_Toc513029235"/>
      <w:r/>
      <w:bookmarkStart w:id="152" w:name="_Toc16938551"/>
      <w:r/>
      <w:bookmarkStart w:id="153" w:name="_Toc20823307"/>
      <w:r>
        <w:rPr>
          <w:rFonts w:hint="eastAsia" w:ascii="宋体" w:hAnsi="宋体" w:eastAsia="宋体" w:cs="宋体"/>
          <w:color w:val="000000"/>
        </w:rPr>
        <w:t xml:space="preserve">27.1无效投标条款</w:t>
      </w:r>
      <w:bookmarkEnd w:id="151"/>
      <w:r/>
      <w:bookmarkEnd w:id="152"/>
      <w:r/>
      <w:bookmarkEnd w:id="153"/>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27.1.1投标人在苏采云系统规定的时间内未成功解密电子投标文件的。</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27.1.2投标人未按照招标文件要求上传电子投标文件的。</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27.1.3同一投标人提交两个（含两个）以上不同的投标报价的。</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27.1.4投标人不具备招标文件中规定资格要求的。</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27.1.5投标人的报价超过了采购预算或最高限价的。</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27.1.6未通过符合性审查的。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21"/>
        <w:jc w:val="both"/>
        <w:spacing w:beforeAutospacing="0" w:afterAutospacing="0" w:line="500" w:lineRule="exact"/>
        <w:widowControl w:val="off"/>
        <w:rPr>
          <w:rFonts w:hint="eastAsia" w:ascii="宋体" w:hAnsi="宋体" w:eastAsia="宋体" w:cs="宋体"/>
          <w:color w:val="auto"/>
        </w:rPr>
      </w:pPr>
      <w:r/>
      <w:bookmarkStart w:id="154" w:name="OLE_LINK3"/>
      <w:r>
        <w:rPr>
          <w:rFonts w:hint="eastAsia" w:ascii="宋体" w:hAnsi="宋体" w:eastAsia="宋体" w:cs="宋体"/>
          <w:color w:val="auto"/>
        </w:rPr>
        <w:t xml:space="preserve">27.1.10投标人不能证明其报价合理性的，评标委员会应当将其作为无效投标处理。</w:t>
      </w:r>
      <w:bookmarkEnd w:id="154"/>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（一）评审过程中出现下列情形之一的，评标委员会应当启动异常低价投标审查程序：</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1.投标（响应）报价低于全部通过符合性审查供应商投标（响应）报价平均值50%的，即投标（响应）报价&lt;全部通过符合性审查供应商投标（响应）报价平均值×50%；</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2.投标（响应）报价低于通过符合性审查的次低报价供应商投标（响应）报价50%的，即投标（响应）报价&lt;通过符合性审查的次低报价供应商投标（响应）报价×50%；</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3.投标（响应）报价低于采购项目最高限价</w:t>
      </w:r>
      <w:r>
        <w:rPr>
          <w:rFonts w:hint="eastAsia" w:ascii="宋体" w:hAnsi="宋体" w:eastAsia="宋体" w:cs="宋体"/>
          <w:b/>
          <w:bCs/>
          <w:color w:val="auto"/>
          <w:lang w:val="en-US" w:eastAsia="zh-CN"/>
        </w:rPr>
        <w:t xml:space="preserve">6</w:t>
      </w:r>
      <w:r>
        <w:rPr>
          <w:rFonts w:hint="eastAsia" w:ascii="宋体" w:hAnsi="宋体" w:eastAsia="宋体" w:cs="宋体"/>
          <w:b/>
          <w:bCs/>
          <w:color w:val="auto"/>
        </w:rPr>
        <w:t xml:space="preserve">5%的，即投标（响应）报价&lt;采购项目最高限价×</w:t>
      </w:r>
      <w:r>
        <w:rPr>
          <w:rFonts w:hint="eastAsia" w:ascii="宋体" w:hAnsi="宋体" w:eastAsia="宋体" w:cs="宋体"/>
          <w:b/>
          <w:bCs/>
          <w:color w:val="auto"/>
          <w:lang w:val="en-US" w:eastAsia="zh-CN"/>
        </w:rPr>
        <w:t xml:space="preserve">65%</w:t>
      </w:r>
      <w:r>
        <w:rPr>
          <w:rFonts w:hint="eastAsia" w:ascii="宋体" w:hAnsi="宋体" w:eastAsia="宋体" w:cs="宋体"/>
          <w:b/>
          <w:bCs/>
          <w:color w:val="auto"/>
        </w:rPr>
        <w:t xml:space="preserve">；</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4.评审委员会基于专业判断，认为供应商报价过低，有可能影响产品质量或者不能诚信履约的其他情形。</w:t>
      </w:r>
      <w:r/>
    </w:p>
    <w:p>
      <w:pPr>
        <w:pStyle w:val="721"/>
        <w:jc w:val="both"/>
        <w:spacing w:beforeAutospacing="0" w:afterAutospacing="0" w:line="500" w:lineRule="exact"/>
        <w:rPr>
          <w:rFonts w:hint="eastAsia" w:ascii="宋体" w:hAnsi="宋体" w:eastAsia="宋体" w:cs="宋体"/>
          <w:b/>
          <w:bCs/>
          <w:color w:val="auto"/>
          <w:u w:val="single"/>
        </w:rPr>
      </w:pPr>
      <w:r>
        <w:rPr>
          <w:rFonts w:hint="eastAsia" w:ascii="宋体" w:hAnsi="宋体" w:eastAsia="宋体" w:cs="宋体"/>
          <w:b/>
          <w:bCs/>
          <w:color w:val="auto"/>
          <w:u w:val="single"/>
        </w:rPr>
        <w:t xml:space="preserve">提醒：采购人可以结合具体项目实际情况，提高上述第1项至第3项中启动异常低价投标（响应）审查的数值标准，但是最高不得超过65%。</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相关法律法规对供应商报价有规定的，从其规定。</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1"/>
        <w:jc w:val="both"/>
        <w:spacing w:beforeAutospacing="0" w:afterAutospacing="0" w:line="500" w:lineRule="exact"/>
        <w:rPr>
          <w:rFonts w:hint="eastAsia" w:ascii="宋体" w:hAnsi="宋体" w:eastAsia="宋体" w:cs="宋体"/>
          <w:b/>
          <w:bCs/>
          <w:color w:val="auto"/>
        </w:rPr>
      </w:pPr>
      <w:r>
        <w:rPr>
          <w:rFonts w:hint="eastAsia" w:ascii="宋体" w:hAnsi="宋体" w:eastAsia="宋体" w:cs="宋体"/>
          <w:b/>
          <w:bCs/>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auto"/>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w:t>
      </w:r>
      <w:r>
        <w:rPr>
          <w:rFonts w:hint="eastAsia" w:ascii="宋体" w:hAnsi="宋体" w:eastAsia="宋体" w:cs="宋体"/>
        </w:rPr>
        <w:t xml:space="preserve">产品认证证书图片）</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27.1.12投标文件未按照招标文件要求加盖CA电子公章的。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27.2废标条款</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27.2.3因重大变故，采购任务取消的。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27.2.5因苏采云系统系统故障原因造成开标不成功的。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27.3投标截止时间结束后参加投标的供应商不足三家的处理：</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spacing w:line="500" w:lineRule="exact"/>
        <w:widowControl w:val="off"/>
        <w:rPr>
          <w:rFonts w:hint="eastAsia" w:asciiTheme="minorEastAsia" w:hAnsiTheme="minorEastAsia" w:cstheme="minorEastAsia"/>
          <w:b/>
          <w:bCs/>
          <w:sz w:val="24"/>
        </w:rPr>
      </w:pPr>
      <w:r/>
      <w:bookmarkStart w:id="155" w:name="_Toc120614219"/>
      <w:r>
        <w:rPr>
          <w:rFonts w:hint="eastAsia" w:asciiTheme="minorEastAsia" w:hAnsiTheme="minorEastAsia" w:cstheme="minorEastAsia"/>
          <w:b/>
          <w:bCs/>
          <w:sz w:val="24"/>
        </w:rPr>
        <w:t xml:space="preserve">六、定标</w:t>
      </w:r>
      <w:bookmarkEnd w:id="155"/>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56" w:name="_Toc20823310"/>
      <w:r/>
      <w:bookmarkStart w:id="157" w:name="_Toc16938554"/>
      <w:r/>
      <w:bookmarkStart w:id="158" w:name="_Toc513029238"/>
      <w:r>
        <w:rPr>
          <w:rFonts w:hint="eastAsia" w:ascii="宋体" w:hAnsi="宋体" w:eastAsia="宋体" w:cs="宋体"/>
          <w:color w:val="000000"/>
        </w:rPr>
        <w:t xml:space="preserve">28、</w:t>
      </w:r>
      <w:bookmarkEnd w:id="156"/>
      <w:r>
        <w:rPr>
          <w:rFonts w:hint="eastAsia" w:ascii="宋体" w:hAnsi="宋体" w:eastAsia="宋体" w:cs="宋体"/>
          <w:color w:val="000000"/>
        </w:rPr>
        <w:t xml:space="preserve">确定</w:t>
      </w:r>
      <w:bookmarkEnd w:id="157"/>
      <w:r/>
      <w:bookmarkEnd w:id="158"/>
      <w:r>
        <w:rPr>
          <w:rFonts w:hint="eastAsia" w:ascii="宋体" w:hAnsi="宋体" w:eastAsia="宋体" w:cs="宋体"/>
          <w:color w:val="000000"/>
        </w:rPr>
        <w:t xml:space="preserve">中标单位</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28.2采购人应根据评委会推荐的中标候选人确定中标人。</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28.3采购代理机构将在“中国政府采购网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721"/>
        <w:ind w:firstLine="480"/>
        <w:jc w:val="both"/>
        <w:spacing w:beforeAutospacing="0" w:afterAutospacing="0" w:line="500" w:lineRule="exact"/>
        <w:widowControl w:val="off"/>
        <w:rPr>
          <w:rFonts w:hint="eastAsia" w:ascii="宋体" w:hAnsi="宋体" w:eastAsia="宋体" w:cs="宋体"/>
        </w:rPr>
      </w:pPr>
      <w:r/>
      <w:bookmarkStart w:id="159" w:name="_Toc200451960"/>
      <w:r>
        <w:rPr>
          <w:rFonts w:hint="eastAsia" w:ascii="宋体" w:hAnsi="宋体" w:eastAsia="宋体" w:cs="宋体"/>
          <w:color w:val="000000"/>
        </w:rPr>
        <w:t xml:space="preserve">28.5.有下列情形之一的，视为投标人串通投标，投标无效：</w:t>
      </w:r>
      <w:bookmarkEnd w:id="159"/>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28.5.3不同投标人的投标文件载明的项目管理成员或者联系人员为同一人；</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29、质疑处理</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29.1提出质疑的供应商应当是参与所质疑项目采购活动的供应商。潜在供应商依法获取其可质疑的采购文件的，可以对采购文件提出质疑。</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721"/>
        <w:ind w:left="479" w:firstLine="67"/>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721"/>
        <w:ind w:left="479" w:firstLine="67"/>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29.2.3对中标或者成交结果提出质疑的，为中标或者成交结果公告期限届满之日。</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29.4供应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采购代理机构及采购人只接收以纸质原件形式送达的质疑,采购人和采购代理机构不接受未填写快递运单的快件。联系地址及联系方式同招标公告</w:t>
      </w:r>
      <w:r>
        <w:rPr>
          <w:rFonts w:hint="eastAsia" w:ascii="宋体" w:hAnsi="宋体" w:eastAsia="宋体" w:cs="宋体"/>
        </w:rPr>
        <w:t xml:space="preserve">。</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29.5以下情形的质疑不予受理</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29.5.2超出政府采购法定期限的质疑。</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29.5.4未参加投标活动的供应商或在投标活动中自身权益未受到损害的供应商所提出的质疑。</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30、中标通知书</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500" w:lineRule="exact"/>
        <w:widowControl w:val="off"/>
        <w:rPr>
          <w:rFonts w:hint="eastAsia" w:asciiTheme="minorEastAsia" w:hAnsiTheme="minorEastAsia" w:cstheme="minorEastAsia"/>
          <w:b/>
          <w:bCs/>
          <w:sz w:val="24"/>
        </w:rPr>
      </w:pPr>
      <w:r/>
      <w:bookmarkStart w:id="160" w:name="_Toc16938552"/>
      <w:r/>
      <w:bookmarkStart w:id="161" w:name="_Toc513029236"/>
      <w:r/>
      <w:bookmarkStart w:id="162" w:name="_Toc20823308"/>
      <w:r/>
      <w:bookmarkStart w:id="163" w:name="_Toc120614220"/>
      <w:r>
        <w:rPr>
          <w:rFonts w:hint="eastAsia" w:asciiTheme="minorEastAsia" w:hAnsiTheme="minorEastAsia" w:cstheme="minorEastAsia"/>
          <w:b/>
          <w:bCs/>
          <w:sz w:val="24"/>
        </w:rPr>
        <w:t xml:space="preserve">七、授予合同</w:t>
      </w:r>
      <w:bookmarkEnd w:id="160"/>
      <w:r/>
      <w:bookmarkEnd w:id="161"/>
      <w:r/>
      <w:bookmarkEnd w:id="162"/>
      <w:r/>
      <w:bookmarkEnd w:id="163"/>
      <w:r/>
      <w:r/>
    </w:p>
    <w:p>
      <w:pPr>
        <w:pStyle w:val="721"/>
        <w:ind w:firstLine="480"/>
        <w:jc w:val="both"/>
        <w:spacing w:beforeAutospacing="0" w:afterAutospacing="0" w:line="500" w:lineRule="exact"/>
        <w:widowControl w:val="off"/>
        <w:rPr>
          <w:rFonts w:hint="eastAsia" w:ascii="宋体" w:hAnsi="宋体" w:eastAsia="宋体" w:cs="宋体"/>
          <w:color w:val="000000"/>
        </w:rPr>
      </w:pPr>
      <w:r/>
      <w:bookmarkStart w:id="164" w:name="_Toc20823309"/>
      <w:r/>
      <w:bookmarkStart w:id="165" w:name="_Toc16938553"/>
      <w:r/>
      <w:bookmarkStart w:id="166" w:name="_Toc513029237"/>
      <w:r>
        <w:rPr>
          <w:rFonts w:hint="eastAsia" w:ascii="宋体" w:hAnsi="宋体" w:eastAsia="宋体" w:cs="宋体"/>
          <w:color w:val="000000"/>
        </w:rPr>
        <w:t xml:space="preserve">31、签订合同</w:t>
      </w:r>
      <w:bookmarkEnd w:id="164"/>
      <w:r/>
      <w:bookmarkEnd w:id="165"/>
      <w:r/>
      <w:bookmarkEnd w:id="166"/>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31.2招标文件、中标人的投标文件及招标过程中有关澄清、承诺文件均应作为合同附件。</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31.3签订合同后，</w:t>
      </w:r>
      <w:r>
        <w:rPr>
          <w:rFonts w:hint="eastAsia" w:ascii="宋体" w:hAnsi="宋体" w:eastAsia="宋体" w:cs="宋体"/>
          <w:i/>
          <w:iCs/>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32、货物（包含与货物相关的服务）的追加</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33、政府采购政策功能落实</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33.1政府采购线上合同信用融资政策</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33.2进口产品</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33.3.1中小企业定义：</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中小企业</w:t>
      </w:r>
      <w:r>
        <w:rPr>
          <w:rFonts w:hint="eastAsia" w:ascii="宋体" w:hAnsi="宋体" w:eastAsia="宋体" w:cs="宋体"/>
          <w:color w:val="00000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33.3.2供应商提供的货物、工程或者服务符合下列情形的，享受中小企业扶持政策：</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33.3.3在货物采购项目中，供应商提供的货物既有中小企业制造货物，也有大型企业制造货物的，不享受中小企业扶持政策。</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33.3.7本项目是否专门面向中小企业预留采购份额见第一章《招标公告》。</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w:t>
      </w:r>
      <w:r>
        <w:rPr>
          <w:rFonts w:hint="eastAsia" w:ascii="宋体" w:hAnsi="宋体" w:eastAsia="宋体" w:cs="宋体"/>
        </w:rPr>
        <w:t xml:space="preserve">时已正式公布的最近一期信息为准，</w:t>
      </w:r>
      <w:r>
        <w:rPr>
          <w:rFonts w:hint="eastAsia" w:ascii="宋体" w:hAnsi="宋体" w:eastAsia="宋体" w:cs="宋体"/>
          <w:b/>
          <w:i/>
        </w:rPr>
        <w:t xml:space="preserve">如属政府强制采购产品未提供认证证书的或认证证书提供不全的将视为未实质性响应采购要求</w:t>
      </w:r>
      <w:r>
        <w:rPr>
          <w:rFonts w:hint="eastAsia" w:ascii="宋体" w:hAnsi="宋体" w:eastAsia="宋体" w:cs="宋体"/>
          <w:i/>
        </w:rPr>
        <w:t xml:space="preserve">。</w:t>
      </w:r>
      <w:r>
        <w:rPr>
          <w:rFonts w:hint="eastAsia" w:ascii="宋体" w:hAnsi="宋体" w:eastAsia="宋体" w:cs="宋体"/>
          <w:color w:val="000000"/>
        </w:rPr>
        <w:t xml:space="preserve">其他条件相同情况下，应当优先采购节能产品、环境标志产品。</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33.5绿色包装</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33.6政府采购创新产品</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33.7绿色数据中心政策 </w:t>
      </w:r>
      <w:r/>
    </w:p>
    <w:p>
      <w:pPr>
        <w:pStyle w:val="721"/>
        <w:ind w:firstLine="480"/>
        <w:jc w:val="both"/>
        <w:spacing w:beforeAutospacing="0" w:afterAutospacing="0" w:line="500" w:lineRule="exact"/>
        <w:widowControl w:val="off"/>
        <w:rPr>
          <w:rFonts w:hint="eastAsia" w:ascii="宋体" w:hAnsi="宋体" w:eastAsia="宋体" w:cs="宋体"/>
          <w:color w:val="auto"/>
        </w:rPr>
      </w:pPr>
      <w:r>
        <w:rPr>
          <w:rFonts w:hint="eastAsia" w:ascii="宋体" w:hAnsi="宋体" w:eastAsia="宋体" w:cs="宋体"/>
          <w:color w:val="000000"/>
        </w:rPr>
        <w:t xml:space="preserve">本文件中若涉及到数据中心采购，采购人应依据《绿色数据中心政府采购需求标准（试行）》（</w:t>
      </w:r>
      <w:r>
        <w:rPr>
          <w:rFonts w:hint="eastAsia" w:ascii="宋体" w:hAnsi="宋体" w:eastAsia="宋体" w:cs="宋体"/>
          <w:color w:val="000000"/>
        </w:rPr>
        <w:t xml:space="preserve">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w:t>
      </w:r>
      <w:r>
        <w:rPr>
          <w:rFonts w:hint="eastAsia" w:ascii="宋体" w:hAnsi="宋体" w:eastAsia="宋体" w:cs="宋体"/>
          <w:color w:val="auto"/>
        </w:rPr>
        <w:t xml:space="preserve">阶段提供相关检测报告、认证报告。</w:t>
      </w:r>
      <w:r/>
    </w:p>
    <w:p>
      <w:pPr>
        <w:spacing w:line="500" w:lineRule="exact"/>
        <w:rPr>
          <w:rFonts w:hint="eastAsia" w:ascii="宋体" w:hAnsi="宋体" w:eastAsia="宋体" w:cs="宋体"/>
          <w:b/>
          <w:bCs/>
          <w:color w:val="auto"/>
          <w:sz w:val="24"/>
          <w:u w:val="none"/>
        </w:rPr>
      </w:pPr>
      <w:r>
        <w:rPr>
          <w:rFonts w:hint="eastAsia" w:ascii="宋体" w:hAnsi="宋体" w:eastAsia="宋体" w:cs="宋体"/>
          <w:b/>
          <w:bCs/>
          <w:color w:val="auto"/>
          <w:sz w:val="24"/>
          <w:u w:val="none"/>
        </w:rPr>
        <w:t xml:space="preserve">33.8实施本国产品标准及相关政策</w:t>
      </w:r>
      <w:r/>
    </w:p>
    <w:p>
      <w:pPr>
        <w:spacing w:line="500" w:lineRule="exact"/>
        <w:rPr>
          <w:rFonts w:hint="eastAsia" w:ascii="宋体" w:hAnsi="宋体" w:eastAsia="宋体" w:cs="宋体"/>
          <w:b/>
          <w:bCs/>
          <w:color w:val="auto"/>
          <w:sz w:val="24"/>
          <w:u w:val="none"/>
        </w:rPr>
      </w:pPr>
      <w:r>
        <w:rPr>
          <w:rFonts w:hint="eastAsia" w:ascii="宋体" w:hAnsi="宋体" w:eastAsia="宋体" w:cs="宋体"/>
          <w:b/>
          <w:bCs/>
          <w:color w:val="auto"/>
          <w:sz w:val="24"/>
          <w:u w:val="none"/>
        </w:rPr>
        <w:t xml:space="preserve">1.本项目对采购本国产品给予政策支持，具体内容见招标文件“第五章 评标方法与评标标准”。</w:t>
      </w:r>
      <w:r/>
    </w:p>
    <w:p>
      <w:pPr>
        <w:spacing w:line="500" w:lineRule="exact"/>
        <w:rPr>
          <w:rFonts w:hint="eastAsia" w:ascii="宋体" w:hAnsi="宋体" w:eastAsia="宋体" w:cs="宋体"/>
          <w:b/>
          <w:bCs/>
          <w:color w:val="auto"/>
          <w:sz w:val="24"/>
          <w:u w:val="none"/>
        </w:rPr>
      </w:pPr>
      <w:r>
        <w:rPr>
          <w:rFonts w:hint="eastAsia" w:ascii="宋体" w:hAnsi="宋体" w:eastAsia="宋体" w:cs="宋体"/>
          <w:b/>
          <w:bCs/>
          <w:color w:val="auto"/>
          <w:sz w:val="24"/>
          <w:u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500" w:lineRule="exact"/>
        <w:rPr>
          <w:rFonts w:hint="eastAsia" w:ascii="宋体" w:hAnsi="宋体" w:eastAsia="宋体" w:cs="宋体"/>
          <w:b/>
          <w:bCs/>
          <w:color w:val="auto"/>
          <w:sz w:val="24"/>
          <w:u w:val="none"/>
        </w:rPr>
      </w:pPr>
      <w:r>
        <w:rPr>
          <w:rFonts w:hint="eastAsia" w:ascii="宋体" w:hAnsi="宋体" w:eastAsia="宋体" w:cs="宋体"/>
          <w:b/>
          <w:bCs/>
          <w:color w:val="auto"/>
          <w:sz w:val="24"/>
          <w:u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500" w:lineRule="exact"/>
        <w:rPr>
          <w:rFonts w:hint="eastAsia" w:ascii="宋体" w:hAnsi="宋体" w:eastAsia="宋体" w:cs="宋体"/>
          <w:b/>
          <w:bCs/>
          <w:color w:val="auto"/>
          <w:sz w:val="24"/>
          <w:u w:val="single"/>
        </w:rPr>
      </w:pPr>
      <w:r>
        <w:rPr>
          <w:rFonts w:hint="eastAsia" w:ascii="宋体" w:hAnsi="宋体" w:eastAsia="宋体" w:cs="宋体"/>
          <w:b/>
          <w:bCs/>
          <w:color w:val="auto"/>
          <w:sz w:val="24"/>
          <w:u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21"/>
        <w:ind w:firstLine="480"/>
        <w:jc w:val="both"/>
        <w:spacing w:beforeAutospacing="0" w:afterAutospacing="0" w:line="500" w:lineRule="exact"/>
        <w:widowControl w:val="off"/>
        <w:rPr>
          <w:rFonts w:hint="eastAsia" w:ascii="宋体" w:hAnsi="宋体" w:eastAsia="宋体" w:cs="宋体"/>
          <w:color w:val="auto"/>
        </w:rPr>
      </w:pPr>
      <w:r>
        <w:rPr>
          <w:rFonts w:hint="eastAsia" w:ascii="宋体" w:hAnsi="宋体" w:eastAsia="宋体" w:cs="宋体"/>
          <w:color w:val="auto"/>
        </w:rPr>
        <w:t xml:space="preserve">33.9履约保证金政策</w:t>
      </w:r>
      <w:r/>
    </w:p>
    <w:p>
      <w:pPr>
        <w:pStyle w:val="721"/>
        <w:ind w:firstLine="480"/>
        <w:jc w:val="both"/>
        <w:spacing w:beforeAutospacing="0" w:afterAutospacing="0" w:line="500" w:lineRule="exact"/>
        <w:widowControl w:val="off"/>
        <w:rPr>
          <w:rFonts w:hint="eastAsia" w:ascii="宋体" w:hAnsi="宋体" w:eastAsia="宋体" w:cs="宋体"/>
          <w:color w:val="auto"/>
        </w:rPr>
      </w:pPr>
      <w:r>
        <w:rPr>
          <w:rFonts w:hint="eastAsia" w:ascii="宋体" w:hAnsi="宋体" w:eastAsia="宋体" w:cs="宋体"/>
          <w:color w:val="auto"/>
        </w:rPr>
        <w:t xml:space="preserve">确需收取履约保证金的，履约保证金的缴纳形式：</w:t>
      </w:r>
      <w:r/>
    </w:p>
    <w:p>
      <w:pPr>
        <w:pStyle w:val="721"/>
        <w:ind w:firstLine="480"/>
        <w:jc w:val="both"/>
        <w:spacing w:beforeAutospacing="0" w:afterAutospacing="0" w:line="500" w:lineRule="exact"/>
        <w:widowControl w:val="off"/>
        <w:rPr>
          <w:rFonts w:hint="eastAsia" w:ascii="宋体" w:hAnsi="宋体" w:eastAsia="宋体" w:cs="宋体"/>
          <w:color w:val="auto"/>
        </w:rPr>
      </w:pPr>
      <w:r>
        <w:rPr>
          <w:rFonts w:hint="eastAsia" w:ascii="宋体" w:hAnsi="宋体" w:eastAsia="宋体" w:cs="宋体"/>
          <w:color w:va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34. 预付款制度</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本项目落实预付款制</w:t>
      </w:r>
      <w:r>
        <w:rPr>
          <w:rFonts w:hint="eastAsia" w:ascii="宋体" w:hAnsi="宋体" w:eastAsia="宋体" w:cs="宋体"/>
          <w:color w:val="000000"/>
          <w:highlight w:val="none"/>
        </w:rPr>
        <w:t xml:space="preserve">度，预付款比例为30%。在签</w:t>
      </w:r>
      <w:r>
        <w:rPr>
          <w:rFonts w:hint="eastAsia" w:ascii="宋体" w:hAnsi="宋体" w:eastAsia="宋体" w:cs="宋体"/>
          <w:color w:val="000000"/>
        </w:rPr>
        <w:t xml:space="preserve">订合同时，中标、成交供应商明确书面表示无需预付款或者主动要求降低预付款比例的，采购人可就预付款比例作相应调整。</w:t>
      </w:r>
      <w:r/>
    </w:p>
    <w:p>
      <w:pPr>
        <w:pStyle w:val="721"/>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    </w:t>
      </w:r>
      <w:r/>
    </w:p>
    <w:p>
      <w:pPr>
        <w:ind w:firstLine="0"/>
        <w:spacing w:line="500" w:lineRule="exac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5"/>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0"/>
        <w:jc w:val="lef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clear="all"/>
      </w:r>
      <w:r/>
    </w:p>
    <w:p>
      <w:pPr>
        <w:ind w:firstLine="2640"/>
        <w:spacing w:line="500" w:lineRule="exac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2640"/>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第三章  合同条款</w:t>
      </w:r>
      <w:r/>
    </w:p>
    <w:p>
      <w:pPr>
        <w:ind w:firstLine="420"/>
        <w:rPr>
          <w:rFonts w:hint="eastAsia" w:ascii="宋体" w:hAnsi="宋体" w:cs="宋体"/>
        </w:rPr>
      </w:pPr>
      <w:r/>
      <w:bookmarkStart w:id="167" w:name="EB6d2006462e294de090c16e672cecc3bd"/>
      <w:r/>
      <w:bookmarkEnd w:id="167"/>
      <w:r/>
      <w:r/>
    </w:p>
    <w:p>
      <w:pPr>
        <w:ind w:firstLine="884"/>
        <w:jc w:val="center"/>
        <w:rPr>
          <w:rFonts w:hint="eastAsia" w:ascii="宋体" w:hAnsi="宋体" w:cs="宋体"/>
          <w:b/>
          <w:bCs/>
          <w:spacing w:val="-20"/>
          <w:sz w:val="48"/>
          <w:szCs w:val="48"/>
        </w:rPr>
      </w:pPr>
      <w:r/>
      <w:bookmarkStart w:id="168" w:name="_Toc3995"/>
      <w:r/>
      <w:r/>
    </w:p>
    <w:p>
      <w:pPr>
        <w:ind w:firstLine="884"/>
        <w:jc w:val="center"/>
        <w:rPr>
          <w:rFonts w:hint="eastAsia" w:ascii="宋体" w:hAnsi="宋体" w:cs="宋体"/>
          <w:b/>
          <w:bCs/>
          <w:spacing w:val="-20"/>
          <w:sz w:val="48"/>
          <w:szCs w:val="48"/>
        </w:rPr>
      </w:pPr>
      <w:r>
        <w:rPr>
          <w:rFonts w:hint="eastAsia" w:ascii="宋体" w:hAnsi="宋体" w:cs="宋体"/>
          <w:b/>
          <w:bCs/>
          <w:spacing w:val="-20"/>
          <w:sz w:val="48"/>
          <w:szCs w:val="48"/>
        </w:rPr>
      </w:r>
      <w:r/>
    </w:p>
    <w:p>
      <w:pPr>
        <w:ind w:firstLine="884"/>
        <w:jc w:val="center"/>
        <w:rPr>
          <w:rFonts w:hint="eastAsia" w:ascii="宋体" w:hAnsi="宋体" w:cs="宋体"/>
          <w:b/>
          <w:bCs/>
          <w:spacing w:val="-20"/>
          <w:sz w:val="48"/>
          <w:szCs w:val="48"/>
        </w:rPr>
      </w:pPr>
      <w:r>
        <w:rPr>
          <w:rFonts w:hint="eastAsia" w:ascii="宋体" w:hAnsi="宋体" w:cs="宋体"/>
          <w:b/>
          <w:bCs/>
          <w:spacing w:val="-20"/>
          <w:sz w:val="48"/>
          <w:szCs w:val="48"/>
        </w:rPr>
      </w:r>
      <w:r/>
    </w:p>
    <w:p>
      <w:pPr>
        <w:ind w:firstLine="600"/>
        <w:jc w:val="center"/>
        <w:rPr>
          <w:rFonts w:hint="eastAsia" w:ascii="宋体" w:hAnsi="宋体" w:cs="宋体"/>
          <w:sz w:val="30"/>
        </w:rPr>
      </w:pPr>
      <w:r>
        <w:rPr>
          <w:rFonts w:hint="eastAsia" w:ascii="宋体" w:hAnsi="宋体" w:cs="宋体"/>
          <w:sz w:val="30"/>
        </w:rPr>
      </w:r>
      <w:r/>
    </w:p>
    <w:p>
      <w:pPr>
        <w:ind w:firstLine="0"/>
        <w:jc w:val="center"/>
        <w:rPr>
          <w:rFonts w:hint="eastAsia" w:ascii="宋体" w:hAnsi="宋体" w:cs="宋体"/>
          <w:sz w:val="30"/>
        </w:rPr>
      </w:pPr>
      <w:r>
        <w:rPr>
          <w:rFonts w:hint="eastAsia" w:ascii="宋体" w:hAnsi="宋体" w:cs="宋体"/>
          <w:sz w:val="30"/>
        </w:rPr>
        <w:t xml:space="preserve">政府采购货物买卖合同</w:t>
      </w:r>
      <w:r/>
    </w:p>
    <w:p>
      <w:pPr>
        <w:ind w:firstLine="600"/>
        <w:jc w:val="center"/>
        <w:rPr>
          <w:rFonts w:hint="eastAsia" w:ascii="宋体" w:hAnsi="宋体" w:cs="宋体"/>
          <w:sz w:val="30"/>
        </w:rPr>
      </w:pPr>
      <w:r>
        <w:rPr>
          <w:rFonts w:hint="eastAsia" w:ascii="宋体" w:hAnsi="宋体" w:cs="宋体"/>
          <w:sz w:val="30"/>
        </w:rPr>
      </w:r>
      <w:r/>
    </w:p>
    <w:p>
      <w:pPr>
        <w:ind w:firstLine="600"/>
        <w:rPr>
          <w:rFonts w:hint="eastAsia" w:ascii="宋体" w:hAnsi="宋体" w:cs="宋体"/>
          <w:sz w:val="30"/>
        </w:rPr>
      </w:pPr>
      <w:r>
        <w:rPr>
          <w:rFonts w:hint="eastAsia" w:ascii="宋体" w:hAnsi="宋体" w:cs="宋体"/>
          <w:sz w:val="30"/>
        </w:rPr>
      </w:r>
      <w:r/>
    </w:p>
    <w:p>
      <w:pPr>
        <w:ind w:firstLine="600"/>
        <w:rPr>
          <w:rFonts w:hint="eastAsia" w:ascii="宋体" w:hAnsi="宋体" w:cs="宋体"/>
          <w:sz w:val="30"/>
        </w:rPr>
      </w:pPr>
      <w:r>
        <w:rPr>
          <w:rFonts w:hint="eastAsia" w:ascii="宋体" w:hAnsi="宋体" w:cs="宋体"/>
          <w:sz w:val="30"/>
        </w:rPr>
      </w:r>
      <w:r/>
    </w:p>
    <w:p>
      <w:pPr>
        <w:ind w:firstLine="600"/>
        <w:rPr>
          <w:rFonts w:hint="eastAsia" w:ascii="宋体" w:hAnsi="宋体" w:cs="宋体"/>
          <w:sz w:val="30"/>
        </w:rPr>
      </w:pPr>
      <w:r>
        <w:rPr>
          <w:rFonts w:hint="eastAsia" w:ascii="宋体" w:hAnsi="宋体" w:cs="宋体"/>
          <w:sz w:val="30"/>
        </w:rPr>
      </w:r>
      <w:r/>
    </w:p>
    <w:p>
      <w:pPr>
        <w:ind w:left="420" w:firstLine="600"/>
        <w:spacing w:line="360" w:lineRule="auto"/>
        <w:rPr>
          <w:rFonts w:hint="eastAsia" w:ascii="宋体" w:hAnsi="宋体" w:cs="宋体"/>
          <w:sz w:val="30"/>
        </w:rPr>
      </w:pPr>
      <w:r>
        <w:rPr>
          <w:rFonts w:hint="eastAsia" w:ascii="宋体" w:hAnsi="宋体" w:cs="宋体"/>
          <w:sz w:val="30"/>
        </w:rPr>
        <w:t xml:space="preserve">项目名称：</w:t>
      </w:r>
      <w:r/>
    </w:p>
    <w:p>
      <w:pPr>
        <w:ind w:left="420" w:firstLine="600"/>
        <w:spacing w:line="360" w:lineRule="auto"/>
        <w:rPr>
          <w:rFonts w:hint="eastAsia" w:ascii="宋体" w:hAnsi="宋体" w:cs="宋体"/>
          <w:sz w:val="30"/>
        </w:rPr>
      </w:pPr>
      <w:r>
        <w:rPr>
          <w:rFonts w:hint="eastAsia" w:ascii="宋体" w:hAnsi="宋体" w:cs="宋体"/>
          <w:sz w:val="30"/>
        </w:rPr>
        <w:t xml:space="preserve">合同编号：</w:t>
      </w:r>
      <w:r/>
    </w:p>
    <w:p>
      <w:pPr>
        <w:ind w:left="420" w:firstLine="600"/>
        <w:spacing w:line="360" w:lineRule="auto"/>
        <w:rPr>
          <w:rFonts w:hint="eastAsia" w:ascii="宋体" w:hAnsi="宋体" w:cs="宋体"/>
          <w:sz w:val="30"/>
        </w:rPr>
      </w:pPr>
      <w:r>
        <w:rPr>
          <w:rFonts w:hint="eastAsia" w:ascii="宋体" w:hAnsi="宋体" w:cs="宋体"/>
          <w:sz w:val="30"/>
        </w:rPr>
        <w:t xml:space="preserve">甲    方：</w:t>
      </w:r>
      <w:r/>
    </w:p>
    <w:p>
      <w:pPr>
        <w:ind w:left="420" w:firstLine="600"/>
        <w:spacing w:line="360" w:lineRule="auto"/>
        <w:rPr>
          <w:rFonts w:hint="eastAsia" w:ascii="宋体" w:hAnsi="宋体" w:cs="宋体"/>
          <w:sz w:val="30"/>
        </w:rPr>
      </w:pPr>
      <w:r>
        <w:rPr>
          <w:rFonts w:hint="eastAsia" w:ascii="宋体" w:hAnsi="宋体" w:cs="宋体"/>
          <w:sz w:val="30"/>
        </w:rPr>
        <w:t xml:space="preserve">乙    方：</w:t>
      </w:r>
      <w:r/>
    </w:p>
    <w:p>
      <w:pPr>
        <w:ind w:left="420" w:firstLine="600"/>
        <w:spacing w:line="360" w:lineRule="auto"/>
        <w:rPr>
          <w:rFonts w:hint="eastAsia" w:ascii="宋体" w:hAnsi="宋体" w:cs="宋体"/>
          <w:sz w:val="30"/>
        </w:rPr>
      </w:pPr>
      <w:r>
        <w:rPr>
          <w:rFonts w:hint="eastAsia" w:ascii="宋体" w:hAnsi="宋体" w:cs="宋体"/>
          <w:sz w:val="30"/>
        </w:rPr>
        <w:t xml:space="preserve">签订时间：</w:t>
      </w:r>
      <w:r/>
    </w:p>
    <w:p>
      <w:pPr>
        <w:ind w:firstLine="420"/>
      </w:pPr>
      <w:r/>
      <w:r/>
    </w:p>
    <w:p>
      <w:pPr>
        <w:ind w:firstLine="880"/>
        <w:rPr>
          <w:rFonts w:eastAsia="黑体"/>
          <w:sz w:val="44"/>
          <w:szCs w:val="44"/>
        </w:rPr>
      </w:pPr>
      <w:r>
        <w:rPr>
          <w:rFonts w:eastAsia="黑体"/>
          <w:sz w:val="44"/>
          <w:szCs w:val="44"/>
        </w:rPr>
        <w:br w:type="page" w:clear="all"/>
      </w:r>
      <w:r/>
    </w:p>
    <w:p>
      <w:pPr>
        <w:ind w:firstLine="0"/>
        <w:jc w:val="center"/>
        <w:rPr>
          <w:rFonts w:eastAsia="黑体"/>
          <w:sz w:val="44"/>
          <w:szCs w:val="44"/>
        </w:rPr>
      </w:pPr>
      <w:r>
        <w:rPr>
          <w:rFonts w:eastAsia="黑体"/>
          <w:sz w:val="44"/>
          <w:szCs w:val="44"/>
        </w:rPr>
      </w:r>
      <w:r/>
    </w:p>
    <w:p>
      <w:pPr>
        <w:ind w:firstLine="0"/>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68"/>
      <w:r/>
      <w:r/>
    </w:p>
    <w:p>
      <w:pPr>
        <w:ind w:firstLine="880"/>
        <w:rPr>
          <w:rFonts w:eastAsia="黑体"/>
          <w:sz w:val="44"/>
          <w:szCs w:val="44"/>
        </w:rPr>
        <w:sectPr>
          <w:footerReference w:type="default" r:id="rId9"/>
          <w:footnotePr/>
          <w:endnotePr/>
          <w:type w:val="nextPage"/>
          <w:pgSz w:w="11906" w:h="16838" w:orient="portrait"/>
          <w:pgMar w:top="1247" w:right="1417" w:bottom="1247" w:left="1417" w:header="851" w:footer="992" w:gutter="0"/>
          <w:pgNumType w:start="1"/>
          <w:cols w:num="1" w:sep="0" w:space="425" w:equalWidth="1"/>
          <w:docGrid w:linePitch="360"/>
        </w:sectPr>
      </w:pPr>
      <w:r>
        <w:rPr>
          <w:rFonts w:eastAsia="黑体"/>
          <w:sz w:val="44"/>
          <w:szCs w:val="44"/>
        </w:rPr>
      </w:r>
      <w:r/>
    </w:p>
    <w:p>
      <w:r/>
      <w:bookmarkStart w:id="169" w:name="_Toc22209"/>
      <w:r/>
      <w:r/>
    </w:p>
    <w:p>
      <w:pPr>
        <w:ind w:firstLine="0"/>
        <w:jc w:val="center"/>
        <w:keepLines/>
        <w:keepNext/>
        <w:spacing w:line="400" w:lineRule="exact"/>
        <w:widowControl w:val="off"/>
        <w:rPr>
          <w:rFonts w:hint="eastAsia" w:ascii="黑体" w:hAnsi="黑体" w:eastAsia="黑体"/>
          <w:sz w:val="32"/>
          <w:szCs w:val="32"/>
        </w:rPr>
        <w:outlineLvl w:val="1"/>
      </w:pPr>
      <w:r>
        <w:rPr>
          <w:rFonts w:hint="eastAsia" w:ascii="黑体" w:hAnsi="黑体" w:eastAsia="黑体"/>
          <w:sz w:val="32"/>
          <w:szCs w:val="32"/>
        </w:rPr>
        <w:t xml:space="preserve">第一节 政府采购合同协议书</w:t>
      </w:r>
      <w:bookmarkEnd w:id="169"/>
      <w:r/>
      <w:r/>
    </w:p>
    <w:p>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spacing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ind w:firstLine="480"/>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numPr>
          <w:ilvl w:val="255"/>
          <w:numId w:val="0"/>
        </w:numPr>
        <w:ind w:firstLine="480"/>
        <w:spacing w:line="360" w:lineRule="auto"/>
        <w:rPr>
          <w:rFonts w:hint="eastAsia" w:ascii="宋体" w:hAnsi="宋体" w:cs="宋体"/>
          <w:sz w:val="24"/>
        </w:rPr>
      </w:pPr>
      <w:r>
        <w:rPr>
          <w:rFonts w:hint="eastAsia" w:ascii="宋体" w:hAnsi="宋体"/>
          <w:sz w:val="24"/>
        </w:rPr>
        <w:t xml:space="preserve">采购标的的技术要求、商务要求具体见附件。</w:t>
      </w:r>
      <w:r/>
    </w:p>
    <w:p>
      <w:pPr>
        <w:numPr>
          <w:ilvl w:val="255"/>
          <w:numId w:val="0"/>
        </w:numPr>
        <w:ind w:firstLine="480"/>
        <w:jc w:val="left"/>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numPr>
          <w:ilvl w:val="255"/>
          <w:numId w:val="0"/>
        </w:numPr>
        <w:ind w:firstLine="480"/>
        <w:jc w:val="left"/>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80"/>
        <w:jc w:val="left"/>
        <w:spacing w:line="360" w:lineRule="auto"/>
        <w:rPr>
          <w:rFonts w:hint="eastAsia"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hint="eastAsia" w:ascii="宋体" w:hAnsi="宋体"/>
          <w:iCs/>
          <w:sz w:val="24"/>
        </w:rPr>
      </w:pPr>
      <w:r>
        <w:rPr>
          <w:rFonts w:hint="eastAsia" w:ascii="宋体" w:hAnsi="宋体"/>
          <w:sz w:val="24"/>
        </w:rPr>
        <w:t xml:space="preserve">本合同是否为专门面向中小企业的采购合同（中小企业预留合同）</w:t>
      </w:r>
      <w:r>
        <w:rPr>
          <w:rFonts w:hint="eastAsia" w:ascii="宋体" w:hAnsi="宋体" w:eastAsia="宋体"/>
          <w:sz w:val="24"/>
        </w:rPr>
        <w:t xml:space="preserve">:</w:t>
      </w:r>
      <w:r>
        <w:rPr>
          <w:rFonts w:ascii="Wingdings" w:hAnsi="Wingdings" w:eastAsia="Wingdings" w:cs="Wingdings"/>
          <w:iCs/>
          <w:sz w:val="24"/>
        </w:rPr>
        <w:t xml:space="preserve">¨</w:t>
      </w:r>
      <w:r>
        <w:rPr>
          <w:rFonts w:hint="eastAsia" w:ascii="宋体" w:hAnsi="宋体"/>
          <w:iCs/>
          <w:sz w:val="24"/>
        </w:rPr>
        <w:t xml:space="preserve">是</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hint="eastAsia"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hint="eastAsia"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ind w:firstLine="480"/>
        <w:spacing w:line="360" w:lineRule="auto"/>
        <w:rPr>
          <w:rFonts w:hint="eastAsia" w:ascii="宋体" w:hAnsi="宋体"/>
          <w:sz w:val="24"/>
          <w:u w:val="single"/>
        </w:rPr>
      </w:pPr>
      <w:r>
        <w:rPr>
          <w:rFonts w:hint="eastAsia" w:ascii="宋体" w:hAnsi="宋体"/>
          <w:sz w:val="24"/>
        </w:rPr>
        <w:t xml:space="preserve">分包主要内容：</w:t>
      </w:r>
      <w:r/>
    </w:p>
    <w:p>
      <w:pPr>
        <w:ind w:firstLine="48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spacing w:line="360" w:lineRule="auto"/>
        <w:rPr>
          <w:rFonts w:eastAsia="华文楷体"/>
          <w:sz w:val="24"/>
        </w:rPr>
      </w:pPr>
      <w:r>
        <w:rPr>
          <w:rFonts w:hint="eastAsia" w:ascii="宋体" w:hAnsi="宋体"/>
          <w:sz w:val="24"/>
        </w:rPr>
        <w:t xml:space="preserve">分包供应商/制造商类型（如果供应商和制造商不同，只填写制造商类型）：</w:t>
      </w: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eastAsia="华文楷体"/>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tabs>
          <w:tab w:val="left" w:pos="1340" w:leader="none"/>
        </w:tabs>
        <w:rPr>
          <w:rFonts w:hint="eastAsia" w:ascii="宋体" w:hAnsi="宋体" w:cs="宋体"/>
          <w:sz w:val="24"/>
          <w:u w:val="single"/>
        </w:rPr>
      </w:pPr>
      <w:r>
        <w:rPr>
          <w:rFonts w:hint="eastAsia" w:ascii="宋体" w:hAnsi="宋体" w:cs="宋体"/>
          <w:sz w:val="24"/>
        </w:rPr>
        <w:t xml:space="preserve">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48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是，《政府采购品目分类目录》底级品目名称：金额：国别：品牌： 规格型号：</w:t>
      </w:r>
      <w:r/>
    </w:p>
    <w:p>
      <w:pPr>
        <w:ind w:firstLine="480"/>
        <w:spacing w:line="360" w:lineRule="auto"/>
        <w:rPr>
          <w:rFonts w:hint="eastAsia" w:ascii="宋体" w:hAnsi="宋体"/>
          <w:sz w:val="24"/>
        </w:rPr>
      </w:pPr>
      <w:r>
        <w:rPr>
          <w:rFonts w:ascii="Wingdings" w:hAnsi="Wingdings" w:eastAsia="Wingdings" w:cs="Wingdings"/>
          <w:sz w:val="24"/>
        </w:rPr>
        <w:t xml:space="preserve">þ</w:t>
      </w:r>
      <w:r>
        <w:rPr>
          <w:rFonts w:hint="eastAsia" w:ascii="宋体" w:hAnsi="宋体"/>
          <w:sz w:val="24"/>
        </w:rPr>
        <w:t xml:space="preserve">否</w:t>
      </w:r>
      <w:r/>
    </w:p>
    <w:p>
      <w:pPr>
        <w:numPr>
          <w:ilvl w:val="255"/>
          <w:numId w:val="0"/>
        </w:numPr>
        <w:ind w:firstLine="480"/>
        <w:spacing w:line="360" w:lineRule="auto"/>
        <w:tabs>
          <w:tab w:val="left" w:pos="740" w:leader="none"/>
        </w:tabs>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48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hint="eastAsia" w:ascii="宋体" w:hAnsi="宋体"/>
          <w:sz w:val="24"/>
        </w:rPr>
      </w:pPr>
      <w:r>
        <w:rPr>
          <w:rFonts w:hint="eastAsia" w:ascii="宋体" w:hAnsi="宋体"/>
          <w:sz w:val="24"/>
        </w:rPr>
        <w:t xml:space="preserve">是否涉及绿色产品：</w:t>
      </w:r>
      <w:r/>
    </w:p>
    <w:p>
      <w:pPr>
        <w:ind w:firstLine="48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480"/>
        <w:spacing w:line="360" w:lineRule="auto"/>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hint="eastAsia" w:ascii="宋体" w:hAnsi="宋体"/>
          <w:sz w:val="24"/>
        </w:rPr>
      </w:pPr>
      <w:r>
        <w:rPr>
          <w:rFonts w:ascii="Wingdings" w:hAnsi="Wingdings" w:eastAsia="Wingdings" w:cs="Wingdings"/>
          <w:sz w:val="24"/>
        </w:rPr>
        <w:t xml:space="preserve">þ</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hint="eastAsia" w:ascii="宋体" w:hAnsi="宋体" w:eastAsia="宋体"/>
          <w:sz w:val="24"/>
        </w:rPr>
        <w:t xml:space="preserve">  </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ind w:firstLine="480"/>
        <w:rPr>
          <w:rFonts w:hint="eastAsia" w:ascii="宋体" w:hAnsi="宋体"/>
          <w:sz w:val="24"/>
        </w:rPr>
      </w:pPr>
      <w:r>
        <w:rPr>
          <w:rFonts w:hint="eastAsia" w:ascii="宋体" w:hAnsi="宋体"/>
          <w:sz w:val="24"/>
        </w:rPr>
        <w:t xml:space="preserve">（2）付款方式（按项目实际勾选填写，具体详见专用条款第二节第12.2款）：</w:t>
      </w:r>
      <w:r/>
    </w:p>
    <w:p>
      <w:pPr>
        <w:ind w:firstLine="42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420"/>
        <w:spacing w:line="400" w:lineRule="exact"/>
      </w:pPr>
      <w:r>
        <w:rPr>
          <w:rFonts w:ascii="Wingdings" w:hAnsi="Wingdings" w:eastAsia="Wingdings" w:cs="Wingdings"/>
          <w:szCs w:val="21"/>
        </w:rPr>
        <w:t xml:space="preserve"></w:t>
      </w:r>
      <w:r>
        <w:rPr>
          <w:rFonts w:hint="eastAsia" w:ascii="宋体" w:hAnsi="宋体"/>
          <w:szCs w:val="21"/>
        </w:rPr>
        <w:t xml:space="preserve">分期付款：</w:t>
      </w:r>
      <w:bookmarkStart w:id="170" w:name="OLE_LINK5"/>
      <w:r>
        <w:rPr>
          <w:rFonts w:hint="eastAsia" w:ascii="宋体" w:hAnsi="宋体"/>
          <w:szCs w:val="21"/>
          <w:u w:val="single"/>
        </w:rPr>
        <w:t xml:space="preserve">  ①自合同签订生效之日起，待财政资金到账，收到乙方发票10个工作日内，甲方向乙方支付合</w:t>
      </w:r>
      <w:r>
        <w:rPr>
          <w:rFonts w:hint="eastAsia" w:ascii="宋体" w:hAnsi="宋体"/>
          <w:szCs w:val="21"/>
          <w:highlight w:val="none"/>
          <w:u w:val="single"/>
        </w:rPr>
        <w:t xml:space="preserve">同总价的30%款项作为预付款；</w:t>
      </w:r>
      <w:r>
        <w:rPr>
          <w:rFonts w:hint="eastAsia" w:ascii="宋体" w:hAnsi="宋体"/>
          <w:szCs w:val="21"/>
          <w:u w:val="single"/>
        </w:rPr>
        <w:t xml:space="preserve">②设备安装调试完毕并经文物主管部门验收合格，待财政资金到账，收到乙方发票10个工作日内甲方向乙方支付至合同价的100%</w:t>
      </w:r>
      <w:bookmarkStart w:id="171" w:name="OLE_LINK6"/>
      <w:r>
        <w:rPr>
          <w:rFonts w:hint="eastAsia" w:ascii="宋体" w:hAnsi="宋体"/>
          <w:szCs w:val="21"/>
          <w:u w:val="single"/>
        </w:rPr>
        <w:t xml:space="preserve">。</w:t>
      </w:r>
      <w:bookmarkEnd w:id="171"/>
      <w:r>
        <w:rPr>
          <w:rFonts w:hint="eastAsia" w:ascii="宋体" w:hAnsi="宋体"/>
          <w:szCs w:val="21"/>
        </w:rPr>
        <w:t xml:space="preserve">其中涉及预付款的：</w:t>
      </w:r>
      <w:r>
        <w:rPr>
          <w:rFonts w:hint="eastAsia" w:ascii="宋体" w:hAnsi="宋体"/>
          <w:szCs w:val="21"/>
          <w:u w:val="single"/>
        </w:rPr>
        <w:t xml:space="preserve">自合同签订生效之日起，待财政资金到账，收到乙方发票10个工作日内，甲方向乙方支付合同总价的30%款项作为预付款。 </w:t>
      </w:r>
      <w:bookmarkEnd w:id="170"/>
      <w:r/>
      <w:r/>
    </w:p>
    <w:p>
      <w:pPr>
        <w:ind w:firstLine="42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42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甲方指定地点  </w:t>
      </w:r>
      <w:r>
        <w:rPr>
          <w:rFonts w:hint="eastAsia" w:ascii="宋体" w:hAnsi="宋体" w:cs="宋体"/>
          <w:bCs/>
          <w:sz w:val="24"/>
        </w:rPr>
        <w:t xml:space="preserve">  </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highlight w:val="none"/>
          <w:u w:val="single"/>
        </w:rPr>
        <w:t xml:space="preserve">合同金额的10%，采</w:t>
      </w:r>
      <w:r>
        <w:rPr>
          <w:rFonts w:hint="eastAsia" w:ascii="宋体" w:hAnsi="宋体" w:cs="宋体"/>
          <w:bCs/>
          <w:sz w:val="24"/>
          <w:u w:val="single"/>
        </w:rPr>
        <w:t xml:space="preserve">购人对AA评级及以上政府采购供应商（需提供信用管理部门备案的第三方信用报告）免收履约保证金</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rPr>
      </w:pPr>
      <w:r>
        <w:rPr>
          <w:rFonts w:hint="eastAsia" w:ascii="宋体" w:hAnsi="宋体" w:cs="宋体"/>
          <w:sz w:val="24"/>
        </w:rPr>
        <w:t xml:space="preserve">     履约担保期限：</w:t>
      </w:r>
      <w:r>
        <w:rPr>
          <w:rFonts w:hint="eastAsia" w:ascii="宋体" w:hAnsi="宋体" w:cs="宋体"/>
          <w:sz w:val="24"/>
          <w:u w:val="single"/>
        </w:rPr>
        <w:t xml:space="preserve">                           </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1"/>
        </w:numPr>
        <w:spacing w:line="360" w:lineRule="auto"/>
        <w:rPr>
          <w:rFonts w:hint="eastAsia" w:ascii="宋体" w:hAnsi="宋体"/>
          <w:b/>
          <w:sz w:val="24"/>
        </w:rPr>
      </w:pPr>
      <w:r>
        <w:rPr>
          <w:rFonts w:hint="eastAsia" w:ascii="宋体" w:hAnsi="宋体"/>
          <w:b/>
          <w:sz w:val="24"/>
        </w:rPr>
        <w:t xml:space="preserve">合同验收</w:t>
      </w:r>
      <w:r/>
    </w:p>
    <w:p>
      <w:pPr>
        <w:numPr>
          <w:ilvl w:val="0"/>
          <w:numId w:val="3"/>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48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bCs/>
          <w:sz w:val="24"/>
          <w:u w:val="single"/>
        </w:rPr>
        <w:t xml:space="preserve">文物主管部门</w:t>
      </w:r>
      <w:r>
        <w:rPr>
          <w:rFonts w:hint="eastAsia" w:ascii="宋体" w:hAnsi="宋体" w:cs="宋体"/>
          <w:sz w:val="24"/>
        </w:rPr>
        <w:t xml:space="preserve"> </w:t>
      </w:r>
      <w:r/>
    </w:p>
    <w:p>
      <w:pPr>
        <w:ind w:firstLine="48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288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20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供应商根据招标文件和采购合同规定提出验收申请后及时组织验收</w:t>
      </w:r>
      <w:r/>
    </w:p>
    <w:p>
      <w:pPr>
        <w:ind w:firstLine="200"/>
        <w:spacing w:line="360" w:lineRule="auto"/>
        <w:rPr>
          <w:rFonts w:hint="eastAsia" w:ascii="宋体" w:hAnsi="宋体"/>
          <w:bCs/>
          <w:sz w:val="24"/>
        </w:rPr>
      </w:pPr>
      <w:r>
        <w:rPr>
          <w:rFonts w:hint="eastAsia" w:ascii="宋体" w:hAnsi="宋体"/>
          <w:bCs/>
          <w:sz w:val="24"/>
        </w:rPr>
        <w:t xml:space="preserve">（3）履约验收方式：</w:t>
      </w:r>
      <w:r/>
    </w:p>
    <w:p>
      <w:pPr>
        <w:ind w:firstLine="48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一次性验收         </w:t>
      </w:r>
      <w:r/>
    </w:p>
    <w:p>
      <w:pPr>
        <w:ind w:firstLine="48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200"/>
        <w:spacing w:line="360" w:lineRule="auto"/>
        <w:rPr>
          <w:rFonts w:hint="eastAsia"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按招标文件和采购合同规定。</w:t>
      </w:r>
      <w:r/>
    </w:p>
    <w:p>
      <w:pPr>
        <w:ind w:firstLine="20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按招标文件和采购合同规定，包括每一项技术和商务要求的履约情况。</w:t>
      </w:r>
      <w:r/>
    </w:p>
    <w:p>
      <w:pPr>
        <w:ind w:firstLine="240"/>
        <w:spacing w:line="360" w:lineRule="auto"/>
        <w:rPr>
          <w:rFonts w:hint="eastAsia" w:ascii="宋体" w:hAnsi="宋体"/>
          <w:bCs/>
          <w:sz w:val="24"/>
          <w:u w:val="single"/>
        </w:rPr>
      </w:pPr>
      <w:r>
        <w:rPr>
          <w:rFonts w:hint="eastAsia" w:ascii="宋体" w:hAnsi="宋体"/>
          <w:bCs/>
          <w:sz w:val="24"/>
        </w:rPr>
        <w:t xml:space="preserve">（6）履约验收标准：</w:t>
      </w:r>
      <w:r>
        <w:rPr>
          <w:rFonts w:hint="eastAsia" w:ascii="宋体" w:hAnsi="宋体"/>
          <w:bCs/>
          <w:sz w:val="24"/>
          <w:u w:val="single"/>
        </w:rPr>
        <w:t xml:space="preserve">按招标文件和采购合同规定。</w:t>
      </w:r>
      <w:r/>
    </w:p>
    <w:p>
      <w:pPr>
        <w:ind w:firstLine="240"/>
        <w:jc w:val="left"/>
        <w:spacing w:line="360" w:lineRule="auto"/>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24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spacing w:line="360" w:lineRule="auto"/>
        <w:rPr>
          <w:rFonts w:hint="eastAsia" w:ascii="宋体" w:hAnsi="宋体"/>
          <w:b/>
          <w:sz w:val="24"/>
        </w:rPr>
      </w:pPr>
      <w:r>
        <w:rPr>
          <w:rFonts w:hint="eastAsia" w:ascii="宋体" w:hAnsi="宋体"/>
          <w:b/>
          <w:sz w:val="24"/>
        </w:rPr>
        <w:t xml:space="preserve">7.合同份数</w:t>
      </w:r>
      <w:r/>
    </w:p>
    <w:p>
      <w:pPr>
        <w:spacing w:line="360" w:lineRule="auto"/>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rPr>
          <w:rFonts w:hint="eastAsia" w:ascii="宋体" w:hAnsi="宋体" w:eastAsia="宋体"/>
          <w:sz w:val="24"/>
          <w:u w:val="single"/>
        </w:rPr>
        <w:t xml:space="preserve">    </w:t>
      </w:r>
      <w:r>
        <w:rPr>
          <w:rFonts w:hint="eastAsia" w:ascii="宋体" w:hAnsi="宋体"/>
          <w:sz w:val="24"/>
        </w:rPr>
        <w:t xml:space="preserve">                           </w:t>
      </w:r>
      <w:r/>
    </w:p>
    <w:p>
      <w:pPr>
        <w:spacing w:line="360" w:lineRule="auto"/>
        <w:rPr>
          <w:rFonts w:hint="eastAsia" w:ascii="宋体" w:hAnsi="宋体"/>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696"/>
        <w:tblW w:w="4925"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07"/>
        <w:gridCol w:w="2192"/>
        <w:gridCol w:w="2430"/>
        <w:gridCol w:w="2020"/>
      </w:tblGrid>
      <w:tr>
        <w:trPr>
          <w:trHeight w:val="490"/>
        </w:trPr>
        <w:tc>
          <w:tcPr>
            <w:gridSpan w:val="2"/>
            <w:tcBorders>
              <w:bottom w:val="single" w:color="000000" w:sz="2" w:space="0"/>
              <w:right w:val="single" w:color="000000" w:sz="2" w:space="0"/>
            </w:tcBorders>
            <w:tcW w:w="4435" w:type="dxa"/>
            <w:vAlign w:val="center"/>
            <w:textDirection w:val="lrTb"/>
            <w:noWrap w:val="false"/>
          </w:tcPr>
          <w:p>
            <w:pPr>
              <w:ind w:firstLine="0"/>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19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366" w:type="dxa"/>
            <w:vAlign w:val="center"/>
            <w:vMerge w:val="restart"/>
            <w:textDirection w:val="lrTb"/>
            <w:noWrap w:val="false"/>
          </w:tcPr>
          <w:p>
            <w:pPr>
              <w:ind w:firstLine="0"/>
              <w:spacing w:line="360" w:lineRule="auto"/>
              <w:rPr>
                <w:sz w:val="24"/>
              </w:rPr>
            </w:pPr>
            <w:r>
              <w:rPr>
                <w:sz w:val="24"/>
              </w:rPr>
              <w:t xml:space="preserve">法定代表人</w:t>
            </w: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069"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法定代表人</w:t>
            </w: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1906"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366"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069"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586"/>
        </w:trPr>
        <w:tc>
          <w:tcPr>
            <w:gridSpan w:val="4"/>
            <w:tcBorders>
              <w:top w:val="single" w:color="000000" w:sz="2" w:space="0"/>
            </w:tcBorders>
            <w:tcW w:w="8634" w:type="dxa"/>
            <w:vAlign w:val="center"/>
            <w:textDirection w:val="lrTb"/>
            <w:noWrap w:val="false"/>
          </w:tcPr>
          <w:p>
            <w:pPr>
              <w:ind w:firstLine="0"/>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ind w:firstLine="0"/>
        <w:jc w:val="center"/>
        <w:keepLines/>
        <w:keepNext/>
        <w:spacing w:line="400" w:lineRule="exact"/>
        <w:widowControl w:val="off"/>
        <w:rPr>
          <w:rFonts w:hint="eastAsia" w:ascii="黑体" w:hAnsi="黑体" w:eastAsia="黑体"/>
          <w:sz w:val="32"/>
          <w:szCs w:val="32"/>
        </w:rPr>
        <w:outlineLvl w:val="1"/>
      </w:pPr>
      <w:r>
        <w:br w:type="page" w:clear="all"/>
      </w:r>
      <w:bookmarkStart w:id="172" w:name="_Toc27624"/>
      <w:r/>
      <w:bookmarkStart w:id="173" w:name="_Toc20313"/>
      <w:r>
        <w:rPr>
          <w:rFonts w:hint="eastAsia" w:ascii="黑体" w:hAnsi="黑体" w:eastAsia="黑体"/>
          <w:sz w:val="32"/>
          <w:szCs w:val="32"/>
        </w:rPr>
        <w:t xml:space="preserve">第二节 政府采购合同通用条款</w:t>
      </w:r>
      <w:bookmarkEnd w:id="17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包括软件）及相关的备品备件、工具、手册及</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4"/>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0"/>
        <w:ind w:firstLine="369"/>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00"/>
        <w:ind w:firstLine="369"/>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5"/>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w:t>
      </w:r>
      <w:r>
        <w:rPr>
          <w:rFonts w:hint="eastAsia" w:ascii="宋体" w:hAnsi="宋体"/>
          <w:color w:val="000000" w:themeColor="text1"/>
          <w:szCs w:val="21"/>
          <w14:textFill>
            <w14:solidFill>
              <w14:schemeClr w14:val="tx1"/>
            </w14:solidFill>
          </w14:textFill>
        </w:rPr>
        <w:t xml:space="preserve">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olor w:val="000000" w:themeColor="text1"/>
          <w:szCs w:val="21"/>
          <w:lang w:eastAsia="zh-CN"/>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18"/>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705"/>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5"/>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4"/>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1.合同款项的支付方式及进度安排：</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①自合同签订生效之日起，</w:t>
      </w:r>
      <w:r>
        <w:rPr>
          <w:rFonts w:hint="eastAsia" w:ascii="Segoe UI" w:hAnsi="Segoe UI" w:eastAsia="Segoe UI" w:cs="Segoe UI"/>
          <w:color w:val="auto"/>
          <w:sz w:val="24"/>
          <w:highlight w:val="none"/>
          <w:shd w:val="clear" w:color="auto" w:fill="ffffff"/>
        </w:rPr>
        <w:t xml:space="preserve">待财政资金到账，</w:t>
      </w:r>
      <w:r>
        <w:rPr>
          <w:rFonts w:hint="eastAsia" w:ascii="宋体" w:hAnsi="宋体" w:cs="宋体"/>
          <w:color w:val="auto"/>
          <w:szCs w:val="15"/>
          <w:highlight w:val="none"/>
        </w:rPr>
        <w:t xml:space="preserve">收到乙方发票10个工作日内，甲方向乙方支付合同总价的30%款项作为预付款；</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②设备安装调试完毕并经文物主管部门验收合格，待财政资金到账，收到乙方发票10个工作日内甲方向乙方支付至合同价的100%。</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 发票；</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(2) 制造厂家出具的质量检验证书等；</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(3) 装箱单；</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(4) 甲方加盖公章证明交付使用合格的验收单。</w:t>
      </w:r>
      <w:r/>
    </w:p>
    <w:p>
      <w:pPr>
        <w:pStyle w:val="700"/>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18"/>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8"/>
        <w:ind w:firstLine="420"/>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18"/>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18"/>
        <w:ind w:firstLine="420"/>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18"/>
        <w:ind w:firstLine="420"/>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8"/>
        <w:ind w:firstLine="420"/>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8"/>
        <w:ind w:firstLine="420"/>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00"/>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18"/>
        <w:ind w:firstLine="420"/>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18"/>
        <w:ind w:firstLine="420"/>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18"/>
        <w:ind w:firstLine="420"/>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18"/>
        <w:ind w:firstLine="0"/>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jc w:val="left"/>
        <w:spacing w:line="400" w:lineRule="exact"/>
        <w:rPr>
          <w:rFonts w:hint="eastAsia" w:ascii="宋体" w:hAnsi="宋体"/>
          <w:b/>
          <w:sz w:val="24"/>
        </w:rPr>
      </w:pPr>
      <w:r>
        <w:rPr>
          <w:rFonts w:hint="eastAsia" w:ascii="宋体" w:hAnsi="宋体"/>
          <w:b/>
          <w:sz w:val="24"/>
        </w:rPr>
        <w:t xml:space="preserve">23.合同未尽事项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23.2 合同附件与合同正文具有同等的法律效力。</w:t>
      </w:r>
      <w:r/>
    </w:p>
    <w:p>
      <w:pPr>
        <w:ind w:firstLine="420"/>
        <w:spacing w:line="400" w:lineRule="exact"/>
        <w:rPr>
          <w:rFonts w:hint="eastAsia" w:ascii="黑体" w:hAnsi="华文中宋" w:eastAsia="黑体"/>
          <w:sz w:val="28"/>
          <w:szCs w:val="28"/>
        </w:rPr>
      </w:pPr>
      <w:r>
        <w:rPr>
          <w:rFonts w:hint="eastAsia" w:ascii="黑体" w:hAnsi="华文中宋" w:eastAsia="黑体"/>
          <w:sz w:val="28"/>
          <w:szCs w:val="28"/>
        </w:rPr>
      </w:r>
      <w:r/>
    </w:p>
    <w:p>
      <w:r>
        <w:rPr>
          <w:rFonts w:hint="eastAsia"/>
        </w:rPr>
        <w:br w:type="page" w:clear="all"/>
      </w:r>
      <w:r/>
    </w:p>
    <w:p>
      <w:pPr>
        <w:ind w:firstLine="0"/>
        <w:jc w:val="center"/>
        <w:keepLines/>
        <w:keepNext/>
        <w:spacing w:line="360" w:lineRule="auto"/>
        <w:widowControl w:val="off"/>
        <w:rPr>
          <w:rFonts w:hint="eastAsia" w:ascii="黑体" w:hAnsi="华文中宋" w:eastAsia="黑体"/>
          <w:sz w:val="32"/>
          <w:szCs w:val="32"/>
        </w:rPr>
        <w:outlineLvl w:val="1"/>
      </w:pPr>
      <w:r>
        <w:rPr>
          <w:rFonts w:hint="eastAsia" w:ascii="黑体" w:hAnsi="华文中宋" w:eastAsia="黑体"/>
          <w:sz w:val="32"/>
          <w:szCs w:val="32"/>
        </w:rPr>
        <w:t xml:space="preserve">第三节 政府采购合同专用条款</w:t>
      </w:r>
      <w:bookmarkEnd w:id="173"/>
      <w:r/>
      <w:r/>
    </w:p>
    <w:tbl>
      <w:tblPr>
        <w:tblStyle w:val="696"/>
        <w:tblW w:w="4996"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21"/>
        <w:gridCol w:w="1558"/>
        <w:gridCol w:w="5902"/>
      </w:tblGrid>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第1.2（6）项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联合体具体要求</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不接受联合体。</w:t>
            </w:r>
            <w:r/>
          </w:p>
        </w:tc>
      </w:tr>
      <w:tr>
        <w:trPr>
          <w:trHeight w:val="604"/>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第1.2（7）项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其他术语解释</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第4.4款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履约验收中甲方提出异议或作出说明的期限</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第4.6款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约定甲方承担的其他义务和责任</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sz w:val="24"/>
              </w:rPr>
            </w:pPr>
            <w:r>
              <w:rPr>
                <w:rFonts w:hint="eastAsia" w:ascii="宋体" w:hAnsi="宋体"/>
                <w:sz w:val="24"/>
              </w:rPr>
              <w:t xml:space="preserve">第5.4款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约定乙方承担的其他义务和责任</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第6.1款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履行合同义务的顺序</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cantSplit/>
          <w:trHeight w:val="667"/>
        </w:trPr>
        <w:tc>
          <w:tcPr>
            <w:tcW w:w="981" w:type="pct"/>
            <w:vAlign w:val="center"/>
            <w:vMerge w:val="restart"/>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第7.1款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包装特殊要求</w:t>
            </w:r>
            <w:r/>
          </w:p>
        </w:tc>
        <w:tc>
          <w:tcPr>
            <w:tcW w:w="3179" w:type="pct"/>
            <w:vAlign w:val="center"/>
            <w:textDirection w:val="lrTb"/>
            <w:noWrap w:val="false"/>
          </w:tcPr>
          <w:p>
            <w:pPr>
              <w:ind w:firstLine="0"/>
              <w:spacing w:line="300" w:lineRule="exact"/>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0"/>
              <w:spacing w:line="300" w:lineRule="exact"/>
              <w:rPr>
                <w:sz w:val="24"/>
              </w:rPr>
            </w:pPr>
            <w:r>
              <w:rPr>
                <w:rFonts w:hint="eastAsia"/>
                <w:sz w:val="24"/>
              </w:rPr>
              <w:t xml:space="preserve">1.商品包装层数不得超过3 层，空隙率不大于40%；</w:t>
            </w:r>
            <w:r/>
          </w:p>
          <w:p>
            <w:pPr>
              <w:ind w:firstLine="0"/>
              <w:spacing w:line="300" w:lineRule="exact"/>
              <w:rPr>
                <w:sz w:val="24"/>
              </w:rPr>
            </w:pPr>
            <w:r>
              <w:rPr>
                <w:rFonts w:hint="eastAsia"/>
                <w:sz w:val="24"/>
              </w:rPr>
              <w:t xml:space="preserve">2.商品包装尽可能使用单一材质的包装材料，如因功能需求必需使用不同材质，不同材质间应便于分离；</w:t>
            </w:r>
            <w:r/>
          </w:p>
          <w:p>
            <w:pPr>
              <w:ind w:firstLine="0"/>
              <w:spacing w:line="300" w:lineRule="exact"/>
              <w:rPr>
                <w:sz w:val="24"/>
              </w:rPr>
            </w:pPr>
            <w:r>
              <w:rPr>
                <w:rFonts w:hint="eastAsia"/>
                <w:sz w:val="24"/>
              </w:rPr>
              <w:t xml:space="preserve">3.商品包装中铅、汞、镉、六价铬的总含量应不大于100mg/kg；</w:t>
            </w:r>
            <w:r/>
          </w:p>
          <w:p>
            <w:pPr>
              <w:ind w:firstLine="0"/>
              <w:spacing w:line="300" w:lineRule="exact"/>
              <w:rPr>
                <w:sz w:val="24"/>
              </w:rPr>
            </w:pPr>
            <w:r>
              <w:rPr>
                <w:rFonts w:hint="eastAsia"/>
                <w:sz w:val="24"/>
              </w:rPr>
              <w:t xml:space="preserve">4.商品包装印刷使用的油墨中挥发性有机化合物(VOCs)含量应不大于 5%（以重量计）；</w:t>
            </w:r>
            <w:r/>
          </w:p>
          <w:p>
            <w:pPr>
              <w:ind w:firstLine="0"/>
              <w:spacing w:line="300" w:lineRule="exact"/>
              <w:rPr>
                <w:sz w:val="24"/>
              </w:rPr>
            </w:pPr>
            <w:r>
              <w:rPr>
                <w:rFonts w:hint="eastAsia"/>
                <w:sz w:val="24"/>
              </w:rPr>
              <w:t xml:space="preserve">5.塑料材质商品包装上呈现的印刷颜色不得超过6色；</w:t>
            </w:r>
            <w:r/>
          </w:p>
          <w:p>
            <w:pPr>
              <w:ind w:firstLine="0"/>
              <w:spacing w:line="300" w:lineRule="exact"/>
              <w:rPr>
                <w:sz w:val="24"/>
              </w:rPr>
            </w:pPr>
            <w:r>
              <w:rPr>
                <w:rFonts w:hint="eastAsia"/>
                <w:sz w:val="24"/>
              </w:rPr>
              <w:t xml:space="preserve">6.纸质商品包装应使用75%以上的可再生纤维原料生产；</w:t>
            </w:r>
            <w:r/>
          </w:p>
          <w:p>
            <w:pPr>
              <w:ind w:firstLine="0"/>
              <w:spacing w:line="300" w:lineRule="exact"/>
              <w:rPr>
                <w:sz w:val="24"/>
              </w:rPr>
            </w:pPr>
            <w:r>
              <w:rPr>
                <w:rFonts w:hint="eastAsia"/>
                <w:sz w:val="24"/>
              </w:rPr>
              <w:t xml:space="preserve">7.木质商品包装的原料应来源于可持续性森林。</w:t>
            </w:r>
            <w:r/>
          </w:p>
          <w:p>
            <w:pPr>
              <w:ind w:firstLine="0"/>
              <w:spacing w:line="300" w:lineRule="exact"/>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0"/>
              <w:spacing w:line="300" w:lineRule="exact"/>
              <w:rPr>
                <w:sz w:val="24"/>
              </w:rPr>
            </w:pPr>
            <w:r>
              <w:rPr>
                <w:rFonts w:hint="eastAsia"/>
                <w:sz w:val="24"/>
              </w:rPr>
              <w:t xml:space="preserve">9每件包装箱内应附一份详细装箱单和质量合格凭证。</w:t>
            </w:r>
            <w:r/>
          </w:p>
        </w:tc>
      </w:tr>
      <w:tr>
        <w:trPr>
          <w:cantSplit/>
          <w:trHeight w:val="667"/>
        </w:trPr>
        <w:tc>
          <w:tcPr>
            <w:tcW w:w="981" w:type="pct"/>
            <w:vAlign w:val="center"/>
            <w:vMerge w:val="continue"/>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指定现场</w:t>
            </w:r>
            <w:r/>
          </w:p>
        </w:tc>
        <w:tc>
          <w:tcPr>
            <w:tcW w:w="3179" w:type="pct"/>
            <w:vAlign w:val="center"/>
            <w:textDirection w:val="lrTb"/>
            <w:noWrap w:val="false"/>
          </w:tcPr>
          <w:p>
            <w:pPr>
              <w:ind w:firstLine="0"/>
              <w:jc w:val="left"/>
              <w:spacing w:line="300" w:lineRule="exact"/>
              <w:rPr>
                <w:sz w:val="24"/>
              </w:rPr>
            </w:pPr>
            <w:r>
              <w:rPr>
                <w:sz w:val="24"/>
              </w:rPr>
            </w:r>
            <w:r/>
          </w:p>
        </w:tc>
      </w:tr>
      <w:tr>
        <w:trPr>
          <w:trHeight w:val="772"/>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第7.2款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运输特殊要求</w:t>
            </w:r>
            <w:r/>
          </w:p>
        </w:tc>
        <w:tc>
          <w:tcPr>
            <w:tcW w:w="3179" w:type="pct"/>
            <w:vAlign w:val="center"/>
            <w:textDirection w:val="lrTb"/>
            <w:noWrap w:val="false"/>
          </w:tcPr>
          <w:p>
            <w:pPr>
              <w:ind w:firstLine="0"/>
              <w:spacing w:line="300" w:lineRule="exact"/>
              <w:rPr>
                <w:sz w:val="24"/>
              </w:rPr>
            </w:pPr>
            <w:r>
              <w:rPr>
                <w:rFonts w:hint="eastAsia"/>
                <w:sz w:val="24"/>
              </w:rPr>
              <w:t xml:space="preserve">1.货物验收合格、交付使用并提供所需单据的日期视为交货日期。</w:t>
            </w:r>
            <w:r/>
          </w:p>
          <w:p>
            <w:pPr>
              <w:pStyle w:val="918"/>
              <w:ind w:firstLine="0"/>
              <w:spacing w:line="3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ind w:firstLine="0"/>
              <w:spacing w:line="300" w:lineRule="exact"/>
              <w:rPr>
                <w:sz w:val="24"/>
              </w:rPr>
            </w:pPr>
            <w:r>
              <w:rPr>
                <w:rFonts w:hint="eastAsia"/>
                <w:sz w:val="24"/>
              </w:rPr>
              <w:t xml:space="preserve">3.乙方装运的货物不应超过合同规定的数量或重量。乙方应对超交数量或超重而产生的一切后果负责。</w:t>
            </w:r>
            <w:r/>
          </w:p>
          <w:p>
            <w:pPr>
              <w:pStyle w:val="918"/>
              <w:ind w:firstLine="0"/>
              <w:spacing w:line="300" w:lineRule="exact"/>
              <w:rPr>
                <w:rFonts w:hint="eastAsia"/>
              </w:rPr>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第7.3款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保险要求</w:t>
            </w:r>
            <w:r/>
          </w:p>
        </w:tc>
        <w:tc>
          <w:tcPr>
            <w:tcW w:w="3179" w:type="pct"/>
            <w:vAlign w:val="center"/>
            <w:textDirection w:val="lrTb"/>
            <w:noWrap w:val="false"/>
          </w:tcPr>
          <w:p>
            <w:pPr>
              <w:ind w:firstLine="0"/>
              <w:spacing w:line="300" w:lineRule="exact"/>
              <w:rPr>
                <w:sz w:val="24"/>
              </w:rPr>
            </w:pPr>
            <w:r>
              <w:rPr>
                <w:sz w:val="24"/>
              </w:rPr>
              <w:t xml:space="preserve">货物交货前由乙方承担保险义务</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第8.2（1）项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质量保证期</w:t>
            </w:r>
            <w:r/>
          </w:p>
        </w:tc>
        <w:tc>
          <w:tcPr>
            <w:tcW w:w="3179" w:type="pct"/>
            <w:vAlign w:val="center"/>
            <w:textDirection w:val="lrTb"/>
            <w:noWrap w:val="false"/>
          </w:tcPr>
          <w:p>
            <w:pPr>
              <w:pStyle w:val="721"/>
              <w:ind w:firstLine="0"/>
              <w:jc w:val="both"/>
              <w:spacing w:beforeAutospacing="0" w:afterAutospacing="0" w:line="300" w:lineRule="exact"/>
              <w:rPr>
                <w:rFonts w:hint="eastAsia" w:ascii="宋体" w:hAnsi="宋体"/>
              </w:rPr>
            </w:pPr>
            <w:r>
              <w:rPr>
                <w:rFonts w:hint="eastAsia" w:ascii="宋体" w:hAnsi="宋体"/>
              </w:rPr>
              <w:t xml:space="preserve">1.货物免费质保期</w:t>
            </w:r>
            <w:r>
              <w:rPr>
                <w:rFonts w:hint="eastAsia" w:ascii="宋体" w:hAnsi="宋体"/>
                <w:u w:val="single"/>
              </w:rPr>
              <w:t xml:space="preserve">5年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第8.2（3）项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货物质量缺陷响应时间</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 如在使用过程中发生质量问题，乙方在接到甲方通知后在</w:t>
            </w:r>
            <w:r>
              <w:rPr>
                <w:rFonts w:hint="eastAsia" w:ascii="宋体" w:hAnsi="宋体"/>
                <w:sz w:val="24"/>
                <w:u w:val="single"/>
              </w:rPr>
              <w:t xml:space="preserve"> 12 </w:t>
            </w:r>
            <w:r>
              <w:rPr>
                <w:rFonts w:hint="eastAsia" w:ascii="宋体" w:hAnsi="宋体"/>
                <w:sz w:val="24"/>
              </w:rPr>
              <w:t xml:space="preserve">小时内到达甲方现场。</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第8款补充</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质量保证要求</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ind w:firstLine="0"/>
              <w:jc w:val="left"/>
              <w:spacing w:line="300" w:lineRule="exac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ind w:firstLine="0"/>
              <w:jc w:val="left"/>
              <w:spacing w:line="300" w:lineRule="exac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ind w:firstLine="0"/>
              <w:jc w:val="left"/>
              <w:spacing w:line="300" w:lineRule="exac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0"/>
              <w:jc w:val="left"/>
              <w:spacing w:line="300" w:lineRule="exac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0"/>
              <w:jc w:val="left"/>
              <w:spacing w:line="300" w:lineRule="exac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0"/>
              <w:jc w:val="left"/>
              <w:spacing w:line="300" w:lineRule="exac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21"/>
              <w:ind w:firstLine="0"/>
              <w:spacing w:beforeAutospacing="0" w:afterAutospacing="0" w:line="300" w:lineRule="exact"/>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981" w:type="pct"/>
            <w:vAlign w:val="center"/>
            <w:textDirection w:val="lrTb"/>
            <w:noWrap w:val="false"/>
          </w:tcPr>
          <w:p>
            <w:pPr>
              <w:ind w:firstLine="0"/>
              <w:jc w:val="center"/>
              <w:spacing w:line="300" w:lineRule="exact"/>
              <w:rPr>
                <w:rFonts w:hint="eastAsia" w:ascii="宋体" w:hAnsi="宋体" w:cs="宋体"/>
                <w:sz w:val="24"/>
              </w:rPr>
            </w:pPr>
            <w:r>
              <w:rPr>
                <w:rFonts w:hint="eastAsia" w:ascii="宋体" w:hAnsi="宋体" w:cs="宋体"/>
                <w:sz w:val="24"/>
              </w:rPr>
              <w:t xml:space="preserve">第二节</w:t>
            </w:r>
            <w:r/>
          </w:p>
          <w:p>
            <w:pPr>
              <w:ind w:firstLine="0"/>
              <w:jc w:val="center"/>
              <w:spacing w:line="300" w:lineRule="exact"/>
              <w:rPr>
                <w:rFonts w:hint="eastAsia" w:ascii="华文楷体" w:hAnsi="华文楷体" w:eastAsia="华文楷体" w:cs="华文楷体"/>
                <w:sz w:val="24"/>
              </w:rPr>
            </w:pPr>
            <w:r>
              <w:rPr>
                <w:rFonts w:hint="eastAsia" w:ascii="宋体" w:hAnsi="宋体" w:cs="宋体"/>
                <w:sz w:val="24"/>
              </w:rPr>
              <w:t xml:space="preserve">第11.1款</w:t>
            </w:r>
            <w:r/>
          </w:p>
        </w:tc>
        <w:tc>
          <w:tcPr>
            <w:tcW w:w="839" w:type="pct"/>
            <w:vAlign w:val="center"/>
            <w:textDirection w:val="lrTb"/>
            <w:noWrap w:val="false"/>
          </w:tcPr>
          <w:p>
            <w:pPr>
              <w:ind w:firstLine="0"/>
              <w:spacing w:line="300" w:lineRule="exact"/>
              <w:rPr>
                <w:rFonts w:hint="eastAsia" w:ascii="宋体" w:hAnsi="宋体"/>
                <w:sz w:val="24"/>
              </w:rPr>
            </w:pPr>
            <w:r>
              <w:rPr>
                <w:rFonts w:hint="eastAsia" w:ascii="宋体" w:hAnsi="宋体"/>
                <w:sz w:val="24"/>
              </w:rPr>
              <w:t xml:space="preserve">其他应当保密的信息</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697"/>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第12.2款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合同价款支付时间及要求</w:t>
            </w:r>
            <w:r/>
          </w:p>
        </w:tc>
        <w:tc>
          <w:tcPr>
            <w:tcW w:w="3179" w:type="pct"/>
            <w:vAlign w:val="center"/>
            <w:textDirection w:val="lrTb"/>
            <w:noWrap w:val="false"/>
          </w:tcPr>
          <w:p>
            <w:pPr>
              <w:ind w:firstLine="0"/>
              <w:jc w:val="left"/>
              <w:spacing w:line="300" w:lineRule="exact"/>
              <w:rPr>
                <w:rFonts w:hint="eastAsia" w:ascii="宋体" w:hAnsi="宋体"/>
                <w:sz w:val="24"/>
                <w:highlight w:val="none"/>
              </w:rPr>
            </w:pPr>
            <w:r>
              <w:rPr>
                <w:rFonts w:hint="eastAsia" w:ascii="宋体" w:hAnsi="宋体"/>
                <w:sz w:val="24"/>
                <w:highlight w:val="none"/>
              </w:rPr>
              <w:t xml:space="preserve">1.合同款项的支付方式及进度安排：</w:t>
            </w:r>
            <w:r/>
          </w:p>
          <w:p>
            <w:pPr>
              <w:ind w:firstLine="0"/>
              <w:jc w:val="left"/>
              <w:spacing w:line="300" w:lineRule="exact"/>
              <w:rPr>
                <w:rFonts w:hint="eastAsia" w:ascii="宋体" w:hAnsi="宋体"/>
                <w:sz w:val="24"/>
                <w:highlight w:val="none"/>
              </w:rPr>
            </w:pPr>
            <w:r>
              <w:rPr>
                <w:rFonts w:hint="eastAsia" w:ascii="宋体" w:hAnsi="宋体"/>
                <w:sz w:val="24"/>
                <w:highlight w:val="none"/>
              </w:rPr>
              <w:t xml:space="preserve">①自合同签订生效之日起，</w:t>
            </w:r>
            <w:r>
              <w:rPr>
                <w:rFonts w:hint="eastAsia" w:ascii="Segoe UI" w:hAnsi="Segoe UI" w:eastAsia="Segoe UI" w:cs="Segoe UI"/>
                <w:color w:val="0f1115"/>
                <w:sz w:val="24"/>
                <w:highlight w:val="none"/>
                <w:shd w:val="clear" w:color="auto" w:fill="ffffff"/>
              </w:rPr>
              <w:t xml:space="preserve">待财政资金到账，</w:t>
            </w:r>
            <w:r>
              <w:rPr>
                <w:rFonts w:hint="eastAsia" w:ascii="宋体" w:hAnsi="宋体"/>
                <w:sz w:val="24"/>
                <w:highlight w:val="none"/>
              </w:rPr>
              <w:t xml:space="preserve">收到乙方发票10个工作日内，甲方向乙方支付合同总价的30%款项作为预付款；</w:t>
            </w:r>
            <w:r/>
          </w:p>
          <w:p>
            <w:pPr>
              <w:ind w:firstLine="0"/>
              <w:jc w:val="left"/>
              <w:spacing w:line="300" w:lineRule="exact"/>
              <w:rPr>
                <w:rFonts w:hint="eastAsia" w:ascii="宋体" w:hAnsi="宋体"/>
                <w:sz w:val="24"/>
                <w:highlight w:val="none"/>
              </w:rPr>
            </w:pPr>
            <w:r>
              <w:rPr>
                <w:rFonts w:hint="eastAsia" w:ascii="宋体" w:hAnsi="宋体"/>
                <w:sz w:val="24"/>
                <w:highlight w:val="none"/>
              </w:rPr>
              <w:t xml:space="preserve">②</w:t>
            </w:r>
            <w:r>
              <w:rPr>
                <w:rFonts w:hint="eastAsia" w:ascii="Segoe UI" w:hAnsi="Segoe UI" w:eastAsia="Segoe UI" w:cs="Segoe UI"/>
                <w:color w:val="0f1115"/>
                <w:sz w:val="24"/>
                <w:highlight w:val="none"/>
                <w:shd w:val="clear" w:color="auto" w:fill="ffffff"/>
              </w:rPr>
              <w:t xml:space="preserve">设备安装调试完毕并经文物主管部门验收合格，待财政资金到账，收到乙方发票10个工作日内甲方向乙方支付至合同价的100%</w:t>
            </w:r>
            <w:r>
              <w:rPr>
                <w:rFonts w:hint="eastAsia" w:ascii="宋体" w:hAnsi="宋体"/>
                <w:sz w:val="24"/>
                <w:highlight w:val="none"/>
              </w:rPr>
              <w:t xml:space="preserve">。</w:t>
            </w:r>
            <w:r/>
          </w:p>
          <w:p>
            <w:pPr>
              <w:ind w:firstLine="0"/>
              <w:jc w:val="left"/>
              <w:spacing w:line="300" w:lineRule="exact"/>
              <w:rPr>
                <w:rFonts w:hint="eastAsia" w:ascii="宋体" w:hAnsi="宋体"/>
                <w:sz w:val="24"/>
                <w:highlight w:val="none"/>
              </w:rPr>
            </w:pPr>
            <w:r>
              <w:rPr>
                <w:rFonts w:hint="eastAsia" w:ascii="宋体" w:hAnsi="宋体"/>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0"/>
              <w:jc w:val="left"/>
              <w:spacing w:line="300" w:lineRule="exact"/>
              <w:rPr>
                <w:rFonts w:hint="eastAsia" w:ascii="宋体" w:hAnsi="宋体"/>
                <w:sz w:val="24"/>
                <w:highlight w:val="none"/>
              </w:rPr>
            </w:pPr>
            <w:r>
              <w:rPr>
                <w:rFonts w:hint="eastAsia" w:ascii="宋体" w:hAnsi="宋体"/>
                <w:sz w:val="24"/>
                <w:highlight w:val="none"/>
              </w:rPr>
              <w:t xml:space="preserve">(1) 发票；</w:t>
            </w:r>
            <w:r/>
          </w:p>
          <w:p>
            <w:pPr>
              <w:ind w:firstLine="0"/>
              <w:jc w:val="left"/>
              <w:spacing w:line="300" w:lineRule="exact"/>
              <w:rPr>
                <w:rFonts w:hint="eastAsia" w:ascii="宋体" w:hAnsi="宋体"/>
                <w:sz w:val="24"/>
                <w:highlight w:val="none"/>
              </w:rPr>
            </w:pPr>
            <w:r>
              <w:rPr>
                <w:rFonts w:hint="eastAsia" w:ascii="宋体" w:hAnsi="宋体"/>
                <w:sz w:val="24"/>
                <w:highlight w:val="none"/>
              </w:rPr>
              <w:t xml:space="preserve">(2) 制造厂家出具的质量检验证书等；</w:t>
            </w:r>
            <w:r/>
          </w:p>
          <w:p>
            <w:pPr>
              <w:ind w:firstLine="0"/>
              <w:jc w:val="left"/>
              <w:spacing w:line="300" w:lineRule="exact"/>
              <w:rPr>
                <w:rFonts w:hint="eastAsia" w:ascii="宋体" w:hAnsi="宋体"/>
                <w:sz w:val="24"/>
                <w:highlight w:val="none"/>
              </w:rPr>
            </w:pPr>
            <w:r>
              <w:rPr>
                <w:rFonts w:hint="eastAsia" w:ascii="宋体" w:hAnsi="宋体"/>
                <w:sz w:val="24"/>
                <w:highlight w:val="none"/>
              </w:rPr>
              <w:t xml:space="preserve">(3) 装箱单；</w:t>
            </w:r>
            <w:r/>
          </w:p>
          <w:p>
            <w:pPr>
              <w:ind w:firstLine="0"/>
              <w:jc w:val="left"/>
              <w:spacing w:line="300" w:lineRule="exact"/>
              <w:rPr>
                <w:sz w:val="24"/>
              </w:rPr>
            </w:pPr>
            <w:r>
              <w:rPr>
                <w:rFonts w:hint="eastAsia" w:ascii="宋体" w:hAnsi="宋体"/>
                <w:sz w:val="24"/>
                <w:highlight w:val="none"/>
              </w:rPr>
              <w:t xml:space="preserve">(4) 甲方加盖公章证明交付使用合格的验收单。</w:t>
            </w:r>
            <w:r/>
          </w:p>
        </w:tc>
      </w:tr>
      <w:tr>
        <w:trPr>
          <w:trHeight w:val="697"/>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第13.2款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履约保证金不予退还的情形</w:t>
            </w:r>
            <w:r/>
          </w:p>
        </w:tc>
        <w:tc>
          <w:tcPr>
            <w:tcW w:w="3179" w:type="pct"/>
            <w:vAlign w:val="center"/>
            <w:textDirection w:val="lrTb"/>
            <w:noWrap w:val="false"/>
          </w:tcPr>
          <w:p>
            <w:pPr>
              <w:ind w:firstLine="0"/>
              <w:spacing w:line="300" w:lineRule="exact"/>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ind w:firstLine="0"/>
              <w:spacing w:line="300" w:lineRule="exact"/>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ind w:firstLine="0"/>
              <w:spacing w:line="300" w:lineRule="exact"/>
              <w:rPr>
                <w:rFonts w:hint="eastAsia" w:ascii="宋体" w:hAnsi="宋体" w:cs="宋体"/>
                <w:sz w:val="24"/>
              </w:rPr>
            </w:pPr>
            <w:r>
              <w:rPr>
                <w:rFonts w:hint="eastAsia" w:ascii="宋体" w:hAnsi="宋体" w:cs="宋体"/>
                <w:sz w:val="24"/>
              </w:rPr>
              <w:t xml:space="preserve">（2）中标人不履行与采购人订立的合同的；</w:t>
            </w:r>
            <w:r/>
          </w:p>
          <w:p>
            <w:pPr>
              <w:ind w:firstLine="0"/>
              <w:spacing w:line="300" w:lineRule="exact"/>
              <w:rPr>
                <w:rFonts w:hint="eastAsia" w:ascii="宋体" w:hAnsi="宋体" w:cs="宋体"/>
                <w:sz w:val="24"/>
              </w:rPr>
            </w:pPr>
            <w:r>
              <w:rPr>
                <w:rFonts w:hint="eastAsia" w:ascii="宋体" w:hAnsi="宋体" w:cs="宋体"/>
                <w:sz w:val="24"/>
              </w:rPr>
              <w:t xml:space="preserve">（3）中标人所供货物或服务不符合招标文件规定要求的；</w:t>
            </w:r>
            <w:r/>
          </w:p>
          <w:p>
            <w:pPr>
              <w:ind w:firstLine="0"/>
              <w:spacing w:line="300" w:lineRule="exact"/>
              <w:rPr>
                <w:rFonts w:hint="eastAsia" w:ascii="宋体" w:hAnsi="宋体" w:cs="宋体"/>
                <w:sz w:val="24"/>
              </w:rPr>
            </w:pPr>
            <w:r>
              <w:rPr>
                <w:rFonts w:hint="eastAsia" w:ascii="宋体" w:hAnsi="宋体" w:cs="宋体"/>
                <w:sz w:val="24"/>
              </w:rPr>
              <w:t xml:space="preserve">（4）中标人采取欺骗、弄虚作假方式投标的或与其他投标人串通投标的；</w:t>
            </w:r>
            <w:r/>
          </w:p>
          <w:p>
            <w:pPr>
              <w:ind w:firstLine="0"/>
              <w:spacing w:line="300" w:lineRule="exact"/>
              <w:rPr>
                <w:rFonts w:hint="eastAsia" w:ascii="宋体" w:hAnsi="宋体" w:cs="宋体"/>
                <w:sz w:val="24"/>
              </w:rPr>
            </w:pPr>
            <w:r>
              <w:rPr>
                <w:rFonts w:hint="eastAsia" w:ascii="宋体" w:hAnsi="宋体" w:cs="宋体"/>
                <w:sz w:val="24"/>
              </w:rPr>
              <w:t xml:space="preserve">（5）中标人将合同内容转包、违法分包的；</w:t>
            </w:r>
            <w:r/>
          </w:p>
          <w:p>
            <w:pPr>
              <w:ind w:firstLine="0"/>
              <w:spacing w:line="300" w:lineRule="exact"/>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第13.3款</w:t>
            </w:r>
            <w:r/>
          </w:p>
        </w:tc>
        <w:tc>
          <w:tcPr>
            <w:tcW w:w="839" w:type="pct"/>
            <w:vAlign w:val="center"/>
            <w:textDirection w:val="lrTb"/>
            <w:noWrap w:val="false"/>
          </w:tcPr>
          <w:p>
            <w:pPr>
              <w:ind w:firstLine="0"/>
              <w:jc w:val="left"/>
              <w:spacing w:line="300" w:lineRule="exact"/>
              <w:rPr>
                <w:rFonts w:hint="eastAsia" w:ascii="宋体" w:hAnsi="宋体" w:cs="宋体"/>
                <w:sz w:val="24"/>
              </w:rPr>
            </w:pPr>
            <w:r>
              <w:rPr>
                <w:rFonts w:hint="eastAsia" w:ascii="宋体" w:hAnsi="宋体" w:cs="宋体"/>
                <w:sz w:val="24"/>
              </w:rPr>
              <w:t xml:space="preserve">履约保证金退还时间及逾期退还的违约金</w:t>
            </w:r>
            <w:r/>
          </w:p>
        </w:tc>
        <w:tc>
          <w:tcPr>
            <w:tcW w:w="3179" w:type="pct"/>
            <w:vAlign w:val="center"/>
            <w:textDirection w:val="lrTb"/>
            <w:noWrap w:val="false"/>
          </w:tcPr>
          <w:p>
            <w:pPr>
              <w:ind w:firstLine="0"/>
              <w:spacing w:line="300" w:lineRule="exact"/>
              <w:rPr>
                <w:rFonts w:hint="eastAsia" w:ascii="宋体" w:hAnsi="宋体" w:cs="宋体"/>
                <w:sz w:val="24"/>
              </w:rPr>
            </w:pPr>
            <w:r>
              <w:rPr>
                <w:rFonts w:hint="eastAsia" w:ascii="宋体" w:hAnsi="宋体" w:cs="宋体"/>
                <w:sz w:val="24"/>
              </w:rPr>
              <w:t xml:space="preserve">1、合同履行结束后，甲方应及时退还交纳的履约保证金。</w:t>
            </w:r>
            <w:r/>
          </w:p>
          <w:p>
            <w:pPr>
              <w:ind w:firstLine="0"/>
              <w:spacing w:line="300" w:lineRule="exact"/>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ind w:firstLine="0"/>
              <w:spacing w:line="300" w:lineRule="exact"/>
              <w:rPr>
                <w:rFonts w:hint="eastAsia" w:ascii="宋体" w:hAnsi="宋体" w:cs="宋体"/>
                <w:sz w:val="24"/>
              </w:rPr>
            </w:pPr>
            <w:r>
              <w:rPr>
                <w:rFonts w:hint="eastAsia" w:ascii="宋体" w:hAnsi="宋体" w:cs="宋体"/>
                <w:sz w:val="24"/>
              </w:rPr>
              <w:t xml:space="preserve">3、退还时间：验收合格且甲方收到发票后30日内。</w:t>
            </w:r>
            <w:r/>
          </w:p>
          <w:p>
            <w:pPr>
              <w:ind w:firstLine="0"/>
              <w:spacing w:line="300" w:lineRule="exact"/>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ind w:firstLine="0"/>
              <w:spacing w:line="300" w:lineRule="exact"/>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第14.1（3）项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运行监督、维修期限</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84"/>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第14.1（5）项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货物回收的约定</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第14.1（6）项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乙方提供的其他服务</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第15.1款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修理、重做、更换相关具体规定</w:t>
            </w:r>
            <w:r/>
          </w:p>
        </w:tc>
        <w:tc>
          <w:tcPr>
            <w:tcW w:w="3179" w:type="pct"/>
            <w:vAlign w:val="center"/>
            <w:textDirection w:val="lrTb"/>
            <w:noWrap w:val="false"/>
          </w:tcPr>
          <w:p>
            <w:pPr>
              <w:numPr>
                <w:ilvl w:val="0"/>
                <w:numId w:val="7"/>
              </w:numPr>
              <w:ind w:firstLine="0"/>
              <w:jc w:val="left"/>
              <w:spacing w:line="300" w:lineRule="exac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7"/>
              </w:numPr>
              <w:ind w:firstLine="0"/>
              <w:jc w:val="left"/>
              <w:spacing w:line="300" w:lineRule="exac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第15.2（2）项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迟延交货赔偿费</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ind w:firstLine="0"/>
              <w:jc w:val="left"/>
              <w:spacing w:line="300" w:lineRule="exac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ind w:firstLine="0"/>
              <w:jc w:val="left"/>
              <w:spacing w:line="300" w:lineRule="exact"/>
              <w:rPr>
                <w:rFonts w:hint="eastAsia" w:ascii="宋体" w:hAnsi="宋体"/>
                <w:sz w:val="24"/>
              </w:rPr>
            </w:pPr>
            <w:r>
              <w:rPr>
                <w:rFonts w:hint="eastAsia" w:ascii="宋体" w:hAnsi="宋体"/>
                <w:sz w:val="24"/>
              </w:rPr>
              <w:t xml:space="preserve">3.乙方逾期交付货物的，乙方应按逾期交货总额每日</w:t>
            </w:r>
            <w:r>
              <w:rPr>
                <w:rFonts w:hint="eastAsia" w:ascii="宋体" w:hAnsi="宋体"/>
                <w:sz w:val="24"/>
                <w:u w:val="single"/>
              </w:rPr>
              <w:t xml:space="preserve">千分之五</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30</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10%</w:t>
            </w:r>
            <w:r>
              <w:rPr>
                <w:rFonts w:hint="eastAsia" w:ascii="宋体" w:hAnsi="宋体"/>
                <w:sz w:val="24"/>
              </w:rPr>
              <w:t xml:space="preserve">的违约金，如造成甲方损失超过违约金的，超出部分由乙方继续承担赔偿责任。 </w:t>
            </w:r>
            <w:r/>
          </w:p>
          <w:p>
            <w:pPr>
              <w:ind w:firstLine="0"/>
              <w:jc w:val="left"/>
              <w:spacing w:line="300" w:lineRule="exact"/>
              <w:rPr>
                <w:rFonts w:hint="eastAsia"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10%</w:t>
            </w:r>
            <w:r>
              <w:rPr>
                <w:rFonts w:hint="eastAsia" w:ascii="宋体" w:hAnsi="宋体"/>
                <w:sz w:val="24"/>
              </w:rPr>
              <w:t xml:space="preserve">的滞纳金。</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第15.3款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逾期付款利息</w:t>
            </w:r>
            <w:r/>
          </w:p>
        </w:tc>
        <w:tc>
          <w:tcPr>
            <w:tcW w:w="3179" w:type="pct"/>
            <w:vAlign w:val="center"/>
            <w:textDirection w:val="lrTb"/>
            <w:noWrap w:val="false"/>
          </w:tcPr>
          <w:p>
            <w:pPr>
              <w:pStyle w:val="721"/>
              <w:ind w:firstLine="0"/>
              <w:jc w:val="both"/>
              <w:spacing w:beforeAutospacing="0" w:afterAutospacing="0" w:line="300" w:lineRule="exact"/>
            </w:pPr>
            <w:r>
              <w:rPr>
                <w:rFonts w:hint="eastAsia" w:ascii="宋体" w:hAnsi="宋体" w:cs="宋体"/>
              </w:rPr>
              <w:t xml:space="preserve">1.甲方无正当理由拒收货物的，甲方向乙方偿付拒收货款总值</w:t>
            </w:r>
            <w:r>
              <w:rPr>
                <w:rFonts w:hint="eastAsia" w:ascii="宋体" w:hAnsi="宋体"/>
                <w:u w:val="single"/>
              </w:rPr>
              <w:t xml:space="preserve">千分之五</w:t>
            </w:r>
            <w:r>
              <w:rPr>
                <w:rFonts w:hint="eastAsia" w:ascii="宋体" w:hAnsi="宋体" w:cs="宋体"/>
              </w:rPr>
              <w:t xml:space="preserve">的违约金。</w:t>
            </w:r>
            <w:r/>
          </w:p>
          <w:p>
            <w:pPr>
              <w:pStyle w:val="721"/>
              <w:ind w:firstLine="0"/>
              <w:jc w:val="both"/>
              <w:spacing w:beforeAutospacing="0" w:afterAutospacing="0" w:line="300" w:lineRule="exact"/>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万分之五</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3179" w:type="pct"/>
            <w:vAlign w:val="center"/>
            <w:textDirection w:val="lrTb"/>
            <w:noWrap w:val="false"/>
          </w:tcPr>
          <w:p>
            <w:pPr>
              <w:ind w:firstLine="0"/>
              <w:jc w:val="left"/>
              <w:spacing w:line="300" w:lineRule="exac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ind w:firstLine="0"/>
              <w:jc w:val="left"/>
              <w:spacing w:line="300" w:lineRule="exac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ind w:firstLine="0"/>
              <w:jc w:val="left"/>
              <w:spacing w:line="300" w:lineRule="exact"/>
              <w:rPr>
                <w:rFonts w:hint="eastAsia" w:ascii="宋体" w:hAnsi="宋体"/>
                <w:sz w:val="24"/>
              </w:rPr>
            </w:pPr>
            <w:r>
              <w:rPr>
                <w:rFonts w:hint="eastAsia" w:ascii="宋体" w:hAnsi="宋体"/>
                <w:sz w:val="24"/>
              </w:rPr>
              <w:t xml:space="preserve">（2）向甲方所在地人民法院起诉。</w:t>
            </w:r>
            <w:r/>
          </w:p>
          <w:p>
            <w:pPr>
              <w:ind w:firstLine="0"/>
              <w:jc w:val="left"/>
              <w:spacing w:line="300" w:lineRule="exact"/>
              <w:rPr>
                <w:rFonts w:hint="eastAsia" w:ascii="宋体" w:hAnsi="宋体"/>
                <w:sz w:val="24"/>
              </w:rPr>
            </w:pPr>
            <w:r>
              <w:rPr>
                <w:rFonts w:hint="eastAsia" w:ascii="宋体" w:hAnsi="宋体"/>
                <w:sz w:val="24"/>
              </w:rPr>
              <w:t xml:space="preserve">2. 纠纷解决办法</w:t>
            </w:r>
            <w:r/>
          </w:p>
          <w:p>
            <w:pPr>
              <w:ind w:firstLine="0"/>
              <w:jc w:val="left"/>
              <w:spacing w:line="300" w:lineRule="exac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第23.1款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bCs/>
                <w:sz w:val="24"/>
              </w:rPr>
              <w:t xml:space="preserve">其他专用条款</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0"/>
              <w:jc w:val="left"/>
              <w:spacing w:line="300" w:lineRule="exac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0"/>
              <w:jc w:val="left"/>
              <w:spacing w:line="300" w:lineRule="exac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10</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10</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0"/>
              <w:jc w:val="left"/>
              <w:spacing w:line="300" w:lineRule="exact"/>
              <w:rPr>
                <w:rFonts w:hint="eastAsia" w:ascii="宋体" w:hAnsi="宋体"/>
                <w:sz w:val="24"/>
              </w:rPr>
            </w:pPr>
            <w:r>
              <w:rPr>
                <w:rFonts w:hint="eastAsia" w:ascii="宋体" w:hAnsi="宋体"/>
                <w:sz w:val="24"/>
              </w:rPr>
              <w:t xml:space="preserve">4.货物验收要求</w:t>
            </w:r>
            <w:r/>
          </w:p>
          <w:p>
            <w:pPr>
              <w:ind w:firstLine="0"/>
              <w:jc w:val="left"/>
              <w:spacing w:line="300" w:lineRule="exac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ind w:firstLine="0"/>
              <w:jc w:val="left"/>
              <w:spacing w:line="300" w:lineRule="exac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ind w:firstLine="0"/>
              <w:jc w:val="left"/>
              <w:spacing w:line="300" w:lineRule="exac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ind w:firstLine="0"/>
              <w:jc w:val="left"/>
              <w:spacing w:line="300" w:lineRule="exact"/>
              <w:rPr>
                <w:rFonts w:hint="eastAsia" w:ascii="宋体" w:hAnsi="宋体"/>
                <w:sz w:val="24"/>
              </w:rPr>
            </w:pPr>
            <w:r>
              <w:rPr>
                <w:rFonts w:hint="eastAsia" w:ascii="宋体" w:hAnsi="宋体"/>
                <w:sz w:val="24"/>
              </w:rPr>
              <w:t xml:space="preserve">（4）乙方应按照本合同规定的时间、地点和方式向乙方交付货物。</w:t>
            </w:r>
            <w:r/>
          </w:p>
          <w:p>
            <w:pPr>
              <w:ind w:firstLine="0"/>
              <w:jc w:val="left"/>
              <w:spacing w:line="300" w:lineRule="exac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ind w:firstLine="0"/>
              <w:jc w:val="left"/>
              <w:spacing w:line="300" w:lineRule="exac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甲方指定地点</w:t>
            </w:r>
            <w:r>
              <w:rPr>
                <w:rFonts w:hint="eastAsia" w:ascii="宋体" w:hAnsi="宋体"/>
                <w:sz w:val="24"/>
              </w:rPr>
              <w:t xml:space="preserve">。</w:t>
            </w:r>
            <w:r/>
          </w:p>
          <w:p>
            <w:pPr>
              <w:ind w:firstLine="0"/>
              <w:jc w:val="left"/>
              <w:spacing w:line="300" w:lineRule="exac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ind w:firstLine="0"/>
              <w:jc w:val="left"/>
              <w:spacing w:line="300" w:lineRule="exac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bCs/>
                <w:sz w:val="24"/>
              </w:rPr>
            </w:pPr>
            <w:r>
              <w:rPr>
                <w:rFonts w:hint="eastAsia" w:ascii="宋体" w:hAnsi="宋体"/>
                <w:bCs/>
                <w:sz w:val="24"/>
              </w:rPr>
              <w:t xml:space="preserve">税费</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ind w:firstLine="0"/>
              <w:jc w:val="left"/>
              <w:spacing w:line="300" w:lineRule="exac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bCs/>
                <w:sz w:val="24"/>
              </w:rPr>
            </w:pPr>
            <w:r>
              <w:rPr>
                <w:rFonts w:hint="eastAsia" w:ascii="宋体" w:hAnsi="宋体"/>
                <w:bCs/>
                <w:sz w:val="24"/>
              </w:rPr>
              <w:t xml:space="preserve">伴随服务</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ind w:firstLine="0"/>
              <w:jc w:val="left"/>
              <w:spacing w:line="300" w:lineRule="exact"/>
              <w:rPr>
                <w:rFonts w:hint="eastAsia" w:ascii="宋体" w:hAnsi="宋体"/>
                <w:sz w:val="24"/>
              </w:rPr>
            </w:pPr>
            <w:r>
              <w:rPr>
                <w:rFonts w:hint="eastAsia" w:ascii="宋体" w:hAnsi="宋体"/>
                <w:sz w:val="24"/>
              </w:rPr>
              <w:t xml:space="preserve">2.除第1条规定外，乙方还应提供下列服务：</w:t>
            </w:r>
            <w:r/>
          </w:p>
          <w:p>
            <w:pPr>
              <w:ind w:firstLine="0"/>
              <w:jc w:val="left"/>
              <w:spacing w:line="300" w:lineRule="exac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ind w:firstLine="0"/>
              <w:jc w:val="left"/>
              <w:spacing w:line="300" w:lineRule="exact"/>
              <w:rPr>
                <w:rFonts w:hint="eastAsia" w:ascii="宋体" w:hAnsi="宋体"/>
                <w:sz w:val="24"/>
              </w:rPr>
            </w:pPr>
            <w:r>
              <w:rPr>
                <w:rFonts w:hint="eastAsia" w:ascii="宋体" w:hAnsi="宋体"/>
                <w:sz w:val="24"/>
              </w:rPr>
              <w:t xml:space="preserve"> (2) 负责货物的开孔，货物的现场安装；</w:t>
            </w:r>
            <w:r/>
          </w:p>
          <w:p>
            <w:pPr>
              <w:ind w:firstLine="0"/>
              <w:jc w:val="left"/>
              <w:spacing w:line="300" w:lineRule="exact"/>
              <w:rPr>
                <w:rFonts w:hint="eastAsia" w:ascii="宋体" w:hAnsi="宋体"/>
                <w:sz w:val="24"/>
              </w:rPr>
            </w:pPr>
            <w:r>
              <w:rPr>
                <w:rFonts w:hint="eastAsia" w:ascii="宋体" w:hAnsi="宋体"/>
                <w:sz w:val="24"/>
              </w:rPr>
              <w:t xml:space="preserve"> (3) 提供货物组装和维修所需的工具；</w:t>
            </w:r>
            <w:r/>
          </w:p>
          <w:p>
            <w:pPr>
              <w:ind w:firstLine="0"/>
              <w:jc w:val="left"/>
              <w:spacing w:line="300" w:lineRule="exac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ind w:firstLine="0"/>
              <w:jc w:val="left"/>
              <w:spacing w:line="300" w:lineRule="exact"/>
              <w:rPr>
                <w:rFonts w:hint="eastAsia" w:ascii="宋体" w:hAnsi="宋体"/>
                <w:sz w:val="24"/>
              </w:rPr>
            </w:pPr>
            <w:r>
              <w:rPr>
                <w:rFonts w:hint="eastAsia" w:ascii="宋体" w:hAnsi="宋体"/>
                <w:sz w:val="24"/>
              </w:rPr>
              <w:t xml:space="preserve"> (5) 在货物交货现场就货物的安装、启用、维护等对甲方人员进行培训。</w:t>
            </w:r>
            <w:r/>
          </w:p>
          <w:p>
            <w:pPr>
              <w:ind w:firstLine="0"/>
              <w:jc w:val="left"/>
              <w:spacing w:line="300" w:lineRule="exac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索赔</w:t>
            </w:r>
            <w:r/>
          </w:p>
          <w:p>
            <w:pPr>
              <w:ind w:firstLine="0"/>
              <w:jc w:val="left"/>
              <w:spacing w:line="300" w:lineRule="exact"/>
              <w:rPr>
                <w:rFonts w:hint="eastAsia" w:ascii="宋体" w:hAnsi="宋体"/>
                <w:sz w:val="24"/>
              </w:rPr>
            </w:pPr>
            <w:r>
              <w:rPr>
                <w:rFonts w:hint="eastAsia" w:ascii="宋体" w:hAnsi="宋体"/>
                <w:sz w:val="24"/>
              </w:rPr>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1.甲方有权根据当地质检部门出具的检验报告，向乙方提出索赔。</w:t>
            </w:r>
            <w:r/>
          </w:p>
          <w:p>
            <w:pPr>
              <w:ind w:firstLine="0"/>
              <w:jc w:val="left"/>
              <w:spacing w:line="300" w:lineRule="exac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ind w:firstLine="0"/>
              <w:jc w:val="left"/>
              <w:spacing w:line="300" w:lineRule="exac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0"/>
              <w:jc w:val="left"/>
              <w:spacing w:line="300" w:lineRule="exac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ind w:firstLine="0"/>
              <w:jc w:val="left"/>
              <w:spacing w:line="300" w:lineRule="exac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0"/>
              <w:jc w:val="left"/>
              <w:spacing w:line="300" w:lineRule="exac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合同生效及其他</w:t>
            </w:r>
            <w:r/>
          </w:p>
          <w:p>
            <w:pPr>
              <w:ind w:firstLine="0"/>
              <w:jc w:val="left"/>
              <w:spacing w:line="300" w:lineRule="exact"/>
              <w:rPr>
                <w:rFonts w:hint="eastAsia" w:ascii="宋体" w:hAnsi="宋体"/>
                <w:bCs/>
                <w:sz w:val="24"/>
              </w:rPr>
            </w:pPr>
            <w:r>
              <w:rPr>
                <w:rFonts w:hint="eastAsia" w:ascii="宋体" w:hAnsi="宋体"/>
                <w:bCs/>
                <w:sz w:val="24"/>
              </w:rPr>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 合同经甲方、乙方盖章后生效。</w:t>
            </w:r>
            <w:r/>
          </w:p>
          <w:p>
            <w:pPr>
              <w:ind w:firstLine="0"/>
              <w:jc w:val="left"/>
              <w:spacing w:line="300" w:lineRule="exact"/>
              <w:rPr>
                <w:rFonts w:hint="eastAsia" w:ascii="宋体" w:hAnsi="宋体"/>
                <w:sz w:val="24"/>
              </w:rPr>
            </w:pPr>
            <w:r>
              <w:rPr>
                <w:rFonts w:hint="eastAsia" w:ascii="宋体" w:hAnsi="宋体"/>
                <w:sz w:val="24"/>
              </w:rPr>
              <w:t xml:space="preserve">2. 货物交付使用后所发生的合同纠纷，由甲方与乙方协商处理。</w:t>
            </w:r>
            <w:r/>
          </w:p>
          <w:p>
            <w:pPr>
              <w:ind w:firstLine="0"/>
              <w:jc w:val="left"/>
              <w:spacing w:line="300" w:lineRule="exac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0"/>
              <w:jc w:val="left"/>
              <w:spacing w:line="300" w:lineRule="exact"/>
              <w:rPr>
                <w:rFonts w:hint="eastAsia" w:ascii="宋体" w:hAnsi="宋体"/>
                <w:sz w:val="24"/>
              </w:rPr>
            </w:pPr>
            <w:r>
              <w:rPr>
                <w:rFonts w:hint="eastAsia" w:ascii="宋体" w:hAnsi="宋体"/>
                <w:sz w:val="24"/>
              </w:rPr>
              <w:t xml:space="preserve">4.本合同应按照中华人民共和国的现行法律进行解释。本合同未尽事宜，遵照</w:t>
            </w:r>
            <w:r>
              <w:rPr>
                <w:rFonts w:hint="eastAsia" w:ascii="宋体" w:hAnsi="宋体" w:eastAsia="宋体" w:cs="宋体"/>
              </w:rPr>
              <w:t xml:space="preserve">《中华人民共和国</w:t>
            </w:r>
            <w:r>
              <w:rPr>
                <w:rFonts w:hint="eastAsia" w:ascii="宋体" w:hAnsi="宋体"/>
                <w:sz w:val="24"/>
              </w:rPr>
              <w:t xml:space="preserve">民法典》、</w:t>
            </w:r>
            <w:r>
              <w:rPr>
                <w:rFonts w:hint="eastAsia" w:ascii="宋体" w:hAnsi="宋体" w:eastAsia="宋体" w:cs="宋体"/>
              </w:rPr>
              <w:t xml:space="preserve">《中华人民共和国</w:t>
            </w:r>
            <w:r>
              <w:rPr>
                <w:rFonts w:hint="eastAsia" w:ascii="宋体" w:hAnsi="宋体"/>
                <w:sz w:val="24"/>
              </w:rPr>
              <w:t xml:space="preserve">政府采购法》等有关条文执行。</w:t>
            </w:r>
            <w:r/>
          </w:p>
        </w:tc>
      </w:tr>
    </w:tbl>
    <w:p>
      <w:pPr>
        <w:pStyle w:val="721"/>
        <w:ind w:firstLine="880"/>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721"/>
        <w:ind w:firstLine="880"/>
        <w:jc w:val="center"/>
        <w:spacing w:before="120" w:beforeAutospacing="0" w:after="120" w:afterAutospacing="0" w:line="0" w:lineRule="atLeast"/>
        <w:rPr>
          <w:rFonts w:hint="eastAsia" w:ascii="黑体" w:hAnsi="宋体" w:eastAsia="黑体" w:cs="黑体"/>
          <w:sz w:val="44"/>
          <w:szCs w:val="44"/>
        </w:rPr>
      </w:pPr>
      <w:r>
        <w:rPr>
          <w:rFonts w:ascii="黑体" w:hAnsi="宋体" w:eastAsia="黑体" w:cs="黑体"/>
          <w:sz w:val="44"/>
          <w:szCs w:val="44"/>
        </w:rPr>
        <w:br w:type="page" w:clear="all"/>
      </w:r>
      <w:bookmarkEnd w:id="38"/>
      <w:r/>
      <w:bookmarkEnd w:id="39"/>
      <w:r/>
      <w:bookmarkEnd w:id="40"/>
      <w:r/>
      <w:bookmarkEnd w:id="41"/>
      <w:r/>
      <w:bookmarkEnd w:id="42"/>
      <w:r/>
      <w:bookmarkEnd w:id="43"/>
      <w:r/>
      <w:r/>
    </w:p>
    <w:p>
      <w:pPr>
        <w:pStyle w:val="721"/>
        <w:ind w:firstLine="3080"/>
        <w:jc w:val="both"/>
        <w:spacing w:beforeAutospacing="0" w:afterAutospacing="0" w:line="0" w:lineRule="atLeast"/>
        <w:rPr>
          <w:rFonts w:ascii="方正小标宋_GBK" w:hAnsi="方正小标宋_GBK" w:eastAsia="方正小标宋_GBK" w:cs="方正小标宋_GBK"/>
          <w:color w:val="000000"/>
          <w:sz w:val="44"/>
          <w:szCs w:val="44"/>
        </w:rPr>
        <w:outlineLvl w:val="0"/>
      </w:pPr>
      <w:r/>
      <w:bookmarkStart w:id="175" w:name="_Toc120614281"/>
      <w:r>
        <w:rPr>
          <w:rFonts w:hint="eastAsia" w:ascii="方正小标宋_GBK" w:hAnsi="方正小标宋_GBK" w:eastAsia="方正小标宋_GBK" w:cs="方正小标宋_GBK"/>
          <w:color w:val="000000"/>
          <w:sz w:val="44"/>
          <w:szCs w:val="44"/>
        </w:rPr>
        <w:t xml:space="preserve">第四章 </w:t>
      </w:r>
      <w:r>
        <w:rPr>
          <w:rFonts w:ascii="方正小标宋_GBK" w:hAnsi="方正小标宋_GBK" w:eastAsia="方正小标宋_GBK" w:cs="方正小标宋_GBK"/>
          <w:color w:val="000000"/>
          <w:sz w:val="44"/>
          <w:szCs w:val="44"/>
        </w:rPr>
        <w:t xml:space="preserve"> </w:t>
      </w:r>
      <w:r>
        <w:rPr>
          <w:rFonts w:hint="eastAsia" w:ascii="方正小标宋_GBK" w:hAnsi="方正小标宋_GBK" w:eastAsia="方正小标宋_GBK" w:cs="方正小标宋_GBK"/>
          <w:color w:val="000000"/>
          <w:sz w:val="44"/>
          <w:szCs w:val="44"/>
        </w:rPr>
        <w:t xml:space="preserve">采购需求</w:t>
      </w:r>
      <w:bookmarkStart w:id="176" w:name="OLE_LINK4"/>
      <w:r/>
      <w:bookmarkEnd w:id="176"/>
      <w:r/>
      <w:r/>
    </w:p>
    <w:p>
      <w:pPr>
        <w:pStyle w:val="721"/>
        <w:jc w:val="both"/>
        <w:spacing w:beforeAutospacing="0" w:afterAutospacing="0" w:line="0" w:lineRule="atLeast"/>
        <w:rPr>
          <w:rFonts w:hint="eastAsia" w:ascii="Times New Roman" w:hAnsi="Times New Roman" w:eastAsia="宋体"/>
          <w:b/>
          <w:i w:val="0"/>
          <w:iCs/>
          <w:color w:val="000000"/>
          <w:sz w:val="24"/>
          <w:szCs w:val="24"/>
          <w:u w:val="none"/>
          <w:lang w:val="en-US" w:eastAsia="zh-CN"/>
        </w:rPr>
      </w:pPr>
      <w:r>
        <w:rPr>
          <w:rFonts w:hint="eastAsia" w:ascii="宋体" w:hAnsi="宋体" w:eastAsia="宋体" w:cs="宋体"/>
        </w:rPr>
        <w:t xml:space="preserve">项目属性：</w:t>
      </w:r>
      <w:r>
        <w:rPr>
          <w:rFonts w:hint="eastAsia" w:ascii="宋体" w:hAnsi="宋体" w:eastAsia="宋体" w:cs="宋体"/>
          <w:lang w:val="en-US" w:eastAsia="zh-CN"/>
        </w:rPr>
        <w:t xml:space="preserve">服务</w:t>
      </w:r>
      <w:r>
        <w:rPr>
          <w:rFonts w:hint="eastAsia" w:ascii="宋体" w:hAnsi="宋体" w:eastAsia="宋体" w:cs="宋体"/>
        </w:rPr>
        <w:t xml:space="preserve">类项目</w:t>
      </w:r>
      <w:r/>
    </w:p>
    <w:p>
      <w:pPr>
        <w:pStyle w:val="687"/>
        <w:ind w:firstLine="482"/>
        <w:spacing w:before="0" w:beforeAutospacing="0" w:line="500" w:lineRule="exact"/>
        <w:widowControl w:val="off"/>
        <w:rPr>
          <w:rFonts w:hint="eastAsia" w:ascii="Times New Roman" w:hAnsi="Times New Roman" w:eastAsia="宋体"/>
          <w:b/>
          <w:i w:val="0"/>
          <w:iCs/>
          <w:color w:val="000000"/>
          <w:sz w:val="24"/>
          <w:szCs w:val="24"/>
          <w:u w:val="none"/>
          <w:lang w:val="en-US" w:eastAsia="zh-CN"/>
        </w:rPr>
      </w:pPr>
      <w:r>
        <w:rPr>
          <w:rFonts w:hint="eastAsia" w:ascii="Times New Roman" w:hAnsi="Times New Roman" w:eastAsia="宋体"/>
          <w:b/>
          <w:i w:val="0"/>
          <w:iCs/>
          <w:color w:val="000000"/>
          <w:sz w:val="24"/>
          <w:szCs w:val="24"/>
          <w:u w:val="none"/>
          <w:lang w:val="en-US" w:eastAsia="zh-CN"/>
        </w:rPr>
        <w:t xml:space="preserve">本项目拟完成460件馆藏等级文物的采集加工制作，其中，对375件重要文物二维高清存档级数据采集加工制作，85件研究价值较高的文物进行三维信息采集加工制作，为文物研究、宣传展示提供基础性数据。对文物进行修复、病害分析及保养，同时为陈列展览提供重要的辅助资料。同时为珍贵文物数字化成果提供存储升级服务，保障新四军纪念馆数据安全存储及使用。</w:t>
      </w:r>
      <w:r/>
    </w:p>
    <w:p>
      <w:pPr>
        <w:rPr>
          <w:rFonts w:hint="eastAsia"/>
          <w:lang w:val="en-US" w:eastAsia="zh-CN"/>
        </w:rPr>
      </w:pPr>
      <w:r>
        <w:rPr>
          <w:rFonts w:hint="eastAsia"/>
          <w:lang w:val="en-US" w:eastAsia="zh-CN"/>
        </w:rPr>
      </w:r>
      <w:r/>
    </w:p>
    <w:p>
      <w:pPr>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服务内容清单：</w:t>
      </w:r>
      <w:r/>
    </w:p>
    <w:tbl>
      <w:tblPr>
        <w:tblStyle w:val="696"/>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977"/>
        <w:gridCol w:w="653"/>
        <w:gridCol w:w="801"/>
        <w:gridCol w:w="6269"/>
        <w:gridCol w:w="543"/>
      </w:tblGrid>
      <w:tr>
        <w:trPr>
          <w:jc w:val="center"/>
          <w:trHeight w:val="743"/>
          <w:tblHeader/>
        </w:trPr>
        <w:tc>
          <w:tcPr>
            <w:tcW w:w="680" w:type="dxa"/>
            <w:vAlign w:val="center"/>
            <w:textDirection w:val="lrTb"/>
            <w:noWrap w:val="false"/>
          </w:tcPr>
          <w:p>
            <w:pPr>
              <w:ind w:left="0" w:firstLine="0"/>
              <w:jc w:val="both"/>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977" w:type="dxa"/>
            <w:vAlign w:val="center"/>
            <w:textDirection w:val="lrTb"/>
            <w:noWrap w:val="false"/>
          </w:tcPr>
          <w:p>
            <w:pPr>
              <w:ind w:left="0" w:firstLine="0"/>
              <w:jc w:val="both"/>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名称</w:t>
            </w:r>
            <w:r/>
          </w:p>
        </w:tc>
        <w:tc>
          <w:tcPr>
            <w:tcW w:w="653" w:type="dxa"/>
            <w:vAlign w:val="center"/>
            <w:textDirection w:val="lrTb"/>
            <w:noWrap w:val="false"/>
          </w:tcPr>
          <w:p>
            <w:pPr>
              <w:ind w:left="0" w:firstLine="0"/>
              <w:jc w:val="both"/>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单位</w:t>
            </w:r>
            <w:r/>
          </w:p>
        </w:tc>
        <w:tc>
          <w:tcPr>
            <w:tcW w:w="801" w:type="dxa"/>
            <w:vAlign w:val="center"/>
            <w:textDirection w:val="lrTb"/>
            <w:noWrap w:val="false"/>
          </w:tcPr>
          <w:p>
            <w:pPr>
              <w:ind w:left="0" w:firstLine="0"/>
              <w:jc w:val="both"/>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数量</w:t>
            </w:r>
            <w:r/>
          </w:p>
        </w:tc>
        <w:tc>
          <w:tcPr>
            <w:tcW w:w="6269"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技术要求</w:t>
            </w:r>
            <w:r/>
          </w:p>
        </w:tc>
        <w:tc>
          <w:tcPr>
            <w:tcW w:w="543" w:type="dxa"/>
            <w:vAlign w:val="center"/>
            <w:textDirection w:val="lrTb"/>
            <w:noWrap w:val="false"/>
          </w:tcPr>
          <w:p>
            <w:pPr>
              <w:ind w:left="0" w:firstLine="0"/>
              <w:jc w:val="both"/>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备</w:t>
            </w:r>
            <w:r>
              <w:rPr>
                <w:rFonts w:hint="eastAsia" w:ascii="宋体" w:hAnsi="宋体" w:cs="宋体"/>
                <w:b/>
                <w:bCs/>
                <w:color w:val="000000" w:themeColor="text1"/>
                <w:szCs w:val="21"/>
                <w14:textFill>
                  <w14:solidFill>
                    <w14:schemeClr w14:val="tx1"/>
                  </w14:solidFill>
                </w14:textFill>
              </w:rPr>
              <w:t xml:space="preserve">注</w:t>
            </w:r>
            <w:r/>
          </w:p>
        </w:tc>
      </w:tr>
      <w:tr>
        <w:trPr>
          <w:jc w:val="center"/>
          <w:trHeight w:val="505"/>
        </w:trPr>
        <w:tc>
          <w:tcPr>
            <w:gridSpan w:val="5"/>
            <w:tcW w:w="938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一、数字化采集加工</w:t>
            </w:r>
            <w:r/>
          </w:p>
        </w:tc>
        <w:tc>
          <w:tcPr>
            <w:tcW w:w="54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05"/>
        </w:trPr>
        <w:tc>
          <w:tcPr>
            <w:tcW w:w="680" w:type="dxa"/>
            <w:vAlign w:val="center"/>
            <w:textDirection w:val="lrTb"/>
            <w:noWrap w:val="false"/>
          </w:tcPr>
          <w:p>
            <w:pPr>
              <w:ind w:left="0" w:firstLine="0"/>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977" w:type="dxa"/>
            <w:vAlign w:val="center"/>
            <w:textDirection w:val="lrTb"/>
            <w:noWrap w:val="false"/>
          </w:tcPr>
          <w:p>
            <w:pPr>
              <w:ind w:left="0" w:firstLine="0"/>
              <w:jc w:val="both"/>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珍贵文物数字化保护二维采集</w:t>
            </w:r>
            <w:r>
              <w:rPr>
                <w:rFonts w:hint="eastAsia" w:ascii="宋体" w:hAnsi="宋体" w:cs="宋体"/>
                <w:color w:val="000000" w:themeColor="text1"/>
                <w:szCs w:val="21"/>
                <w:lang w:val="en-US" w:eastAsia="zh-CN"/>
                <w14:textFill>
                  <w14:solidFill>
                    <w14:schemeClr w14:val="tx1"/>
                  </w14:solidFill>
                </w14:textFill>
              </w:rPr>
              <w:t xml:space="preserve">及加工</w:t>
            </w:r>
            <w:r/>
          </w:p>
        </w:tc>
        <w:tc>
          <w:tcPr>
            <w:tcW w:w="653" w:type="dxa"/>
            <w:vAlign w:val="center"/>
            <w:textDirection w:val="lrTb"/>
            <w:noWrap w:val="false"/>
          </w:tcPr>
          <w:p>
            <w:pPr>
              <w:ind w:left="0" w:firstLine="0"/>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件</w:t>
            </w:r>
            <w:r/>
          </w:p>
        </w:tc>
        <w:tc>
          <w:tcPr>
            <w:tcW w:w="801" w:type="dxa"/>
            <w:vAlign w:val="center"/>
            <w:textDirection w:val="lrTb"/>
            <w:noWrap w:val="false"/>
          </w:tcPr>
          <w:p>
            <w:pPr>
              <w:ind w:left="0" w:firstLine="0"/>
              <w:jc w:val="center"/>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375</w:t>
            </w:r>
            <w:r/>
          </w:p>
        </w:tc>
        <w:tc>
          <w:tcPr>
            <w:tcW w:w="6269" w:type="dxa"/>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1.单张照片分辨率≥</w:t>
            </w:r>
            <w:r>
              <w:rPr>
                <w:rFonts w:hint="default"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lang w:val="en-US" w:eastAsia="zh-CN"/>
                <w14:textFill>
                  <w14:solidFill>
                    <w14:schemeClr w14:val="tx1"/>
                  </w14:solidFill>
                </w14:textFill>
              </w:rPr>
              <w:t xml:space="preserve">0000</w:t>
            </w:r>
            <w:r>
              <w:rPr>
                <w:rFonts w:hint="default" w:ascii="宋体" w:hAnsi="宋体" w:cs="宋体"/>
                <w:color w:val="000000" w:themeColor="text1"/>
                <w:szCs w:val="21"/>
                <w:lang w:val="en-US"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8000</w:t>
            </w:r>
            <w:r>
              <w:rPr>
                <w:rFonts w:hint="eastAsia" w:ascii="宋体" w:hAnsi="宋体" w:cs="宋体"/>
                <w:color w:val="000000" w:themeColor="text1"/>
                <w:szCs w:val="21"/>
                <w14:textFill>
                  <w14:solidFill>
                    <w14:schemeClr w14:val="tx1"/>
                  </w14:solidFill>
                </w14:textFill>
              </w:rPr>
              <w:t xml:space="preserve">；</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2.采集过程前须制定详细的操作规范，获得了馆方同意后才能开始实施，操作过程中须严格遵守所制定的规范，保证文物安全；</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3.图像的色彩应忠于原影像载体，对于获取的数据要根据原件进行纠正；</w:t>
            </w:r>
            <w:r/>
          </w:p>
          <w:p>
            <w:pPr>
              <w:jc w:val="left"/>
              <w:widowControl/>
              <w:rPr>
                <w:rFonts w:hint="eastAsia" w:ascii="宋体" w:hAnsi="宋体" w:cs="宋体"/>
                <w:color w:val="auto"/>
                <w:szCs w:val="21"/>
              </w:rPr>
            </w:pPr>
            <w:r>
              <w:rPr>
                <w:rFonts w:hint="eastAsia" w:ascii="宋体" w:hAnsi="宋体" w:cs="宋体"/>
                <w:color w:val="auto"/>
                <w:szCs w:val="21"/>
              </w:rPr>
              <w:t xml:space="preserve">4.采集照明：为确保文物安全，防止照明对文物产生过多扰动，采集过程，采用</w:t>
            </w:r>
            <w:r>
              <w:rPr>
                <w:rFonts w:hint="eastAsia" w:ascii="宋体" w:hAnsi="宋体" w:cs="宋体"/>
                <w:color w:val="auto"/>
                <w:szCs w:val="21"/>
                <w:lang w:val="en-US" w:eastAsia="zh-CN"/>
              </w:rPr>
              <w:t xml:space="preserve">标准色温LED连续冷光源</w:t>
            </w:r>
            <w:r>
              <w:rPr>
                <w:rFonts w:hint="eastAsia" w:ascii="宋体" w:hAnsi="宋体" w:cs="宋体"/>
                <w:color w:val="auto"/>
                <w:szCs w:val="21"/>
              </w:rPr>
              <w:t xml:space="preserve">；文物拍摄专用照明系统，具备紫外屏蔽装置，确保文物安全；</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数据尺寸偏小者须单件采集，不能数件合并为一副图像中；每件平面藏品需拍摄全形图像一张，尽量用一幅画面记录平面文物的影像。无法在一张影像中记录全形的，可采用分段拍摄形式记录。立体藏品需以主要代表面，拍摄全形图像一张，并拍摄正视角度的顶面和底面图像各一张。对具有花纹、附件、内壁铭文或其他特殊情况的立体藏品各相应部位进行局部拍摄。</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6.成果交付：</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单张照片1亿像素，每件文物不少于</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张；</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单张RAW图像大小≥50M；</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单张照片分辨率</w:t>
            </w:r>
            <w:r>
              <w:rPr>
                <w:rFonts w:hint="default"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lang w:val="en-US" w:eastAsia="zh-CN"/>
                <w14:textFill>
                  <w14:solidFill>
                    <w14:schemeClr w14:val="tx1"/>
                  </w14:solidFill>
                </w14:textFill>
              </w:rPr>
              <w:t xml:space="preserve">0000</w:t>
            </w:r>
            <w:r>
              <w:rPr>
                <w:rFonts w:hint="default" w:ascii="宋体" w:hAnsi="宋体" w:cs="宋体"/>
                <w:color w:val="000000" w:themeColor="text1"/>
                <w:szCs w:val="21"/>
                <w:lang w:val="en-US"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8000</w:t>
            </w:r>
            <w:r>
              <w:rPr>
                <w:rFonts w:hint="eastAsia" w:ascii="宋体" w:hAnsi="宋体" w:cs="宋体"/>
                <w:color w:val="000000" w:themeColor="text1"/>
                <w:szCs w:val="21"/>
                <w14:textFill>
                  <w14:solidFill>
                    <w14:schemeClr w14:val="tx1"/>
                  </w14:solidFill>
                </w14:textFill>
              </w:rPr>
              <w:t xml:space="preserve">；图像色彩信息校准准确，无畸变，不同部位的图像亮度无显著差异。</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递交格式：</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据以文物编号名称进行命名保存，采用无损压缩格式进行文物高清影像数据存储，比如RAW、TIFF格式；同时采用JPEG等有损压缩格式存储一份可在网络页面上进行快速浏览的图像，压缩质量选择“低”“中”“高”。</w:t>
            </w:r>
            <w:r/>
          </w:p>
        </w:tc>
        <w:tc>
          <w:tcPr>
            <w:tcW w:w="54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05"/>
        </w:trPr>
        <w:tc>
          <w:tcPr>
            <w:tcW w:w="680" w:type="dxa"/>
            <w:vAlign w:val="center"/>
            <w:textDirection w:val="lrTb"/>
            <w:noWrap w:val="false"/>
          </w:tcPr>
          <w:p>
            <w:pPr>
              <w:ind w:left="0" w:firstLine="0"/>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977" w:type="dxa"/>
            <w:vAlign w:val="center"/>
            <w:textDirection w:val="lrTb"/>
            <w:noWrap w:val="false"/>
          </w:tcPr>
          <w:p>
            <w:pPr>
              <w:ind w:left="0" w:firstLine="0"/>
              <w:jc w:val="both"/>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珍贵文物数字化保护三维采集</w:t>
            </w:r>
            <w:r>
              <w:rPr>
                <w:rFonts w:hint="eastAsia" w:ascii="宋体" w:hAnsi="宋体" w:cs="宋体"/>
                <w:color w:val="000000" w:themeColor="text1"/>
                <w:szCs w:val="21"/>
                <w:lang w:val="en-US" w:eastAsia="zh-CN"/>
                <w14:textFill>
                  <w14:solidFill>
                    <w14:schemeClr w14:val="tx1"/>
                  </w14:solidFill>
                </w14:textFill>
              </w:rPr>
              <w:t xml:space="preserve">及加工</w:t>
            </w:r>
            <w:r/>
          </w:p>
        </w:tc>
        <w:tc>
          <w:tcPr>
            <w:tcW w:w="653" w:type="dxa"/>
            <w:vAlign w:val="center"/>
            <w:textDirection w:val="lrTb"/>
            <w:noWrap w:val="false"/>
          </w:tcPr>
          <w:p>
            <w:pPr>
              <w:ind w:left="0" w:firstLine="0"/>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件</w:t>
            </w:r>
            <w:r/>
          </w:p>
        </w:tc>
        <w:tc>
          <w:tcPr>
            <w:tcW w:w="801" w:type="dxa"/>
            <w:vAlign w:val="center"/>
            <w:textDirection w:val="lrTb"/>
            <w:noWrap w:val="false"/>
          </w:tcPr>
          <w:p>
            <w:pPr>
              <w:ind w:left="0" w:firstLine="0"/>
              <w:jc w:val="center"/>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85</w:t>
            </w:r>
            <w:r/>
          </w:p>
        </w:tc>
        <w:tc>
          <w:tcPr>
            <w:tcW w:w="6269" w:type="dxa"/>
            <w:vAlign w:val="center"/>
            <w:textDirection w:val="lrTb"/>
            <w:noWrap w:val="false"/>
          </w:tcPr>
          <w:p>
            <w:pPr>
              <w:numPr>
                <w:ilvl w:val="0"/>
                <w:numId w:val="0"/>
              </w:num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bidi="zh-TW"/>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扫描精度：点云采样分辨率优于</w:t>
            </w:r>
            <w:r>
              <w:rPr>
                <w:rFonts w:ascii="宋体" w:hAnsi="宋体" w:cs="宋体"/>
                <w:color w:val="000000" w:themeColor="text1"/>
                <w:szCs w:val="21"/>
                <w14:textFill>
                  <w14:solidFill>
                    <w14:schemeClr w14:val="tx1"/>
                  </w14:solidFill>
                </w14:textFill>
              </w:rPr>
              <w:t xml:space="preserve">0.0</w:t>
            </w:r>
            <w:r>
              <w:rPr>
                <w:rFonts w:hint="eastAsia" w:ascii="宋体" w:hAnsi="宋体" w:cs="宋体"/>
                <w:color w:val="000000" w:themeColor="text1"/>
                <w:szCs w:val="21"/>
                <w:lang w:val="en-US" w:eastAsia="zh-CN"/>
                <w14:textFill>
                  <w14:solidFill>
                    <w14:schemeClr w14:val="tx1"/>
                  </w14:solidFill>
                </w14:textFill>
              </w:rPr>
              <w:t xml:space="preserve">2</w:t>
            </w:r>
            <w:r>
              <w:rPr>
                <w:rFonts w:ascii="宋体" w:hAnsi="宋体" w:cs="宋体"/>
                <w:color w:val="000000" w:themeColor="text1"/>
                <w:szCs w:val="21"/>
                <w14:textFill>
                  <w14:solidFill>
                    <w14:schemeClr w14:val="tx1"/>
                  </w14:solidFill>
                </w14:textFill>
              </w:rPr>
              <w:t xml:space="preserve">mm。扫描精度优于0.0</w:t>
            </w:r>
            <w:r>
              <w:rPr>
                <w:rFonts w:hint="eastAsia" w:ascii="宋体" w:hAnsi="宋体" w:cs="宋体"/>
                <w:color w:val="000000" w:themeColor="text1"/>
                <w:szCs w:val="21"/>
                <w:lang w:val="en-US" w:eastAsia="zh-CN"/>
                <w14:textFill>
                  <w14:solidFill>
                    <w14:schemeClr w14:val="tx1"/>
                  </w14:solidFill>
                </w14:textFill>
              </w:rPr>
              <w:t xml:space="preserve">2</w:t>
            </w:r>
            <w:r>
              <w:rPr>
                <w:rFonts w:ascii="宋体" w:hAnsi="宋体" w:cs="宋体"/>
                <w:color w:val="000000" w:themeColor="text1"/>
                <w:szCs w:val="21"/>
                <w14:textFill>
                  <w14:solidFill>
                    <w14:schemeClr w14:val="tx1"/>
                  </w14:solidFill>
                </w14:textFill>
              </w:rPr>
              <w:t xml:space="preserve">mm。</w:t>
            </w:r>
            <w:r>
              <w:rPr>
                <w:rFonts w:hint="eastAsia" w:ascii="宋体" w:hAnsi="宋体" w:cs="宋体"/>
                <w:color w:val="000000" w:themeColor="text1"/>
                <w:szCs w:val="21"/>
                <w14:textFill>
                  <w14:solidFill>
                    <w14:schemeClr w14:val="tx1"/>
                  </w14:solidFill>
                </w14:textFill>
              </w:rPr>
              <w:t xml:space="preserve">；</w:t>
            </w:r>
            <w:r/>
          </w:p>
          <w:p>
            <w:pPr>
              <w:numPr>
                <w:ilvl w:val="0"/>
                <w:numId w:val="0"/>
              </w:num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色彩纹理：自动纹理映射技术；</w:t>
            </w:r>
            <w:r/>
          </w:p>
          <w:p>
            <w:pPr>
              <w:numPr>
                <w:ilvl w:val="0"/>
                <w:numId w:val="0"/>
              </w:num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馆藏文物高保真纹理映射原始图像数据及三维模型，图像数据为原始图像RAW 格式三维模型为通用obj 格式；</w:t>
            </w:r>
            <w:r/>
          </w:p>
          <w:p>
            <w:pPr>
              <w:numPr>
                <w:ilvl w:val="0"/>
                <w:numId w:val="0"/>
              </w:num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纹理映射三维模型纹理贴图≥</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K，每组纹理贴图至少≥</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张；</w:t>
            </w:r>
            <w:r/>
          </w:p>
          <w:p>
            <w:pPr>
              <w:numPr>
                <w:ilvl w:val="0"/>
                <w:numId w:val="0"/>
              </w:numPr>
              <w:jc w:val="left"/>
              <w:widowControl/>
              <w:rPr>
                <w:rFonts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采集照明：为确保文物安全，防止照明对文物产生过多扰动，采集过程，采用</w:t>
            </w:r>
            <w:r>
              <w:rPr>
                <w:rFonts w:hint="eastAsia" w:ascii="宋体" w:hAnsi="宋体" w:cs="宋体"/>
                <w:color w:val="auto"/>
                <w:szCs w:val="21"/>
                <w:lang w:val="en-US" w:eastAsia="zh-CN"/>
              </w:rPr>
              <w:t xml:space="preserve">标准色温LED连续冷光源</w:t>
            </w:r>
            <w:r>
              <w:rPr>
                <w:rFonts w:hint="eastAsia" w:ascii="宋体" w:hAnsi="宋体" w:cs="宋体"/>
                <w:color w:val="auto"/>
                <w:szCs w:val="21"/>
              </w:rPr>
              <w:t xml:space="preserve">；文物拍摄专用照明系统，具备紫外屏蔽装置，确保文物安全。</w:t>
            </w:r>
            <w:r/>
          </w:p>
          <w:p>
            <w:pPr>
              <w:jc w:val="left"/>
              <w:widowControl/>
              <w:rPr>
                <w:rFonts w:ascii="宋体" w:hAnsi="宋体" w:cs="宋体"/>
                <w:color w:val="auto"/>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成果交付：</w:t>
            </w:r>
            <w:r/>
          </w:p>
          <w:p>
            <w:pPr>
              <w:jc w:val="left"/>
              <w:widowControl/>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高精度模型面数≥</w:t>
            </w:r>
            <w:r>
              <w:rPr>
                <w:rFonts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TW" w:eastAsia="zh-TW"/>
                <w14:textFill>
                  <w14:solidFill>
                    <w14:schemeClr w14:val="tx1"/>
                  </w14:solidFill>
                </w14:textFill>
              </w:rPr>
              <w:t xml:space="preserve">00万面；</w:t>
            </w:r>
            <w:r/>
          </w:p>
          <w:p>
            <w:pPr>
              <w:jc w:val="left"/>
              <w:widowControl/>
              <w:rPr>
                <w:rFonts w:ascii="宋体" w:hAnsi="宋体" w:cs="宋体"/>
                <w:color w:val="000000" w:themeColor="text1"/>
                <w:szCs w:val="21"/>
                <w:lang w:val="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三维模型精度误差±0.05mm</w:t>
            </w:r>
            <w:r>
              <w:rPr>
                <w:rFonts w:hint="eastAsia" w:ascii="宋体" w:hAnsi="宋体" w:cs="宋体"/>
                <w:color w:val="000000" w:themeColor="text1"/>
                <w:szCs w:val="21"/>
                <w:lang w:val="zh-TW"/>
                <w14:textFill>
                  <w14:solidFill>
                    <w14:schemeClr w14:val="tx1"/>
                  </w14:solidFill>
                </w14:textFill>
              </w:rPr>
              <w:t xml:space="preserve">；</w:t>
            </w:r>
            <w:r/>
          </w:p>
          <w:p>
            <w:pPr>
              <w:jc w:val="left"/>
              <w:widowControl/>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纹理映射三维模型纹理贴图≥</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lang w:val="zh-TW" w:eastAsia="zh-TW"/>
                <w14:textFill>
                  <w14:solidFill>
                    <w14:schemeClr w14:val="tx1"/>
                  </w14:solidFill>
                </w14:textFill>
              </w:rPr>
              <w:t xml:space="preserve">K；</w:t>
            </w:r>
            <w:r/>
          </w:p>
          <w:p>
            <w:pPr>
              <w:jc w:val="left"/>
              <w:widowControl/>
              <w:rPr>
                <w:rFonts w:ascii="宋体" w:hAnsi="宋体" w:cs="宋体"/>
                <w:color w:val="000000" w:themeColor="text1"/>
                <w:szCs w:val="21"/>
                <w:lang w:val="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每组纹理贴图至少≥</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lang w:val="zh-TW" w:eastAsia="zh-TW"/>
                <w14:textFill>
                  <w14:solidFill>
                    <w14:schemeClr w14:val="tx1"/>
                  </w14:solidFill>
                </w14:textFill>
              </w:rPr>
              <w:t xml:space="preserve">张；</w:t>
            </w:r>
            <w:r/>
          </w:p>
          <w:p>
            <w:pPr>
              <w:jc w:val="left"/>
              <w:widowControl/>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lang w:val="zh-TW" w:eastAsia="zh-TW"/>
                <w14:textFill>
                  <w14:solidFill>
                    <w14:schemeClr w14:val="tx1"/>
                  </w14:solidFill>
                </w14:textFill>
              </w:rPr>
              <w:t xml:space="preserve">模型数据递交格式</w:t>
            </w:r>
            <w:r/>
          </w:p>
          <w:p>
            <w:pPr>
              <w:jc w:val="left"/>
              <w:widowControl/>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原始点云模型</w:t>
            </w:r>
            <w:r>
              <w:rPr>
                <w:rFonts w:hint="eastAsia" w:ascii="宋体" w:hAnsi="宋体" w:cs="宋体"/>
                <w:color w:val="000000" w:themeColor="text1"/>
                <w:szCs w:val="21"/>
                <w:lang w:val="zh-TW"/>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xyz</w:t>
            </w:r>
            <w:r/>
          </w:p>
          <w:p>
            <w:pPr>
              <w:jc w:val="left"/>
              <w:widowControl/>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高精度网格模型：stl</w:t>
            </w:r>
            <w:r/>
          </w:p>
          <w:p>
            <w:pPr>
              <w:jc w:val="left"/>
              <w:widowControl/>
              <w:rPr>
                <w:rFonts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科研用网格模型：obj</w:t>
            </w:r>
            <w:r/>
          </w:p>
          <w:p>
            <w:pPr>
              <w:jc w:val="left"/>
              <w:widowControl/>
              <w:rPr>
                <w:rFonts w:ascii="宋体" w:hAnsi="宋体" w:cs="宋体"/>
                <w:color w:val="0000ff"/>
                <w:szCs w:val="21"/>
              </w:rPr>
            </w:pPr>
            <w:r>
              <w:rPr>
                <w:rFonts w:hint="eastAsia" w:ascii="宋体" w:hAnsi="宋体" w:cs="宋体"/>
                <w:color w:val="000000" w:themeColor="text1"/>
                <w:szCs w:val="21"/>
                <w:lang w:val="zh-TW" w:eastAsia="zh-TW"/>
                <w14:textFill>
                  <w14:solidFill>
                    <w14:schemeClr w14:val="tx1"/>
                  </w14:solidFill>
                </w14:textFill>
              </w:rPr>
              <w:t xml:space="preserve">网页展示用模型：obj</w:t>
            </w:r>
            <w:r/>
          </w:p>
        </w:tc>
        <w:tc>
          <w:tcPr>
            <w:tcW w:w="543" w:type="dxa"/>
            <w:vAlign w:val="center"/>
            <w:textDirection w:val="lrTb"/>
            <w:noWrap w:val="false"/>
          </w:tcPr>
          <w:p>
            <w:pPr>
              <w:jc w:val="left"/>
              <w:widowControl/>
              <w:rPr>
                <w:rFonts w:ascii="宋体" w:hAnsi="宋体" w:cs="宋体"/>
                <w:color w:val="0000ff"/>
                <w:szCs w:val="21"/>
              </w:rPr>
            </w:pPr>
            <w:r>
              <w:rPr>
                <w:rFonts w:ascii="宋体" w:hAnsi="宋体" w:cs="宋体"/>
                <w:color w:val="0000ff"/>
                <w:szCs w:val="21"/>
              </w:rPr>
            </w:r>
            <w:r/>
          </w:p>
        </w:tc>
      </w:tr>
      <w:tr>
        <w:trPr>
          <w:jc w:val="center"/>
          <w:trHeight w:val="505"/>
        </w:trPr>
        <w:tc>
          <w:tcPr>
            <w:gridSpan w:val="6"/>
            <w:tcW w:w="9923" w:type="dxa"/>
            <w:vAlign w:val="center"/>
            <w:textDirection w:val="lrTb"/>
            <w:noWrap w:val="false"/>
          </w:tcPr>
          <w:p>
            <w:pPr>
              <w:jc w:val="center"/>
              <w:widowControl/>
              <w:rPr>
                <w:rFonts w:hint="default" w:ascii="宋体" w:hAnsi="宋体" w:cs="宋体" w:eastAsiaTheme="minorEastAsia"/>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二、数据存储升级服务</w:t>
            </w:r>
            <w:r/>
          </w:p>
        </w:tc>
      </w:tr>
      <w:tr>
        <w:trPr>
          <w:jc w:val="center"/>
          <w:trHeight w:val="1363"/>
        </w:trPr>
        <w:tc>
          <w:tcPr>
            <w:tcW w:w="680" w:type="dxa"/>
            <w:vAlign w:val="center"/>
            <w:textDirection w:val="lrTb"/>
            <w:noWrap w:val="false"/>
          </w:tcPr>
          <w:p>
            <w:pPr>
              <w:ind w:left="0" w:firstLine="0"/>
              <w:jc w:val="center"/>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w:t>
            </w:r>
            <w:r/>
          </w:p>
        </w:tc>
        <w:tc>
          <w:tcPr>
            <w:tcW w:w="977" w:type="dxa"/>
            <w:vAlign w:val="center"/>
            <w:textDirection w:val="lrTb"/>
            <w:noWrap w:val="false"/>
          </w:tcPr>
          <w:p>
            <w:pPr>
              <w:ind w:left="0" w:firstLine="0"/>
              <w:jc w:val="left"/>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存储升级服务</w:t>
            </w:r>
            <w:r/>
          </w:p>
        </w:tc>
        <w:tc>
          <w:tcPr>
            <w:tcW w:w="653" w:type="dxa"/>
            <w:vAlign w:val="center"/>
            <w:textDirection w:val="lrTb"/>
            <w:noWrap w:val="false"/>
          </w:tcPr>
          <w:p>
            <w:pPr>
              <w:ind w:left="0" w:firstLine="0"/>
              <w:jc w:val="center"/>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项</w:t>
            </w:r>
            <w:r/>
          </w:p>
        </w:tc>
        <w:tc>
          <w:tcPr>
            <w:tcW w:w="801" w:type="dxa"/>
            <w:vAlign w:val="center"/>
            <w:textDirection w:val="lrTb"/>
            <w:noWrap w:val="false"/>
          </w:tcPr>
          <w:p>
            <w:pPr>
              <w:ind w:left="0" w:firstLine="0"/>
              <w:jc w:val="center"/>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w:t>
            </w:r>
            <w:r/>
          </w:p>
        </w:tc>
        <w:tc>
          <w:tcPr>
            <w:tcW w:w="6269" w:type="dxa"/>
            <w:vAlign w:val="center"/>
            <w:textDirection w:val="lrTb"/>
            <w:noWrap w:val="false"/>
          </w:tcPr>
          <w:p>
            <w:pPr>
              <w:jc w:val="left"/>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1.容量不低于20TB，3.5寸SATA硬盘2块</w:t>
            </w:r>
            <w:r/>
          </w:p>
          <w:p>
            <w:pPr>
              <w:jc w:val="left"/>
              <w:widowControl/>
              <w:rPr>
                <w:rFonts w:hint="default" w:ascii="宋体" w:hAnsi="宋体" w:cs="宋体"/>
                <w:color w:val="000000" w:themeColor="text1"/>
                <w:szCs w:val="21"/>
                <w:lang w:val="en-US" w:eastAsia="zh-TW"/>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2.容量不低于20TB，不低于USB3.0硬盘2块</w:t>
            </w:r>
            <w:r/>
          </w:p>
        </w:tc>
        <w:tc>
          <w:tcPr>
            <w:tcW w:w="543"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ind w:firstLine="480"/>
        <w:jc w:val="both"/>
        <w:spacing w:before="0" w:after="0" w:line="520" w:lineRule="atLeast"/>
        <w:widowControl w:val="off"/>
        <w:rPr>
          <w:rFonts w:hint="default"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t xml:space="preserve">三</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sz w:val="24"/>
          <w:szCs w:val="24"/>
          <w:lang w:val="en-US" w:eastAsia="zh-CN"/>
        </w:rPr>
        <w:t xml:space="preserve">二维、三维</w:t>
      </w:r>
      <w:r>
        <w:rPr>
          <w:rFonts w:hint="eastAsia" w:ascii="方正仿宋_GBK" w:hAnsi="方正仿宋_GBK" w:eastAsia="方正仿宋_GBK" w:cs="方正仿宋_GBK"/>
          <w:b/>
          <w:bCs/>
          <w:sz w:val="24"/>
          <w:szCs w:val="24"/>
        </w:rPr>
        <w:t xml:space="preserve">文物数字化</w:t>
      </w:r>
      <w:r>
        <w:rPr>
          <w:rFonts w:hint="eastAsia" w:ascii="方正仿宋_GBK" w:hAnsi="方正仿宋_GBK" w:eastAsia="方正仿宋_GBK" w:cs="方正仿宋_GBK"/>
          <w:b/>
          <w:bCs/>
          <w:sz w:val="24"/>
          <w:szCs w:val="24"/>
          <w:lang w:val="en-US" w:eastAsia="zh-CN"/>
        </w:rPr>
        <w:t xml:space="preserve">要求</w:t>
      </w:r>
      <w:r/>
    </w:p>
    <w:p>
      <w:pPr>
        <w:ind w:firstLine="480"/>
        <w:jc w:val="both"/>
        <w:spacing w:before="0" w:after="0" w:line="480" w:lineRule="atLeast"/>
        <w:widowControl w:val="off"/>
        <w:rPr>
          <w:rFonts w:hint="eastAsia"/>
        </w:rPr>
      </w:pPr>
      <w:r>
        <w:rPr>
          <w:rFonts w:hint="eastAsia" w:ascii="方正仿宋_GBK" w:hAnsi="方正仿宋_GBK" w:eastAsia="方正仿宋_GBK" w:cs="方正仿宋_GBK"/>
          <w:b/>
          <w:bCs/>
          <w:sz w:val="24"/>
          <w:szCs w:val="24"/>
          <w:lang w:val="en-US" w:eastAsia="zh-CN"/>
        </w:rPr>
        <w:t xml:space="preserve">1、二维</w:t>
      </w:r>
      <w:r>
        <w:rPr>
          <w:rFonts w:hint="eastAsia" w:ascii="方正仿宋_GBK" w:hAnsi="方正仿宋_GBK" w:eastAsia="方正仿宋_GBK" w:cs="方正仿宋_GBK"/>
          <w:b/>
          <w:bCs/>
          <w:sz w:val="24"/>
          <w:szCs w:val="24"/>
        </w:rPr>
        <w:t xml:space="preserve">文物数字化采集：</w:t>
      </w:r>
      <w:r/>
    </w:p>
    <w:p>
      <w:pPr>
        <w:ind w:firstLine="480"/>
        <w:jc w:val="both"/>
        <w:spacing w:before="0" w:after="0" w:line="480" w:lineRule="atLeas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（1）采集对象：</w:t>
      </w:r>
      <w:r/>
    </w:p>
    <w:p>
      <w:pPr>
        <w:jc w:val="both"/>
        <w:spacing w:before="0" w:after="0" w:line="480" w:lineRule="atLeast"/>
        <w:widowControl w:val="off"/>
        <w:rPr>
          <w:rFonts w:hint="eastAsia" w:ascii="方正仿宋_GBK" w:hAnsi="方正仿宋_GBK" w:eastAsia="方正仿宋_GBK" w:cs="方正仿宋_GBK"/>
          <w:sz w:val="24"/>
          <w:szCs w:val="24"/>
          <w:highlight w:val="none"/>
          <w:lang w:val="en-US" w:eastAsia="en-US"/>
        </w:rPr>
      </w:pPr>
      <w:r>
        <w:rPr>
          <w:rFonts w:hint="eastAsia" w:ascii="方正仿宋_GBK" w:hAnsi="方正仿宋_GBK" w:eastAsia="方正仿宋_GBK" w:cs="方正仿宋_GBK"/>
          <w:sz w:val="24"/>
          <w:szCs w:val="24"/>
          <w:highlight w:val="none"/>
          <w:lang w:val="en-US" w:eastAsia="zh-CN"/>
        </w:rPr>
        <w:t xml:space="preserve">对375件重要文物二维高清存档级数据采集加工制作</w:t>
      </w:r>
      <w:r>
        <w:rPr>
          <w:rFonts w:hint="eastAsia" w:ascii="方正仿宋_GBK" w:hAnsi="方正仿宋_GBK" w:eastAsia="方正仿宋_GBK" w:cs="方正仿宋_GBK"/>
          <w:sz w:val="24"/>
          <w:szCs w:val="24"/>
          <w:highlight w:val="none"/>
          <w:lang w:val="en-US" w:eastAsia="en-US"/>
        </w:rPr>
        <w:t xml:space="preserve">等工作</w:t>
      </w:r>
      <w:r>
        <w:rPr>
          <w:rFonts w:hint="eastAsia" w:ascii="方正仿宋_GBK" w:hAnsi="方正仿宋_GBK" w:eastAsia="方正仿宋_GBK" w:cs="方正仿宋_GBK"/>
          <w:sz w:val="24"/>
          <w:szCs w:val="24"/>
          <w:highlight w:val="none"/>
          <w:lang w:val="en-US"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en-US"/>
        </w:rPr>
      </w:pPr>
      <w:r>
        <w:rPr>
          <w:rFonts w:hint="eastAsia" w:ascii="方正仿宋_GBK" w:hAnsi="方正仿宋_GBK" w:eastAsia="方正仿宋_GBK" w:cs="方正仿宋_GBK"/>
          <w:sz w:val="24"/>
          <w:szCs w:val="24"/>
          <w:highlight w:val="none"/>
          <w:lang w:val="en-US" w:eastAsia="zh-CN"/>
        </w:rPr>
        <w:t xml:space="preserve">（2）</w:t>
      </w:r>
      <w:r>
        <w:rPr>
          <w:rFonts w:hint="eastAsia" w:ascii="方正仿宋_GBK" w:hAnsi="方正仿宋_GBK" w:eastAsia="方正仿宋_GBK" w:cs="方正仿宋_GBK"/>
          <w:sz w:val="24"/>
          <w:szCs w:val="24"/>
          <w:highlight w:val="none"/>
          <w:lang w:val="en-US" w:eastAsia="en-US"/>
        </w:rPr>
        <w:t xml:space="preserve">二维影像采集数据要求</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en-US"/>
        </w:rPr>
      </w:pPr>
      <w:r>
        <w:rPr>
          <w:rFonts w:hint="eastAsia" w:ascii="方正仿宋_GBK" w:hAnsi="方正仿宋_GBK" w:eastAsia="方正仿宋_GBK" w:cs="方正仿宋_GBK"/>
          <w:sz w:val="24"/>
          <w:szCs w:val="24"/>
          <w:highlight w:val="none"/>
          <w:lang w:val="en-US" w:eastAsia="en-US"/>
        </w:rPr>
        <w:t xml:space="preserve">1.单张照片分辨率≥10000x8000;图像色彩信息校准准确，无畸变，不同部位的图像亮度无显著差异。</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en-US"/>
        </w:rPr>
        <w:t xml:space="preserve">2.采集过程前须制定详细的操作规范，获得了馆方同意后才能开始实施，操作过程中须严格遵守所制定的规范，保证文物安全</w:t>
      </w:r>
      <w:r>
        <w:rPr>
          <w:rFonts w:hint="eastAsia" w:ascii="方正仿宋_GBK" w:hAnsi="方正仿宋_GBK" w:eastAsia="方正仿宋_GBK" w:cs="方正仿宋_GBK"/>
          <w:sz w:val="24"/>
          <w:szCs w:val="24"/>
          <w:highlight w:val="none"/>
          <w:lang w:val="en-US"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en-US"/>
        </w:rPr>
        <w:t xml:space="preserve">3.图像的色彩应忠于原影像载体，对于获取的数据要根据原件进行纠正</w:t>
      </w:r>
      <w:r>
        <w:rPr>
          <w:rFonts w:hint="eastAsia" w:ascii="方正仿宋_GBK" w:hAnsi="方正仿宋_GBK" w:eastAsia="方正仿宋_GBK" w:cs="方正仿宋_GBK"/>
          <w:sz w:val="24"/>
          <w:szCs w:val="24"/>
          <w:highlight w:val="none"/>
          <w:lang w:val="en-US"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en-US"/>
        </w:rPr>
        <w:t xml:space="preserve">4.采集照明:为确保文物安全，防止照明对文物产生过多扰动,采集过程，采用高显色性，低热量散发的冷光源:文物拍摄专用照明系统，具备紫外屏蔽装置，确保文物安全</w:t>
      </w:r>
      <w:r>
        <w:rPr>
          <w:rFonts w:hint="eastAsia" w:ascii="方正仿宋_GBK" w:hAnsi="方正仿宋_GBK" w:eastAsia="方正仿宋_GBK" w:cs="方正仿宋_GBK"/>
          <w:sz w:val="24"/>
          <w:szCs w:val="24"/>
          <w:highlight w:val="none"/>
          <w:lang w:val="en-US"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en-US"/>
        </w:rPr>
        <w:t xml:space="preserve">5.数据尺寸偏小者须单件采集，不能数件合并为一副图像中</w:t>
      </w:r>
      <w:r>
        <w:rPr>
          <w:rFonts w:hint="eastAsia" w:ascii="方正仿宋_GBK" w:hAnsi="方正仿宋_GBK" w:eastAsia="方正仿宋_GBK" w:cs="方正仿宋_GBK"/>
          <w:sz w:val="24"/>
          <w:szCs w:val="24"/>
          <w:highlight w:val="none"/>
          <w:lang w:val="en-US"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en-US"/>
        </w:rPr>
        <w:t xml:space="preserve">6.成果交付</w:t>
      </w:r>
      <w:r>
        <w:rPr>
          <w:rFonts w:hint="eastAsia" w:ascii="方正仿宋_GBK" w:hAnsi="方正仿宋_GBK" w:eastAsia="方正仿宋_GBK" w:cs="方正仿宋_GBK"/>
          <w:sz w:val="24"/>
          <w:szCs w:val="24"/>
          <w:highlight w:val="none"/>
          <w:lang w:val="en-US"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en-US"/>
        </w:rPr>
        <w:t xml:space="preserve">单张照片≥8000</w:t>
      </w:r>
      <w:r>
        <w:rPr>
          <w:rFonts w:hint="eastAsia" w:ascii="方正仿宋_GBK" w:hAnsi="方正仿宋_GBK" w:eastAsia="方正仿宋_GBK" w:cs="方正仿宋_GBK"/>
          <w:sz w:val="24"/>
          <w:szCs w:val="24"/>
          <w:highlight w:val="none"/>
          <w:lang w:val="en-US" w:eastAsia="zh-CN"/>
        </w:rPr>
        <w:t xml:space="preserve">万</w:t>
      </w:r>
      <w:r>
        <w:rPr>
          <w:rFonts w:hint="eastAsia" w:ascii="方正仿宋_GBK" w:hAnsi="方正仿宋_GBK" w:eastAsia="方正仿宋_GBK" w:cs="方正仿宋_GBK"/>
          <w:sz w:val="24"/>
          <w:szCs w:val="24"/>
          <w:highlight w:val="none"/>
          <w:lang w:val="en-US" w:eastAsia="en-US"/>
        </w:rPr>
        <w:t xml:space="preserve">像素</w:t>
      </w:r>
      <w:r>
        <w:rPr>
          <w:rFonts w:hint="eastAsia" w:ascii="方正仿宋_GBK" w:hAnsi="方正仿宋_GBK" w:eastAsia="方正仿宋_GBK" w:cs="方正仿宋_GBK"/>
          <w:sz w:val="24"/>
          <w:szCs w:val="24"/>
          <w:highlight w:val="none"/>
          <w:lang w:val="en-US"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en-US"/>
        </w:rPr>
        <w:t xml:space="preserve">单张 RAW 图像大小</w:t>
      </w:r>
      <w:r>
        <w:rPr>
          <w:rFonts w:hint="eastAsia" w:ascii="方正仿宋_GBK" w:hAnsi="方正仿宋_GBK" w:eastAsia="方正仿宋_GBK" w:cs="方正仿宋_GBK"/>
          <w:sz w:val="24"/>
          <w:szCs w:val="24"/>
          <w:highlight w:val="none"/>
          <w:lang w:val="en-US" w:eastAsia="zh-CN"/>
        </w:rPr>
        <w:t xml:space="preserve">≥</w:t>
      </w:r>
      <w:r>
        <w:rPr>
          <w:rFonts w:hint="eastAsia" w:ascii="方正仿宋_GBK" w:hAnsi="方正仿宋_GBK" w:eastAsia="方正仿宋_GBK" w:cs="方正仿宋_GBK"/>
          <w:sz w:val="24"/>
          <w:szCs w:val="24"/>
          <w:highlight w:val="none"/>
          <w:lang w:val="en-US" w:eastAsia="en-US"/>
        </w:rPr>
        <w:t xml:space="preserve">50M</w:t>
      </w:r>
      <w:r>
        <w:rPr>
          <w:rFonts w:hint="eastAsia" w:ascii="方正仿宋_GBK" w:hAnsi="方正仿宋_GBK" w:eastAsia="方正仿宋_GBK" w:cs="方正仿宋_GBK"/>
          <w:sz w:val="24"/>
          <w:szCs w:val="24"/>
          <w:highlight w:val="none"/>
          <w:lang w:val="en-US"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en-US"/>
        </w:rPr>
      </w:pPr>
      <w:r>
        <w:rPr>
          <w:rFonts w:hint="eastAsia" w:ascii="方正仿宋_GBK" w:hAnsi="方正仿宋_GBK" w:eastAsia="方正仿宋_GBK" w:cs="方正仿宋_GBK"/>
          <w:sz w:val="24"/>
          <w:szCs w:val="24"/>
          <w:highlight w:val="none"/>
          <w:lang w:val="en-US" w:eastAsia="en-US"/>
        </w:rPr>
        <w:t xml:space="preserve">单张照片分辨率≥10000x8000;图像色彩信息校准准确，无畸变，不同部位的图像亮度无显著差异。图像色彩信息校准准确，无畸变，不同部位的图像亮度无显著差异。</w:t>
      </w:r>
      <w:r/>
    </w:p>
    <w:p>
      <w:pPr>
        <w:ind w:firstLine="480"/>
        <w:jc w:val="both"/>
        <w:spacing w:before="0" w:after="0" w:line="480" w:lineRule="atLeast"/>
        <w:widowControl w:val="off"/>
        <w:rPr>
          <w:rFonts w:hint="eastAsia"/>
          <w:lang w:val="en-US" w:eastAsia="zh-CN"/>
        </w:rPr>
      </w:pPr>
      <w:r>
        <w:rPr>
          <w:rFonts w:hint="eastAsia" w:ascii="方正仿宋_GBK" w:hAnsi="方正仿宋_GBK" w:eastAsia="方正仿宋_GBK" w:cs="方正仿宋_GBK"/>
          <w:sz w:val="24"/>
          <w:szCs w:val="24"/>
          <w:highlight w:val="none"/>
          <w:lang w:val="en-US" w:eastAsia="en-US"/>
        </w:rPr>
        <w:t xml:space="preserve">数据以文物编号加文物名称进行命名保存，采用无损压缩格式进行所采集数据存储，比如 RAW、TIFF 格式;同时采用 JPEG 等有损压缩格式存储一份可在网络页面上进行快速浏览的缩略图，压缩质量选择“低”“中”“高”。</w:t>
      </w:r>
      <w:r/>
    </w:p>
    <w:p>
      <w:pPr>
        <w:ind w:firstLine="480"/>
        <w:jc w:val="both"/>
        <w:spacing w:before="0" w:after="0" w:line="480" w:lineRule="atLeas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val="en-US" w:eastAsia="zh-CN"/>
        </w:rPr>
        <w:t xml:space="preserve">2、三维</w:t>
      </w:r>
      <w:r>
        <w:rPr>
          <w:rFonts w:hint="eastAsia" w:ascii="方正仿宋_GBK" w:hAnsi="方正仿宋_GBK" w:eastAsia="方正仿宋_GBK" w:cs="方正仿宋_GBK"/>
          <w:b/>
          <w:bCs/>
          <w:sz w:val="24"/>
          <w:szCs w:val="24"/>
        </w:rPr>
        <w:t xml:space="preserve">文物数字化采集：</w:t>
      </w:r>
      <w:r/>
    </w:p>
    <w:p>
      <w:pPr>
        <w:ind w:firstLine="480"/>
        <w:jc w:val="both"/>
        <w:spacing w:before="0" w:after="0" w:line="480" w:lineRule="atLeas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（1）采集对象：</w:t>
      </w:r>
      <w:r/>
    </w:p>
    <w:p>
      <w:pPr>
        <w:ind w:firstLine="480"/>
        <w:jc w:val="both"/>
        <w:spacing w:before="0" w:after="0" w:line="480" w:lineRule="atLeas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对</w:t>
      </w:r>
      <w:r>
        <w:rPr>
          <w:rFonts w:hint="eastAsia" w:ascii="方正仿宋_GBK" w:hAnsi="方正仿宋_GBK" w:eastAsia="方正仿宋_GBK" w:cs="方正仿宋_GBK"/>
          <w:sz w:val="24"/>
          <w:szCs w:val="24"/>
          <w:lang w:val="en-US" w:eastAsia="zh-CN"/>
        </w:rPr>
        <w:t xml:space="preserve">85件研究价值较高的文物进行三维信息采集加工制作</w:t>
      </w:r>
      <w:r>
        <w:rPr>
          <w:rFonts w:hint="eastAsia" w:ascii="方正仿宋_GBK" w:hAnsi="方正仿宋_GBK" w:eastAsia="方正仿宋_GBK" w:cs="方正仿宋_GBK"/>
          <w:sz w:val="24"/>
          <w:szCs w:val="24"/>
        </w:rPr>
        <w:t xml:space="preserve">等工作</w:t>
      </w:r>
      <w:r>
        <w:rPr>
          <w:rFonts w:hint="eastAsia" w:ascii="方正仿宋_GBK" w:hAnsi="方正仿宋_GBK" w:eastAsia="方正仿宋_GBK" w:cs="方正仿宋_GBK"/>
          <w:sz w:val="24"/>
          <w:szCs w:val="24"/>
          <w:lang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（2）采集要求：</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 扫描精度</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点云采样分辨率优于 0.02mm</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扫描精度优于0.02mm。</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 xml:space="preserve">2、色彩纹理</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自动纹理映射技术</w:t>
      </w:r>
      <w:r>
        <w:rPr>
          <w:rFonts w:hint="eastAsia" w:ascii="方正仿宋_GBK" w:hAnsi="方正仿宋_GBK" w:eastAsia="方正仿宋_GBK" w:cs="方正仿宋_GBK"/>
          <w:color w:val="auto"/>
          <w:sz w:val="24"/>
          <w:szCs w:val="24"/>
          <w:lang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 xml:space="preserve">3、色彩还原度</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表面纹理色彩还原度</w:t>
      </w:r>
      <w:r>
        <w:rPr>
          <w:rFonts w:hint="eastAsia" w:ascii="方正仿宋_GBK" w:hAnsi="方正仿宋_GBK" w:eastAsia="方正仿宋_GBK" w:cs="方正仿宋_GBK"/>
          <w:color w:val="auto"/>
          <w:sz w:val="24"/>
          <w:szCs w:val="24"/>
          <w:lang w:val="en-US" w:eastAsia="zh-CN"/>
        </w:rPr>
        <w:t xml:space="preserve">≥</w:t>
      </w:r>
      <w:r>
        <w:rPr>
          <w:rFonts w:hint="eastAsia" w:ascii="方正仿宋_GBK" w:hAnsi="方正仿宋_GBK" w:eastAsia="方正仿宋_GBK" w:cs="方正仿宋_GBK"/>
          <w:color w:val="auto"/>
          <w:sz w:val="24"/>
          <w:szCs w:val="24"/>
        </w:rPr>
        <w:t xml:space="preserve">90%</w:t>
      </w:r>
      <w:r>
        <w:rPr>
          <w:rFonts w:hint="eastAsia" w:ascii="方正仿宋_GBK" w:hAnsi="方正仿宋_GBK" w:eastAsia="方正仿宋_GBK" w:cs="方正仿宋_GBK"/>
          <w:color w:val="auto"/>
          <w:sz w:val="24"/>
          <w:szCs w:val="24"/>
          <w:lang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 xml:space="preserve">4、馆藏文物高保真纹理映射原始图像数据及三维模型，图像数据为原始图像 RAW 格式三维模型为通用 obj 格式</w:t>
      </w:r>
      <w:r>
        <w:rPr>
          <w:rFonts w:hint="eastAsia" w:ascii="方正仿宋_GBK" w:hAnsi="方正仿宋_GBK" w:eastAsia="方正仿宋_GBK" w:cs="方正仿宋_GBK"/>
          <w:color w:val="auto"/>
          <w:sz w:val="24"/>
          <w:szCs w:val="24"/>
          <w:lang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 xml:space="preserve">5、纹理映射三维模型纹理贴图</w:t>
      </w:r>
      <w:r>
        <w:rPr>
          <w:rFonts w:hint="eastAsia" w:ascii="方正仿宋_GBK" w:hAnsi="方正仿宋_GBK" w:eastAsia="方正仿宋_GBK" w:cs="方正仿宋_GBK"/>
          <w:color w:val="auto"/>
          <w:sz w:val="24"/>
          <w:szCs w:val="24"/>
          <w:lang w:val="en-US" w:eastAsia="zh-CN"/>
        </w:rPr>
        <w:t xml:space="preserve">≥</w:t>
      </w:r>
      <w:r>
        <w:rPr>
          <w:rFonts w:hint="eastAsia" w:ascii="方正仿宋_GBK" w:hAnsi="方正仿宋_GBK" w:eastAsia="方正仿宋_GBK" w:cs="方正仿宋_GBK"/>
          <w:color w:val="auto"/>
          <w:sz w:val="24"/>
          <w:szCs w:val="24"/>
        </w:rPr>
        <w:t xml:space="preserve">8K，每组纹理贴图至少</w:t>
      </w:r>
      <w:r>
        <w:rPr>
          <w:rFonts w:hint="eastAsia" w:ascii="方正仿宋_GBK" w:hAnsi="方正仿宋_GBK" w:eastAsia="方正仿宋_GBK" w:cs="方正仿宋_GBK"/>
          <w:color w:val="auto"/>
          <w:sz w:val="24"/>
          <w:szCs w:val="24"/>
          <w:lang w:val="en-US" w:eastAsia="zh-CN"/>
        </w:rPr>
        <w:t xml:space="preserve">≥</w:t>
      </w:r>
      <w:r>
        <w:rPr>
          <w:rFonts w:hint="eastAsia" w:ascii="方正仿宋_GBK" w:hAnsi="方正仿宋_GBK" w:eastAsia="方正仿宋_GBK" w:cs="方正仿宋_GBK"/>
          <w:color w:val="auto"/>
          <w:sz w:val="24"/>
          <w:szCs w:val="24"/>
        </w:rPr>
        <w:t xml:space="preserve">5张</w:t>
      </w:r>
      <w:r>
        <w:rPr>
          <w:rFonts w:hint="eastAsia" w:ascii="方正仿宋_GBK" w:hAnsi="方正仿宋_GBK" w:eastAsia="方正仿宋_GBK" w:cs="方正仿宋_GBK"/>
          <w:color w:val="auto"/>
          <w:sz w:val="24"/>
          <w:szCs w:val="24"/>
          <w:lang w:eastAsia="zh-CN"/>
        </w:rPr>
        <w:t xml:space="preserve">。</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 xml:space="preserve">6、采集照明</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为确保文物安全，防止照明对文物产生过多扰动,采集过程，采用高显色性，低热量散发的冷光源</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文物拍摄专用静物照明系统，具备紫外屏蔽装置，确保文物安全。</w:t>
      </w:r>
      <w:r>
        <w:rPr>
          <w:rFonts w:hint="eastAsia" w:ascii="方正仿宋_GBK" w:hAnsi="方正仿宋_GBK" w:eastAsia="方正仿宋_GBK" w:cs="方正仿宋_GBK"/>
          <w:color w:val="auto"/>
          <w:sz w:val="24"/>
          <w:szCs w:val="24"/>
          <w:lang w:val="en-US" w:eastAsia="zh-CN"/>
        </w:rPr>
        <w:t xml:space="preserve">             </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（3）成果要求：</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所有成果按照文物编号+文物名称的方式命名； </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高精度模型面数≥200 万面；</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三维模型精度误差±0.05mm； </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纹理映射三维模型纹理贴图≥8K；</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每组纹理贴图至少≥5 张；</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val="en-US" w:eastAsia="zh-CN"/>
        </w:rPr>
        <w:t xml:space="preserve">4</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color w:val="auto"/>
          <w:sz w:val="24"/>
          <w:szCs w:val="24"/>
          <w:lang w:val="en-US" w:eastAsia="zh-CN"/>
        </w:rPr>
        <w:t xml:space="preserve">模型数据递交格式： </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原始点云模型：xyz </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高精度网格模型：stl </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科研用网格模型：obj </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网页展示用模型：obj</w:t>
      </w:r>
      <w:r/>
    </w:p>
    <w:p>
      <w:pPr>
        <w:ind w:firstLine="480"/>
        <w:jc w:val="both"/>
        <w:spacing w:before="0" w:after="0" w:line="480" w:lineRule="atLeas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lang w:val="en-US" w:eastAsia="zh-CN"/>
        </w:rPr>
        <w:t xml:space="preserve">5</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rPr>
        <w:t xml:space="preserve">三维采集交付格式</w:t>
      </w:r>
      <w:r/>
    </w:p>
    <w:p>
      <w:pPr>
        <w:ind w:firstLine="480"/>
        <w:jc w:val="both"/>
        <w:spacing w:before="0" w:after="0" w:line="480" w:lineRule="atLeas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所有成果按照文物编号+文物名称的方式命名，存储于本地服务器和移动硬盘。</w:t>
      </w:r>
      <w:r/>
    </w:p>
    <w:p>
      <w:pPr>
        <w:ind w:firstLine="480"/>
        <w:jc w:val="both"/>
        <w:spacing w:before="0" w:after="0" w:line="520" w:lineRule="atLeast"/>
        <w:widowControl w:val="off"/>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t xml:space="preserve">四、项目服务要求</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1、实施过程中系统性能维护：</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（1）检查系统、数据库运行情况，对运行状态监控及预警，实施过程的日志审计、分析，及时处理系统、数据库故障。</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（2）进行系统数据维护处理。</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（3）检查并处理系统存在的功能缺陷（BUG）。</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（4）系统配套硬件设备的维护，及时处理涉及数据库和系统相关工作。</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（5）按相关要求进行数据批量处理工作，整个过程需要建立有关数据安全、备份、测试、验证、应急恢复等机制。</w:t>
      </w:r>
      <w:r/>
    </w:p>
    <w:p>
      <w:pPr>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2、故障检测及排除：</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（1）接障后供应商将作出电话响应，并详细记录故障现象。</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（2）影响到项目正常开展的故障、服务请求，出现紧急、特殊的服务，在接到故障、服务请求后供应商须立刻迅速处理，安排资源解决。</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（3）不影响项目正常开展的故障、服务请求，在接到故障、服务请求后供应商须在采购人规定时间内进行处理解决。</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（4）未能及时完成故障排查及处理的情况，应向项目采购人提出书面解释。</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本项目二维、三维数字化采集工作须在新四军纪念馆馆内指定场所进行，供应商须为本项目配备1名项目负责人和提供不低于2人的实施人员及不低于1人的维保服务人员，后续项目实施及质保维护过程中作现场核验。</w:t>
      </w:r>
      <w:r/>
    </w:p>
    <w:p>
      <w:pPr>
        <w:ind w:firstLine="480"/>
        <w:jc w:val="both"/>
        <w:spacing w:before="0" w:after="0" w:line="480" w:lineRule="atLeas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highlight w:val="none"/>
          <w:lang w:val="en-US" w:eastAsia="zh-CN"/>
        </w:rPr>
        <w:t xml:space="preserve">供应商需具有本项目相关的文物数字化保护履约能力，需提供与本项目相关的文物数字化保护系统、数字化信息采集分析管理系统、文物三维数据采集软件、文物数字化三维采集系统、文物数字化保护智慧云平台、三维扫描+互联网智慧博物馆云平台计算机软件著作权登记证书。</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highlight w:val="none"/>
          <w:lang w:val="en-US" w:eastAsia="zh-CN"/>
        </w:rPr>
        <w:t xml:space="preserve">为保障本项目实施质量，供应商需有丰富的项目经验，能提供类似的项目业绩，</w:t>
      </w:r>
      <w:r>
        <w:rPr>
          <w:rFonts w:hint="default" w:ascii="方正仿宋_GBK" w:hAnsi="方正仿宋_GBK" w:eastAsia="方正仿宋_GBK" w:cs="方正仿宋_GBK"/>
          <w:sz w:val="24"/>
          <w:szCs w:val="24"/>
          <w:highlight w:val="none"/>
          <w:lang w:val="en-US" w:eastAsia="zh-CN"/>
        </w:rPr>
        <w:t xml:space="preserve">供应商应确保其提供的业绩证明材料真实、有效，并能清晰体现项目内容、合同双方主体。</w:t>
      </w:r>
      <w:r>
        <w:rPr>
          <w:rFonts w:hint="eastAsia" w:ascii="方正仿宋_GBK" w:hAnsi="方正仿宋_GBK" w:eastAsia="方正仿宋_GBK" w:cs="方正仿宋_GBK"/>
          <w:sz w:val="24"/>
          <w:szCs w:val="24"/>
          <w:highlight w:val="none"/>
          <w:lang w:val="en-US" w:eastAsia="zh-CN"/>
        </w:rPr>
        <w:t xml:space="preserve">若在合同履行期间或后续核查中，发现乙方提供的业绩证明材料存在虚假、伪造或无法核实的情况，则视为乙方重大违约。</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6、供应商应保证对所提供货物或服务等知识产权方面的一切产权关系负全部责任，不会产生因第三方提出侵犯其专利权、商标权或其它知识产权而引起的法律和经济纠纷，如因专利权、商标权或其它知识产权而引起法律和经济纠纷，由供应商承担所有相关责任。</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7、供应商在项目实施期间应无条件的接受采购人的监督管理，提出的质量问题要及时整改，整改完毕后通知采购人检查验收，合格后书面报送采购人备案。</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8、与本次采购项目有关的质量、安全问题均由成交供应商终生负责，相关的人员、财产责任风险均由供应商全部承担，与他人无涉。</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9、供应商须为本项目提供每周7×24小时免费服务热线，无条件响应采购人在该项目上的时间安排，并提供不低于24个月的免费质保维护期。</w:t>
      </w:r>
      <w:r/>
    </w:p>
    <w:p>
      <w:pPr>
        <w:ind w:firstLine="480"/>
        <w:jc w:val="left"/>
        <w:spacing w:line="420" w:lineRule="exact"/>
        <w:widowControl/>
        <w:rPr>
          <w:rFonts w:ascii="宋体" w:hAnsi="宋体"/>
          <w:b/>
          <w:bCs/>
          <w:sz w:val="24"/>
        </w:rPr>
      </w:pPr>
      <w:r>
        <w:rPr>
          <w:rFonts w:hint="eastAsia" w:ascii="宋体" w:hAnsi="宋体"/>
          <w:b/>
          <w:bCs/>
          <w:sz w:val="24"/>
          <w:lang w:val="en-US" w:eastAsia="zh-CN"/>
        </w:rPr>
        <w:t xml:space="preserve">五</w:t>
      </w:r>
      <w:r>
        <w:rPr>
          <w:rFonts w:hint="eastAsia" w:ascii="宋体" w:hAnsi="宋体"/>
          <w:b/>
          <w:bCs/>
          <w:sz w:val="24"/>
        </w:rPr>
        <w:t xml:space="preserve">、</w:t>
      </w:r>
      <w:r>
        <w:rPr>
          <w:rFonts w:ascii="宋体" w:hAnsi="宋体"/>
          <w:b/>
          <w:bCs/>
          <w:sz w:val="24"/>
        </w:rPr>
        <w:t xml:space="preserve">成果验收</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1、标的物验收包括但不限于检查项目数据资料的完整性、项目应用系统的功能要求的实现情况、成交供应商对本项目的实施方案与功能要求的一致性等。</w:t>
      </w:r>
      <w:r/>
    </w:p>
    <w:p>
      <w:pPr>
        <w:ind w:firstLine="480"/>
        <w:jc w:val="both"/>
        <w:spacing w:before="0" w:after="0" w:line="480" w:lineRule="atLeas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标的物符合我国最新颁布的与之相关的质量技术规范与标准，并同时满足采购文件要求、供应商所作承诺和新四军纪念馆等部门的考核要求，确保项目成果一次性通过省文物局验收。供应商对货物或服务缺陷不予更正的，采购人有权另请其他单位更正，所发生的费用由供应商承担。</w:t>
      </w:r>
      <w:r/>
    </w:p>
    <w:p>
      <w:pPr>
        <w:pStyle w:val="705"/>
        <w:ind w:firstLine="482"/>
        <w:spacing w:line="460" w:lineRule="exact"/>
        <w:rPr>
          <w:rFonts w:hint="eastAsia" w:hAnsi="宋体"/>
          <w:b/>
          <w:bCs/>
          <w:sz w:val="24"/>
          <w:szCs w:val="24"/>
          <w:highlight w:val="none"/>
        </w:rPr>
      </w:pPr>
      <w:r>
        <w:rPr>
          <w:rFonts w:hint="eastAsia" w:ascii="宋体" w:hAnsi="宋体" w:cs="宋体"/>
          <w:b/>
          <w:bCs/>
          <w:sz w:val="24"/>
          <w:szCs w:val="15"/>
          <w:lang w:val="en-US" w:eastAsia="zh-CN" w:bidi="zh-TW"/>
        </w:rPr>
        <w:t xml:space="preserve">六</w:t>
      </w:r>
      <w:r>
        <w:rPr>
          <w:rFonts w:hint="eastAsia" w:ascii="宋体" w:hAnsi="宋体" w:cs="宋体"/>
          <w:b/>
          <w:bCs/>
          <w:sz w:val="24"/>
          <w:szCs w:val="15"/>
          <w:lang w:bidi="zh-TW"/>
        </w:rPr>
        <w:t xml:space="preserve">、</w:t>
      </w:r>
      <w:r>
        <w:rPr>
          <w:rFonts w:hint="eastAsia" w:hAnsi="宋体"/>
          <w:b/>
          <w:bCs/>
          <w:sz w:val="24"/>
          <w:szCs w:val="24"/>
          <w:highlight w:val="none"/>
          <w:lang w:val="en-US" w:eastAsia="zh-CN"/>
        </w:rPr>
        <w:t xml:space="preserve">服务</w:t>
      </w:r>
      <w:r>
        <w:rPr>
          <w:rFonts w:hint="eastAsia" w:hAnsi="宋体"/>
          <w:b/>
          <w:bCs/>
          <w:sz w:val="24"/>
          <w:szCs w:val="24"/>
          <w:highlight w:val="none"/>
        </w:rPr>
        <w:t xml:space="preserve">方案</w:t>
      </w:r>
      <w:r/>
    </w:p>
    <w:p>
      <w:pPr>
        <w:ind w:firstLine="480"/>
        <w:spacing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1、项目实施方案至少包含实施安全保障措施、必要的设备配置、进度安排等。</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（1）实施安全保障措施：针对文物本体安全、数据安全、人员安全制定专项措施，明确文物搬运、采集、存储各环节的安全流程。</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（2）必要的设备配置：根据文物类型和采集需求，明确二维相机、三维扫描仪、工作站等设备的型号、参数、数量及校准方案，证明设备满足文物数字化行业标准要求。</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（3）进度安排：按项目阶段制定详细进度计划，明确关键节点、责任人及进度管控措施，同时预留文物保护相关的弹性调整空间。</w:t>
      </w:r>
      <w:r/>
    </w:p>
    <w:p>
      <w:pPr>
        <w:ind w:firstLine="480"/>
        <w:spacing w:line="48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2、项目需求理解和重点难点分析至少包含需求理解和重点难点分析及对策等。</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（1）项目需求理解：结合采购文件，清晰界定本次数字化保护的文物数量、采集范围，以及需交付的成果类型，列出文物保护相关法律法规、行业标准及采购文件要求。</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（2）重点难点分析及对策：提炼项目核心要求，结合文物实际情况分析，如脆弱文物采集防护、复杂纹饰 / 材质的纹理还原、大型文物的拼接建模、数据存储与兼容性等，并针对每个难点提出具体、可落地的解决措施。</w:t>
      </w:r>
      <w:r/>
    </w:p>
    <w:p>
      <w:pPr>
        <w:pStyle w:val="705"/>
        <w:ind w:firstLine="480"/>
        <w:spacing w:line="460" w:lineRule="exact"/>
        <w:rPr>
          <w:rFonts w:hint="eastAsia" w:hAnsi="宋体"/>
          <w:b/>
          <w:bCs/>
          <w:sz w:val="24"/>
          <w:szCs w:val="24"/>
          <w:highlight w:val="none"/>
          <w:lang w:val="en-US" w:eastAsia="zh-CN"/>
        </w:rPr>
      </w:pPr>
      <w:r>
        <w:rPr>
          <w:rFonts w:hint="eastAsia" w:hAnsi="宋体"/>
          <w:b/>
          <w:bCs/>
          <w:sz w:val="24"/>
          <w:szCs w:val="24"/>
          <w:highlight w:val="none"/>
          <w:lang w:val="en-US" w:eastAsia="zh-CN"/>
        </w:rPr>
        <w:t xml:space="preserve">3、二维数字化采集方案至少包含技术指标、实施过程、文物安全保障措施、数据成果精度等。</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（1）技术指标：明确二维采集的分辨率、色彩深度、白平衡、光照控制等参数，确保满足行业标准及采购方要求，证明数据的准确性和可复用性。</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（2）实施过程：按流程阐述前期准备、采集操作、数据处理、成果校验的全流程，体现流程的规范性。</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（3）文物安全保障措施：重点说明采集过程中如何避免对文物造成损伤，如无接触拍摄、防紫外线光源、防尘防潮处理、文物搬运规范等。</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（4）数据成果精度：明确最终二维成果的格式、精度、存储方式，确保成果可长期保存、兼容后续使用场景。</w:t>
      </w:r>
      <w:r/>
    </w:p>
    <w:p>
      <w:pPr>
        <w:pStyle w:val="705"/>
        <w:ind w:firstLine="480"/>
        <w:spacing w:line="460" w:lineRule="exact"/>
        <w:rPr>
          <w:rFonts w:hint="eastAsia" w:hAnsi="宋体"/>
          <w:b/>
          <w:bCs/>
          <w:sz w:val="24"/>
          <w:szCs w:val="24"/>
          <w:highlight w:val="none"/>
          <w:lang w:val="en-US" w:eastAsia="zh-CN"/>
        </w:rPr>
      </w:pPr>
      <w:r>
        <w:rPr>
          <w:rFonts w:hint="eastAsia" w:hAnsi="宋体"/>
          <w:b/>
          <w:bCs/>
          <w:sz w:val="24"/>
          <w:szCs w:val="24"/>
          <w:highlight w:val="none"/>
          <w:lang w:val="en-US" w:eastAsia="zh-CN"/>
        </w:rPr>
        <w:t xml:space="preserve">4、三维数字化采集方案至少包含技术指标、实施过程、文物安全保障措施、数据成果精度等。</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（1）技术指标：说明三维采集的点云密度、模型精度、纹理映射精度等关键参数，结合文物类型说明技术选型的合理性，符合行业标准。</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（2）实施过程：阐述三维采集的全流程，包括前期文物勘察、采集方案设计、点云采集、数据拼接与优化、模型重建、纹理映射、成果校验等环节，体现流程的完整性与规范性。</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（3）文物安全保障措施：针对三维采集的特点制定专项防护措施，如非接触式采集、避免强光直射、控制采集时间、防止设备磕碰文物、采集过程中文物状态监测等。</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（4）数据成果精度：明确三维模型的格式、拓扑结构、纹理质量、误差控制范围，确保成果满足后续应用需求，同时说明数据的备份与存储方案。</w:t>
      </w:r>
      <w:r/>
    </w:p>
    <w:p>
      <w:pPr>
        <w:pStyle w:val="705"/>
        <w:ind w:firstLine="480"/>
        <w:spacing w:line="460" w:lineRule="exact"/>
        <w:rPr>
          <w:rFonts w:hint="default" w:hAnsi="宋体"/>
          <w:b/>
          <w:bCs/>
          <w:sz w:val="24"/>
          <w:szCs w:val="24"/>
          <w:highlight w:val="none"/>
          <w:lang w:val="en-US" w:eastAsia="zh-CN"/>
        </w:rPr>
      </w:pPr>
      <w:r>
        <w:rPr>
          <w:rFonts w:hint="eastAsia" w:hAnsi="宋体"/>
          <w:b/>
          <w:bCs/>
          <w:sz w:val="24"/>
          <w:szCs w:val="24"/>
          <w:highlight w:val="none"/>
          <w:lang w:val="en-US" w:eastAsia="zh-CN"/>
        </w:rPr>
        <w:t xml:space="preserve">5、应急方案至少包含项目质量、安全保障和突发事件应急处理措施等。</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（1）项目质量应急措施：针对数据不合格、模型精度不达标、成果不符合要求等情况，制定返工、复测、数据修复的应急流程，明确责任人和整改时限。</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（2）安全保障应急措施：针对文物意外损伤（如磕碰、污损）、文物搬运事故、采集场地安全隐患等情况，制定应急处置流程，明确文物保护专家、应急物资、上报流程等内容。</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（3）突发事件应急处理措施：针对突发停电、设备故障、数据丢失、网络中断、极端天气等情况，制定应急预案，如数据实时备份、备用设备配置、供电保障方案、数据恢复流程等，确保项目连续性。</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（4）应急预案的规范性与可行性：明确应急组织架构、应急响应流程、演练计划，证明方案可落地、可执行，能够有效应对各类突发情况。</w:t>
      </w:r>
      <w:r/>
    </w:p>
    <w:p>
      <w:pPr>
        <w:pStyle w:val="705"/>
        <w:ind w:firstLine="480"/>
        <w:spacing w:line="460" w:lineRule="exact"/>
        <w:rPr>
          <w:rFonts w:hint="eastAsia" w:hAnsi="宋体"/>
          <w:b/>
          <w:bCs/>
          <w:sz w:val="24"/>
          <w:szCs w:val="24"/>
          <w:highlight w:val="none"/>
          <w:lang w:val="en-US" w:eastAsia="zh-CN"/>
        </w:rPr>
      </w:pPr>
      <w:r>
        <w:rPr>
          <w:rFonts w:hint="eastAsia" w:hAnsi="宋体"/>
          <w:b/>
          <w:bCs/>
          <w:sz w:val="24"/>
          <w:szCs w:val="24"/>
          <w:highlight w:val="none"/>
          <w:lang w:val="en-US" w:eastAsia="zh-CN"/>
        </w:rPr>
        <w:t xml:space="preserve">6、售后服务方案至少包含售后服务组织措施、售后维护服务方式、响应维护措施时间、应急保障措施、售后服务保障措施等。</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（1）售后服务组织措施：明确售后服务团队架构、岗位职责，设立专属项目对接人，建立常态化沟通机制，确保问题能够快速响应。</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（2）售后维护服务方式：说明后续数据维护、成果更新、系统升级的服务方式。</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（3）响应维护措施时间：明确问题响应时限，以及问题解决的周期承诺，保障服务效率。</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（4）应急保障措施：针对数据损坏、成果丢失、系统故障等突发问题，制定应急恢复方案，提供数据备份、故障排查、系统修复等服务。</w:t>
      </w:r>
      <w:r/>
    </w:p>
    <w:p>
      <w:pPr>
        <w:pStyle w:val="705"/>
        <w:ind w:firstLine="480"/>
        <w:spacing w:line="4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（5）售后服务保障措施：提供服务承诺、质保期说明、技术培训方案，确保采购方能够正常使用和管理数字化成果。</w:t>
      </w:r>
      <w:r/>
    </w:p>
    <w:p>
      <w:pPr>
        <w:numPr>
          <w:ilvl w:val="255"/>
          <w:numId w:val="0"/>
        </w:numPr>
        <w:ind w:firstLine="482"/>
        <w:jc w:val="left"/>
        <w:spacing w:line="460" w:lineRule="exact"/>
        <w:widowControl/>
        <w:rPr>
          <w:rFonts w:ascii="宋体" w:hAnsi="宋体" w:cs="宋体"/>
          <w:sz w:val="24"/>
          <w:szCs w:val="21"/>
        </w:rPr>
      </w:pPr>
      <w:r>
        <w:rPr>
          <w:rFonts w:hint="eastAsia" w:ascii="Times New Roman" w:hAnsi="Times New Roman" w:eastAsia="宋体"/>
          <w:b/>
          <w:i w:val="0"/>
          <w:iCs/>
          <w:color w:val="000000"/>
          <w:sz w:val="24"/>
          <w:szCs w:val="24"/>
          <w:u w:val="none"/>
          <w:lang w:val="en-US" w:eastAsia="zh-CN"/>
        </w:rPr>
        <w:t xml:space="preserve">七、</w:t>
      </w:r>
      <w:r>
        <w:rPr>
          <w:rFonts w:hint="eastAsia"/>
          <w:b/>
          <w:bCs/>
          <w:sz w:val="24"/>
        </w:rPr>
        <w:t xml:space="preserve">企业综合实力</w:t>
      </w:r>
      <w:r/>
    </w:p>
    <w:p>
      <w:pPr>
        <w:ind w:firstLine="480"/>
        <w:spacing w:line="460" w:lineRule="exact"/>
        <w:rPr>
          <w:rFonts w:hint="default" w:ascii="宋体" w:hAnsi="宋体" w:eastAsiaTheme="minorEastAsia"/>
          <w:sz w:val="24"/>
          <w:lang w:val="en-US" w:eastAsia="zh-CN"/>
        </w:rPr>
      </w:pPr>
      <w:r>
        <w:rPr>
          <w:rFonts w:hint="eastAsia" w:ascii="宋体" w:hAnsi="宋体" w:cstheme="minorBidi"/>
          <w:sz w:val="24"/>
          <w:lang w:val="en-US" w:eastAsia="zh-CN"/>
        </w:rPr>
        <w:t xml:space="preserve">1、因本项目文物保护工作专业性、规范要求极强，为严控项目实施质量，要求项目负责人为文博专业毕业，具备文博中级以上职称证书的</w:t>
      </w:r>
      <w:r>
        <w:rPr>
          <w:rFonts w:hint="eastAsia" w:ascii="宋体" w:hAnsi="宋体" w:cstheme="minorBidi"/>
          <w:b/>
          <w:bCs/>
          <w:sz w:val="24"/>
          <w:lang w:val="en-US" w:eastAsia="zh-CN"/>
        </w:rPr>
        <w:t xml:space="preserve">优先</w:t>
      </w:r>
      <w:r>
        <w:rPr>
          <w:rFonts w:hint="eastAsia" w:ascii="宋体" w:hAnsi="宋体" w:cstheme="minorBidi"/>
          <w:sz w:val="24"/>
          <w:lang w:val="en-US" w:eastAsia="zh-CN"/>
        </w:rPr>
        <w:t xml:space="preserve">，保障文物保护工作专业落地</w:t>
      </w:r>
      <w:r>
        <w:rPr>
          <w:rFonts w:hint="eastAsia" w:ascii="宋体" w:hAnsi="宋体" w:eastAsiaTheme="minorEastAsia" w:cstheme="minorBidi"/>
          <w:sz w:val="24"/>
        </w:rPr>
        <w:t xml:space="preserve">；</w:t>
      </w:r>
      <w:r>
        <w:rPr>
          <w:rFonts w:hint="eastAsia" w:ascii="宋体" w:hAnsi="宋体"/>
          <w:sz w:val="24"/>
        </w:rPr>
        <w:t xml:space="preserve">项目团队成员（不含项目负责人）具有</w:t>
      </w:r>
      <w:r>
        <w:rPr>
          <w:rFonts w:hint="eastAsia" w:ascii="宋体" w:hAnsi="宋体"/>
          <w:sz w:val="24"/>
          <w:lang w:val="en-US" w:eastAsia="zh-CN"/>
        </w:rPr>
        <w:t xml:space="preserve">文博</w:t>
      </w:r>
      <w:r>
        <w:rPr>
          <w:rFonts w:hint="eastAsia" w:ascii="宋体" w:hAnsi="宋体"/>
          <w:sz w:val="24"/>
        </w:rPr>
        <w:t xml:space="preserve">专业职称</w:t>
      </w:r>
      <w:r>
        <w:rPr>
          <w:rFonts w:hint="eastAsia" w:ascii="宋体" w:hAnsi="宋体"/>
          <w:sz w:val="24"/>
          <w:lang w:val="en-US" w:eastAsia="zh-CN"/>
        </w:rPr>
        <w:t xml:space="preserve">2名以上，确保文物保护项目专业实施；因数字化保护项目涉及文物的专业摄影采集，项目团队成员需同时具备摄影中级以上职称资质的</w:t>
      </w:r>
      <w:r>
        <w:rPr>
          <w:rFonts w:hint="eastAsia" w:ascii="宋体" w:hAnsi="宋体"/>
          <w:b/>
          <w:bCs/>
          <w:sz w:val="24"/>
          <w:lang w:val="en-US" w:eastAsia="zh-CN"/>
        </w:rPr>
        <w:t xml:space="preserve">优先</w:t>
      </w:r>
      <w:r>
        <w:rPr>
          <w:rFonts w:hint="eastAsia" w:ascii="宋体" w:hAnsi="宋体"/>
          <w:sz w:val="24"/>
          <w:lang w:val="en-US" w:eastAsia="zh-CN"/>
        </w:rPr>
        <w:t xml:space="preserve">。</w:t>
      </w:r>
      <w:r/>
    </w:p>
    <w:p>
      <w:pPr>
        <w:ind w:firstLine="480"/>
        <w:spacing w:line="480" w:lineRule="exact"/>
        <w:rPr>
          <w:rFonts w:hint="eastAsia" w:ascii="宋体" w:hAnsi="宋体" w:eastAsiaTheme="minorEastAsia" w:cstheme="minorBidi"/>
          <w:sz w:val="24"/>
        </w:rPr>
      </w:pPr>
      <w:r>
        <w:rPr>
          <w:rFonts w:hint="eastAsia" w:ascii="宋体" w:hAnsi="宋体" w:cstheme="minorBidi"/>
          <w:sz w:val="24"/>
          <w:lang w:val="en-US" w:eastAsia="zh-CN"/>
        </w:rPr>
        <w:t xml:space="preserve">2、</w:t>
      </w:r>
      <w:r>
        <w:rPr>
          <w:rFonts w:hint="eastAsia" w:ascii="宋体" w:hAnsi="宋体" w:eastAsiaTheme="minorEastAsia" w:cstheme="minorBidi"/>
          <w:sz w:val="24"/>
        </w:rPr>
        <w:t xml:space="preserve">拟派</w:t>
      </w:r>
      <w:r>
        <w:rPr>
          <w:rFonts w:hint="eastAsia" w:ascii="宋体" w:hAnsi="宋体" w:cstheme="minorBidi"/>
          <w:sz w:val="24"/>
          <w:lang w:val="en-US" w:eastAsia="zh-CN"/>
        </w:rPr>
        <w:t xml:space="preserve">项目</w:t>
      </w:r>
      <w:r>
        <w:rPr>
          <w:rFonts w:hint="eastAsia" w:ascii="宋体" w:hAnsi="宋体" w:eastAsiaTheme="minorEastAsia" w:cstheme="minorBidi"/>
          <w:sz w:val="24"/>
        </w:rPr>
        <w:t xml:space="preserve">人员必须为投标单位正式职工，中标后签订合同前需提供投标截止之日当月向前6个月内任意至少1个月在本单位缴纳养老保险的证明材料报采购人核查，核查通过，中标人进场服务，如核查不通过，中标人须在采购人指定时间内完成整改，否则采购人有权解除合同并报监管部门按有关规定处理，同时保留追究中标人违约责任的权利。</w:t>
      </w:r>
      <w:r/>
    </w:p>
    <w:p>
      <w:pPr>
        <w:ind w:firstLine="480"/>
        <w:spacing w:line="480" w:lineRule="exact"/>
        <w:rPr>
          <w:rFonts w:ascii="宋体" w:hAnsi="宋体" w:eastAsiaTheme="minorEastAsia" w:cstheme="minorBidi"/>
          <w:sz w:val="24"/>
          <w:highlight w:val="none"/>
        </w:rPr>
      </w:pPr>
      <w:r>
        <w:rPr>
          <w:rFonts w:hint="eastAsia" w:ascii="宋体" w:hAnsi="宋体" w:cstheme="minorBidi"/>
          <w:sz w:val="24"/>
          <w:lang w:val="en-US" w:eastAsia="zh-CN"/>
        </w:rPr>
        <w:t xml:space="preserve">3、</w:t>
      </w:r>
      <w:r>
        <w:rPr>
          <w:rFonts w:hint="eastAsia" w:ascii="宋体" w:hAnsi="宋体" w:eastAsiaTheme="minorEastAsia" w:cstheme="minorBidi"/>
          <w:sz w:val="24"/>
        </w:rPr>
        <w:t xml:space="preserve">投标人需具备</w:t>
      </w:r>
      <w:r>
        <w:rPr>
          <w:rFonts w:hint="eastAsia" w:ascii="宋体" w:hAnsi="宋体" w:cstheme="minorBidi"/>
          <w:sz w:val="24"/>
          <w:lang w:val="en-US" w:eastAsia="zh-CN"/>
        </w:rPr>
        <w:t xml:space="preserve">文物数字化保护</w:t>
      </w:r>
      <w:r>
        <w:rPr>
          <w:rFonts w:hint="eastAsia" w:ascii="宋体" w:hAnsi="宋体" w:eastAsiaTheme="minorEastAsia" w:cstheme="minorBidi"/>
          <w:sz w:val="24"/>
        </w:rPr>
        <w:t xml:space="preserve">项目</w:t>
      </w:r>
      <w:r>
        <w:rPr>
          <w:rFonts w:ascii="宋体" w:hAnsi="宋体" w:eastAsiaTheme="minorEastAsia" w:cstheme="minorBidi"/>
          <w:sz w:val="24"/>
        </w:rPr>
        <w:t xml:space="preserve">相关承接经验，为了确保项目的顺利实施</w:t>
      </w:r>
      <w:r>
        <w:rPr>
          <w:rFonts w:ascii="宋体" w:hAnsi="宋体" w:eastAsiaTheme="minorEastAsia" w:cstheme="minorBidi"/>
          <w:sz w:val="24"/>
          <w:highlight w:val="none"/>
        </w:rPr>
        <w:t xml:space="preserve">，</w:t>
      </w:r>
      <w:r>
        <w:rPr>
          <w:rFonts w:hint="eastAsia" w:ascii="宋体" w:hAnsi="宋体" w:cstheme="minorBidi"/>
          <w:sz w:val="24"/>
          <w:highlight w:val="none"/>
          <w:lang w:val="en-US" w:eastAsia="zh-CN"/>
        </w:rPr>
        <w:t xml:space="preserve">要求</w:t>
      </w:r>
      <w:r>
        <w:rPr>
          <w:rFonts w:ascii="宋体" w:hAnsi="宋体" w:eastAsiaTheme="minorEastAsia" w:cstheme="minorBidi"/>
          <w:sz w:val="24"/>
          <w:highlight w:val="none"/>
        </w:rPr>
        <w:t xml:space="preserve">投标人</w:t>
      </w:r>
      <w:r>
        <w:rPr>
          <w:rFonts w:hint="eastAsia" w:ascii="宋体" w:hAnsi="宋体" w:cstheme="minorBidi"/>
          <w:sz w:val="24"/>
          <w:highlight w:val="none"/>
          <w:lang w:val="en-US" w:eastAsia="zh-CN"/>
        </w:rPr>
        <w:t xml:space="preserve">提供</w:t>
      </w:r>
      <w:r>
        <w:rPr>
          <w:rFonts w:hint="eastAsia" w:ascii="宋体" w:hAnsi="宋体" w:eastAsiaTheme="minorEastAsia" w:cstheme="minorBidi"/>
          <w:sz w:val="24"/>
          <w:highlight w:val="none"/>
        </w:rPr>
        <w:t xml:space="preserve">自</w:t>
      </w:r>
      <w:r>
        <w:rPr>
          <w:rFonts w:hint="eastAsia" w:ascii="宋体" w:hAnsi="宋体"/>
          <w:sz w:val="24"/>
          <w:highlight w:val="none"/>
        </w:rPr>
        <w:t xml:space="preserve">20</w:t>
      </w:r>
      <w:r>
        <w:rPr>
          <w:rFonts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年</w:t>
      </w:r>
      <w:r>
        <w:rPr>
          <w:rFonts w:hint="eastAsia" w:ascii="宋体" w:hAnsi="宋体"/>
          <w:sz w:val="24"/>
          <w:highlight w:val="none"/>
          <w:lang w:val="en-US" w:eastAsia="zh-CN"/>
        </w:rPr>
        <w:t xml:space="preserve">7</w:t>
      </w:r>
      <w:r>
        <w:rPr>
          <w:rFonts w:hint="eastAsia" w:ascii="宋体" w:hAnsi="宋体"/>
          <w:sz w:val="24"/>
          <w:highlight w:val="none"/>
        </w:rPr>
        <w:t xml:space="preserve">月1日以来</w:t>
      </w:r>
      <w:r>
        <w:rPr>
          <w:rFonts w:ascii="宋体" w:hAnsi="宋体" w:eastAsiaTheme="minorEastAsia" w:cstheme="minorBidi"/>
          <w:sz w:val="24"/>
          <w:highlight w:val="none"/>
        </w:rPr>
        <w:t xml:space="preserve">承担过类似</w:t>
      </w:r>
      <w:r>
        <w:rPr>
          <w:rFonts w:hint="eastAsia" w:ascii="宋体" w:hAnsi="宋体" w:cstheme="minorBidi"/>
          <w:sz w:val="24"/>
          <w:highlight w:val="none"/>
          <w:lang w:val="en-US" w:eastAsia="zh-CN"/>
        </w:rPr>
        <w:t xml:space="preserve">的</w:t>
      </w:r>
      <w:r>
        <w:rPr>
          <w:rFonts w:ascii="宋体" w:hAnsi="宋体" w:eastAsiaTheme="minorEastAsia" w:cstheme="minorBidi"/>
          <w:sz w:val="24"/>
          <w:highlight w:val="none"/>
        </w:rPr>
        <w:t xml:space="preserve">案例业绩</w:t>
      </w:r>
      <w:r>
        <w:rPr>
          <w:rFonts w:hint="eastAsia" w:ascii="宋体" w:hAnsi="宋体" w:cstheme="minorBidi"/>
          <w:sz w:val="24"/>
          <w:highlight w:val="none"/>
          <w:lang w:val="en-US" w:eastAsia="zh-CN"/>
        </w:rPr>
        <w:t xml:space="preserve">的</w:t>
      </w:r>
      <w:r>
        <w:rPr>
          <w:rFonts w:hint="eastAsia" w:ascii="宋体" w:hAnsi="宋体" w:cstheme="minorBidi"/>
          <w:b/>
          <w:bCs/>
          <w:sz w:val="24"/>
          <w:highlight w:val="none"/>
          <w:lang w:val="en-US" w:eastAsia="zh-CN"/>
        </w:rPr>
        <w:t xml:space="preserve">优先</w:t>
      </w:r>
      <w:r>
        <w:rPr>
          <w:rFonts w:ascii="宋体" w:hAnsi="宋体" w:eastAsiaTheme="minorEastAsia" w:cstheme="minorBidi"/>
          <w:sz w:val="24"/>
          <w:highlight w:val="none"/>
        </w:rPr>
        <w:t xml:space="preserve">。</w:t>
      </w:r>
      <w:r/>
    </w:p>
    <w:p>
      <w:pPr>
        <w:ind w:firstLine="480"/>
        <w:spacing w:line="480" w:lineRule="exact"/>
        <w:rPr>
          <w:rFonts w:hint="eastAsia" w:ascii="宋体" w:hAnsi="宋体" w:eastAsiaTheme="minorEastAsia" w:cstheme="minorBidi"/>
          <w:sz w:val="24"/>
          <w:highlight w:val="none"/>
          <w:lang w:val="en-US" w:eastAsia="zh-CN"/>
        </w:rPr>
      </w:pPr>
      <w:r>
        <w:rPr>
          <w:rFonts w:hint="eastAsia" w:ascii="宋体" w:hAnsi="宋体" w:cstheme="minorBidi"/>
          <w:sz w:val="24"/>
          <w:highlight w:val="none"/>
          <w:lang w:val="en-US" w:eastAsia="zh-CN"/>
        </w:rPr>
        <w:t xml:space="preserve">4、</w:t>
      </w:r>
      <w:r>
        <w:rPr>
          <w:rFonts w:ascii="宋体" w:hAnsi="宋体" w:eastAsia="宋体" w:cs="宋体"/>
          <w:sz w:val="24"/>
          <w:szCs w:val="24"/>
        </w:rPr>
        <w:t xml:space="preserve">为保障项目质量、安全与管理合规，提升文物数字化保护工作的规范性与可靠性，</w:t>
      </w:r>
      <w:r>
        <w:rPr>
          <w:rFonts w:hint="eastAsia" w:ascii="宋体" w:hAnsi="宋体" w:eastAsiaTheme="minorEastAsia" w:cstheme="minorBidi"/>
          <w:sz w:val="24"/>
          <w:lang w:val="en-US" w:eastAsia="zh-CN"/>
        </w:rPr>
        <w:t xml:space="preserve">供应商具有质量管理体系认证证书、环境管理体系认证证书、职业健康安全管理体系认证证书</w:t>
      </w:r>
      <w:r>
        <w:rPr>
          <w:rFonts w:hint="eastAsia" w:ascii="宋体" w:hAnsi="宋体" w:cstheme="minorBidi"/>
          <w:sz w:val="24"/>
          <w:lang w:val="en-US" w:eastAsia="zh-CN"/>
        </w:rPr>
        <w:t xml:space="preserve">的</w:t>
      </w:r>
      <w:r>
        <w:rPr>
          <w:rFonts w:hint="eastAsia" w:ascii="宋体" w:hAnsi="宋体" w:cstheme="minorBidi"/>
          <w:b/>
          <w:bCs/>
          <w:sz w:val="24"/>
          <w:lang w:val="en-US" w:eastAsia="zh-CN"/>
        </w:rPr>
        <w:t xml:space="preserve">优先</w:t>
      </w:r>
      <w:r>
        <w:rPr>
          <w:rFonts w:hint="eastAsia" w:ascii="宋体" w:hAnsi="宋体" w:cstheme="minorBidi"/>
          <w:sz w:val="24"/>
          <w:lang w:val="en-US" w:eastAsia="zh-CN"/>
        </w:rPr>
        <w:t xml:space="preserve">。</w:t>
      </w:r>
      <w:r/>
    </w:p>
    <w:p>
      <w:pPr>
        <w:pStyle w:val="687"/>
        <w:ind w:firstLine="482"/>
        <w:spacing w:before="0" w:beforeAutospacing="0" w:line="500" w:lineRule="exact"/>
        <w:widowControl w:val="off"/>
        <w:rPr>
          <w:rFonts w:ascii="Times New Roman" w:hAnsi="Times New Roman" w:eastAsia="宋体"/>
          <w:b/>
          <w:i w:val="0"/>
          <w:iCs/>
          <w:color w:val="000000"/>
          <w:sz w:val="24"/>
          <w:szCs w:val="24"/>
          <w:u w:val="none"/>
        </w:rPr>
      </w:pPr>
      <w:r>
        <w:rPr>
          <w:rFonts w:hint="eastAsia" w:ascii="Times New Roman" w:hAnsi="Times New Roman" w:eastAsia="宋体"/>
          <w:b/>
          <w:i w:val="0"/>
          <w:iCs/>
          <w:color w:val="000000"/>
          <w:sz w:val="24"/>
          <w:szCs w:val="24"/>
          <w:u w:val="none"/>
          <w:lang w:val="en-US" w:eastAsia="zh-CN"/>
        </w:rPr>
        <w:t xml:space="preserve">八、</w:t>
      </w:r>
      <w:r>
        <w:rPr>
          <w:rFonts w:hint="eastAsia" w:ascii="Times New Roman" w:hAnsi="Times New Roman" w:eastAsia="宋体"/>
          <w:b/>
          <w:i w:val="0"/>
          <w:iCs/>
          <w:color w:val="000000"/>
          <w:sz w:val="24"/>
          <w:szCs w:val="24"/>
          <w:u w:val="none"/>
        </w:rPr>
        <w:t xml:space="preserve">采购标的对应的中小企业划分标准所属行业一览表</w:t>
      </w:r>
      <w:r/>
    </w:p>
    <w:tbl>
      <w:tblPr>
        <w:tblStyle w:val="696"/>
        <w:tblW w:w="892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7"/>
        <w:gridCol w:w="3428"/>
        <w:gridCol w:w="4343"/>
      </w:tblGrid>
      <w:tr>
        <w:trPr>
          <w:jc w:val="center"/>
          <w:tblCellSpacing w:w="0" w:type="dxa"/>
          <w:trHeight w:val="825"/>
        </w:trPr>
        <w:tc>
          <w:tcPr>
            <w:tcW w:w="1157" w:type="dxa"/>
            <w:vAlign w:val="center"/>
            <w:textDirection w:val="lrTb"/>
            <w:noWrap/>
          </w:tcPr>
          <w:p>
            <w:pPr>
              <w:ind w:firstLine="0"/>
              <w:jc w:val="center"/>
              <w:spacing w:line="420" w:lineRule="exact"/>
              <w:rPr>
                <w:sz w:val="24"/>
              </w:rPr>
            </w:pPr>
            <w:r>
              <w:rPr>
                <w:rFonts w:hint="eastAsia"/>
                <w:sz w:val="24"/>
              </w:rPr>
              <w:t xml:space="preserve">序号</w:t>
            </w:r>
            <w:r/>
          </w:p>
        </w:tc>
        <w:tc>
          <w:tcPr>
            <w:tcW w:w="3428" w:type="dxa"/>
            <w:vAlign w:val="center"/>
            <w:textDirection w:val="lrTb"/>
            <w:noWrap/>
          </w:tcPr>
          <w:p>
            <w:pPr>
              <w:ind w:firstLine="0"/>
              <w:jc w:val="center"/>
              <w:spacing w:line="420" w:lineRule="exact"/>
              <w:rPr>
                <w:sz w:val="24"/>
              </w:rPr>
            </w:pPr>
            <w:r>
              <w:rPr>
                <w:rFonts w:hint="eastAsia"/>
                <w:sz w:val="24"/>
              </w:rPr>
              <w:t xml:space="preserve">采购标的</w:t>
            </w:r>
            <w:r/>
          </w:p>
        </w:tc>
        <w:tc>
          <w:tcPr>
            <w:tcW w:w="4343" w:type="dxa"/>
            <w:vAlign w:val="center"/>
            <w:textDirection w:val="lrTb"/>
            <w:noWrap/>
          </w:tcPr>
          <w:p>
            <w:pPr>
              <w:ind w:firstLine="0"/>
              <w:jc w:val="center"/>
              <w:spacing w:line="420" w:lineRule="exact"/>
              <w:rPr>
                <w:sz w:val="24"/>
              </w:rPr>
            </w:pPr>
            <w:r>
              <w:rPr>
                <w:rFonts w:hint="eastAsia"/>
                <w:sz w:val="24"/>
              </w:rPr>
              <w:t xml:space="preserve">对应中小企业划分标准所属行业</w:t>
            </w:r>
            <w:r/>
          </w:p>
        </w:tc>
      </w:tr>
      <w:tr>
        <w:trPr>
          <w:jc w:val="center"/>
          <w:tblCellSpacing w:w="0" w:type="dxa"/>
          <w:trHeight w:val="983"/>
        </w:trPr>
        <w:tc>
          <w:tcPr>
            <w:tcW w:w="1157" w:type="dxa"/>
            <w:vAlign w:val="center"/>
            <w:textDirection w:val="lrTb"/>
            <w:noWrap/>
          </w:tcPr>
          <w:p>
            <w:pPr>
              <w:ind w:firstLine="480"/>
              <w:spacing w:line="500" w:lineRule="exact"/>
              <w:widowControl w:val="off"/>
              <w:rPr>
                <w:rFonts w:cs="Times New Roman"/>
                <w:sz w:val="24"/>
              </w:rPr>
            </w:pPr>
            <w:r>
              <w:rPr>
                <w:rFonts w:hint="eastAsia" w:cs="Times New Roman"/>
                <w:sz w:val="24"/>
              </w:rPr>
              <w:t xml:space="preserve">1</w:t>
            </w:r>
            <w:r/>
          </w:p>
        </w:tc>
        <w:tc>
          <w:tcPr>
            <w:tcW w:w="3428" w:type="dxa"/>
            <w:vAlign w:val="center"/>
            <w:textDirection w:val="lrTb"/>
            <w:noWrap/>
          </w:tcPr>
          <w:p>
            <w:pPr>
              <w:ind w:firstLine="0"/>
              <w:jc w:val="center"/>
              <w:spacing w:line="500" w:lineRule="exact"/>
              <w:widowControl w:val="off"/>
              <w:rPr>
                <w:rFonts w:hint="eastAsia" w:cs="Times New Roman" w:eastAsiaTheme="minorEastAsia"/>
                <w:sz w:val="24"/>
                <w:lang w:eastAsia="zh-CN"/>
              </w:rPr>
            </w:pPr>
            <w:r>
              <w:rPr>
                <w:rFonts w:hint="eastAsia" w:cs="Times New Roman"/>
                <w:sz w:val="24"/>
                <w:lang w:eastAsia="zh-CN"/>
              </w:rPr>
              <w:t xml:space="preserve">新四军纪念馆可移动文物数字化保护项目</w:t>
            </w:r>
            <w:r/>
          </w:p>
        </w:tc>
        <w:tc>
          <w:tcPr>
            <w:tcW w:w="4343" w:type="dxa"/>
            <w:vAlign w:val="center"/>
            <w:textDirection w:val="lrTb"/>
            <w:noWrap/>
          </w:tcPr>
          <w:p>
            <w:pPr>
              <w:ind w:firstLine="0"/>
              <w:jc w:val="center"/>
              <w:spacing w:line="500" w:lineRule="exact"/>
              <w:widowControl w:val="off"/>
              <w:rPr>
                <w:rFonts w:hint="default" w:cs="Times New Roman" w:eastAsiaTheme="minorEastAsia"/>
                <w:sz w:val="24"/>
                <w:lang w:val="en-US" w:eastAsia="zh-CN"/>
              </w:rPr>
            </w:pPr>
            <w:r>
              <w:rPr>
                <w:rFonts w:hint="eastAsia" w:cs="Times New Roman"/>
                <w:sz w:val="24"/>
                <w:highlight w:val="none"/>
                <w:lang w:val="en-US" w:eastAsia="zh-CN"/>
              </w:rPr>
              <w:t xml:space="preserve">其他未列明行业</w:t>
            </w:r>
            <w:r/>
          </w:p>
        </w:tc>
      </w:tr>
    </w:tbl>
    <w:p>
      <w:pPr>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br w:type="page" w:clear="all"/>
      </w:r>
      <w:r/>
    </w:p>
    <w:p>
      <w:pPr>
        <w:ind w:firstLine="0"/>
        <w:jc w:val="center"/>
        <w:outlineLvl w:val="0"/>
      </w:pPr>
      <w:r>
        <w:rPr>
          <w:rFonts w:hint="eastAsia" w:ascii="方正小标宋_GBK" w:hAnsi="方正小标宋_GBK" w:eastAsia="方正小标宋_GBK" w:cs="方正小标宋_GBK"/>
          <w:color w:val="000000"/>
          <w:sz w:val="44"/>
          <w:szCs w:val="44"/>
        </w:rPr>
        <w:t xml:space="preserve">第五章  评标方法与评标标准</w:t>
      </w:r>
      <w:r/>
    </w:p>
    <w:p>
      <w:pPr>
        <w:spacing w:line="50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jc w:val="left"/>
        <w:spacing w:line="500" w:lineRule="exact"/>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综合评分 </w:t>
      </w:r>
      <w:r>
        <w:rPr>
          <w:rFonts w:hint="eastAsia" w:ascii="宋体" w:hAnsi="宋体" w:eastAsia="Arial"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jc w:val="left"/>
        <w:spacing w:line="500" w:lineRule="exact"/>
        <w:rPr>
          <w:rFonts w:ascii="宋体" w:hAnsi="宋体" w:eastAsia="Arial" w:cs="宋体"/>
          <w:b/>
          <w:bCs/>
          <w:sz w:val="24"/>
          <w:szCs w:val="20"/>
        </w:rPr>
        <w:outlineLvl w:val="2"/>
      </w:pPr>
      <w:r>
        <w:rPr>
          <w:rFonts w:hint="eastAsia" w:ascii="宋体" w:hAnsi="宋体" w:eastAsia="Arial" w:cs="宋体"/>
          <w:b/>
          <w:bCs/>
          <w:sz w:val="24"/>
          <w:szCs w:val="20"/>
        </w:rPr>
        <w:t xml:space="preserve">政府采购政策功能落实</w:t>
      </w:r>
      <w:r/>
    </w:p>
    <w:p>
      <w:pPr>
        <w:pStyle w:val="721"/>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b/>
          <w:bCs/>
          <w:szCs w:val="20"/>
        </w:rPr>
        <w:t xml:space="preserve">1、</w:t>
      </w:r>
      <w:r>
        <w:rPr>
          <w:rFonts w:hint="eastAsia" w:ascii="宋体" w:hAnsi="宋体" w:eastAsia="Arial" w:cs="宋体"/>
          <w:b/>
          <w:bCs/>
          <w:szCs w:val="20"/>
        </w:rPr>
        <w:t xml:space="preserve">小微型企业价格扣除</w:t>
      </w:r>
      <w:r/>
    </w:p>
    <w:p>
      <w:pPr>
        <w:pStyle w:val="721"/>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（1）本项目专门面向中小企业采购，不再对小型和微型企业报价给予价格扣除。</w:t>
      </w:r>
      <w:r/>
    </w:p>
    <w:p>
      <w:pPr>
        <w:pStyle w:val="721"/>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（2）供应商需按照采购文件的要求提供相应的《中小企业声明函》。</w:t>
      </w:r>
      <w:r/>
    </w:p>
    <w:p>
      <w:pPr>
        <w:pStyle w:val="721"/>
        <w:ind w:firstLine="48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21"/>
        <w:ind w:firstLine="480"/>
        <w:spacing w:beforeAutospacing="0" w:afterAutospacing="0" w:line="500" w:lineRule="exact"/>
        <w:widowControl w:val="off"/>
        <w:rPr>
          <w:rFonts w:hint="eastAsia" w:ascii="宋体" w:hAnsi="宋体" w:eastAsia="宋体" w:cs="宋体"/>
        </w:rPr>
      </w:pPr>
      <w:r>
        <w:rPr>
          <w:rFonts w:hint="eastAsia" w:ascii="宋体" w:hAnsi="宋体" w:eastAsia="Arial" w:cs="宋体"/>
          <w:b/>
          <w:bCs/>
          <w:szCs w:val="20"/>
        </w:rPr>
        <w:t xml:space="preserve">2、残疾人福利单位价格扣除</w:t>
      </w:r>
      <w:r/>
    </w:p>
    <w:p>
      <w:pPr>
        <w:pStyle w:val="721"/>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（1）本项目对残疾人福利性单位视同小型、微型企业。</w:t>
      </w:r>
      <w:r/>
    </w:p>
    <w:p>
      <w:pPr>
        <w:pStyle w:val="721"/>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（2）残疾人福利单位需按照采购文件的要求提供《残疾人福利性单位声明函》。</w:t>
      </w:r>
      <w:r/>
    </w:p>
    <w:p>
      <w:pPr>
        <w:pStyle w:val="721"/>
        <w:ind w:firstLine="48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21"/>
        <w:ind w:firstLine="480"/>
        <w:spacing w:beforeAutospacing="0" w:afterAutospacing="0" w:line="500" w:lineRule="exact"/>
        <w:widowControl w:val="off"/>
        <w:rPr>
          <w:rFonts w:ascii="宋体" w:hAnsi="宋体" w:eastAsia="Arial" w:cs="宋体"/>
          <w:b/>
          <w:bCs/>
          <w:szCs w:val="20"/>
        </w:rPr>
      </w:pPr>
      <w:r>
        <w:rPr>
          <w:rFonts w:hint="eastAsia" w:ascii="宋体" w:hAnsi="宋体" w:eastAsia="Arial" w:cs="宋体"/>
          <w:b/>
          <w:bCs/>
          <w:szCs w:val="20"/>
        </w:rPr>
        <w:t xml:space="preserve">3、监狱和戒毒企业价格扣除</w:t>
      </w:r>
      <w:r/>
    </w:p>
    <w:p>
      <w:pPr>
        <w:jc w:val="left"/>
        <w:spacing w:line="500" w:lineRule="exact"/>
        <w:rPr>
          <w:rFonts w:ascii="宋体" w:hAnsi="宋体" w:eastAsia="Arial" w:cs="宋体"/>
          <w:sz w:val="24"/>
          <w:szCs w:val="20"/>
        </w:rPr>
      </w:pPr>
      <w:r>
        <w:rPr>
          <w:rFonts w:hint="eastAsia" w:ascii="宋体" w:hAnsi="宋体" w:eastAsia="Arial" w:cs="宋体"/>
          <w:sz w:val="24"/>
          <w:szCs w:val="20"/>
        </w:rPr>
        <w:t xml:space="preserve">（1）本项目对监狱和戒毒企业（简称监狱企业）视同小型、微型企业。</w:t>
      </w:r>
      <w:r/>
    </w:p>
    <w:p>
      <w:pPr>
        <w:jc w:val="left"/>
        <w:spacing w:line="500" w:lineRule="exact"/>
        <w:rPr>
          <w:rFonts w:ascii="宋体" w:hAnsi="宋体" w:eastAsia="Arial" w:cs="宋体"/>
          <w:sz w:val="24"/>
          <w:szCs w:val="20"/>
        </w:rPr>
      </w:pPr>
      <w:r>
        <w:rPr>
          <w:rFonts w:hint="eastAsia" w:ascii="宋体" w:hAnsi="宋体" w:eastAsia="Arial" w:cs="宋体"/>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500" w:lineRule="exact"/>
        <w:rPr>
          <w:rFonts w:ascii="宋体" w:hAnsi="宋体" w:eastAsia="Arial" w:cs="宋体"/>
          <w:sz w:val="24"/>
          <w:szCs w:val="20"/>
        </w:rPr>
      </w:pPr>
      <w:r>
        <w:rPr>
          <w:rFonts w:hint="eastAsia" w:ascii="宋体" w:hAnsi="宋体" w:eastAsia="Arial" w:cs="宋体"/>
          <w:sz w:val="24"/>
          <w:szCs w:val="20"/>
        </w:rPr>
        <w:t xml:space="preserve">（3）监狱企业标准请参照《关于政府采购支持监狱企业发展有关问题的通知》（财库〔2014〕68号）。</w:t>
      </w:r>
      <w:r/>
    </w:p>
    <w:p>
      <w:pPr>
        <w:pStyle w:val="721"/>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Arial" w:cs="宋体"/>
          <w:szCs w:val="20"/>
        </w:rPr>
        <w:t xml:space="preserve">4、残疾人福利单位、监狱企业属于小型、微型企业的，不重复享受政策。</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5、采购本国产品的支持政策</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w:t>
      </w:r>
      <w:r>
        <w:rPr>
          <w:rFonts w:hint="eastAsia" w:asciiTheme="minorEastAsia" w:hAnsiTheme="minorEastAsia" w:cstheme="minorEastAsia"/>
          <w:b/>
          <w:bCs/>
          <w:color w:val="ff0000"/>
          <w:sz w:val="24"/>
          <w:highlight w:val="yellow"/>
        </w:rPr>
        <w:t xml:space="preserve">未达到</w:t>
      </w:r>
      <w:r>
        <w:rPr>
          <w:rFonts w:hint="eastAsia" w:asciiTheme="minorEastAsia" w:hAnsiTheme="minorEastAsia" w:cstheme="minorEastAsia"/>
          <w:b/>
          <w:bCs/>
          <w:color w:val="ff0000"/>
          <w:sz w:val="24"/>
        </w:rPr>
        <w:t xml:space="preserve">80%的，将不享受本国产品价格评审优惠。</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5.3 供应商需按照招标文件的要求提供《关于符合本国产品标准的声明函》（以下简称《声明函》），如不提供将不享受本国产品价格评审优惠。</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5.4 供应商需在《声明函》中逐一、准确填写产品名称、厂名、生产厂址三项信息（</w:t>
      </w:r>
      <w:r>
        <w:rPr>
          <w:rFonts w:hint="eastAsia" w:asciiTheme="minorEastAsia" w:hAnsiTheme="minorEastAsia" w:cstheme="minorEastAsia"/>
          <w:b/>
          <w:bCs/>
          <w:color w:val="ff0000"/>
          <w:sz w:val="24"/>
          <w:highlight w:val="yellow"/>
        </w:rPr>
        <w:t xml:space="preserve">《声明函》中用横线划除的地方无需填写</w:t>
      </w:r>
      <w:r>
        <w:rPr>
          <w:rFonts w:hint="eastAsia" w:asciiTheme="minorEastAsia" w:hAnsiTheme="minorEastAsia" w:cstheme="minorEastAsia"/>
          <w:b/>
          <w:bCs/>
          <w:color w:val="ff0000"/>
          <w:sz w:val="24"/>
        </w:rPr>
        <w:t xml:space="preserve">），三项信息中任意一项未填写的视为该项产品不符合本国产品标准，不享受本国产品价格评审优惠。</w:t>
      </w:r>
      <w:r/>
    </w:p>
    <w:p>
      <w:pPr>
        <w:jc w:val="left"/>
        <w:spacing w:line="500" w:lineRule="exact"/>
        <w:rPr>
          <w:rFonts w:hint="eastAsia" w:ascii="宋体" w:hAnsi="宋体" w:eastAsia="宋体" w:cs="宋体"/>
          <w:color w:val="ff0000"/>
          <w:u w:val="single"/>
        </w:rPr>
      </w:pPr>
      <w:r>
        <w:rPr>
          <w:rFonts w:hint="eastAsia" w:asciiTheme="minorEastAsia" w:hAnsiTheme="minorEastAsia" w:cstheme="minorEastAsia"/>
          <w:b/>
          <w:bCs/>
          <w:color w:val="ff0000"/>
          <w:sz w:val="24"/>
        </w:rPr>
        <w:t xml:space="preserve">5.5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25"/>
        <w:rPr>
          <w:rFonts w:hint="eastAsia" w:ascii="宋体" w:hAnsi="宋体" w:eastAsia="宋体" w:cs="宋体"/>
          <w:b/>
          <w:lang w:val="en-US" w:eastAsia="zh-CN"/>
        </w:rPr>
      </w:pPr>
      <w:r>
        <w:rPr>
          <w:rFonts w:hint="eastAsia" w:ascii="宋体" w:hAnsi="宋体" w:eastAsia="宋体" w:cs="宋体"/>
          <w:b/>
        </w:rPr>
        <w:t xml:space="preserve">二、</w:t>
      </w:r>
      <w:r>
        <w:rPr>
          <w:rFonts w:hint="eastAsia" w:ascii="宋体" w:hAnsi="宋体" w:eastAsia="宋体" w:cs="宋体"/>
          <w:b/>
          <w:lang w:val="en-US" w:eastAsia="zh-CN"/>
        </w:rPr>
        <w:t xml:space="preserve">评分标准：</w:t>
      </w:r>
      <w:r/>
    </w:p>
    <w:tbl>
      <w:tblPr>
        <w:tblStyle w:val="696"/>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976"/>
        <w:gridCol w:w="6435"/>
        <w:gridCol w:w="781"/>
        <w:gridCol w:w="965"/>
      </w:tblGrid>
      <w:tr>
        <w:trPr>
          <w:jc w:val="center"/>
          <w:trHeight w:val="587"/>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w:t>
            </w:r>
            <w:r/>
          </w:p>
          <w:p>
            <w:pPr>
              <w:ind w:firstLine="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64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Hans"/>
              </w:rPr>
            </w:pPr>
            <w:r>
              <w:rPr>
                <w:rFonts w:hint="eastAsia" w:ascii="宋体" w:hAnsi="宋体" w:eastAsia="宋体" w:cs="宋体"/>
                <w:b/>
                <w:color w:val="auto"/>
                <w:sz w:val="21"/>
                <w:szCs w:val="21"/>
                <w:highlight w:val="none"/>
                <w:lang w:val="en-US" w:eastAsia="zh-Hans"/>
              </w:rPr>
              <w:t xml:space="preserve">备注</w:t>
            </w:r>
            <w:r/>
          </w:p>
        </w:tc>
      </w:tr>
      <w:tr>
        <w:trPr>
          <w:jc w:val="center"/>
          <w:trHeight w:val="387"/>
        </w:trPr>
        <w:tc>
          <w:tcPr>
            <w:gridSpan w:val="5"/>
            <w:tcBorders>
              <w:top w:val="single" w:color="auto" w:sz="4" w:space="0"/>
              <w:left w:val="single" w:color="auto" w:sz="4" w:space="0"/>
              <w:bottom w:val="single" w:color="auto" w:sz="4" w:space="0"/>
              <w:right w:val="single" w:color="auto" w:sz="4" w:space="0"/>
            </w:tcBorders>
            <w:tcW w:w="9798"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一、价格（10分）</w:t>
            </w:r>
            <w:r/>
          </w:p>
        </w:tc>
      </w:tr>
      <w:tr>
        <w:trPr>
          <w:jc w:val="center"/>
          <w:trHeight w:val="87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价格</w:t>
            </w:r>
            <w:r/>
          </w:p>
        </w:tc>
        <w:tc>
          <w:tcPr>
            <w:tcBorders>
              <w:top w:val="single" w:color="auto" w:sz="4" w:space="0"/>
              <w:left w:val="single" w:color="auto" w:sz="4" w:space="0"/>
              <w:bottom w:val="single" w:color="auto" w:sz="4" w:space="0"/>
              <w:right w:val="single" w:color="auto" w:sz="4" w:space="0"/>
            </w:tcBorders>
            <w:tcW w:w="6435" w:type="dxa"/>
            <w:vAlign w:val="center"/>
            <w:textDirection w:val="lrTb"/>
            <w:noWrap w:val="false"/>
          </w:tcPr>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评审采用低价优先的方法，即满足招标文件要求的最低的报价为评标基准价，其价格分为满分。其他投标人的价格分按照下列公式计算（小数点保留两位）：投标报价得分=(评标基准价／投标报价)×10。</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Han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客观分</w:t>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W w:w="9798"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二、服务方案（59分）</w:t>
            </w:r>
            <w:r/>
          </w:p>
        </w:tc>
      </w:tr>
      <w:tr>
        <w:trPr>
          <w:jc w:val="center"/>
          <w:trHeight w:val="1284"/>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2.1</w:t>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实施</w:t>
            </w:r>
            <w:r/>
          </w:p>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方案</w:t>
            </w:r>
            <w:r/>
          </w:p>
        </w:tc>
        <w:tc>
          <w:tcPr>
            <w:tcBorders>
              <w:top w:val="single" w:color="auto" w:sz="4" w:space="0"/>
              <w:left w:val="single" w:color="auto" w:sz="4" w:space="0"/>
              <w:right w:val="single" w:color="auto" w:sz="4" w:space="0"/>
            </w:tcBorders>
            <w:tcW w:w="6435" w:type="dxa"/>
            <w:vAlign w:val="center"/>
            <w:textDirection w:val="lrTb"/>
            <w:noWrap w:val="false"/>
          </w:tcPr>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评委根据供应商针对本项目提供的项目实施方案进行综合评审，至少包含①实施安全保障措施、②必要的设备配置、③进度安排等内容。</w:t>
            </w:r>
            <w:r/>
          </w:p>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以上方案内容完整得9分，每有一内容缺失的扣3分；每有一处存在缺陷(缺陷是指不适用于本项目，表述前后不一致或内容矛盾，语句有歧义，仅有框架或标题，涉及的规范及标准错误，套用其他项目内容等任意一种情形)的扣0.7分，直至该项分值3分扣完为止，不提供本项不得分。</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color w:val="auto"/>
                <w:sz w:val="21"/>
                <w:szCs w:val="21"/>
                <w:highlight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主观分</w:t>
            </w:r>
            <w:r/>
          </w:p>
        </w:tc>
      </w:tr>
      <w:tr>
        <w:trPr>
          <w:jc w:val="center"/>
          <w:trHeight w:val="3292"/>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2.2</w:t>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项目需求理解和重点难点分析</w:t>
            </w:r>
            <w:r/>
          </w:p>
        </w:tc>
        <w:tc>
          <w:tcPr>
            <w:tcBorders>
              <w:top w:val="single" w:color="auto" w:sz="4" w:space="0"/>
              <w:left w:val="single" w:color="auto" w:sz="4" w:space="0"/>
              <w:right w:val="single" w:color="auto" w:sz="4" w:space="0"/>
            </w:tcBorders>
            <w:tcW w:w="6435" w:type="dxa"/>
            <w:vAlign w:val="center"/>
            <w:textDirection w:val="lrTb"/>
            <w:noWrap w:val="false"/>
          </w:tcPr>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评委根据供应商针对本项目提供的项目需求理解和重点难点分析进行综合评审，至少包含①项目需求理解、②重点难点及其准确性、完整性说明等内容。</w:t>
            </w:r>
            <w:r/>
          </w:p>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1.4分，直至该项分值5分扣完为止，不提供本项不得分。</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主观分</w:t>
            </w:r>
            <w:r/>
          </w:p>
        </w:tc>
      </w:tr>
      <w:tr>
        <w:trPr>
          <w:jc w:val="center"/>
          <w:trHeight w:val="455"/>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2.3</w:t>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二维数字化采集方案</w:t>
            </w:r>
            <w:r/>
          </w:p>
        </w:tc>
        <w:tc>
          <w:tcPr>
            <w:tcBorders>
              <w:top w:val="single" w:color="auto" w:sz="4" w:space="0"/>
              <w:left w:val="single" w:color="auto" w:sz="4" w:space="0"/>
              <w:right w:val="single" w:color="auto" w:sz="4" w:space="0"/>
            </w:tcBorders>
            <w:tcW w:w="6435" w:type="dxa"/>
            <w:vAlign w:val="center"/>
            <w:textDirection w:val="lrTb"/>
            <w:noWrap w:val="false"/>
          </w:tcPr>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评委根据供应商针对本项目提供的二维数字化采集方案进行综合评审，至少包含①二维数字化采集方案及其针对性、规范性、符合性说明，②技术指标、③实施过程、④文物安全保障措施、⑤数据成果精度等内容。</w:t>
            </w:r>
            <w:r/>
          </w:p>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以上方案内容完整得10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主观分</w:t>
            </w:r>
            <w:r/>
          </w:p>
        </w:tc>
      </w:tr>
      <w:tr>
        <w:trPr>
          <w:jc w:val="center"/>
          <w:trHeight w:val="1284"/>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2.4</w:t>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三维数字化采集方案</w:t>
            </w:r>
            <w:r/>
          </w:p>
        </w:tc>
        <w:tc>
          <w:tcPr>
            <w:tcBorders>
              <w:top w:val="single" w:color="auto" w:sz="4" w:space="0"/>
              <w:left w:val="single" w:color="auto" w:sz="4" w:space="0"/>
              <w:right w:val="single" w:color="auto" w:sz="4" w:space="0"/>
            </w:tcBorders>
            <w:tcW w:w="6435" w:type="dxa"/>
            <w:vAlign w:val="center"/>
            <w:textDirection w:val="lrTb"/>
            <w:noWrap w:val="false"/>
          </w:tcPr>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评委根据供应商针对本项目提供的三维数字化采集方案进行综合评审，至少包含①三维数字化采集方案及其针对性、规范性、符合性说明，②技术指标、③实施过程、④文物安全保障措施、⑤数据成果精度等内容。</w:t>
            </w:r>
            <w:r/>
          </w:p>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以上方案内容完整得10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主观分</w:t>
            </w:r>
            <w:r/>
          </w:p>
        </w:tc>
      </w:tr>
      <w:tr>
        <w:trPr>
          <w:jc w:val="center"/>
          <w:trHeight w:val="331"/>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2.5</w:t>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应急</w:t>
            </w:r>
            <w:r/>
          </w:p>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bidi="ar"/>
              </w:rPr>
              <w:t xml:space="preserve">方案</w:t>
            </w:r>
            <w:r/>
          </w:p>
        </w:tc>
        <w:tc>
          <w:tcPr>
            <w:tcBorders>
              <w:top w:val="single" w:color="auto" w:sz="4" w:space="0"/>
              <w:left w:val="single" w:color="auto" w:sz="4" w:space="0"/>
              <w:right w:val="single" w:color="auto" w:sz="4" w:space="0"/>
            </w:tcBorders>
            <w:tcW w:w="6435" w:type="dxa"/>
            <w:vAlign w:val="center"/>
            <w:textDirection w:val="lrTb"/>
            <w:noWrap w:val="false"/>
          </w:tcPr>
          <w:p>
            <w:pPr>
              <w:pStyle w:val="705"/>
              <w:ind w:firstLine="480"/>
              <w:spacing w:line="4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评委根据供应商针对本项目提供的应急方案提供进行综合评审，至少包含①项目质量应急措施、②安全保障应急措施</w:t>
            </w:r>
            <w:r>
              <w:rPr>
                <w:rFonts w:hint="eastAsia" w:hAnsi="宋体" w:eastAsia="宋体" w:cs="宋体"/>
                <w:i w:val="0"/>
                <w:iCs w:val="0"/>
                <w:color w:val="auto"/>
                <w:sz w:val="21"/>
                <w:szCs w:val="21"/>
                <w:highlight w:val="none"/>
                <w:u w:val="none"/>
                <w:lang w:val="en-US" w:eastAsia="zh-CN" w:bidi="ar"/>
              </w:rPr>
              <w:t xml:space="preserve">和</w:t>
            </w:r>
            <w:r>
              <w:rPr>
                <w:rFonts w:hint="eastAsia" w:ascii="宋体" w:hAnsi="宋体" w:eastAsia="宋体" w:cs="宋体"/>
                <w:i w:val="0"/>
                <w:iCs w:val="0"/>
                <w:color w:val="auto"/>
                <w:sz w:val="21"/>
                <w:szCs w:val="21"/>
                <w:highlight w:val="none"/>
                <w:u w:val="none"/>
                <w:lang w:val="en-US" w:eastAsia="zh-CN" w:bidi="ar"/>
              </w:rPr>
              <w:t xml:space="preserve">突发事件应急处理措施等内容。</w:t>
            </w:r>
            <w:r/>
          </w:p>
          <w:p>
            <w:pPr>
              <w:pStyle w:val="705"/>
              <w:ind w:firstLine="480"/>
              <w:spacing w:line="460" w:lineRule="exact"/>
              <w:rPr>
                <w:rFonts w:hint="eastAsia" w:ascii="宋体" w:hAnsi="宋体" w:eastAsia="宋体" w:cs="宋体"/>
                <w:color w:val="auto"/>
                <w:sz w:val="21"/>
                <w:szCs w:val="21"/>
                <w:highlight w:val="none"/>
                <w:lang w:val="en-US" w:eastAsia="zh-Hans"/>
              </w:rPr>
            </w:pPr>
            <w:r>
              <w:rPr>
                <w:rFonts w:hint="eastAsia" w:ascii="宋体" w:hAnsi="宋体" w:eastAsia="宋体" w:cs="宋体"/>
                <w:i w:val="0"/>
                <w:iCs w:val="0"/>
                <w:color w:val="auto"/>
                <w:sz w:val="21"/>
                <w:szCs w:val="21"/>
                <w:highlight w:val="none"/>
                <w:u w:val="none"/>
                <w:lang w:val="en-US" w:eastAsia="zh-CN" w:bidi="ar"/>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1.4分，直至该项分值5分扣完为止，不提供本项不得分。</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color w:val="auto"/>
                <w:sz w:val="21"/>
                <w:szCs w:val="21"/>
                <w:highlight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主观分</w:t>
            </w:r>
            <w:r/>
          </w:p>
        </w:tc>
      </w:tr>
      <w:tr>
        <w:trPr>
          <w:jc w:val="center"/>
          <w:trHeight w:val="1133"/>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2.6</w:t>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售后</w:t>
            </w:r>
            <w:r/>
          </w:p>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方案</w:t>
            </w:r>
            <w:r/>
          </w:p>
        </w:tc>
        <w:tc>
          <w:tcPr>
            <w:tcBorders>
              <w:top w:val="single" w:color="auto" w:sz="4" w:space="0"/>
              <w:left w:val="single" w:color="auto" w:sz="4" w:space="0"/>
              <w:right w:val="single" w:color="auto" w:sz="4" w:space="0"/>
            </w:tcBorders>
            <w:tcW w:w="6435" w:type="dxa"/>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评委根据供应商针对本项目提供的售后服务方案进行综合评审，至少包含①售后服务组织措施、②售后维护服务方式、③响应维护措施时间、④应急保障措施、⑤售后服务保障措施等内容。</w:t>
            </w:r>
            <w:r/>
          </w:p>
          <w:p>
            <w:pPr>
              <w:ind w:left="0" w:firstLine="420"/>
              <w:jc w:val="both"/>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Hans"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以上方案内容完整得10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color w:val="auto"/>
                <w:sz w:val="21"/>
                <w:szCs w:val="21"/>
                <w:highlight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主观分</w:t>
            </w:r>
            <w:r/>
          </w:p>
        </w:tc>
      </w:tr>
      <w:tr>
        <w:trPr>
          <w:jc w:val="center"/>
          <w:trHeight w:val="442"/>
        </w:trPr>
        <w:tc>
          <w:tcPr>
            <w:gridSpan w:val="5"/>
            <w:tcBorders>
              <w:top w:val="single" w:color="auto" w:sz="4" w:space="0"/>
              <w:left w:val="single" w:color="auto" w:sz="4" w:space="0"/>
              <w:right w:val="single" w:color="auto" w:sz="4" w:space="0"/>
            </w:tcBorders>
            <w:tcW w:w="9798"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三、人员配备（18分）</w:t>
            </w:r>
            <w:r/>
          </w:p>
        </w:tc>
      </w:tr>
      <w:tr>
        <w:trPr>
          <w:jc w:val="center"/>
          <w:trHeight w:val="329"/>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.1</w:t>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项目负责人</w:t>
            </w:r>
            <w:r/>
          </w:p>
        </w:tc>
        <w:tc>
          <w:tcPr>
            <w:tcBorders>
              <w:top w:val="single" w:color="auto" w:sz="4" w:space="0"/>
              <w:left w:val="single" w:color="auto" w:sz="4" w:space="0"/>
              <w:right w:val="single" w:color="auto" w:sz="4" w:space="0"/>
            </w:tcBorders>
            <w:tcW w:w="6435" w:type="dxa"/>
            <w:vAlign w:val="center"/>
            <w:textDirection w:val="lrTb"/>
            <w:noWrap w:val="false"/>
          </w:tcPr>
          <w:p>
            <w:pPr>
              <w:ind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项目负责人</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lang w:val="en-US" w:eastAsia="zh-Hans"/>
              </w:rPr>
              <w:t xml:space="preserve">：</w:t>
            </w:r>
            <w:r/>
          </w:p>
          <w:p>
            <w:pPr>
              <w:ind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文博专业</w:t>
            </w:r>
            <w:r>
              <w:rPr>
                <w:rFonts w:hint="eastAsia" w:ascii="宋体" w:hAnsi="宋体" w:eastAsia="宋体" w:cs="宋体"/>
                <w:color w:val="auto"/>
                <w:sz w:val="21"/>
                <w:szCs w:val="21"/>
                <w:highlight w:val="none"/>
                <w:lang w:val="en-US" w:eastAsia="zh-CN"/>
              </w:rPr>
              <w:t xml:space="preserve">本科</w:t>
            </w:r>
            <w:r>
              <w:rPr>
                <w:rFonts w:hint="eastAsia" w:ascii="宋体" w:hAnsi="宋体" w:eastAsia="宋体" w:cs="宋体"/>
                <w:color w:val="auto"/>
                <w:sz w:val="21"/>
                <w:szCs w:val="21"/>
                <w:highlight w:val="none"/>
                <w:lang w:val="en-US" w:eastAsia="zh-Hans"/>
              </w:rPr>
              <w:t xml:space="preserve">及以上毕业</w:t>
            </w:r>
            <w:r>
              <w:rPr>
                <w:rFonts w:hint="eastAsia" w:ascii="宋体" w:hAnsi="宋体" w:eastAsia="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Hans"/>
              </w:rPr>
              <w:t xml:space="preserve">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Hans"/>
              </w:rPr>
              <w:t xml:space="preserve">分</w:t>
            </w:r>
            <w:r>
              <w:rPr>
                <w:rFonts w:hint="eastAsia" w:ascii="宋体" w:hAnsi="宋体" w:eastAsia="宋体" w:cs="宋体"/>
                <w:color w:val="auto"/>
                <w:sz w:val="21"/>
                <w:szCs w:val="21"/>
                <w:highlight w:val="none"/>
                <w:lang w:val="en-US" w:eastAsia="zh-CN"/>
              </w:rPr>
              <w:t xml:space="preserve">；</w:t>
            </w:r>
            <w:r/>
          </w:p>
          <w:p>
            <w:pPr>
              <w:ind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Hans"/>
              </w:rPr>
              <w:t xml:space="preserve">具备</w:t>
            </w:r>
            <w:r>
              <w:rPr>
                <w:rFonts w:hint="eastAsia" w:ascii="宋体" w:hAnsi="宋体" w:eastAsia="宋体" w:cs="宋体"/>
                <w:color w:val="auto"/>
                <w:sz w:val="21"/>
                <w:szCs w:val="21"/>
                <w:highlight w:val="none"/>
                <w:lang w:val="en-US" w:eastAsia="zh-CN"/>
              </w:rPr>
              <w:t xml:space="preserve">文博类</w:t>
            </w:r>
            <w:r>
              <w:rPr>
                <w:rFonts w:hint="eastAsia" w:ascii="宋体" w:hAnsi="宋体" w:eastAsia="宋体" w:cs="宋体"/>
                <w:color w:val="auto"/>
                <w:sz w:val="21"/>
                <w:szCs w:val="21"/>
                <w:highlight w:val="none"/>
                <w:lang w:val="en-US" w:eastAsia="zh-Hans"/>
              </w:rPr>
              <w:t xml:space="preserve">中级及以上职称</w:t>
            </w:r>
            <w:r>
              <w:rPr>
                <w:rFonts w:hint="eastAsia" w:ascii="宋体" w:hAnsi="宋体" w:eastAsia="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Hans"/>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Hans"/>
              </w:rPr>
              <w:t xml:space="preserve">分</w:t>
            </w:r>
            <w:r>
              <w:rPr>
                <w:rFonts w:hint="eastAsia" w:ascii="宋体" w:hAnsi="宋体" w:eastAsia="宋体" w:cs="宋体"/>
                <w:color w:val="auto"/>
                <w:sz w:val="21"/>
                <w:szCs w:val="21"/>
                <w:highlight w:val="none"/>
                <w:lang w:val="en-US" w:eastAsia="zh-CN"/>
              </w:rPr>
              <w:t xml:space="preserve">。</w:t>
            </w:r>
            <w:r/>
          </w:p>
          <w:p>
            <w:pPr>
              <w:ind w:firstLine="0"/>
              <w:jc w:val="both"/>
              <w:keepLines w:val="0"/>
              <w:keepNext w:val="0"/>
              <w:pageBreakBefore w:val="0"/>
              <w:spacing w:line="360" w:lineRule="auto"/>
              <w:widowControl/>
              <w:rPr>
                <w:rFonts w:hint="default" w:ascii="宋体" w:hAnsi="宋体" w:eastAsia="宋体" w:cs="宋体"/>
                <w:color w:val="auto"/>
                <w:sz w:val="21"/>
                <w:szCs w:val="21"/>
                <w:highlight w:val="none"/>
                <w:lang w:val="en-US" w:eastAsia="zh-Hans"/>
              </w:rPr>
              <w:suppressLineNumbers w:val="0"/>
            </w:pPr>
            <w:r>
              <w:rPr>
                <w:rFonts w:hint="eastAsia" w:ascii="宋体" w:hAnsi="宋体" w:eastAsia="宋体" w:cs="宋体"/>
                <w:b/>
                <w:bCs/>
                <w:color w:val="auto"/>
                <w:sz w:val="21"/>
                <w:szCs w:val="21"/>
                <w:highlight w:val="none"/>
                <w:lang w:val="en-US" w:eastAsia="zh-CN"/>
              </w:rPr>
              <w:t xml:space="preserve">本项满分7分。</w:t>
            </w:r>
            <w:r>
              <w:rPr>
                <w:rFonts w:hint="eastAsia" w:ascii="宋体" w:hAnsi="宋体" w:eastAsia="宋体" w:cs="宋体"/>
                <w:b/>
                <w:bCs/>
                <w:color w:val="auto"/>
                <w:sz w:val="21"/>
                <w:szCs w:val="21"/>
                <w:highlight w:val="none"/>
                <w:lang w:val="zh-TW" w:eastAsia="zh-CN"/>
              </w:rPr>
              <w:t xml:space="preserve">响应文件中提供以上证书</w:t>
            </w:r>
            <w:r>
              <w:rPr>
                <w:rFonts w:hint="eastAsia" w:ascii="宋体" w:hAnsi="宋体" w:eastAsia="宋体" w:cs="宋体"/>
                <w:b/>
                <w:bCs/>
                <w:color w:val="auto"/>
                <w:sz w:val="21"/>
                <w:szCs w:val="21"/>
                <w:highlight w:val="none"/>
                <w:lang w:val="en-US" w:eastAsia="zh-CN"/>
              </w:rPr>
              <w:t xml:space="preserve">复印件以及</w:t>
            </w:r>
            <w:r>
              <w:rPr>
                <w:rFonts w:hint="eastAsia" w:ascii="宋体" w:hAnsi="宋体" w:eastAsia="宋体" w:cs="宋体"/>
                <w:b/>
                <w:bCs/>
                <w:color w:val="auto"/>
                <w:sz w:val="21"/>
                <w:szCs w:val="21"/>
                <w:highlight w:val="none"/>
                <w:lang w:val="zh-TW" w:eastAsia="zh-CN"/>
              </w:rPr>
              <w:t xml:space="preserve">供应商为其缴纳的</w:t>
            </w:r>
            <w:r>
              <w:rPr>
                <w:rFonts w:hint="eastAsia" w:ascii="宋体" w:hAnsi="宋体" w:eastAsia="宋体" w:cs="宋体"/>
                <w:b/>
                <w:bCs/>
                <w:color w:val="auto"/>
                <w:sz w:val="21"/>
                <w:szCs w:val="21"/>
                <w:highlight w:val="none"/>
                <w:lang w:val="en-US" w:eastAsia="zh-CN"/>
              </w:rPr>
              <w:t xml:space="preserve">近半年任意一个月</w:t>
            </w:r>
            <w:r>
              <w:rPr>
                <w:rFonts w:hint="eastAsia" w:ascii="宋体" w:hAnsi="宋体" w:eastAsia="宋体" w:cs="宋体"/>
                <w:b/>
                <w:bCs/>
                <w:color w:val="auto"/>
                <w:sz w:val="21"/>
                <w:szCs w:val="21"/>
                <w:highlight w:val="none"/>
                <w:lang w:val="zh-TW" w:eastAsia="zh-CN"/>
              </w:rPr>
              <w:t xml:space="preserve">社保证明。</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客观</w:t>
            </w:r>
            <w:r>
              <w:rPr>
                <w:rFonts w:hint="eastAsia" w:ascii="宋体" w:hAnsi="宋体" w:eastAsia="宋体" w:cs="宋体"/>
                <w:b/>
                <w:bCs/>
                <w:color w:val="auto"/>
                <w:sz w:val="21"/>
                <w:szCs w:val="21"/>
                <w:highlight w:val="none"/>
                <w:lang w:val="en-US" w:eastAsia="zh-Hans"/>
              </w:rPr>
              <w:t xml:space="preserve">分</w:t>
            </w:r>
            <w:r/>
          </w:p>
        </w:tc>
      </w:tr>
      <w:tr>
        <w:trPr>
          <w:jc w:val="center"/>
          <w:trHeight w:val="1044"/>
        </w:trPr>
        <w:tc>
          <w:tcPr>
            <w:tcBorders>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w:t>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项目组成员</w:t>
            </w:r>
            <w:r/>
          </w:p>
        </w:tc>
        <w:tc>
          <w:tcPr>
            <w:tcBorders>
              <w:top w:val="single" w:color="auto" w:sz="4" w:space="0"/>
              <w:left w:val="single" w:color="auto" w:sz="4" w:space="0"/>
              <w:right w:val="single" w:color="auto" w:sz="4" w:space="0"/>
            </w:tcBorders>
            <w:tcW w:w="6435" w:type="dxa"/>
            <w:vAlign w:val="center"/>
            <w:textDirection w:val="lrTb"/>
            <w:noWrap w:val="false"/>
          </w:tcPr>
          <w:p>
            <w:pPr>
              <w:ind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项目组成员</w:t>
            </w:r>
            <w:r>
              <w:rPr>
                <w:rFonts w:hint="eastAsia" w:ascii="宋体" w:hAnsi="宋体" w:eastAsia="宋体" w:cs="宋体"/>
                <w:color w:val="auto"/>
                <w:sz w:val="21"/>
                <w:szCs w:val="21"/>
                <w:highlight w:val="none"/>
                <w:lang w:val="en-US" w:eastAsia="zh-CN"/>
              </w:rPr>
              <w:t xml:space="preserve">（项目负责人除外）</w:t>
            </w:r>
            <w:r>
              <w:rPr>
                <w:rFonts w:hint="eastAsia" w:ascii="宋体" w:hAnsi="宋体" w:eastAsia="宋体" w:cs="宋体"/>
                <w:color w:val="auto"/>
                <w:sz w:val="21"/>
                <w:szCs w:val="21"/>
                <w:highlight w:val="none"/>
                <w:lang w:val="en-US" w:eastAsia="zh-Hans"/>
              </w:rPr>
              <w:t xml:space="preserve">：</w:t>
            </w:r>
            <w:r/>
          </w:p>
          <w:p>
            <w:pPr>
              <w:numPr>
                <w:ilvl w:val="0"/>
                <w:numId w:val="8"/>
              </w:numPr>
              <w:ind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Hans"/>
              </w:rPr>
              <w:t xml:space="preserve">具备摄影专业中级及以上职称的得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Hans"/>
              </w:rPr>
              <w:t xml:space="preserve">分</w:t>
            </w:r>
            <w:r>
              <w:rPr>
                <w:rFonts w:hint="eastAsia" w:ascii="宋体" w:hAnsi="宋体" w:eastAsia="宋体" w:cs="宋体"/>
                <w:color w:val="auto"/>
                <w:sz w:val="21"/>
                <w:szCs w:val="21"/>
                <w:highlight w:val="none"/>
                <w:lang w:val="en-US" w:eastAsia="zh-CN"/>
              </w:rPr>
              <w:t xml:space="preserve">；</w:t>
            </w:r>
            <w:r/>
          </w:p>
          <w:p>
            <w:pPr>
              <w:numPr>
                <w:ilvl w:val="0"/>
                <w:numId w:val="8"/>
              </w:numPr>
              <w:ind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具有</w:t>
            </w:r>
            <w:r>
              <w:rPr>
                <w:rFonts w:hint="eastAsia" w:ascii="宋体" w:hAnsi="宋体" w:eastAsia="宋体" w:cs="宋体"/>
                <w:color w:val="auto"/>
                <w:sz w:val="21"/>
                <w:szCs w:val="21"/>
                <w:highlight w:val="none"/>
                <w:lang w:val="en-US" w:eastAsia="zh-CN"/>
              </w:rPr>
              <w:t xml:space="preserve">文博类职称证书（不分等级）</w:t>
            </w:r>
            <w:r>
              <w:rPr>
                <w:rFonts w:hint="eastAsia" w:ascii="宋体" w:hAnsi="宋体" w:eastAsia="宋体" w:cs="宋体"/>
                <w:color w:val="auto"/>
                <w:sz w:val="21"/>
                <w:szCs w:val="21"/>
                <w:highlight w:val="none"/>
                <w:lang w:val="en-US" w:eastAsia="zh-Hans"/>
              </w:rPr>
              <w:t xml:space="preserve">的</w:t>
            </w:r>
            <w:r>
              <w:rPr>
                <w:rFonts w:hint="eastAsia" w:ascii="宋体" w:hAnsi="宋体" w:eastAsia="宋体" w:cs="宋体"/>
                <w:color w:val="auto"/>
                <w:sz w:val="21"/>
                <w:szCs w:val="21"/>
                <w:highlight w:val="none"/>
                <w:lang w:val="en-US" w:eastAsia="zh-CN"/>
              </w:rPr>
              <w:t xml:space="preserve">，每有一名</w:t>
            </w:r>
            <w:r>
              <w:rPr>
                <w:rFonts w:hint="eastAsia" w:ascii="宋体" w:hAnsi="宋体" w:eastAsia="宋体" w:cs="宋体"/>
                <w:color w:val="auto"/>
                <w:sz w:val="21"/>
                <w:szCs w:val="21"/>
                <w:highlight w:val="none"/>
                <w:lang w:val="en-US" w:eastAsia="zh-Hans"/>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Hans"/>
              </w:rPr>
              <w:t xml:space="preserve">分，最</w:t>
            </w:r>
            <w:r>
              <w:rPr>
                <w:rFonts w:hint="eastAsia" w:ascii="宋体" w:hAnsi="宋体" w:eastAsia="宋体" w:cs="宋体"/>
                <w:color w:val="auto"/>
                <w:sz w:val="21"/>
                <w:szCs w:val="21"/>
                <w:highlight w:val="none"/>
                <w:lang w:val="en-US" w:eastAsia="zh-CN"/>
              </w:rPr>
              <w:t xml:space="preserve">多</w:t>
            </w:r>
            <w:r>
              <w:rPr>
                <w:rFonts w:hint="eastAsia" w:ascii="宋体" w:hAnsi="宋体" w:eastAsia="宋体" w:cs="宋体"/>
                <w:color w:val="auto"/>
                <w:sz w:val="21"/>
                <w:szCs w:val="21"/>
                <w:highlight w:val="none"/>
                <w:lang w:val="en-US" w:eastAsia="zh-Hans"/>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Hans"/>
              </w:rPr>
              <w:t xml:space="preserve">分。</w:t>
            </w:r>
            <w:r/>
          </w:p>
          <w:p>
            <w:pPr>
              <w:numPr>
                <w:ilvl w:val="0"/>
                <w:numId w:val="0"/>
              </w:numPr>
              <w:ind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b/>
                <w:bCs/>
                <w:color w:val="auto"/>
                <w:sz w:val="21"/>
                <w:szCs w:val="21"/>
                <w:highlight w:val="none"/>
                <w:lang w:val="en-US" w:eastAsia="zh-CN"/>
              </w:rPr>
              <w:t xml:space="preserve">本项满分11分。</w:t>
            </w:r>
            <w:r>
              <w:rPr>
                <w:rFonts w:hint="eastAsia" w:ascii="宋体" w:hAnsi="宋体" w:eastAsia="宋体" w:cs="宋体"/>
                <w:b/>
                <w:bCs/>
                <w:color w:val="auto"/>
                <w:sz w:val="21"/>
                <w:szCs w:val="21"/>
                <w:highlight w:val="none"/>
                <w:lang w:val="zh-TW" w:eastAsia="zh-CN"/>
              </w:rPr>
              <w:t xml:space="preserve">人员可以重复</w:t>
            </w:r>
            <w:r>
              <w:rPr>
                <w:rFonts w:hint="eastAsia" w:ascii="宋体" w:hAnsi="宋体" w:eastAsia="宋体" w:cs="宋体"/>
                <w:b/>
                <w:bCs/>
                <w:color w:val="auto"/>
                <w:sz w:val="21"/>
                <w:szCs w:val="21"/>
                <w:highlight w:val="none"/>
                <w:lang w:val="en-US" w:eastAsia="zh-CN"/>
              </w:rPr>
              <w:t xml:space="preserve">计分</w:t>
            </w:r>
            <w:r>
              <w:rPr>
                <w:rFonts w:hint="eastAsia" w:ascii="宋体" w:hAnsi="宋体" w:eastAsia="宋体" w:cs="宋体"/>
                <w:b/>
                <w:bCs/>
                <w:color w:val="auto"/>
                <w:sz w:val="21"/>
                <w:szCs w:val="21"/>
                <w:highlight w:val="none"/>
                <w:lang w:val="zh-TW" w:eastAsia="zh-CN"/>
              </w:rPr>
              <w:t xml:space="preserve">，响应文件中提供以上证书</w:t>
            </w:r>
            <w:r>
              <w:rPr>
                <w:rFonts w:hint="eastAsia" w:ascii="宋体" w:hAnsi="宋体" w:eastAsia="宋体" w:cs="宋体"/>
                <w:b/>
                <w:bCs/>
                <w:color w:val="auto"/>
                <w:sz w:val="21"/>
                <w:szCs w:val="21"/>
                <w:highlight w:val="none"/>
                <w:lang w:val="en-US" w:eastAsia="zh-CN"/>
              </w:rPr>
              <w:t xml:space="preserve">复印件以及</w:t>
            </w:r>
            <w:r>
              <w:rPr>
                <w:rFonts w:hint="eastAsia" w:ascii="宋体" w:hAnsi="宋体" w:eastAsia="宋体" w:cs="宋体"/>
                <w:b/>
                <w:bCs/>
                <w:color w:val="auto"/>
                <w:sz w:val="21"/>
                <w:szCs w:val="21"/>
                <w:highlight w:val="none"/>
                <w:lang w:val="zh-TW" w:eastAsia="zh-CN"/>
              </w:rPr>
              <w:t xml:space="preserve">供应商为其缴纳的</w:t>
            </w:r>
            <w:r>
              <w:rPr>
                <w:rFonts w:hint="eastAsia" w:ascii="宋体" w:hAnsi="宋体" w:eastAsia="宋体" w:cs="宋体"/>
                <w:b/>
                <w:bCs/>
                <w:color w:val="auto"/>
                <w:sz w:val="21"/>
                <w:szCs w:val="21"/>
                <w:highlight w:val="none"/>
                <w:lang w:val="en-US" w:eastAsia="zh-CN"/>
              </w:rPr>
              <w:t xml:space="preserve">近半年任意一个月</w:t>
            </w:r>
            <w:r>
              <w:rPr>
                <w:rFonts w:hint="eastAsia" w:ascii="宋体" w:hAnsi="宋体" w:eastAsia="宋体" w:cs="宋体"/>
                <w:b/>
                <w:bCs/>
                <w:color w:val="auto"/>
                <w:sz w:val="21"/>
                <w:szCs w:val="21"/>
                <w:highlight w:val="none"/>
                <w:lang w:val="zh-TW" w:eastAsia="zh-CN"/>
              </w:rPr>
              <w:t xml:space="preserve">社保证明。</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客观分</w:t>
            </w:r>
            <w:r/>
          </w:p>
        </w:tc>
      </w:tr>
      <w:tr>
        <w:trPr>
          <w:jc w:val="center"/>
          <w:trHeight w:val="517"/>
        </w:trPr>
        <w:tc>
          <w:tcPr>
            <w:gridSpan w:val="5"/>
            <w:tcBorders>
              <w:left w:val="single" w:color="auto" w:sz="4" w:space="0"/>
              <w:right w:val="single" w:color="auto" w:sz="4" w:space="0"/>
            </w:tcBorders>
            <w:tcW w:w="979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四、业绩（10分）</w:t>
            </w:r>
            <w:r/>
          </w:p>
        </w:tc>
      </w:tr>
      <w:tr>
        <w:trPr>
          <w:jc w:val="center"/>
          <w:trHeight w:val="1384"/>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4</w:t>
            </w:r>
            <w:r/>
          </w:p>
        </w:tc>
        <w:tc>
          <w:tcPr>
            <w:tcBorders>
              <w:top w:val="single" w:color="auto" w:sz="4" w:space="0"/>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w:t>
            </w:r>
            <w:r/>
          </w:p>
        </w:tc>
        <w:tc>
          <w:tcPr>
            <w:tcBorders>
              <w:top w:val="single" w:color="auto" w:sz="4" w:space="0"/>
              <w:left w:val="single" w:color="auto" w:sz="4" w:space="0"/>
              <w:right w:val="single" w:color="auto" w:sz="4" w:space="0"/>
            </w:tcBorders>
            <w:tcW w:w="6435" w:type="dxa"/>
            <w:vAlign w:val="center"/>
            <w:textDirection w:val="lrTb"/>
            <w:noWrap w:val="false"/>
          </w:tcPr>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投标人提供2023年1月1日（以合同签订时间为准）以来类似业绩，每提供1个得2分，最多得10分。</w:t>
            </w:r>
            <w:r/>
          </w:p>
          <w:p>
            <w:pPr>
              <w:ind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注：1.响应文件中提供合同扫描件，未提供不得分。</w:t>
            </w:r>
            <w:r/>
          </w:p>
          <w:p>
            <w:pPr>
              <w:ind w:firstLine="0"/>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Hans"/>
              </w:rPr>
              <w:t xml:space="preserve">2.业绩证明材料应能够明确反映投标供应商名称、项目内容、合同签订时间等主要信息，否则不得分。</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Hans"/>
              </w:rPr>
              <w:t xml:space="preserve">客观分</w:t>
            </w:r>
            <w:r/>
          </w:p>
        </w:tc>
      </w:tr>
      <w:tr>
        <w:trPr>
          <w:jc w:val="center"/>
          <w:trHeight w:val="557"/>
        </w:trPr>
        <w:tc>
          <w:tcPr>
            <w:gridSpan w:val="5"/>
            <w:tcBorders>
              <w:top w:val="single" w:color="auto" w:sz="4" w:space="0"/>
              <w:left w:val="single" w:color="auto" w:sz="4" w:space="0"/>
              <w:right w:val="single" w:color="auto" w:sz="4" w:space="0"/>
            </w:tcBorders>
            <w:tcW w:w="9798"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五、履约能力（3分）</w:t>
            </w:r>
            <w:r/>
          </w:p>
        </w:tc>
      </w:tr>
      <w:tr>
        <w:trPr>
          <w:jc w:val="center"/>
          <w:trHeight w:val="1384"/>
        </w:trPr>
        <w:tc>
          <w:tcPr>
            <w:tcBorders>
              <w:top w:val="single" w:color="auto" w:sz="4" w:space="0"/>
              <w:left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5.1</w:t>
            </w:r>
            <w:r/>
          </w:p>
        </w:tc>
        <w:tc>
          <w:tcPr>
            <w:tcBorders>
              <w:top w:val="single" w:color="auto" w:sz="4" w:space="0"/>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体系</w:t>
            </w:r>
            <w:r/>
          </w:p>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证书</w:t>
            </w:r>
            <w:r/>
          </w:p>
        </w:tc>
        <w:tc>
          <w:tcPr>
            <w:tcBorders>
              <w:top w:val="single" w:color="auto" w:sz="4" w:space="0"/>
              <w:left w:val="single" w:color="auto" w:sz="4" w:space="0"/>
              <w:right w:val="single" w:color="auto" w:sz="4" w:space="0"/>
            </w:tcBorders>
            <w:tcW w:w="6435" w:type="dxa"/>
            <w:vAlign w:val="center"/>
            <w:textDirection w:val="lrTb"/>
            <w:noWrap w:val="false"/>
          </w:tcPr>
          <w:p>
            <w:pPr>
              <w:ind w:firstLine="0"/>
              <w:jc w:val="both"/>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1、供应商具有质量管理体系认证证书、环境管理体系认证证书、职业健康安全管理体系认证证书，每有1类证书的得1分；最多得3分；</w:t>
            </w:r>
            <w:r/>
          </w:p>
          <w:p>
            <w:pPr>
              <w:ind w:firstLine="0"/>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响应文件提供证书复印件以及全国认证认可信息公开服务平台（http://cx.cnca.cn)的查询截图）</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客观分</w:t>
            </w:r>
            <w:r/>
          </w:p>
        </w:tc>
      </w:tr>
      <w:tr>
        <w:trPr>
          <w:jc w:val="center"/>
          <w:trHeight w:val="38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c>
          <w:tcPr>
            <w:tcBorders>
              <w:left w:val="single" w:color="auto" w:sz="4" w:space="0"/>
              <w:right w:val="single" w:color="auto" w:sz="4" w:space="0"/>
            </w:tcBorders>
            <w:tcW w:w="97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35"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fldChar w:fldCharType="begin"/>
            </w:r>
            <w:r>
              <w:rPr>
                <w:rFonts w:hint="default" w:ascii="宋体" w:hAnsi="宋体" w:eastAsia="宋体" w:cs="宋体"/>
                <w:b/>
                <w:bCs/>
                <w:color w:val="auto"/>
                <w:sz w:val="21"/>
                <w:szCs w:val="21"/>
                <w:highlight w:val="none"/>
              </w:rPr>
              <w:instrText xml:space="preserve"> =SUM(ABOVE) \* MERGEFORMAT </w:instrText>
            </w:r>
            <w:r>
              <w:rPr>
                <w:rFonts w:hint="default" w:ascii="宋体" w:hAnsi="宋体" w:eastAsia="宋体" w:cs="宋体"/>
                <w:b/>
                <w:bCs/>
                <w:color w:val="auto"/>
                <w:sz w:val="21"/>
                <w:szCs w:val="21"/>
                <w:highlight w:val="none"/>
              </w:rPr>
              <w:fldChar w:fldCharType="separate"/>
            </w:r>
            <w:r>
              <w:rPr>
                <w:rFonts w:hint="default" w:ascii="宋体" w:hAnsi="宋体" w:eastAsia="宋体" w:cs="宋体"/>
                <w:b/>
                <w:bCs/>
                <w:color w:val="auto"/>
                <w:sz w:val="21"/>
                <w:szCs w:val="21"/>
                <w:highlight w:val="none"/>
              </w:rPr>
              <w:t xml:space="preserve">100</w:t>
            </w:r>
            <w:r>
              <w:rPr>
                <w:rFonts w:hint="default" w:ascii="宋体" w:hAnsi="宋体" w:eastAsia="宋体" w:cs="宋体"/>
                <w:b/>
                <w:bCs/>
                <w:color w:val="auto"/>
                <w:sz w:val="21"/>
                <w:szCs w:val="21"/>
                <w:highlight w:val="none"/>
              </w:rPr>
              <w:fldChar w:fldCharType="end"/>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bl>
    <w:p>
      <w:pPr>
        <w:ind w:firstLine="0"/>
        <w:jc w:val="lef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725"/>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clear="all"/>
      </w:r>
      <w:r/>
    </w:p>
    <w:p>
      <w:pPr>
        <w:pStyle w:val="725"/>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p>
    <w:p>
      <w:pPr>
        <w:pStyle w:val="721"/>
        <w:jc w:val="center"/>
        <w:spacing w:beforeAutospacing="0" w:afterAutospacing="0"/>
        <w:rPr>
          <w:rFonts w:hint="eastAsia" w:ascii="宋体" w:hAnsi="宋体" w:eastAsia="宋体" w:cs="宋体"/>
          <w:b/>
          <w:sz w:val="72"/>
          <w:szCs w:val="72"/>
        </w:rPr>
      </w:pPr>
      <w:r/>
      <w:bookmarkStart w:id="177" w:name="_Toc49090576"/>
      <w:r/>
      <w:bookmarkEnd w:id="177"/>
      <w:r/>
      <w:bookmarkStart w:id="178" w:name="_Toc120614282"/>
      <w:r/>
      <w:bookmarkEnd w:id="178"/>
      <w:r/>
      <w:bookmarkStart w:id="179" w:name="_Hlt26671244"/>
      <w:r/>
      <w:bookmarkStart w:id="180" w:name="_Toc26554094"/>
      <w:r/>
      <w:bookmarkStart w:id="181" w:name="_Hlt26955039"/>
      <w:r/>
      <w:r/>
    </w:p>
    <w:p>
      <w:pPr>
        <w:pStyle w:val="721"/>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ind w:firstLine="0"/>
        <w:jc w:val="center"/>
        <w:widowControl w:val="off"/>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pStyle w:val="721"/>
        <w:jc w:val="center"/>
        <w:spacing w:beforeAutospacing="0" w:afterAutospacing="0"/>
      </w:pPr>
      <w:r>
        <w:t xml:space="preserve"> </w:t>
      </w:r>
      <w:r/>
    </w:p>
    <w:p>
      <w:pPr>
        <w:pStyle w:val="721"/>
        <w:jc w:val="center"/>
        <w:spacing w:beforeAutospacing="0" w:afterAutospacing="0"/>
      </w:pPr>
      <w:r>
        <w:t xml:space="preserve"> </w:t>
      </w:r>
      <w:r/>
    </w:p>
    <w:p>
      <w:pPr>
        <w:pStyle w:val="721"/>
        <w:jc w:val="center"/>
        <w:spacing w:beforeAutospacing="0" w:afterAutospacing="0"/>
      </w:pPr>
      <w:r>
        <w:t xml:space="preserve"> </w:t>
      </w:r>
      <w:r/>
    </w:p>
    <w:p>
      <w:pPr>
        <w:pStyle w:val="721"/>
        <w:jc w:val="center"/>
        <w:spacing w:beforeAutospacing="0" w:afterAutospacing="0"/>
      </w:pPr>
      <w:r>
        <w:t xml:space="preserve"> </w:t>
      </w:r>
      <w:r/>
    </w:p>
    <w:p>
      <w:pPr>
        <w:pStyle w:val="721"/>
        <w:jc w:val="center"/>
        <w:spacing w:beforeAutospacing="0" w:afterAutospacing="0"/>
      </w:pPr>
      <w:r>
        <w:t xml:space="preserve"> </w:t>
      </w:r>
      <w:r/>
    </w:p>
    <w:p>
      <w:pPr>
        <w:pStyle w:val="721"/>
        <w:ind w:firstLine="1341"/>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21"/>
        <w:ind w:firstLine="1341"/>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21"/>
        <w:ind w:firstLine="1341"/>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721"/>
        <w:ind w:firstLine="1341"/>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jc w:val="center"/>
        <w:spacing w:beforeAutospacing="0" w:afterAutospacing="0" w:line="0" w:lineRule="atLeast"/>
      </w:pPr>
      <w:r/>
      <w:r/>
    </w:p>
    <w:p>
      <w:pPr>
        <w:pStyle w:val="721"/>
        <w:ind w:firstLine="32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21"/>
        <w:jc w:val="center"/>
        <w:spacing w:beforeAutospacing="0" w:afterAutospacing="0" w:line="0" w:lineRule="atLeast"/>
      </w:pPr>
      <w:r>
        <w:t xml:space="preserve"> </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一、法人或者其他组织的营业执照等证明文件，自然人的身份证明</w:t>
      </w:r>
      <w:r/>
    </w:p>
    <w:p>
      <w:pPr>
        <w:pStyle w:val="72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rPr>
        <w:t xml:space="preserve">二、</w:t>
      </w:r>
      <w:r>
        <w:rPr>
          <w:rFonts w:hint="eastAsia" w:ascii="宋体" w:hAnsi="宋体" w:eastAsia="宋体" w:cs="宋体"/>
          <w:color w:val="000000"/>
        </w:rPr>
        <w:t xml:space="preserve">上一年度的财务状况报告（投标人2025年财务状况表未出的，可使用2024年度报表，</w:t>
      </w:r>
      <w:r>
        <w:rPr>
          <w:rFonts w:hint="eastAsia" w:ascii="宋体" w:hAnsi="宋体" w:cs="宋体"/>
        </w:rPr>
        <w:t xml:space="preserve">至少提供资产负债表、利润表、现金流量表，</w:t>
      </w:r>
      <w:r>
        <w:rPr>
          <w:rFonts w:hint="eastAsia" w:ascii="宋体" w:hAnsi="宋体" w:eastAsia="宋体" w:cs="宋体"/>
          <w:color w:val="000000"/>
        </w:rPr>
        <w:t xml:space="preserve">成立不满一年无需提供）。</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三、具备履行合同所必需的设备和专业技术能力的书面声明</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六、</w:t>
      </w:r>
      <w:r>
        <w:rPr>
          <w:rFonts w:hint="eastAsia" w:asciiTheme="minorEastAsia" w:hAnsiTheme="minorEastAsia" w:cstheme="minorEastAsia"/>
          <w:sz w:val="24"/>
        </w:rPr>
        <w:t xml:space="preserve">特定资格要求的证明文件（如果本项目设置特定资格要求，则需要提供）</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七、法人授权书</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八、投标函</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十一、关于符合本国产品标准的声明函</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十二、投标分项报价表</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十三、</w:t>
      </w:r>
      <w:bookmarkStart w:id="182" w:name="OLE_LINK24"/>
      <w:r>
        <w:rPr>
          <w:rFonts w:hint="eastAsia" w:asciiTheme="minorEastAsia" w:hAnsiTheme="minorEastAsia" w:cstheme="minorEastAsia"/>
          <w:sz w:val="24"/>
        </w:rPr>
        <w:t xml:space="preserve">技术要求响应及偏离表</w:t>
      </w:r>
      <w:bookmarkEnd w:id="182"/>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十四、</w:t>
      </w:r>
      <w:bookmarkStart w:id="183" w:name="OLE_LINK22"/>
      <w:r/>
      <w:bookmarkStart w:id="184" w:name="OLE_LINK21"/>
      <w:r>
        <w:rPr>
          <w:rFonts w:hint="eastAsia" w:asciiTheme="minorEastAsia" w:hAnsiTheme="minorEastAsia" w:cstheme="minorEastAsia"/>
          <w:sz w:val="24"/>
        </w:rPr>
        <w:t xml:space="preserve">商务要求响应及偏离表</w:t>
      </w:r>
      <w:bookmarkEnd w:id="183"/>
      <w:r/>
      <w:bookmarkEnd w:id="184"/>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十五、开标一览表</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十六、技术方案、服务承诺、培训承诺等</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十七、盐城市政府采购事前信用承诺书 </w:t>
      </w:r>
      <w:r/>
    </w:p>
    <w:p>
      <w:pPr>
        <w:pStyle w:val="721"/>
        <w:ind w:firstLine="480"/>
        <w:jc w:val="both"/>
        <w:spacing w:beforeAutospacing="0" w:after="100" w:line="0" w:lineRule="atLeast"/>
      </w:pPr>
      <w:r>
        <w:t xml:space="preserve"> </w:t>
      </w:r>
      <w:r/>
    </w:p>
    <w:p>
      <w:pPr>
        <w:pStyle w:val="721"/>
        <w:ind w:firstLine="480"/>
        <w:jc w:val="both"/>
        <w:spacing w:beforeAutospacing="0" w:afterAutospacing="0" w:line="0" w:lineRule="atLeast"/>
      </w:pPr>
      <w:r>
        <w:t xml:space="preserve"> </w:t>
      </w:r>
      <w:r/>
    </w:p>
    <w:p>
      <w:pPr>
        <w:pStyle w:val="721"/>
        <w:ind w:firstLine="480"/>
        <w:jc w:val="both"/>
        <w:spacing w:beforeAutospacing="0" w:afterAutospacing="0" w:line="0" w:lineRule="atLeast"/>
      </w:pPr>
      <w:r>
        <w:t xml:space="preserve"> </w:t>
      </w:r>
      <w:r/>
    </w:p>
    <w:p>
      <w:pPr>
        <w:pStyle w:val="721"/>
        <w:ind w:firstLine="480"/>
        <w:jc w:val="both"/>
        <w:spacing w:beforeAutospacing="0" w:afterAutospacing="0" w:line="0" w:lineRule="atLeast"/>
      </w:pPr>
      <w:r>
        <w:t xml:space="preserve"> </w:t>
      </w:r>
      <w:r/>
    </w:p>
    <w:p>
      <w:pPr>
        <w:rPr>
          <w:rFonts w:ascii="方正小标宋_GBK" w:hAnsi="方正小标宋_GBK" w:eastAsia="方正小标宋_GBK" w:cs="方正小标宋_GBK"/>
          <w:i/>
          <w:iCs/>
          <w:color w:val="000000"/>
          <w:sz w:val="32"/>
          <w:szCs w:val="32"/>
          <w:u w:val="single"/>
        </w:rPr>
      </w:pPr>
      <w:r>
        <w:rPr>
          <w:rFonts w:hint="eastAsia" w:ascii="方正小标宋_GBK" w:hAnsi="方正小标宋_GBK" w:eastAsia="方正小标宋_GBK" w:cs="方正小标宋_GBK"/>
          <w:i/>
          <w:iCs/>
          <w:color w:val="000000"/>
          <w:sz w:val="32"/>
          <w:szCs w:val="32"/>
          <w:u w:val="single"/>
        </w:rPr>
        <w:br w:type="page" w:clear="all"/>
      </w:r>
      <w:r/>
    </w:p>
    <w:p>
      <w:pPr>
        <w:pStyle w:val="721"/>
        <w:ind w:firstLine="0"/>
        <w:jc w:val="center"/>
        <w:spacing w:beforeAutospacing="0" w:afterAutospacing="0" w:line="0" w:lineRule="atLeast"/>
        <w:rPr>
          <w:rFonts w:ascii="方正小标宋_GBK" w:hAnsi="方正小标宋_GBK" w:eastAsia="方正小标宋_GBK" w:cs="方正小标宋_GBK"/>
          <w:i/>
          <w:iCs/>
          <w:color w:val="000000"/>
          <w:sz w:val="32"/>
          <w:szCs w:val="32"/>
          <w:u w:val="single"/>
        </w:rPr>
        <w:outlineLvl w:val="1"/>
      </w:pPr>
      <w:r>
        <w:rPr>
          <w:rFonts w:hint="eastAsia" w:ascii="方正小标宋_GBK" w:hAnsi="方正小标宋_GBK" w:eastAsia="方正小标宋_GBK" w:cs="方正小标宋_GBK"/>
          <w:i/>
          <w:iCs/>
          <w:color w:val="000000"/>
          <w:sz w:val="32"/>
          <w:szCs w:val="32"/>
          <w:u w:val="single"/>
        </w:rPr>
        <w:t xml:space="preserve">一、法人或者其他组织的营业执照等证明文件，自然人的身份证明</w:t>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ind w:firstLine="480"/>
        <w:jc w:val="both"/>
        <w:spacing w:beforeAutospacing="0" w:afterAutospacing="0" w:line="0" w:lineRule="atLeast"/>
      </w:pPr>
      <w:r>
        <w:t xml:space="preserve"> </w:t>
      </w:r>
      <w:bookmarkEnd w:id="6"/>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175"/>
      <w:r/>
      <w:bookmarkEnd w:id="179"/>
      <w:r/>
      <w:bookmarkEnd w:id="180"/>
      <w:r/>
      <w:bookmarkEnd w:id="181"/>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pStyle w:val="721"/>
        <w:spacing w:beforeAutospacing="0" w:afterAutospacing="0"/>
      </w:pPr>
      <w:r/>
      <w:r/>
    </w:p>
    <w:p>
      <w:pPr>
        <w:ind w:firstLine="0"/>
        <w:jc w:val="center"/>
        <w:spacing w:line="560" w:lineRule="exact"/>
        <w:rPr>
          <w:rFonts w:hint="eastAsia" w:ascii="黑体" w:hAnsi="黑体" w:eastAsia="黑体" w:cs="黑体"/>
          <w:i/>
          <w:sz w:val="32"/>
          <w:szCs w:val="32"/>
          <w:u w:val="single"/>
          <w:lang w:val="en-US" w:eastAsia="zh-CN"/>
        </w:rPr>
        <w:outlineLvl w:val="1"/>
      </w:pPr>
      <w:r>
        <w:rPr>
          <w:rFonts w:hint="eastAsia" w:ascii="黑体" w:hAnsi="黑体" w:eastAsia="黑体" w:cs="黑体"/>
          <w:i/>
          <w:sz w:val="32"/>
          <w:szCs w:val="32"/>
          <w:u w:val="single"/>
        </w:rPr>
        <w:t xml:space="preserve">二、</w:t>
      </w:r>
      <w:bookmarkStart w:id="185" w:name="OLE_LINK64"/>
      <w:r>
        <w:rPr>
          <w:rFonts w:hint="eastAsia" w:ascii="黑体" w:hAnsi="黑体" w:eastAsia="黑体" w:cs="黑体"/>
          <w:i/>
          <w:sz w:val="32"/>
          <w:szCs w:val="32"/>
          <w:u w:val="single"/>
        </w:rPr>
        <w:t xml:space="preserve">上一年度的财务状况报</w:t>
      </w:r>
      <w:bookmarkEnd w:id="185"/>
      <w:r>
        <w:rPr>
          <w:rFonts w:hint="eastAsia" w:ascii="黑体" w:hAnsi="黑体" w:eastAsia="黑体" w:cs="黑体"/>
          <w:i/>
          <w:sz w:val="32"/>
          <w:szCs w:val="32"/>
          <w:u w:val="single"/>
          <w:lang w:val="en-US" w:eastAsia="zh-CN"/>
        </w:rPr>
        <w:t xml:space="preserve">告</w:t>
      </w:r>
      <w:r/>
    </w:p>
    <w:p>
      <w:pPr>
        <w:pStyle w:val="72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投标人2025年财务状况表未出的，可使用2024年度报表，至少提供资产负债表、利润表、现金流量表，成立不满一年无需提供</w:t>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ind w:firstLine="0"/>
        <w:jc w:val="center"/>
        <w:spacing w:line="560" w:lineRule="exact"/>
        <w:rPr>
          <w:rFonts w:hint="eastAsia" w:ascii="黑体" w:hAnsi="黑体" w:eastAsia="黑体" w:cs="黑体"/>
          <w:i/>
          <w:sz w:val="32"/>
          <w:szCs w:val="32"/>
          <w:u w:val="single"/>
        </w:rPr>
        <w:outlineLvl w:val="1"/>
      </w:pPr>
      <w:r>
        <w:rPr>
          <w:rFonts w:hint="eastAsia" w:ascii="黑体" w:hAnsi="黑体" w:eastAsia="黑体" w:cs="黑体"/>
          <w:i/>
          <w:sz w:val="32"/>
          <w:szCs w:val="32"/>
          <w:u w:val="single"/>
        </w:rPr>
        <w:t xml:space="preserve">三、具备履行合同所必需的设备和专业技术能力的书面声明</w:t>
      </w:r>
      <w:r/>
    </w:p>
    <w:p>
      <w:pPr>
        <w:pStyle w:val="721"/>
        <w:ind w:firstLine="960"/>
        <w:jc w:val="both"/>
        <w:spacing w:beforeAutospacing="0" w:afterAutospacing="0"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492"/>
        <w:jc w:val="both"/>
        <w:spacing w:beforeAutospacing="0" w:afterAutospacing="0" w:line="500" w:lineRule="exac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21"/>
        <w:ind w:firstLine="492"/>
        <w:jc w:val="both"/>
        <w:spacing w:beforeAutospacing="0" w:afterAutospacing="0" w:line="500" w:lineRule="exac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1"/>
        <w:jc w:val="both"/>
        <w:spacing w:beforeAutospacing="0" w:afterAutospacing="0" w:line="500" w:lineRule="exact"/>
        <w:rPr>
          <w:rFonts w:cs="黑体"/>
          <w:iCs/>
          <w:sz w:val="32"/>
          <w:szCs w:val="32"/>
          <w:shd w:val="clear" w:color="auto" w:fill="ffffff" w:themeFill="background1"/>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ind w:firstLine="5843"/>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jc w:val="center"/>
        <w:spacing w:line="560" w:lineRule="exact"/>
        <w:rPr>
          <w:rFonts w:hint="eastAsia" w:ascii="黑体" w:hAnsi="黑体" w:eastAsia="黑体" w:cs="黑体"/>
          <w:i/>
          <w:sz w:val="32"/>
          <w:szCs w:val="32"/>
          <w:u w:val="single"/>
        </w:rPr>
        <w:outlineLvl w:val="1"/>
      </w:pPr>
      <w:r>
        <w:rPr>
          <w:rFonts w:hint="eastAsia" w:ascii="黑体" w:hAnsi="黑体" w:eastAsia="黑体" w:cs="黑体"/>
          <w:i/>
          <w:sz w:val="32"/>
          <w:szCs w:val="32"/>
          <w:u w:val="single"/>
        </w:rPr>
        <w:t xml:space="preserve">四、依法缴纳税收和社会保障资金的相关材料</w:t>
      </w:r>
      <w:r/>
    </w:p>
    <w:p>
      <w:pPr>
        <w:pStyle w:val="721"/>
        <w:ind w:firstLine="1280"/>
        <w:jc w:val="both"/>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480"/>
        <w:jc w:val="both"/>
        <w:spacing w:line="560" w:lineRule="exact"/>
        <w:rPr>
          <w:rFonts w:hint="eastAsia" w:asciiTheme="minorEastAsia" w:hAnsiTheme="minorEastAsia" w:cstheme="minorEastAsia"/>
        </w:rPr>
      </w:pPr>
      <w:r>
        <w:rPr>
          <w:rFonts w:hint="eastAsia" w:asciiTheme="minorEastAsia" w:hAnsi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721"/>
        <w:jc w:val="both"/>
        <w:spacing w:line="500" w:lineRule="exact"/>
        <w:rPr>
          <w:shd w:val="clear" w:color="auto" w:fill="ffffff" w:themeFill="background1"/>
        </w:rPr>
      </w:pPr>
      <w:r>
        <w:rPr>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1"/>
        <w:jc w:val="both"/>
        <w:rPr>
          <w:rFonts w:cs="黑体"/>
          <w:iCs/>
          <w:sz w:val="32"/>
          <w:szCs w:val="32"/>
          <w:shd w:val="clear" w:color="auto" w:fill="ffffff" w:themeFill="background1"/>
        </w:rPr>
      </w:pPr>
      <w:r>
        <w:rPr>
          <w:rFonts w:cs="黑体"/>
          <w:iCs/>
          <w:sz w:val="32"/>
          <w:szCs w:val="32"/>
          <w:shd w:val="clear" w:color="auto" w:fill="ffffff" w:themeFill="background1"/>
        </w:rPr>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pStyle w:val="721"/>
        <w:ind w:firstLine="0"/>
        <w:jc w:val="center"/>
        <w:spacing w:beforeAutospacing="0" w:afterAutospacing="0" w:line="0" w:lineRule="atLeast"/>
        <w:rPr>
          <w:rFonts w:ascii="方正小标宋_GBK" w:hAnsi="方正小标宋_GBK" w:eastAsia="方正小标宋_GBK" w:cs="方正小标宋_GBK"/>
          <w:color w:val="000000"/>
          <w:sz w:val="32"/>
          <w:szCs w:val="32"/>
        </w:rPr>
        <w:outlineLvl w:val="1"/>
      </w:pPr>
      <w:r>
        <w:rPr>
          <w:rFonts w:hint="eastAsia" w:ascii="黑体" w:hAnsi="黑体" w:eastAsia="黑体" w:cs="黑体"/>
          <w:i/>
          <w:sz w:val="32"/>
          <w:szCs w:val="32"/>
          <w:u w:val="single"/>
        </w:rPr>
        <w:t xml:space="preserve">五、参加政府采购活动前3年内在经营活动中没有重大违法记录的书面声明</w:t>
      </w:r>
      <w:r/>
    </w:p>
    <w:p>
      <w:pPr>
        <w:pStyle w:val="721"/>
        <w:ind w:firstLine="442"/>
        <w:jc w:val="center"/>
        <w:spacing w:line="0" w:lineRule="atLeast"/>
        <w:rPr>
          <w:shd w:val="clear" w:color="auto" w:fill="ffffff" w:themeFill="background1"/>
        </w:rPr>
      </w:pPr>
      <w:r>
        <w:rPr>
          <w:rFonts w:hint="eastAsia"/>
          <w:b/>
          <w:sz w:val="44"/>
          <w:szCs w:val="44"/>
          <w:shd w:val="clear" w:color="auto" w:fill="ffffff" w:themeFill="background1"/>
        </w:rPr>
        <w:t xml:space="preserve">声  明</w:t>
      </w:r>
      <w:r/>
    </w:p>
    <w:p>
      <w:pPr>
        <w:pStyle w:val="721"/>
        <w:ind w:firstLine="241"/>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 3 年内，我单位在经营活动中没有因违法经营受到刑事处罚或者责令停产停业、吊销许可证或者执照、较大数额罚款等行政处罚。</w:t>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line="560" w:lineRule="exact"/>
        <w:rPr>
          <w:rFonts w:hint="eastAsia" w:ascii="黑体" w:hAnsi="黑体" w:eastAsia="黑体" w:cs="黑体"/>
          <w:i/>
          <w:sz w:val="32"/>
          <w:szCs w:val="32"/>
          <w:u w:val="single"/>
        </w:rPr>
        <w:outlineLvl w:val="1"/>
      </w:pPr>
      <w:r>
        <w:rPr>
          <w:rFonts w:hint="eastAsia" w:ascii="黑体" w:hAnsi="黑体" w:eastAsia="黑体" w:cs="黑体"/>
          <w:i/>
          <w:sz w:val="32"/>
          <w:szCs w:val="32"/>
          <w:u w:val="single"/>
        </w:rPr>
        <w:t xml:space="preserve">六、特定资格要求的证明文件</w:t>
      </w:r>
      <w:r/>
    </w:p>
    <w:p>
      <w:pPr>
        <w:pStyle w:val="721"/>
        <w:jc w:val="center"/>
        <w:rPr>
          <w:rFonts w:hint="eastAsia" w:ascii="宋体" w:hAnsi="宋体" w:eastAsia="宋体" w:cs="宋体"/>
        </w:rPr>
      </w:pPr>
      <w:r>
        <w:rPr>
          <w:rFonts w:hint="eastAsia" w:ascii="宋体" w:hAnsi="宋体" w:eastAsia="宋体" w:cs="宋体"/>
        </w:rPr>
        <w:t xml:space="preserve">如果本项目申请人的特定资格要求中要求提供的，必须提供。</w:t>
      </w:r>
      <w:r/>
    </w:p>
    <w:p>
      <w:pPr>
        <w:jc w:val="center"/>
        <w:spacing w:before="100" w:after="100"/>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1"/>
        <w:ind w:firstLine="320"/>
        <w:jc w:val="center"/>
        <w:spacing w:beforeAutospacing="0" w:afterAutospacing="0"/>
        <w:rPr>
          <w:rFonts w:ascii="方正小标宋_GBK" w:hAnsi="方正小标宋_GBK" w:eastAsia="方正小标宋_GBK" w:cs="方正小标宋_GBK"/>
          <w:color w:val="000000"/>
          <w:sz w:val="32"/>
          <w:szCs w:val="32"/>
        </w:rPr>
        <w:outlineLvl w:val="1"/>
      </w:pPr>
      <w:r/>
      <w:bookmarkStart w:id="186" w:name="OLE_LINK66"/>
      <w:r>
        <w:rPr>
          <w:rFonts w:hint="eastAsia" w:ascii="黑体" w:hAnsi="黑体" w:eastAsia="黑体" w:cs="黑体"/>
          <w:i/>
          <w:sz w:val="32"/>
          <w:szCs w:val="32"/>
          <w:u w:val="single"/>
        </w:rPr>
        <w:t xml:space="preserve">七、法人授权书</w:t>
      </w:r>
      <w:r/>
    </w:p>
    <w:p>
      <w:pPr>
        <w:pStyle w:val="721"/>
        <w:ind w:firstLine="480"/>
        <w:jc w:val="both"/>
        <w:spacing w:line="560" w:lineRule="exact"/>
        <w:rPr>
          <w:rFonts w:hint="eastAsia" w:asciiTheme="minorEastAsia" w:hAnsiTheme="minorEastAsia" w:cstheme="minorEastAsia"/>
        </w:rPr>
      </w:pPr>
      <w:r/>
      <w:bookmarkStart w:id="187" w:name="_格式3__银行出具的资信证明"/>
      <w:r/>
      <w:bookmarkStart w:id="188" w:name="_Hlt26955070"/>
      <w:r/>
      <w:bookmarkStart w:id="189" w:name="_Hlt26671380"/>
      <w:r>
        <w:rPr>
          <w:rFonts w:hint="eastAsia" w:asciiTheme="minorEastAsia" w:hAnsiTheme="minorEastAsia" w:cstheme="minorEastAsia"/>
        </w:rPr>
        <w:t xml:space="preserve">本授权书声明：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（供应商名称）授权</w:t>
      </w:r>
      <w:r>
        <w:rPr>
          <w:rFonts w:hint="eastAsia" w:asciiTheme="minorEastAsia" w:hAnsiTheme="minorEastAsia" w:cstheme="minorEastAsia"/>
          <w:u w:val="single"/>
        </w:rPr>
        <w:t xml:space="preserve">            </w:t>
      </w:r>
      <w:r>
        <w:rPr>
          <w:rFonts w:hint="eastAsia" w:asciiTheme="minorEastAsia" w:hAnsiTheme="minorEastAsia" w:cstheme="minorEastAsia"/>
        </w:rPr>
        <w:t xml:space="preserve">（被授权人的姓名）为我方就</w:t>
      </w:r>
      <w:r>
        <w:rPr>
          <w:rFonts w:hint="eastAsia" w:asciiTheme="minorEastAsia" w:hAnsiTheme="minorEastAsia" w:cstheme="minorEastAsia"/>
          <w:u w:val="single"/>
          <w:lang w:val="en-US" w:eastAsia="zh-CN"/>
        </w:rPr>
        <w:t xml:space="preserve">JSZC</w:t>
      </w:r>
      <w:r>
        <w:rPr>
          <w:rFonts w:hint="eastAsia" w:asciiTheme="minorEastAsia" w:hAnsiTheme="minorEastAsia" w:cstheme="minorEastAsia"/>
          <w:u w:val="single"/>
        </w:rPr>
        <w:t xml:space="preserve">-32090</w:t>
      </w:r>
      <w:r>
        <w:rPr>
          <w:rFonts w:hint="eastAsia" w:asciiTheme="minorEastAsia" w:hAnsiTheme="minorEastAsia" w:cstheme="minorEastAsia"/>
          <w:u w:val="single"/>
          <w:lang w:val="en-US" w:eastAsia="zh-CN"/>
        </w:rPr>
        <w:t xml:space="preserve">0</w:t>
      </w:r>
      <w:r>
        <w:rPr>
          <w:rFonts w:hint="eastAsia" w:asciiTheme="minorEastAsia" w:hAnsiTheme="minorEastAsia" w:cstheme="minorEastAsia"/>
          <w:u w:val="single"/>
        </w:rPr>
        <w:t xml:space="preserve">-</w:t>
      </w:r>
      <w:r>
        <w:rPr>
          <w:rFonts w:hint="eastAsia" w:asciiTheme="minorEastAsia" w:hAnsiTheme="minorEastAsia" w:cstheme="minorEastAsia"/>
          <w:u w:val="single"/>
          <w:lang w:val="en-US" w:eastAsia="zh-CN"/>
        </w:rPr>
        <w:t xml:space="preserve">YDZJ</w:t>
      </w:r>
      <w:r>
        <w:rPr>
          <w:rFonts w:hint="eastAsia" w:asciiTheme="minorEastAsia" w:hAnsiTheme="minorEastAsia" w:cstheme="minorEastAsia"/>
          <w:u w:val="single"/>
        </w:rPr>
        <w:t xml:space="preserve">-</w:t>
      </w:r>
      <w:r>
        <w:rPr>
          <w:rFonts w:hint="eastAsia" w:asciiTheme="minorEastAsia" w:hAnsiTheme="minorEastAsia" w:cstheme="minorEastAsia"/>
          <w:u w:val="single"/>
          <w:lang w:val="en-US" w:eastAsia="zh-CN"/>
        </w:rPr>
        <w:t xml:space="preserve">G</w:t>
      </w:r>
      <w:r>
        <w:rPr>
          <w:rFonts w:hint="eastAsia" w:asciiTheme="minorEastAsia" w:hAnsiTheme="minorEastAsia" w:cstheme="minorEastAsia"/>
          <w:u w:val="single"/>
        </w:rPr>
        <w:t xml:space="preserve">2026-000</w:t>
      </w:r>
      <w:r>
        <w:rPr>
          <w:rFonts w:hint="eastAsia" w:asciiTheme="minorEastAsia" w:hAnsiTheme="minorEastAsia" w:cstheme="minorEastAsia"/>
          <w:u w:val="single"/>
          <w:lang w:val="en-US" w:eastAsia="zh-CN"/>
        </w:rPr>
        <w:t xml:space="preserve">4</w:t>
      </w:r>
      <w:r>
        <w:rPr>
          <w:rFonts w:hint="eastAsia" w:asciiTheme="minorEastAsia" w:hAnsiTheme="minorEastAsia" w:cstheme="minorEastAsia"/>
          <w:u w:val="single"/>
          <w:lang w:eastAsia="zh-CN"/>
        </w:rPr>
        <w:t xml:space="preserve"> </w:t>
      </w:r>
      <w:r>
        <w:rPr>
          <w:rFonts w:hint="eastAsia" w:asciiTheme="minorEastAsia" w:hAnsiTheme="minorEastAsia" w:cstheme="minorEastAsia"/>
        </w:rPr>
        <w:t xml:space="preserve">号</w:t>
      </w:r>
      <w:r>
        <w:rPr>
          <w:rFonts w:hint="eastAsia" w:asciiTheme="minorEastAsia" w:hAnsiTheme="minorEastAsia" w:cstheme="minorEastAsia"/>
          <w:u w:val="single"/>
          <w:lang w:eastAsia="zh-CN"/>
        </w:rPr>
        <w:t xml:space="preserve">新四军纪念馆可移动文物数字化保护项目</w:t>
      </w:r>
      <w:r>
        <w:rPr>
          <w:rFonts w:hint="eastAsia" w:asciiTheme="minorEastAsia" w:hAnsiTheme="minorEastAsia" w:cstheme="minorEastAsia"/>
        </w:rPr>
        <w:t xml:space="preserve">采购活动的合法代理人，以本单位名义全权处理一切与该项目采购有关的事务。</w:t>
      </w:r>
      <w:r/>
    </w:p>
    <w:p>
      <w:pPr>
        <w:pStyle w:val="721"/>
        <w:ind w:firstLine="480"/>
        <w:jc w:val="both"/>
        <w:spacing w:line="560" w:lineRule="exact"/>
        <w:rPr>
          <w:rFonts w:hint="eastAsia" w:asciiTheme="minorEastAsia" w:hAnsiTheme="minorEastAsia" w:cstheme="minorEastAsia"/>
        </w:rPr>
      </w:pPr>
      <w:r>
        <w:rPr>
          <w:rFonts w:hint="eastAsia" w:asciiTheme="minorEastAsia" w:hAnsiTheme="minorEastAsia" w:cstheme="minorEastAsia"/>
        </w:rPr>
        <w:t xml:space="preserve">本授权书于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年</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月</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日起生效，特此声明。</w:t>
      </w:r>
      <w:r/>
    </w:p>
    <w:p>
      <w:pPr>
        <w:pStyle w:val="721"/>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被授权人身份证号码：</w:t>
      </w:r>
      <w:r>
        <w:rPr>
          <w:rFonts w:hint="eastAsia" w:asciiTheme="minorEastAsia" w:hAnsiTheme="minorEastAsia" w:cstheme="minorEastAsia"/>
          <w:u w:val="single"/>
        </w:rPr>
        <w:t xml:space="preserve">                </w:t>
      </w:r>
      <w:r/>
    </w:p>
    <w:p>
      <w:pPr>
        <w:pStyle w:val="721"/>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被授权人联系电话：（手机）</w:t>
      </w:r>
      <w:r>
        <w:rPr>
          <w:rFonts w:hint="eastAsia" w:asciiTheme="minorEastAsia" w:hAnsiTheme="minorEastAsia" w:cstheme="minorEastAsia"/>
          <w:u w:val="single"/>
        </w:rPr>
        <w:t xml:space="preserve">          </w:t>
      </w:r>
      <w:r/>
    </w:p>
    <w:p>
      <w:pPr>
        <w:pStyle w:val="721"/>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授权单位名称：</w:t>
      </w:r>
      <w:r>
        <w:rPr>
          <w:rFonts w:hint="eastAsia" w:asciiTheme="minorEastAsia" w:hAnsiTheme="minorEastAsia" w:cstheme="minorEastAsia"/>
          <w:u w:val="single"/>
        </w:rPr>
        <w:t xml:space="preserve">    （加盖CA电子公章）    </w:t>
      </w:r>
      <w:r/>
    </w:p>
    <w:p>
      <w:pPr>
        <w:pStyle w:val="721"/>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单位地址：</w:t>
      </w:r>
      <w:r>
        <w:rPr>
          <w:rFonts w:hint="eastAsia" w:asciiTheme="minorEastAsia" w:hAnsiTheme="minorEastAsia" w:cstheme="minorEastAsia"/>
          <w:u w:val="single"/>
        </w:rPr>
        <w:t xml:space="preserve">                          </w:t>
      </w:r>
      <w:r/>
    </w:p>
    <w:p>
      <w:pPr>
        <w:pStyle w:val="721"/>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日    期：</w:t>
      </w:r>
      <w:r>
        <w:rPr>
          <w:rFonts w:hint="eastAsia" w:asciiTheme="minorEastAsia" w:hAnsiTheme="minorEastAsia" w:cstheme="minorEastAsia"/>
          <w:u w:val="single"/>
        </w:rPr>
        <w:t xml:space="preserve">                             </w:t>
      </w:r>
      <w:bookmarkEnd w:id="186"/>
      <w:r/>
      <w:r/>
    </w:p>
    <w:p>
      <w:pPr>
        <w:pStyle w:val="721"/>
        <w:ind w:firstLine="480"/>
        <w:jc w:val="both"/>
        <w:spacing w:line="560" w:lineRule="exact"/>
        <w:rPr>
          <w:rFonts w:hint="eastAsia" w:asciiTheme="minorEastAsia" w:hAnsiTheme="minorEastAsia" w:cstheme="minorEastAsia"/>
        </w:rPr>
      </w:pPr>
      <w:r>
        <w:rPr>
          <w:rFonts w:hint="eastAsia" w:asciiTheme="minorEastAsia" w:hAnsiTheme="minorEastAsia" w:cstheme="minorEastAsia"/>
        </w:rPr>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pStyle w:val="721"/>
        <w:ind w:firstLine="0"/>
        <w:jc w:val="center"/>
        <w:spacing w:beforeAutospacing="0" w:afterAutospacing="0" w:line="500" w:lineRule="exact"/>
        <w:widowControl w:val="off"/>
        <w:rPr>
          <w:rFonts w:hint="eastAsia" w:ascii="黑体" w:hAnsi="黑体" w:eastAsia="黑体" w:cs="黑体"/>
          <w:i/>
          <w:sz w:val="32"/>
          <w:szCs w:val="32"/>
          <w:u w:val="single"/>
        </w:rPr>
        <w:outlineLvl w:val="1"/>
      </w:pPr>
      <w:r/>
      <w:bookmarkStart w:id="190" w:name="OLE_LINK68"/>
      <w:r>
        <w:rPr>
          <w:rFonts w:hint="eastAsia" w:ascii="黑体" w:hAnsi="黑体" w:eastAsia="黑体" w:cs="黑体"/>
          <w:i/>
          <w:sz w:val="32"/>
          <w:szCs w:val="32"/>
          <w:u w:val="single"/>
        </w:rPr>
        <w:t xml:space="preserve">八、投标函</w:t>
      </w:r>
      <w:r/>
    </w:p>
    <w:p>
      <w:pPr>
        <w:pStyle w:val="721"/>
        <w:ind w:firstLine="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致：新四军纪念馆</w:t>
      </w:r>
      <w:bookmarkEnd w:id="190"/>
      <w:r/>
      <w:r/>
    </w:p>
    <w:p>
      <w:pPr>
        <w:ind w:firstLine="480"/>
        <w:jc w:val="left"/>
        <w:spacing w:line="50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eastAsia="宋体" w:cs="宋体"/>
          <w:sz w:val="24"/>
          <w:szCs w:val="20"/>
          <w:highlight w:val="none"/>
          <w:u w:val="single"/>
          <w:lang w:val="en-US" w:eastAsia="zh-CN"/>
        </w:rPr>
        <w:t xml:space="preserve">JSZC</w:t>
      </w:r>
      <w:r>
        <w:rPr>
          <w:rFonts w:hint="eastAsia" w:ascii="宋体" w:hAnsi="宋体" w:eastAsia="宋体" w:cs="宋体"/>
          <w:sz w:val="24"/>
          <w:szCs w:val="20"/>
          <w:highlight w:val="none"/>
          <w:u w:val="single"/>
          <w:lang w:eastAsia="zh-CN"/>
        </w:rPr>
        <w:t xml:space="preserve">-32090</w:t>
      </w:r>
      <w:r>
        <w:rPr>
          <w:rFonts w:hint="eastAsia" w:ascii="宋体" w:hAnsi="宋体" w:eastAsia="宋体" w:cs="宋体"/>
          <w:sz w:val="24"/>
          <w:szCs w:val="20"/>
          <w:highlight w:val="none"/>
          <w:u w:val="single"/>
          <w:lang w:val="en-US" w:eastAsia="zh-CN"/>
        </w:rPr>
        <w:t xml:space="preserve">0</w:t>
      </w:r>
      <w:r>
        <w:rPr>
          <w:rFonts w:hint="eastAsia" w:ascii="宋体" w:hAnsi="宋体" w:eastAsia="宋体" w:cs="宋体"/>
          <w:sz w:val="24"/>
          <w:szCs w:val="20"/>
          <w:highlight w:val="none"/>
          <w:u w:val="single"/>
          <w:lang w:eastAsia="zh-CN"/>
        </w:rPr>
        <w:t xml:space="preserve">-</w:t>
      </w:r>
      <w:r>
        <w:rPr>
          <w:rFonts w:hint="eastAsia" w:ascii="宋体" w:hAnsi="宋体" w:eastAsia="宋体" w:cs="宋体"/>
          <w:sz w:val="24"/>
          <w:szCs w:val="20"/>
          <w:highlight w:val="none"/>
          <w:u w:val="single"/>
          <w:lang w:val="en-US" w:eastAsia="zh-CN"/>
        </w:rPr>
        <w:t xml:space="preserve">YDZJ</w:t>
      </w:r>
      <w:r>
        <w:rPr>
          <w:rFonts w:hint="eastAsia" w:ascii="宋体" w:hAnsi="宋体" w:eastAsia="宋体" w:cs="宋体"/>
          <w:sz w:val="24"/>
          <w:szCs w:val="20"/>
          <w:highlight w:val="none"/>
          <w:u w:val="single"/>
          <w:lang w:eastAsia="zh-CN"/>
        </w:rPr>
        <w:t xml:space="preserve">-</w:t>
      </w:r>
      <w:r>
        <w:rPr>
          <w:rFonts w:hint="eastAsia" w:ascii="宋体" w:hAnsi="宋体" w:eastAsia="宋体" w:cs="宋体"/>
          <w:sz w:val="24"/>
          <w:szCs w:val="20"/>
          <w:highlight w:val="none"/>
          <w:u w:val="single"/>
          <w:lang w:val="en-US" w:eastAsia="zh-CN"/>
        </w:rPr>
        <w:t xml:space="preserve">G</w:t>
      </w:r>
      <w:r>
        <w:rPr>
          <w:rFonts w:hint="eastAsia" w:ascii="宋体" w:hAnsi="宋体" w:eastAsia="宋体" w:cs="宋体"/>
          <w:sz w:val="24"/>
          <w:szCs w:val="20"/>
          <w:highlight w:val="none"/>
          <w:u w:val="single"/>
          <w:lang w:eastAsia="zh-CN"/>
        </w:rPr>
        <w:t xml:space="preserve">2026-000</w:t>
      </w:r>
      <w:r>
        <w:rPr>
          <w:rFonts w:hint="eastAsia" w:ascii="宋体" w:hAnsi="宋体" w:eastAsia="宋体" w:cs="宋体"/>
          <w:sz w:val="24"/>
          <w:szCs w:val="20"/>
          <w:highlight w:val="none"/>
          <w:u w:val="single"/>
          <w:lang w:val="en-US" w:eastAsia="zh-CN"/>
        </w:rPr>
        <w:t xml:space="preserve">4</w:t>
      </w:r>
      <w:r>
        <w:rPr>
          <w:rFonts w:hint="eastAsia" w:ascii="宋体" w:hAnsi="宋体" w:eastAsia="宋体" w:cs="宋体"/>
          <w:sz w:val="24"/>
          <w:szCs w:val="20"/>
          <w:u w:val="single"/>
          <w:lang w:eastAsia="zh-CN"/>
        </w:rPr>
        <w:t xml:space="preserve"> </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hint="eastAsia"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hint="eastAsia"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0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sz w:val="24"/>
        </w:rPr>
      </w:pPr>
      <w:r>
        <w:rPr>
          <w:rFonts w:hint="eastAsia" w:ascii="宋体" w:hAnsi="宋体" w:cs="宋体"/>
          <w:sz w:val="24"/>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cs="宋体"/>
          <w:sz w:val="24"/>
        </w:rPr>
      </w:pPr>
      <w:r>
        <w:rPr>
          <w:rFonts w:hint="eastAsia" w:ascii="宋体" w:hAnsi="宋体" w:cs="宋体"/>
          <w:sz w:val="24"/>
        </w:rPr>
        <w:t xml:space="preserve">7.与本投标有关的正式通讯地址为：</w:t>
      </w:r>
      <w:r/>
    </w:p>
    <w:p>
      <w:pPr>
        <w:ind w:firstLine="480"/>
        <w:jc w:val="left"/>
        <w:spacing w:line="500" w:lineRule="exact"/>
        <w:rPr>
          <w:rFonts w:hint="eastAsia" w:ascii="宋体" w:hAnsi="宋体" w:cs="宋体"/>
          <w:sz w:val="24"/>
        </w:rPr>
      </w:pPr>
      <w:r>
        <w:rPr>
          <w:rFonts w:hint="eastAsia" w:ascii="宋体" w:hAnsi="宋体" w:cs="宋体"/>
          <w:sz w:val="24"/>
        </w:rPr>
        <w:t xml:space="preserve">地     址：</w:t>
      </w:r>
      <w:r/>
    </w:p>
    <w:p>
      <w:pPr>
        <w:ind w:firstLine="480"/>
        <w:jc w:val="left"/>
        <w:spacing w:line="500" w:lineRule="exact"/>
        <w:rPr>
          <w:rFonts w:hint="eastAsia" w:ascii="宋体" w:hAnsi="宋体" w:cs="宋体"/>
          <w:sz w:val="24"/>
        </w:rPr>
      </w:pPr>
      <w:r>
        <w:rPr>
          <w:rFonts w:hint="eastAsia" w:ascii="宋体" w:hAnsi="宋体" w:cs="宋体"/>
          <w:sz w:val="24"/>
        </w:rPr>
        <w:t xml:space="preserve">邮    编：</w:t>
      </w:r>
      <w:r/>
    </w:p>
    <w:p>
      <w:pPr>
        <w:ind w:firstLine="480"/>
        <w:jc w:val="left"/>
        <w:spacing w:line="500" w:lineRule="exact"/>
        <w:rPr>
          <w:rFonts w:hint="eastAsia" w:ascii="宋体" w:hAnsi="宋体" w:cs="宋体"/>
          <w:sz w:val="24"/>
        </w:rPr>
      </w:pPr>
      <w:r>
        <w:rPr>
          <w:rFonts w:hint="eastAsia" w:ascii="宋体" w:hAnsi="宋体" w:cs="宋体"/>
          <w:sz w:val="24"/>
        </w:rPr>
        <w:t xml:space="preserve">电     话：</w:t>
      </w:r>
      <w:r/>
    </w:p>
    <w:p>
      <w:pPr>
        <w:ind w:firstLine="480"/>
        <w:jc w:val="left"/>
        <w:spacing w:line="500" w:lineRule="exact"/>
        <w:rPr>
          <w:rFonts w:hint="eastAsia" w:ascii="宋体" w:hAnsi="宋体" w:cs="宋体"/>
          <w:sz w:val="24"/>
        </w:rPr>
      </w:pPr>
      <w:r>
        <w:rPr>
          <w:rFonts w:hint="eastAsia" w:ascii="宋体" w:hAnsi="宋体" w:cs="宋体"/>
          <w:sz w:val="24"/>
        </w:rPr>
        <w:t xml:space="preserve">传     真：</w:t>
      </w:r>
      <w:r/>
    </w:p>
    <w:p>
      <w:pPr>
        <w:ind w:firstLine="480"/>
        <w:jc w:val="left"/>
        <w:spacing w:line="50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00" w:lineRule="exact"/>
        <w:rPr>
          <w:rFonts w:hint="eastAsia"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pStyle w:val="721"/>
        <w:ind w:firstLine="0"/>
        <w:jc w:val="center"/>
        <w:spacing w:beforeAutospacing="0" w:afterAutospacing="0" w:line="500" w:lineRule="exact"/>
        <w:widowControl w:val="off"/>
        <w:rPr>
          <w:rFonts w:ascii="方正小标宋_GBK" w:hAnsi="方正小标宋_GBK" w:eastAsia="方正小标宋_GBK" w:cs="方正小标宋_GBK"/>
          <w:color w:val="000000"/>
          <w:sz w:val="32"/>
          <w:szCs w:val="32"/>
        </w:rPr>
        <w:outlineLvl w:val="1"/>
      </w:pPr>
      <w:r/>
      <w:bookmarkStart w:id="191" w:name="OLE_LINK69"/>
      <w:r/>
      <w:bookmarkStart w:id="192" w:name="OLE_LINK70"/>
      <w:r>
        <w:rPr>
          <w:rFonts w:hint="eastAsia" w:ascii="黑体" w:hAnsi="黑体" w:eastAsia="黑体" w:cs="黑体"/>
          <w:i/>
          <w:sz w:val="32"/>
          <w:szCs w:val="32"/>
          <w:u w:val="single"/>
        </w:rPr>
        <w:t xml:space="preserve">九、中小企业声明函（货物）</w:t>
      </w:r>
      <w:r/>
    </w:p>
    <w:p>
      <w:pPr>
        <w:pStyle w:val="700"/>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lang w:eastAsia="zh-CN"/>
        </w:rPr>
        <w:t xml:space="preserve">江苏盐渎工程咨询有限公司 </w:t>
      </w:r>
      <w:r>
        <w:rPr>
          <w:rFonts w:hint="eastAsia" w:ascii="宋体" w:hAnsi="宋体" w:eastAsia="宋体" w:cs="宋体"/>
          <w:sz w:val="24"/>
        </w:rPr>
        <w:t xml:space="preserve">组织的</w:t>
      </w:r>
      <w:r>
        <w:rPr>
          <w:rFonts w:hint="eastAsia" w:ascii="宋体" w:hAnsi="宋体" w:eastAsia="宋体" w:cs="宋体"/>
          <w:sz w:val="24"/>
          <w:u w:val="single"/>
        </w:rPr>
        <w:t xml:space="preserve">新四军纪念馆</w:t>
      </w:r>
      <w:r>
        <w:rPr>
          <w:rFonts w:hint="eastAsia" w:ascii="宋体" w:hAnsi="宋体" w:eastAsia="宋体" w:cs="宋体"/>
          <w:sz w:val="24"/>
        </w:rPr>
        <w:t xml:space="preserve">，采购编号为</w:t>
      </w:r>
      <w:r>
        <w:rPr>
          <w:rFonts w:hint="eastAsia" w:ascii="宋体" w:hAnsi="宋体" w:eastAsia="宋体" w:cs="宋体"/>
          <w:sz w:val="24"/>
          <w:u w:val="single"/>
          <w:lang w:val="en-US" w:eastAsia="zh-CN"/>
        </w:rPr>
        <w:t xml:space="preserve">JSZC</w:t>
      </w:r>
      <w:r>
        <w:rPr>
          <w:rFonts w:hint="eastAsia" w:ascii="宋体" w:hAnsi="宋体" w:eastAsia="宋体" w:cs="宋体"/>
          <w:sz w:val="24"/>
          <w:u w:val="single"/>
        </w:rPr>
        <w:t xml:space="preserve">-32090</w:t>
      </w:r>
      <w:r>
        <w:rPr>
          <w:rFonts w:hint="eastAsia" w:ascii="宋体" w:hAnsi="宋体" w:eastAsia="宋体" w:cs="宋体"/>
          <w:sz w:val="24"/>
          <w:u w:val="single"/>
          <w:lang w:val="en-US" w:eastAsia="zh-CN"/>
        </w:rPr>
        <w:t xml:space="preserve">0</w:t>
      </w:r>
      <w:r>
        <w:rPr>
          <w:rFonts w:hint="eastAsia" w:ascii="宋体" w:hAnsi="宋体" w:eastAsia="宋体" w:cs="宋体"/>
          <w:sz w:val="24"/>
          <w:u w:val="single"/>
        </w:rPr>
        <w:t xml:space="preserve">-</w:t>
      </w:r>
      <w:r>
        <w:rPr>
          <w:rFonts w:hint="eastAsia" w:ascii="宋体" w:hAnsi="宋体" w:eastAsia="宋体" w:cs="宋体"/>
          <w:sz w:val="24"/>
          <w:u w:val="single"/>
          <w:lang w:val="en-US" w:eastAsia="zh-CN"/>
        </w:rPr>
        <w:t xml:space="preserve">YDZJ</w:t>
      </w:r>
      <w:r>
        <w:rPr>
          <w:rFonts w:hint="eastAsia" w:ascii="宋体" w:hAnsi="宋体" w:eastAsia="宋体" w:cs="宋体"/>
          <w:sz w:val="24"/>
          <w:u w:val="single"/>
        </w:rPr>
        <w:t xml:space="preserve">-</w:t>
      </w:r>
      <w:r>
        <w:rPr>
          <w:rFonts w:hint="eastAsia" w:ascii="宋体" w:hAnsi="宋体" w:eastAsia="宋体" w:cs="宋体"/>
          <w:sz w:val="24"/>
          <w:u w:val="single"/>
          <w:lang w:val="en-US" w:eastAsia="zh-CN"/>
        </w:rPr>
        <w:t xml:space="preserve">G</w:t>
      </w:r>
      <w:r>
        <w:rPr>
          <w:rFonts w:hint="eastAsia" w:ascii="宋体" w:hAnsi="宋体" w:eastAsia="宋体" w:cs="宋体"/>
          <w:sz w:val="24"/>
          <w:u w:val="single"/>
        </w:rPr>
        <w:t xml:space="preserve">2026-000</w:t>
      </w:r>
      <w:r>
        <w:rPr>
          <w:rFonts w:hint="eastAsia" w:ascii="宋体" w:hAnsi="宋体" w:eastAsia="宋体" w:cs="宋体"/>
          <w:sz w:val="24"/>
          <w:u w:val="single"/>
          <w:lang w:val="en-US" w:eastAsia="zh-CN"/>
        </w:rPr>
        <w:t xml:space="preserve">4</w:t>
      </w:r>
      <w:r>
        <w:rPr>
          <w:rFonts w:hint="eastAsia" w:ascii="宋体" w:hAnsi="宋体" w:eastAsia="宋体" w:cs="宋体"/>
          <w:sz w:val="24"/>
          <w:u w:val="single"/>
          <w:lang w:eastAsia="zh-CN"/>
        </w:rPr>
        <w:t xml:space="preserve"> </w:t>
      </w:r>
      <w:r>
        <w:rPr>
          <w:rFonts w:hint="eastAsia" w:ascii="宋体" w:hAnsi="宋体" w:eastAsia="宋体" w:cs="宋体"/>
          <w:sz w:val="24"/>
        </w:rPr>
        <w:t xml:space="preserve">的</w:t>
      </w:r>
      <w:r>
        <w:rPr>
          <w:rFonts w:hint="eastAsia" w:ascii="宋体" w:hAnsi="宋体" w:eastAsia="宋体" w:cs="宋体"/>
          <w:sz w:val="24"/>
          <w:u w:val="single"/>
          <w:lang w:eastAsia="zh-CN"/>
        </w:rPr>
        <w:t xml:space="preserve">新四军纪念馆可移动文物数字化保护项目</w:t>
      </w:r>
      <w:r>
        <w:rPr>
          <w:rFonts w:hint="eastAsia" w:ascii="宋体" w:hAnsi="宋体" w:eastAsia="宋体" w:cs="宋体"/>
          <w:sz w:val="24"/>
          <w:u w:val="single"/>
        </w:rPr>
        <w:t xml:space="preserve"> </w:t>
      </w:r>
      <w:r>
        <w:rPr>
          <w:rFonts w:hint="eastAsia" w:ascii="宋体" w:hAnsi="宋体" w:eastAsia="宋体" w:cs="宋体"/>
          <w:sz w:val="24"/>
        </w:rPr>
        <w:t xml:space="preserve">的采购活动，提供的货物全部由符合政策要求的中小企业制造。相关企业（含联合体中的中小企业、签订分包意向协议的中小企业）的具体情况如下：</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pStyle w:val="721"/>
        <w:ind w:right="720"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 </w:t>
      </w:r>
      <w:r/>
    </w:p>
    <w:p>
      <w:pPr>
        <w:pStyle w:val="721"/>
        <w:ind w:right="180" w:firstLine="552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企业名称（加盖CA电子公章）：</w:t>
      </w:r>
      <w:r/>
    </w:p>
    <w:p>
      <w:pPr>
        <w:pStyle w:val="721"/>
        <w:ind w:right="480" w:firstLine="552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日  期：</w:t>
      </w:r>
      <w:r/>
    </w:p>
    <w:p>
      <w:pPr>
        <w:pStyle w:val="721"/>
        <w:ind w:firstLine="480"/>
        <w:jc w:val="both"/>
        <w:spacing w:beforeAutospacing="0" w:afterAutospacing="0" w:line="500" w:lineRule="exact"/>
        <w:widowControl w:val="off"/>
        <w:rPr>
          <w:rFonts w:hint="eastAsia" w:ascii="宋体" w:hAnsi="宋体" w:eastAsia="宋体" w:cs="宋体"/>
          <w:color w:val="ff0000"/>
        </w:rPr>
      </w:pPr>
      <w:r>
        <w:rPr>
          <w:rFonts w:hint="eastAsia" w:ascii="宋体" w:hAnsi="宋体" w:eastAsia="宋体" w:cs="宋体"/>
          <w:color w:val="ff0000"/>
        </w:rPr>
        <w:t xml:space="preserve"> </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21"/>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721"/>
        <w:ind w:firstLine="240"/>
        <w:jc w:val="both"/>
        <w:spacing w:beforeAutospacing="0" w:afterAutospacing="0" w:line="500" w:lineRule="exact"/>
      </w:pPr>
      <w:r/>
      <w:r/>
    </w:p>
    <w:p>
      <w:pPr>
        <w:pStyle w:val="721"/>
        <w:ind w:firstLine="0"/>
        <w:jc w:val="center"/>
        <w:spacing w:beforeAutospacing="0" w:afterAutospacing="0" w:line="500" w:lineRule="exact"/>
        <w:widowControl w:val="off"/>
        <w:rPr>
          <w:rFonts w:hint="eastAsia" w:ascii="黑体" w:hAnsi="黑体" w:eastAsia="黑体" w:cs="黑体"/>
          <w:i/>
          <w:sz w:val="32"/>
          <w:szCs w:val="32"/>
          <w:u w:val="single"/>
        </w:rPr>
        <w:outlineLvl w:val="1"/>
      </w:pPr>
      <w:r>
        <w:rPr>
          <w:rFonts w:hint="eastAsia" w:ascii="黑体" w:hAnsi="宋体" w:eastAsia="黑体" w:cs="黑体"/>
          <w:b/>
          <w:sz w:val="32"/>
          <w:szCs w:val="32"/>
        </w:rPr>
        <w:br w:type="page" w:clear="all"/>
      </w:r>
      <w:bookmarkEnd w:id="191"/>
      <w:r>
        <w:rPr>
          <w:rFonts w:hint="eastAsia" w:ascii="黑体" w:hAnsi="黑体" w:eastAsia="黑体" w:cs="黑体"/>
          <w:i/>
          <w:sz w:val="32"/>
          <w:szCs w:val="32"/>
          <w:u w:val="single"/>
        </w:rPr>
        <w:t xml:space="preserve"> 十、残疾人福利性单位声明函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（采购单位）</w:t>
      </w:r>
      <w:r>
        <w:rPr>
          <w:rFonts w:hint="eastAsia" w:ascii="宋体" w:hAnsi="宋体" w:cs="宋体"/>
          <w:sz w:val="24"/>
        </w:rPr>
        <w:t xml:space="preserve">的采购文件编号为</w:t>
      </w:r>
      <w:r>
        <w:rPr>
          <w:rFonts w:hint="eastAsia" w:ascii="宋体" w:hAnsi="宋体" w:eastAsia="宋体" w:cs="宋体"/>
          <w:sz w:val="24"/>
          <w:szCs w:val="20"/>
          <w:u w:val="single"/>
        </w:rPr>
        <w:t xml:space="preserve">（项目编号）</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采购活动由本单位提供服务。</w:t>
      </w:r>
      <w:r/>
    </w:p>
    <w:p>
      <w:pPr>
        <w:ind w:firstLine="480"/>
        <w:jc w:val="left"/>
        <w:spacing w:line="5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jc w:val="left"/>
        <w:spacing w:line="500" w:lineRule="exact"/>
        <w:rPr>
          <w:rFonts w:hint="eastAsia" w:ascii="宋体" w:hAnsi="宋体" w:cs="宋体"/>
          <w:sz w:val="24"/>
        </w:rPr>
      </w:pPr>
      <w:r>
        <w:rPr>
          <w:rFonts w:hint="eastAsia" w:ascii="宋体" w:hAnsi="宋体" w:cs="宋体"/>
          <w:sz w:val="24"/>
        </w:rPr>
      </w:r>
      <w:r/>
    </w:p>
    <w:p>
      <w:pPr>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right="480" w:firstLine="480"/>
        <w:jc w:val="right"/>
        <w:spacing w:line="520" w:lineRule="exact"/>
        <w:rPr>
          <w:rFonts w:hint="eastAsia" w:ascii="宋体" w:hAnsi="宋体" w:cs="宋体"/>
          <w:sz w:val="24"/>
        </w:rPr>
      </w:pPr>
      <w:r>
        <w:rPr>
          <w:rFonts w:hint="eastAsia" w:ascii="宋体" w:hAnsi="宋体" w:cs="宋体"/>
          <w:sz w:val="24"/>
        </w:rPr>
      </w:r>
      <w:r/>
    </w:p>
    <w:p>
      <w:pPr>
        <w:ind w:right="480" w:firstLine="480"/>
        <w:jc w:val="center"/>
        <w:spacing w:line="500" w:lineRule="exact"/>
        <w:rPr>
          <w:rFonts w:hint="eastAsia" w:ascii="宋体" w:hAnsi="宋体" w:cs="宋体"/>
          <w:sz w:val="24"/>
        </w:rPr>
      </w:pPr>
      <w:r>
        <w:rPr>
          <w:rFonts w:hint="eastAsia" w:ascii="宋体" w:hAnsi="宋体" w:cs="宋体"/>
          <w:sz w:val="24"/>
        </w:rPr>
        <w:t xml:space="preserve">                    企业名称（加盖CA电子公章）：        </w:t>
      </w:r>
      <w:r/>
    </w:p>
    <w:p>
      <w:pPr>
        <w:pStyle w:val="721"/>
        <w:jc w:val="center"/>
        <w:spacing w:beforeAutospacing="0" w:afterAutospacing="0" w:line="500" w:lineRule="exact"/>
      </w:pPr>
      <w:r>
        <w:rPr>
          <w:rFonts w:hint="eastAsia" w:ascii="宋体" w:hAnsi="宋体" w:cs="宋体"/>
        </w:rPr>
        <w:t xml:space="preserve">日  期：   </w:t>
      </w:r>
      <w:r>
        <w:t xml:space="preserve"> </w:t>
      </w:r>
      <w:r/>
    </w:p>
    <w:p>
      <w:r>
        <w:br w:type="page" w:clear="all"/>
      </w:r>
      <w:r/>
    </w:p>
    <w:p>
      <w:pPr>
        <w:pStyle w:val="721"/>
        <w:jc w:val="center"/>
        <w:spacing w:beforeAutospacing="0" w:afterAutospacing="0"/>
        <w:widowControl w:val="off"/>
        <w:rPr>
          <w:color w:val="ff0000"/>
        </w:rPr>
        <w:outlineLvl w:val="1"/>
      </w:pPr>
      <w:r>
        <w:rPr>
          <w:rFonts w:ascii="黑体" w:hAnsi="宋体" w:eastAsia="黑体" w:cs="黑体"/>
          <w:b/>
          <w:bCs/>
          <w:color w:val="ff0000"/>
          <w:sz w:val="32"/>
          <w:szCs w:val="32"/>
        </w:rPr>
        <w:t xml:space="preserve">十一、关于符合本国产品标准的声明函</w:t>
      </w:r>
      <w:r/>
    </w:p>
    <w:p>
      <w:pPr>
        <w:pStyle w:val="721"/>
        <w:ind w:firstLine="420"/>
        <w:jc w:val="both"/>
        <w:spacing w:beforeAutospacing="0" w:afterAutospacing="0"/>
        <w:widowControl w:val="off"/>
        <w:rPr>
          <w:color w:val="ff0000"/>
        </w:rPr>
      </w:pPr>
      <w:r>
        <w:rPr>
          <w:rFonts w:ascii="Arial" w:hAnsi="Arial" w:cs="Arial"/>
          <w:color w:val="ff0000"/>
        </w:rPr>
        <w:t xml:space="preserve"> </w:t>
      </w:r>
      <w:bookmarkEnd w:id="192"/>
      <w:r/>
      <w:r/>
    </w:p>
    <w:p>
      <w:pPr>
        <w:pStyle w:val="721"/>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93" w:name="OLE_LINK86"/>
      <w:r/>
      <w:bookmarkStart w:id="194" w:name="OLE_LINK87"/>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721"/>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721"/>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721"/>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721"/>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721"/>
        <w:ind w:left="0" w:right="480" w:firstLine="37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721"/>
        <w:jc w:val="center"/>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w:t>
      </w:r>
      <w:r/>
    </w:p>
    <w:p>
      <w:pPr>
        <w:pStyle w:val="721"/>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721"/>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721"/>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721"/>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721"/>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721"/>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721"/>
        <w:jc w:val="both"/>
        <w:keepLines w:val="0"/>
        <w:keepNext w:val="0"/>
        <w:pageBreakBefore w:val="0"/>
        <w:spacing w:beforeAutospacing="0" w:afterAutospacing="0" w:line="400" w:lineRule="exact"/>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pStyle w:val="721"/>
        <w:jc w:val="both"/>
        <w:keepLines w:val="0"/>
        <w:keepNext w:val="0"/>
        <w:pageBreakBefore w:val="0"/>
        <w:spacing w:beforeAutospacing="0" w:afterAutospacing="0" w:line="400" w:lineRule="exact"/>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21"/>
        <w:jc w:val="both"/>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u w:val="single"/>
        </w:rPr>
      </w:pPr>
      <w:r>
        <w:rPr>
          <w:rFonts w:hint="eastAsia" w:ascii="宋体" w:hAnsi="宋体" w:eastAsia="宋体" w:cs="宋体"/>
          <w:b/>
          <w:bCs/>
          <w:color w:val="ff0000"/>
          <w:sz w:val="24"/>
          <w:szCs w:val="24"/>
          <w:u w:val="single"/>
        </w:rPr>
      </w:r>
      <w:r/>
    </w:p>
    <w:p>
      <w:pPr>
        <w:rPr>
          <w:rFonts w:hint="eastAsia" w:ascii="宋体" w:hAnsi="宋体" w:eastAsia="宋体" w:cs="宋体"/>
          <w:b/>
          <w:bCs/>
          <w:color w:val="ff0000"/>
          <w:sz w:val="24"/>
        </w:rPr>
      </w:pPr>
      <w:r>
        <w:rPr>
          <w:rFonts w:hint="eastAsia" w:ascii="宋体" w:hAnsi="宋体" w:eastAsia="宋体" w:cs="宋体"/>
          <w:b/>
          <w:bCs/>
          <w:color w:val="ff0000"/>
          <w:sz w:val="24"/>
        </w:rPr>
        <w:br w:type="page" w:clear="all"/>
      </w:r>
      <w:r/>
    </w:p>
    <w:p>
      <w:pPr>
        <w:pStyle w:val="721"/>
        <w:ind w:firstLine="0"/>
        <w:jc w:val="center"/>
        <w:spacing w:beforeAutospacing="0" w:afterAutospacing="0" w:line="460" w:lineRule="exact"/>
        <w:widowControl w:val="off"/>
        <w:rPr>
          <w:rFonts w:hint="eastAsia" w:ascii="黑体" w:hAnsi="黑体" w:eastAsia="黑体" w:cs="黑体"/>
          <w:i/>
          <w:sz w:val="32"/>
          <w:szCs w:val="32"/>
          <w:u w:val="single"/>
        </w:rPr>
        <w:outlineLvl w:val="1"/>
      </w:pPr>
      <w:r>
        <w:rPr>
          <w:rFonts w:hint="eastAsia" w:ascii="黑体" w:hAnsi="黑体" w:eastAsia="黑体" w:cs="黑体"/>
          <w:iCs/>
          <w:sz w:val="32"/>
          <w:szCs w:val="32"/>
        </w:rPr>
        <w:t xml:space="preserve">十二、</w:t>
      </w:r>
      <w:bookmarkEnd w:id="193"/>
      <w:r/>
      <w:bookmarkEnd w:id="194"/>
      <w:r/>
      <w:bookmarkStart w:id="195" w:name="OLE_LINK71"/>
      <w:r>
        <w:rPr>
          <w:rFonts w:hint="eastAsia" w:ascii="黑体" w:hAnsi="黑体" w:eastAsia="黑体" w:cs="黑体"/>
          <w:iCs/>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Style w:val="69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产品</w:t>
            </w:r>
            <w:r/>
          </w:p>
          <w:p>
            <w:pPr>
              <w:pStyle w:val="721"/>
              <w:ind w:firstLine="0"/>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ind w:firstLine="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ind w:firstLine="0"/>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ind w:firstLine="0"/>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ind w:firstLine="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ind w:firstLine="0"/>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ind w:firstLine="0"/>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21"/>
              <w:ind w:firstLine="0"/>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ind w:firstLine="0"/>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21"/>
              <w:ind w:firstLine="0"/>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lang w:val="en-US" w:eastAsia="zh-CN"/>
              </w:rPr>
              <w:t xml:space="preserve">    </w:t>
            </w:r>
            <w:r>
              <w:rPr>
                <w:rFonts w:hint="eastAsia" w:asciiTheme="minorEastAsia" w:hAnsiTheme="minorEastAsia" w:cstheme="minorEastAsia"/>
                <w:color w:val="ff0000"/>
              </w:rPr>
              <w:t xml:space="preserve">%。</w:t>
            </w:r>
            <w:r/>
          </w:p>
        </w:tc>
      </w:tr>
    </w:tbl>
    <w:p>
      <w:pPr>
        <w:ind w:firstLine="420"/>
        <w:jc w:val="left"/>
        <w:spacing w:line="500" w:lineRule="exact"/>
        <w:rPr>
          <w:rFonts w:hint="eastAsia" w:ascii="宋体" w:hAnsi="宋体" w:eastAsia="宋体" w:cs="宋体"/>
          <w:b/>
          <w:color w:val="000000"/>
          <w:sz w:val="24"/>
        </w:rPr>
      </w:pPr>
      <w:r>
        <w:rPr>
          <w:rFonts w:hint="eastAsia" w:ascii="宋体" w:hAnsi="宋体" w:eastAsia="宋体" w:cs="宋体"/>
          <w:b/>
          <w:color w:val="000000"/>
          <w:sz w:val="24"/>
        </w:rPr>
      </w:r>
      <w:r/>
    </w:p>
    <w:p>
      <w:pPr>
        <w:ind w:firstLine="420"/>
        <w:jc w:val="left"/>
        <w:spacing w:line="50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721"/>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备注：</w:t>
      </w:r>
      <w:r/>
    </w:p>
    <w:p>
      <w:pPr>
        <w:pStyle w:val="72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21"/>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Times New Roman" w:hAnsi="Times New Roman"/>
          <w:color w:val="000000"/>
          <w:sz w:val="21"/>
          <w:szCs w:val="21"/>
        </w:rPr>
        <w:t xml:space="preserve">“</w:t>
      </w:r>
      <w:r>
        <w:rPr>
          <w:rFonts w:hint="eastAsia" w:ascii="宋体" w:hAnsi="宋体" w:eastAsia="宋体" w:cs="宋体"/>
          <w:color w:val="000000"/>
        </w:rPr>
        <w:t xml:space="preserve">投标分项报价表</w:t>
      </w:r>
      <w:r>
        <w:rPr>
          <w:rFonts w:hint="eastAsia"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500" w:lineRule="exact"/>
        <w:rPr>
          <w:rFonts w:hint="eastAsia"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21"/>
        <w:jc w:val="both"/>
        <w:spacing w:beforeAutospacing="0" w:afterAutospacing="0" w:line="500" w:lineRule="exact"/>
      </w:pPr>
      <w:r/>
      <w:r/>
    </w:p>
    <w:p>
      <w:pPr>
        <w:pStyle w:val="721"/>
        <w:jc w:val="both"/>
        <w:spacing w:beforeAutospacing="0" w:afterAutospacing="0" w:line="360" w:lineRule="auto"/>
      </w:pPr>
      <w:r>
        <w:t xml:space="preserve"> </w:t>
      </w:r>
      <w:bookmarkEnd w:id="195"/>
      <w:r/>
      <w:r/>
    </w:p>
    <w:p>
      <w:pPr>
        <w:rPr>
          <w:rFonts w:hint="eastAsia" w:ascii="黑体" w:hAnsi="黑体" w:eastAsia="黑体" w:cs="黑体"/>
          <w:i/>
          <w:sz w:val="32"/>
          <w:szCs w:val="32"/>
          <w:u w:val="single"/>
        </w:rPr>
      </w:pPr>
      <w:r/>
      <w:bookmarkStart w:id="196" w:name="OLE_LINK72"/>
      <w:r>
        <w:rPr>
          <w:rFonts w:hint="eastAsia" w:ascii="黑体" w:hAnsi="黑体" w:eastAsia="黑体" w:cs="黑体"/>
          <w:i/>
          <w:sz w:val="32"/>
          <w:szCs w:val="32"/>
          <w:u w:val="single"/>
        </w:rPr>
        <w:br w:type="page" w:clear="all"/>
      </w:r>
      <w:r/>
    </w:p>
    <w:p>
      <w:pPr>
        <w:pStyle w:val="721"/>
        <w:ind w:firstLine="0"/>
        <w:jc w:val="center"/>
        <w:spacing w:beforeAutospacing="0" w:afterAutospacing="0" w:line="360" w:lineRule="auto"/>
        <w:rPr>
          <w:rFonts w:hint="eastAsia" w:ascii="黑体" w:hAnsi="黑体" w:eastAsia="黑体" w:cs="黑体"/>
          <w:i/>
          <w:sz w:val="32"/>
          <w:szCs w:val="32"/>
          <w:u w:val="single"/>
        </w:rPr>
        <w:outlineLvl w:val="1"/>
      </w:pPr>
      <w:r>
        <w:rPr>
          <w:rFonts w:hint="eastAsia" w:ascii="黑体" w:hAnsi="黑体" w:eastAsia="黑体" w:cs="黑体"/>
          <w:iCs/>
          <w:sz w:val="32"/>
          <w:szCs w:val="32"/>
        </w:rPr>
        <w:t xml:space="preserve">十三、技术要求响应及偏离表</w:t>
      </w:r>
      <w:r/>
    </w:p>
    <w:p>
      <w:pPr>
        <w:pStyle w:val="721"/>
        <w:ind w:firstLine="0"/>
        <w:jc w:val="center"/>
        <w:spacing w:beforeAutospacing="0" w:afterAutospacing="0"/>
        <w:rPr>
          <w:rFonts w:hint="eastAsia" w:ascii="黑体" w:hAnsi="黑体" w:eastAsia="黑体" w:cs="黑体"/>
          <w:i/>
          <w:sz w:val="32"/>
          <w:szCs w:val="32"/>
          <w:u w:val="single"/>
        </w:rPr>
      </w:pPr>
      <w:r>
        <w:rPr>
          <w:rFonts w:hint="eastAsia" w:ascii="黑体" w:hAnsi="黑体" w:eastAsia="黑体" w:cs="黑体"/>
          <w:i/>
          <w:sz w:val="32"/>
          <w:szCs w:val="32"/>
          <w:u w:val="single"/>
        </w:rPr>
      </w:r>
      <w:r/>
    </w:p>
    <w:tbl>
      <w:tblPr>
        <w:tblStyle w:val="69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7"/>
        <w:gridCol w:w="2126"/>
        <w:gridCol w:w="2127"/>
        <w:gridCol w:w="2349"/>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ind w:firstLine="0"/>
              <w:jc w:val="both"/>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ind w:firstLine="0"/>
              <w:jc w:val="both"/>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ind w:firstLine="0"/>
              <w:jc w:val="both"/>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ind w:firstLine="0"/>
              <w:jc w:val="both"/>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ind w:firstLine="0"/>
              <w:jc w:val="both"/>
              <w:spacing w:beforeAutospacing="0" w:afterAutospacing="0"/>
            </w:pPr>
            <w:r>
              <w:rPr>
                <w:rFonts w:hint="eastAsia" w:ascii="宋体" w:hAnsi="宋体" w:eastAsia="宋体" w:cs="宋体"/>
                <w:color w:val="000000"/>
              </w:rPr>
              <w:t xml:space="preserve">证明</w:t>
            </w:r>
            <w:r/>
          </w:p>
          <w:p>
            <w:pPr>
              <w:pStyle w:val="721"/>
              <w:ind w:firstLine="0"/>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pPr>
            <w:r>
              <w:t xml:space="preserve"> </w:t>
            </w:r>
            <w:r/>
          </w:p>
        </w:tc>
      </w:tr>
    </w:tbl>
    <w:p>
      <w:pPr>
        <w:pStyle w:val="721"/>
        <w:jc w:val="both"/>
        <w:spacing w:beforeAutospacing="0" w:afterAutospacing="0"/>
      </w:pPr>
      <w:r>
        <w:rPr>
          <w:rFonts w:hint="eastAsia" w:ascii="宋体" w:hAnsi="宋体" w:eastAsia="宋体" w:cs="宋体"/>
          <w:color w:val="000000"/>
        </w:rPr>
        <w:t xml:space="preserve">注：行数不够，可自行添加。</w:t>
      </w:r>
      <w:r/>
    </w:p>
    <w:p>
      <w:pPr>
        <w:pStyle w:val="721"/>
        <w:jc w:val="center"/>
        <w:spacing w:beforeAutospacing="0" w:afterAutospacing="0"/>
      </w:pPr>
      <w:r>
        <w:t xml:space="preserve"> </w:t>
      </w:r>
      <w:r/>
    </w:p>
    <w:p>
      <w:pPr>
        <w:pStyle w:val="721"/>
        <w:jc w:val="center"/>
        <w:spacing w:beforeAutospacing="0" w:afterAutospacing="0"/>
      </w:pPr>
      <w:r>
        <w:t xml:space="preserve"> </w:t>
      </w:r>
      <w:r/>
    </w:p>
    <w:p>
      <w:pPr>
        <w:pStyle w:val="721"/>
        <w:jc w:val="center"/>
        <w:spacing w:beforeAutospacing="0" w:afterAutospacing="0"/>
      </w:pPr>
      <w:r>
        <w:t xml:space="preserve"> </w:t>
      </w:r>
      <w:r/>
    </w:p>
    <w:p>
      <w:pPr>
        <w:pStyle w:val="721"/>
        <w:jc w:val="center"/>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r/>
    </w:p>
    <w:p>
      <w:pPr>
        <w:pStyle w:val="721"/>
        <w:jc w:val="both"/>
        <w:spacing w:beforeAutospacing="0" w:afterAutospacing="0"/>
      </w:pPr>
      <w:r>
        <w:t xml:space="preserve"> </w:t>
      </w:r>
      <w:bookmarkEnd w:id="196"/>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r/>
    </w:p>
    <w:p>
      <w:pPr>
        <w:pStyle w:val="721"/>
        <w:jc w:val="both"/>
        <w:spacing w:beforeAutospacing="0" w:afterAutospacing="0"/>
      </w:pPr>
      <w:r>
        <w:t xml:space="preserve"> </w:t>
      </w:r>
      <w:r/>
    </w:p>
    <w:p>
      <w:pPr>
        <w:pStyle w:val="721"/>
        <w:jc w:val="both"/>
        <w:spacing w:beforeAutospacing="0" w:afterAutospacing="0"/>
      </w:pPr>
      <w:r>
        <w:t xml:space="preserve"> </w:t>
      </w:r>
      <w:r/>
    </w:p>
    <w:p>
      <w:pPr>
        <w:rPr>
          <w:rFonts w:hint="eastAsia" w:ascii="黑体" w:hAnsi="黑体" w:eastAsia="黑体" w:cs="黑体"/>
          <w:i/>
          <w:sz w:val="32"/>
          <w:szCs w:val="32"/>
          <w:u w:val="single"/>
        </w:rPr>
      </w:pPr>
      <w:r/>
      <w:bookmarkStart w:id="197" w:name="OLE_LINK73"/>
      <w:r/>
      <w:bookmarkStart w:id="198" w:name="_Hlt26955054"/>
      <w:r>
        <w:rPr>
          <w:rFonts w:hint="eastAsia" w:ascii="黑体" w:hAnsi="黑体" w:eastAsia="黑体" w:cs="黑体"/>
          <w:i/>
          <w:sz w:val="32"/>
          <w:szCs w:val="32"/>
          <w:u w:val="single"/>
        </w:rPr>
        <w:br w:type="page" w:clear="all"/>
      </w:r>
      <w:r/>
    </w:p>
    <w:p>
      <w:pPr>
        <w:pStyle w:val="721"/>
        <w:ind w:firstLine="0"/>
        <w:jc w:val="center"/>
        <w:spacing w:beforeAutospacing="0" w:afterAutospacing="0"/>
        <w:rPr>
          <w:rFonts w:hint="eastAsia" w:ascii="黑体" w:hAnsi="黑体" w:eastAsia="黑体" w:cs="黑体"/>
          <w:iCs/>
          <w:sz w:val="32"/>
          <w:szCs w:val="32"/>
        </w:rPr>
        <w:outlineLvl w:val="1"/>
      </w:pPr>
      <w:r>
        <w:rPr>
          <w:rFonts w:hint="eastAsia" w:ascii="黑体" w:hAnsi="黑体" w:eastAsia="黑体" w:cs="黑体"/>
          <w:iCs/>
          <w:sz w:val="32"/>
          <w:szCs w:val="32"/>
        </w:rPr>
        <w:t xml:space="preserve">十四、商务要求响应及偏离表</w:t>
      </w:r>
      <w:r/>
    </w:p>
    <w:p>
      <w:pPr>
        <w:pStyle w:val="721"/>
        <w:ind w:firstLine="0"/>
        <w:jc w:val="center"/>
        <w:spacing w:beforeAutospacing="0" w:afterAutospacing="0"/>
        <w:rPr>
          <w:rFonts w:hint="eastAsia" w:ascii="黑体" w:hAnsi="黑体" w:eastAsia="黑体" w:cs="黑体"/>
          <w:i/>
          <w:sz w:val="32"/>
          <w:szCs w:val="32"/>
          <w:u w:val="single"/>
        </w:rPr>
      </w:pPr>
      <w:r>
        <w:rPr>
          <w:rFonts w:hint="eastAsia" w:ascii="黑体" w:hAnsi="黑体" w:eastAsia="黑体" w:cs="黑体"/>
          <w:i/>
          <w:sz w:val="32"/>
          <w:szCs w:val="32"/>
          <w:u w:val="single"/>
        </w:rPr>
      </w:r>
      <w:r/>
    </w:p>
    <w:tbl>
      <w:tblPr>
        <w:tblStyle w:val="696"/>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721"/>
              <w:ind w:firstLine="0"/>
              <w:jc w:val="both"/>
              <w:spacing w:beforeAutospacing="0" w:afterAutospacing="0"/>
            </w:pPr>
            <w:r/>
            <w:bookmarkStart w:id="199" w:name="_Hlt24879081"/>
            <w:r/>
            <w:bookmarkStart w:id="200" w:name="_Hlt26955056"/>
            <w:r/>
            <w:bookmarkStart w:id="201" w:name="_Hlt26671343"/>
            <w:r/>
            <w:bookmarkStart w:id="202" w:name="_Hlt26609391"/>
            <w:r/>
            <w:bookmarkStart w:id="203" w:name="_Hlt26955064"/>
            <w:r/>
            <w:bookmarkStart w:id="204" w:name="_Hlt26782999"/>
            <w:r/>
            <w:bookmarkStart w:id="205" w:name="_Hlt26580838"/>
            <w:r/>
            <w:bookmarkStart w:id="206" w:name="_Hlt26671372"/>
            <w:r>
              <w:rPr>
                <w:rFonts w:hint="eastAsia" w:ascii="宋体" w:hAnsi="宋体" w:eastAsia="宋体" w:cs="宋体"/>
                <w:color w:val="000000"/>
              </w:rPr>
              <w:t xml:space="preserve">序号</w:t>
            </w:r>
            <w:bookmarkEnd w:id="199"/>
            <w:r/>
            <w:bookmarkEnd w:id="200"/>
            <w:r/>
            <w:bookmarkEnd w:id="201"/>
            <w:r/>
            <w:bookmarkEnd w:id="202"/>
            <w:r/>
            <w:bookmarkEnd w:id="203"/>
            <w:r/>
            <w:bookmarkEnd w:id="204"/>
            <w:r/>
            <w:bookmarkEnd w:id="205"/>
            <w:r/>
            <w:bookmarkEnd w:id="206"/>
            <w:r/>
            <w:r/>
          </w:p>
        </w:tc>
        <w:tc>
          <w:tcPr>
            <w:tcW w:w="1843" w:type="dxa"/>
            <w:vAlign w:val="center"/>
            <w:textDirection w:val="lrTb"/>
            <w:noWrap w:val="false"/>
          </w:tcPr>
          <w:p>
            <w:pPr>
              <w:pStyle w:val="721"/>
              <w:ind w:firstLine="0"/>
              <w:jc w:val="both"/>
              <w:spacing w:beforeAutospacing="0" w:afterAutospacing="0"/>
            </w:pPr>
            <w:r>
              <w:rPr>
                <w:rFonts w:hint="eastAsia" w:ascii="宋体" w:hAnsi="宋体" w:eastAsia="宋体" w:cs="宋体"/>
                <w:color w:val="000000"/>
              </w:rPr>
              <w:t xml:space="preserve">招标文件要求</w:t>
            </w:r>
            <w:r/>
          </w:p>
        </w:tc>
        <w:tc>
          <w:tcPr>
            <w:tcW w:w="2410" w:type="dxa"/>
            <w:vAlign w:val="center"/>
            <w:textDirection w:val="lrTb"/>
            <w:noWrap w:val="false"/>
          </w:tcPr>
          <w:p>
            <w:pPr>
              <w:pStyle w:val="721"/>
              <w:jc w:val="center"/>
              <w:spacing w:beforeAutospacing="0" w:afterAutospacing="0"/>
            </w:pPr>
            <w:r>
              <w:rPr>
                <w:rFonts w:hint="eastAsia" w:ascii="宋体" w:hAnsi="宋体" w:eastAsia="宋体" w:cs="宋体"/>
                <w:color w:val="000000"/>
              </w:rPr>
              <w:t xml:space="preserve">投标响应情况</w:t>
            </w:r>
            <w:r/>
          </w:p>
        </w:tc>
        <w:tc>
          <w:tcPr>
            <w:tcW w:w="2349" w:type="dxa"/>
            <w:vAlign w:val="center"/>
            <w:textDirection w:val="lrTb"/>
            <w:noWrap w:val="false"/>
          </w:tcPr>
          <w:p>
            <w:pPr>
              <w:pStyle w:val="721"/>
              <w:ind w:firstLine="0"/>
              <w:jc w:val="both"/>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721"/>
              <w:ind w:firstLine="0"/>
              <w:jc w:val="both"/>
              <w:spacing w:beforeAutospacing="0" w:afterAutospacing="0"/>
            </w:pPr>
            <w:r>
              <w:rPr>
                <w:rFonts w:hint="eastAsia" w:ascii="宋体" w:hAnsi="宋体" w:eastAsia="宋体" w:cs="宋体"/>
                <w:color w:val="000000"/>
              </w:rPr>
              <w:t xml:space="preserve">证明</w:t>
            </w:r>
            <w:r/>
          </w:p>
          <w:p>
            <w:pPr>
              <w:pStyle w:val="721"/>
              <w:ind w:firstLine="0"/>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817" w:type="dxa"/>
            <w:vAlign w:val="center"/>
            <w:textDirection w:val="lrTb"/>
            <w:noWrap w:val="false"/>
          </w:tcPr>
          <w:p>
            <w:pPr>
              <w:pStyle w:val="721"/>
              <w:jc w:val="center"/>
              <w:spacing w:beforeAutospacing="0" w:afterAutospacing="0"/>
            </w:pPr>
            <w:r>
              <w:t xml:space="preserve"> </w:t>
            </w:r>
            <w:r/>
          </w:p>
        </w:tc>
        <w:tc>
          <w:tcPr>
            <w:tcW w:w="1843" w:type="dxa"/>
            <w:vAlign w:val="center"/>
            <w:textDirection w:val="lrTb"/>
            <w:noWrap w:val="false"/>
          </w:tcPr>
          <w:p>
            <w:pPr>
              <w:pStyle w:val="721"/>
              <w:jc w:val="center"/>
              <w:spacing w:beforeAutospacing="0" w:afterAutospacing="0"/>
            </w:pPr>
            <w:r>
              <w:t xml:space="preserve"> </w:t>
            </w:r>
            <w:r/>
          </w:p>
        </w:tc>
        <w:tc>
          <w:tcPr>
            <w:tcW w:w="2410" w:type="dxa"/>
            <w:vAlign w:val="center"/>
            <w:textDirection w:val="lrTb"/>
            <w:noWrap w:val="false"/>
          </w:tcPr>
          <w:p>
            <w:pPr>
              <w:pStyle w:val="721"/>
              <w:jc w:val="center"/>
              <w:spacing w:beforeAutospacing="0" w:afterAutospacing="0"/>
            </w:pPr>
            <w:r>
              <w:t xml:space="preserve"> </w:t>
            </w:r>
            <w:r/>
          </w:p>
        </w:tc>
        <w:tc>
          <w:tcPr>
            <w:tcW w:w="2349" w:type="dxa"/>
            <w:vAlign w:val="center"/>
            <w:textDirection w:val="lrTb"/>
            <w:noWrap w:val="false"/>
          </w:tcPr>
          <w:p>
            <w:pPr>
              <w:pStyle w:val="721"/>
              <w:jc w:val="center"/>
              <w:spacing w:beforeAutospacing="0" w:afterAutospacing="0"/>
            </w:pPr>
            <w:r>
              <w:t xml:space="preserve"> </w:t>
            </w:r>
            <w:r/>
          </w:p>
        </w:tc>
        <w:tc>
          <w:tcPr>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21"/>
              <w:jc w:val="center"/>
              <w:spacing w:beforeAutospacing="0" w:afterAutospacing="0"/>
            </w:pPr>
            <w:r>
              <w:t xml:space="preserve"> </w:t>
            </w:r>
            <w:r/>
          </w:p>
        </w:tc>
        <w:tc>
          <w:tcPr>
            <w:tcW w:w="1843" w:type="dxa"/>
            <w:vAlign w:val="center"/>
            <w:textDirection w:val="lrTb"/>
            <w:noWrap w:val="false"/>
          </w:tcPr>
          <w:p>
            <w:pPr>
              <w:pStyle w:val="721"/>
              <w:jc w:val="center"/>
              <w:spacing w:beforeAutospacing="0" w:afterAutospacing="0"/>
            </w:pPr>
            <w:r>
              <w:t xml:space="preserve"> </w:t>
            </w:r>
            <w:r/>
          </w:p>
        </w:tc>
        <w:tc>
          <w:tcPr>
            <w:tcW w:w="2410" w:type="dxa"/>
            <w:vAlign w:val="center"/>
            <w:textDirection w:val="lrTb"/>
            <w:noWrap w:val="false"/>
          </w:tcPr>
          <w:p>
            <w:pPr>
              <w:pStyle w:val="721"/>
              <w:jc w:val="center"/>
              <w:spacing w:beforeAutospacing="0" w:afterAutospacing="0"/>
            </w:pPr>
            <w:r>
              <w:t xml:space="preserve"> </w:t>
            </w:r>
            <w:r/>
          </w:p>
        </w:tc>
        <w:tc>
          <w:tcPr>
            <w:tcW w:w="2349" w:type="dxa"/>
            <w:vAlign w:val="center"/>
            <w:textDirection w:val="lrTb"/>
            <w:noWrap w:val="false"/>
          </w:tcPr>
          <w:p>
            <w:pPr>
              <w:pStyle w:val="721"/>
              <w:jc w:val="center"/>
              <w:spacing w:beforeAutospacing="0" w:afterAutospacing="0"/>
            </w:pPr>
            <w:r>
              <w:t xml:space="preserve"> </w:t>
            </w:r>
            <w:r/>
          </w:p>
        </w:tc>
        <w:tc>
          <w:tcPr>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21"/>
              <w:jc w:val="center"/>
              <w:spacing w:beforeAutospacing="0" w:afterAutospacing="0"/>
            </w:pPr>
            <w:r>
              <w:t xml:space="preserve"> </w:t>
            </w:r>
            <w:r/>
          </w:p>
        </w:tc>
        <w:tc>
          <w:tcPr>
            <w:tcW w:w="1843" w:type="dxa"/>
            <w:vAlign w:val="center"/>
            <w:textDirection w:val="lrTb"/>
            <w:noWrap w:val="false"/>
          </w:tcPr>
          <w:p>
            <w:pPr>
              <w:pStyle w:val="721"/>
              <w:jc w:val="center"/>
              <w:spacing w:beforeAutospacing="0" w:afterAutospacing="0"/>
            </w:pPr>
            <w:r>
              <w:t xml:space="preserve"> </w:t>
            </w:r>
            <w:r/>
          </w:p>
        </w:tc>
        <w:tc>
          <w:tcPr>
            <w:tcW w:w="2410" w:type="dxa"/>
            <w:vAlign w:val="center"/>
            <w:textDirection w:val="lrTb"/>
            <w:noWrap w:val="false"/>
          </w:tcPr>
          <w:p>
            <w:pPr>
              <w:pStyle w:val="721"/>
              <w:jc w:val="center"/>
              <w:spacing w:beforeAutospacing="0" w:afterAutospacing="0"/>
            </w:pPr>
            <w:r>
              <w:t xml:space="preserve"> </w:t>
            </w:r>
            <w:r/>
          </w:p>
        </w:tc>
        <w:tc>
          <w:tcPr>
            <w:tcW w:w="2349" w:type="dxa"/>
            <w:vAlign w:val="center"/>
            <w:textDirection w:val="lrTb"/>
            <w:noWrap w:val="false"/>
          </w:tcPr>
          <w:p>
            <w:pPr>
              <w:pStyle w:val="721"/>
              <w:jc w:val="center"/>
              <w:spacing w:beforeAutospacing="0" w:afterAutospacing="0"/>
            </w:pPr>
            <w:r>
              <w:t xml:space="preserve"> </w:t>
            </w:r>
            <w:r/>
          </w:p>
        </w:tc>
        <w:tc>
          <w:tcPr>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21"/>
              <w:jc w:val="center"/>
              <w:spacing w:beforeAutospacing="0" w:afterAutospacing="0"/>
            </w:pPr>
            <w:r>
              <w:t xml:space="preserve"> </w:t>
            </w:r>
            <w:r/>
          </w:p>
        </w:tc>
        <w:tc>
          <w:tcPr>
            <w:tcW w:w="1843" w:type="dxa"/>
            <w:vAlign w:val="center"/>
            <w:textDirection w:val="lrTb"/>
            <w:noWrap w:val="false"/>
          </w:tcPr>
          <w:p>
            <w:pPr>
              <w:pStyle w:val="721"/>
              <w:jc w:val="center"/>
              <w:spacing w:beforeAutospacing="0" w:afterAutospacing="0"/>
            </w:pPr>
            <w:r>
              <w:t xml:space="preserve"> </w:t>
            </w:r>
            <w:r/>
          </w:p>
        </w:tc>
        <w:tc>
          <w:tcPr>
            <w:tcW w:w="2410" w:type="dxa"/>
            <w:vAlign w:val="center"/>
            <w:textDirection w:val="lrTb"/>
            <w:noWrap w:val="false"/>
          </w:tcPr>
          <w:p>
            <w:pPr>
              <w:pStyle w:val="721"/>
              <w:jc w:val="center"/>
              <w:spacing w:beforeAutospacing="0" w:afterAutospacing="0"/>
            </w:pPr>
            <w:r>
              <w:t xml:space="preserve"> </w:t>
            </w:r>
            <w:r/>
          </w:p>
        </w:tc>
        <w:tc>
          <w:tcPr>
            <w:tcW w:w="2349" w:type="dxa"/>
            <w:vAlign w:val="center"/>
            <w:textDirection w:val="lrTb"/>
            <w:noWrap w:val="false"/>
          </w:tcPr>
          <w:p>
            <w:pPr>
              <w:pStyle w:val="721"/>
              <w:jc w:val="center"/>
              <w:spacing w:beforeAutospacing="0" w:afterAutospacing="0"/>
            </w:pPr>
            <w:r>
              <w:t xml:space="preserve"> </w:t>
            </w:r>
            <w:r/>
          </w:p>
        </w:tc>
        <w:tc>
          <w:tcPr>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21"/>
              <w:jc w:val="center"/>
              <w:spacing w:beforeAutospacing="0" w:afterAutospacing="0"/>
            </w:pPr>
            <w:r>
              <w:t xml:space="preserve"> </w:t>
            </w:r>
            <w:r/>
          </w:p>
        </w:tc>
        <w:tc>
          <w:tcPr>
            <w:tcW w:w="1843" w:type="dxa"/>
            <w:vAlign w:val="center"/>
            <w:textDirection w:val="lrTb"/>
            <w:noWrap w:val="false"/>
          </w:tcPr>
          <w:p>
            <w:pPr>
              <w:pStyle w:val="721"/>
              <w:jc w:val="center"/>
              <w:spacing w:beforeAutospacing="0" w:afterAutospacing="0"/>
            </w:pPr>
            <w:r>
              <w:t xml:space="preserve"> </w:t>
            </w:r>
            <w:r/>
          </w:p>
        </w:tc>
        <w:tc>
          <w:tcPr>
            <w:tcW w:w="2410" w:type="dxa"/>
            <w:vAlign w:val="center"/>
            <w:textDirection w:val="lrTb"/>
            <w:noWrap w:val="false"/>
          </w:tcPr>
          <w:p>
            <w:pPr>
              <w:pStyle w:val="721"/>
              <w:jc w:val="center"/>
              <w:spacing w:beforeAutospacing="0" w:afterAutospacing="0"/>
            </w:pPr>
            <w:r>
              <w:t xml:space="preserve"> </w:t>
            </w:r>
            <w:r/>
          </w:p>
        </w:tc>
        <w:tc>
          <w:tcPr>
            <w:tcW w:w="2349" w:type="dxa"/>
            <w:vAlign w:val="center"/>
            <w:textDirection w:val="lrTb"/>
            <w:noWrap w:val="false"/>
          </w:tcPr>
          <w:p>
            <w:pPr>
              <w:pStyle w:val="721"/>
              <w:jc w:val="center"/>
              <w:spacing w:beforeAutospacing="0" w:afterAutospacing="0"/>
            </w:pPr>
            <w:r>
              <w:t xml:space="preserve"> </w:t>
            </w:r>
            <w:r/>
          </w:p>
        </w:tc>
        <w:tc>
          <w:tcPr>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21"/>
              <w:jc w:val="center"/>
              <w:spacing w:beforeAutospacing="0" w:afterAutospacing="0"/>
            </w:pPr>
            <w:r>
              <w:t xml:space="preserve"> </w:t>
            </w:r>
            <w:r/>
          </w:p>
        </w:tc>
        <w:tc>
          <w:tcPr>
            <w:tcW w:w="1843" w:type="dxa"/>
            <w:vAlign w:val="center"/>
            <w:textDirection w:val="lrTb"/>
            <w:noWrap w:val="false"/>
          </w:tcPr>
          <w:p>
            <w:pPr>
              <w:pStyle w:val="721"/>
              <w:jc w:val="center"/>
              <w:spacing w:beforeAutospacing="0" w:afterAutospacing="0"/>
            </w:pPr>
            <w:r>
              <w:t xml:space="preserve"> </w:t>
            </w:r>
            <w:r/>
          </w:p>
        </w:tc>
        <w:tc>
          <w:tcPr>
            <w:tcW w:w="2410" w:type="dxa"/>
            <w:vAlign w:val="center"/>
            <w:textDirection w:val="lrTb"/>
            <w:noWrap w:val="false"/>
          </w:tcPr>
          <w:p>
            <w:pPr>
              <w:pStyle w:val="721"/>
              <w:jc w:val="center"/>
              <w:spacing w:beforeAutospacing="0" w:afterAutospacing="0"/>
            </w:pPr>
            <w:r>
              <w:t xml:space="preserve"> </w:t>
            </w:r>
            <w:r/>
          </w:p>
        </w:tc>
        <w:tc>
          <w:tcPr>
            <w:tcW w:w="2349" w:type="dxa"/>
            <w:vAlign w:val="center"/>
            <w:textDirection w:val="lrTb"/>
            <w:noWrap w:val="false"/>
          </w:tcPr>
          <w:p>
            <w:pPr>
              <w:pStyle w:val="721"/>
              <w:jc w:val="center"/>
              <w:spacing w:beforeAutospacing="0" w:afterAutospacing="0"/>
            </w:pPr>
            <w:r>
              <w:t xml:space="preserve"> </w:t>
            </w:r>
            <w:r/>
          </w:p>
        </w:tc>
        <w:tc>
          <w:tcPr>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21"/>
              <w:jc w:val="center"/>
              <w:spacing w:beforeAutospacing="0" w:afterAutospacing="0"/>
            </w:pPr>
            <w:r>
              <w:t xml:space="preserve"> </w:t>
            </w:r>
            <w:r/>
          </w:p>
        </w:tc>
        <w:tc>
          <w:tcPr>
            <w:tcW w:w="1843" w:type="dxa"/>
            <w:vAlign w:val="center"/>
            <w:textDirection w:val="lrTb"/>
            <w:noWrap w:val="false"/>
          </w:tcPr>
          <w:p>
            <w:pPr>
              <w:pStyle w:val="721"/>
              <w:jc w:val="center"/>
              <w:spacing w:beforeAutospacing="0" w:afterAutospacing="0"/>
            </w:pPr>
            <w:r>
              <w:t xml:space="preserve"> </w:t>
            </w:r>
            <w:r/>
          </w:p>
        </w:tc>
        <w:tc>
          <w:tcPr>
            <w:tcW w:w="2410" w:type="dxa"/>
            <w:vAlign w:val="center"/>
            <w:textDirection w:val="lrTb"/>
            <w:noWrap w:val="false"/>
          </w:tcPr>
          <w:p>
            <w:pPr>
              <w:pStyle w:val="721"/>
              <w:jc w:val="center"/>
              <w:spacing w:beforeAutospacing="0" w:afterAutospacing="0"/>
            </w:pPr>
            <w:r>
              <w:t xml:space="preserve"> </w:t>
            </w:r>
            <w:r/>
          </w:p>
        </w:tc>
        <w:tc>
          <w:tcPr>
            <w:tcW w:w="2349" w:type="dxa"/>
            <w:vAlign w:val="center"/>
            <w:textDirection w:val="lrTb"/>
            <w:noWrap w:val="false"/>
          </w:tcPr>
          <w:p>
            <w:pPr>
              <w:pStyle w:val="721"/>
              <w:jc w:val="center"/>
              <w:spacing w:beforeAutospacing="0" w:afterAutospacing="0"/>
            </w:pPr>
            <w:r>
              <w:t xml:space="preserve"> </w:t>
            </w:r>
            <w:r/>
          </w:p>
        </w:tc>
        <w:tc>
          <w:tcPr>
            <w:tcW w:w="1101" w:type="dxa"/>
            <w:vAlign w:val="center"/>
            <w:textDirection w:val="lrTb"/>
            <w:noWrap w:val="false"/>
          </w:tcPr>
          <w:p>
            <w:pPr>
              <w:pStyle w:val="72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21"/>
              <w:jc w:val="center"/>
              <w:spacing w:beforeAutospacing="0" w:afterAutospacing="0"/>
            </w:pPr>
            <w:r>
              <w:t xml:space="preserve"> </w:t>
            </w:r>
            <w:r/>
          </w:p>
        </w:tc>
        <w:tc>
          <w:tcPr>
            <w:tcW w:w="1843" w:type="dxa"/>
            <w:vAlign w:val="center"/>
            <w:textDirection w:val="lrTb"/>
            <w:noWrap w:val="false"/>
          </w:tcPr>
          <w:p>
            <w:pPr>
              <w:pStyle w:val="721"/>
              <w:jc w:val="center"/>
              <w:spacing w:beforeAutospacing="0" w:afterAutospacing="0"/>
            </w:pPr>
            <w:r>
              <w:rPr>
                <w:rFonts w:hint="eastAsia" w:ascii="宋体" w:hAnsi="宋体" w:eastAsia="宋体" w:cs="宋体"/>
                <w:color w:val="000000"/>
              </w:rPr>
              <w:t xml:space="preserve">……</w:t>
            </w:r>
            <w:r/>
          </w:p>
        </w:tc>
        <w:tc>
          <w:tcPr>
            <w:tcW w:w="2410" w:type="dxa"/>
            <w:vAlign w:val="center"/>
            <w:textDirection w:val="lrTb"/>
            <w:noWrap w:val="false"/>
          </w:tcPr>
          <w:p>
            <w:pPr>
              <w:pStyle w:val="721"/>
              <w:jc w:val="center"/>
              <w:spacing w:beforeAutospacing="0" w:afterAutospacing="0"/>
            </w:pPr>
            <w:r>
              <w:t xml:space="preserve"> </w:t>
            </w:r>
            <w:r/>
          </w:p>
        </w:tc>
        <w:tc>
          <w:tcPr>
            <w:tcW w:w="2349" w:type="dxa"/>
            <w:vAlign w:val="center"/>
            <w:textDirection w:val="lrTb"/>
            <w:noWrap w:val="false"/>
          </w:tcPr>
          <w:p>
            <w:pPr>
              <w:pStyle w:val="721"/>
              <w:jc w:val="center"/>
              <w:spacing w:beforeAutospacing="0" w:afterAutospacing="0"/>
            </w:pPr>
            <w:r>
              <w:t xml:space="preserve"> </w:t>
            </w:r>
            <w:r/>
          </w:p>
        </w:tc>
        <w:tc>
          <w:tcPr>
            <w:tcW w:w="1101" w:type="dxa"/>
            <w:vAlign w:val="center"/>
            <w:textDirection w:val="lrTb"/>
            <w:noWrap w:val="false"/>
          </w:tcPr>
          <w:p>
            <w:pPr>
              <w:pStyle w:val="721"/>
              <w:jc w:val="center"/>
              <w:spacing w:beforeAutospacing="0" w:afterAutospacing="0"/>
            </w:pPr>
            <w:r>
              <w:t xml:space="preserve"> </w:t>
            </w:r>
            <w:r/>
          </w:p>
        </w:tc>
      </w:tr>
    </w:tbl>
    <w:p>
      <w:pPr>
        <w:pStyle w:val="721"/>
        <w:jc w:val="both"/>
        <w:spacing w:beforeAutospacing="0" w:afterAutospacing="0"/>
      </w:pPr>
      <w:r>
        <w:rPr>
          <w:rFonts w:hint="eastAsia" w:ascii="宋体" w:hAnsi="宋体" w:eastAsia="宋体" w:cs="宋体"/>
          <w:color w:val="000000"/>
        </w:rPr>
        <w:t xml:space="preserve">注：行数不够，可自行添加。</w:t>
      </w:r>
      <w:r/>
    </w:p>
    <w:p>
      <w:pPr>
        <w:pStyle w:val="721"/>
        <w:jc w:val="both"/>
        <w:spacing w:beforeAutospacing="0" w:afterAutospacing="0" w:line="480" w:lineRule="auto"/>
      </w:pPr>
      <w:r>
        <w:t xml:space="preserve"> </w:t>
      </w:r>
      <w:r/>
    </w:p>
    <w:p>
      <w:pPr>
        <w:pStyle w:val="721"/>
        <w:jc w:val="center"/>
        <w:spacing w:beforeAutospacing="0" w:afterAutospacing="0"/>
      </w:pPr>
      <w:r/>
      <w:bookmarkStart w:id="207" w:name="_Hlt26671374"/>
      <w:r/>
      <w:bookmarkStart w:id="208" w:name="_Toc462564146"/>
      <w:r/>
      <w:bookmarkStart w:id="209" w:name="_格式2__法定代表人授权书"/>
      <w:r/>
      <w:bookmarkStart w:id="210" w:name="_Hlt26609389"/>
      <w:r/>
      <w:bookmarkStart w:id="211" w:name="_Hlt26955066"/>
      <w:r>
        <w:t xml:space="preserve"> </w:t>
      </w:r>
      <w:bookmarkEnd w:id="197"/>
      <w:r/>
      <w:r/>
    </w:p>
    <w:p>
      <w:pPr>
        <w:pStyle w:val="721"/>
        <w:jc w:val="center"/>
        <w:spacing w:beforeAutospacing="0" w:afterAutospacing="0"/>
      </w:pPr>
      <w:r>
        <w:t xml:space="preserve"> </w:t>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pStyle w:val="721"/>
        <w:ind w:firstLine="321"/>
        <w:jc w:val="center"/>
        <w:spacing w:beforeAutospacing="0" w:afterAutospacing="0" w:line="0" w:lineRule="atLeast"/>
        <w:rPr>
          <w:rFonts w:ascii="方正小标宋_GBK" w:hAnsi="方正小标宋_GBK" w:eastAsia="方正小标宋_GBK" w:cs="方正小标宋_GBK"/>
          <w:color w:val="000000"/>
          <w:sz w:val="32"/>
          <w:szCs w:val="32"/>
        </w:rPr>
        <w:outlineLvl w:val="1"/>
      </w:pPr>
      <w:r>
        <w:rPr>
          <w:rFonts w:hint="eastAsia" w:ascii="黑体" w:hAnsi="黑体" w:eastAsia="黑体" w:cs="黑体"/>
          <w:i/>
          <w:sz w:val="32"/>
          <w:szCs w:val="32"/>
          <w:u w:val="single"/>
        </w:rPr>
        <w:t xml:space="preserve">十五、开标一览表</w:t>
      </w:r>
      <w:r/>
    </w:p>
    <w:p>
      <w:pPr>
        <w:pStyle w:val="721"/>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21"/>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  </w:t>
      </w:r>
      <w:r/>
    </w:p>
    <w:p>
      <w:pPr>
        <w:pStyle w:val="721"/>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项目编号：</w:t>
      </w:r>
      <w:r>
        <w:rPr>
          <w:rFonts w:hint="eastAsia" w:ascii="宋体" w:hAnsi="宋体" w:eastAsia="宋体" w:cs="宋体"/>
          <w:color w:val="000000"/>
          <w:lang w:val="en-US" w:eastAsia="zh-CN"/>
        </w:rPr>
        <w:t xml:space="preserve"> </w:t>
      </w:r>
      <w:r/>
    </w:p>
    <w:p>
      <w:pPr>
        <w:pStyle w:val="721"/>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货币单位：人民币元</w:t>
      </w:r>
      <w:r/>
    </w:p>
    <w:tbl>
      <w:tblPr>
        <w:tblStyle w:val="7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3033"/>
        <w:gridCol w:w="2834"/>
      </w:tblGrid>
      <w:tr>
        <w:trPr>
          <w:trHeight w:val="741"/>
        </w:trPr>
        <w:tc>
          <w:tcPr>
            <w:tcW w:w="2811" w:type="dxa"/>
            <w:vAlign w:val="center"/>
            <w:textDirection w:val="lrTb"/>
            <w:noWrap w:val="false"/>
          </w:tcPr>
          <w:p>
            <w:pPr>
              <w:pStyle w:val="721"/>
              <w:ind w:left="0" w:firstLine="0"/>
              <w:jc w:val="center"/>
              <w:keepLines w:val="0"/>
              <w:keepNext w:val="0"/>
              <w:spacing w:before="240" w:after="240"/>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t xml:space="preserve">项目名称</w:t>
            </w:r>
            <w:r/>
          </w:p>
        </w:tc>
        <w:tc>
          <w:tcPr>
            <w:tcBorders>
              <w:right w:val="single" w:color="auto" w:sz="4" w:space="0"/>
            </w:tcBorders>
            <w:tcW w:w="3033" w:type="dxa"/>
            <w:vAlign w:val="center"/>
            <w:textDirection w:val="lrTb"/>
            <w:noWrap w:val="false"/>
          </w:tcPr>
          <w:p>
            <w:pPr>
              <w:pStyle w:val="721"/>
              <w:ind w:left="0" w:firstLine="0"/>
              <w:jc w:val="center"/>
              <w:keepLines w:val="0"/>
              <w:keepNext w:val="0"/>
              <w:spacing w:before="240" w:after="240"/>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t xml:space="preserve">项目内容</w:t>
            </w:r>
            <w:r/>
          </w:p>
        </w:tc>
        <w:tc>
          <w:tcPr>
            <w:tcBorders>
              <w:left w:val="single" w:color="auto" w:sz="4" w:space="0"/>
            </w:tcBorders>
            <w:tcW w:w="2834" w:type="dxa"/>
            <w:vAlign w:val="center"/>
            <w:textDirection w:val="lrTb"/>
            <w:noWrap w:val="false"/>
          </w:tcPr>
          <w:p>
            <w:pPr>
              <w:pStyle w:val="721"/>
              <w:ind w:left="0" w:firstLine="0"/>
              <w:jc w:val="center"/>
              <w:keepLines w:val="0"/>
              <w:keepNext w:val="0"/>
              <w:spacing w:before="240" w:after="240"/>
              <w:widowControl/>
              <w:rPr>
                <w:sz w:val="24"/>
              </w:rPr>
              <w:pBdr>
                <w:top w:val="none" w:color="000000" w:sz="0" w:space="0"/>
                <w:left w:val="none" w:color="000000" w:sz="0" w:space="0"/>
                <w:bottom w:val="none" w:color="000000" w:sz="0" w:space="0"/>
                <w:right w:val="none" w:color="000000" w:sz="0" w:space="0"/>
              </w:pBdr>
              <w:suppressLineNumbers w:val="0"/>
            </w:pPr>
            <w:r>
              <w:t xml:space="preserve">总价（小写）</w:t>
            </w:r>
            <w:r/>
          </w:p>
        </w:tc>
      </w:tr>
      <w:tr>
        <w:trPr>
          <w:trHeight w:val="1218"/>
        </w:trPr>
        <w:tc>
          <w:tcPr>
            <w:tcW w:w="2811" w:type="dxa"/>
            <w:vAlign w:val="center"/>
            <w:textDirection w:val="lrTb"/>
            <w:noWrap w:val="false"/>
          </w:tcPr>
          <w:p>
            <w:pPr>
              <w:pStyle w:val="721"/>
              <w:ind w:left="0" w:firstLine="0"/>
              <w:jc w:val="center"/>
              <w:keepLines w:val="0"/>
              <w:keepNext w:val="0"/>
              <w:spacing w:before="240" w:after="240"/>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rPr>
              <w:t xml:space="preserve">新四军纪念馆可移动文物数字化保护项目</w:t>
            </w:r>
            <w:r/>
          </w:p>
        </w:tc>
        <w:tc>
          <w:tcPr>
            <w:tcBorders>
              <w:right w:val="single" w:color="auto" w:sz="4" w:space="0"/>
            </w:tcBorders>
            <w:tcW w:w="3033" w:type="dxa"/>
            <w:vAlign w:val="center"/>
            <w:textDirection w:val="lrTb"/>
            <w:noWrap w:val="false"/>
          </w:tcPr>
          <w:p>
            <w:pPr>
              <w:pStyle w:val="721"/>
              <w:ind w:left="0" w:firstLine="0"/>
              <w:jc w:val="center"/>
              <w:keepLines w:val="0"/>
              <w:keepNext w:val="0"/>
              <w:spacing w:before="240" w:after="240"/>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rPr>
              <w:t xml:space="preserve">详见投标文件</w:t>
            </w:r>
            <w:r/>
          </w:p>
        </w:tc>
        <w:tc>
          <w:tcPr>
            <w:tcBorders>
              <w:left w:val="single" w:color="auto" w:sz="4" w:space="0"/>
            </w:tcBorders>
            <w:tcW w:w="2834" w:type="dxa"/>
            <w:vAlign w:val="center"/>
            <w:textDirection w:val="lrTb"/>
            <w:noWrap w:val="false"/>
          </w:tcPr>
          <w:p>
            <w:pPr>
              <w:pStyle w:val="721"/>
              <w:ind w:firstLine="482"/>
              <w:jc w:val="center"/>
              <w:keepLines w:val="0"/>
              <w:keepNext w:val="0"/>
              <w:spacing w:before="240" w:after="240"/>
              <w:widowControl/>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eastAsia="宋体"/>
                <w:lang w:val="en-US" w:eastAsia="zh-CN"/>
              </w:rPr>
              <w:t xml:space="preserve">元</w:t>
            </w:r>
            <w:r/>
          </w:p>
        </w:tc>
      </w:tr>
      <w:tr>
        <w:trPr>
          <w:trHeight w:val="884"/>
        </w:trPr>
        <w:tc>
          <w:tcPr>
            <w:tcW w:w="2811" w:type="dxa"/>
            <w:vAlign w:val="center"/>
            <w:textDirection w:val="lrTb"/>
            <w:noWrap w:val="false"/>
          </w:tcPr>
          <w:p>
            <w:pPr>
              <w:pStyle w:val="721"/>
              <w:ind w:left="0" w:firstLine="0"/>
              <w:jc w:val="center"/>
              <w:keepLines w:val="0"/>
              <w:keepNext w:val="0"/>
              <w:spacing w:before="240" w:after="240"/>
              <w:widowControl/>
              <w:rPr>
                <w:rFonts w:hint="eastAsia" w:ascii="宋体" w:hAnsi="宋体" w:cs="宋体" w:eastAsiaTheme="minorEastAsia"/>
                <w:color w:val="000000"/>
                <w:sz w:val="24"/>
                <w:lang w:eastAsia="zh-CN"/>
              </w:rPr>
              <w:pBdr>
                <w:top w:val="none" w:color="000000" w:sz="0" w:space="0"/>
                <w:left w:val="none" w:color="000000" w:sz="0" w:space="0"/>
                <w:bottom w:val="none" w:color="000000" w:sz="0" w:space="0"/>
                <w:right w:val="none" w:color="000000" w:sz="0" w:space="0"/>
              </w:pBdr>
              <w:suppressLineNumbers w:val="0"/>
            </w:pPr>
            <w:r>
              <w:t xml:space="preserve">总价（</w:t>
            </w:r>
            <w:r>
              <w:rPr>
                <w:rFonts w:hint="eastAsia"/>
                <w:lang w:val="en-US" w:eastAsia="zh-CN"/>
              </w:rPr>
              <w:t xml:space="preserve">大</w:t>
            </w:r>
            <w:r>
              <w:t xml:space="preserve">写）</w:t>
            </w:r>
            <w:r/>
          </w:p>
        </w:tc>
        <w:tc>
          <w:tcPr>
            <w:gridSpan w:val="2"/>
            <w:tcW w:w="5867" w:type="dxa"/>
            <w:vAlign w:val="center"/>
            <w:textDirection w:val="lrTb"/>
            <w:noWrap w:val="false"/>
          </w:tcPr>
          <w:p>
            <w:pPr>
              <w:pStyle w:val="721"/>
              <w:ind w:left="0" w:firstLine="0"/>
              <w:jc w:val="center"/>
              <w:keepLines w:val="0"/>
              <w:keepNext w:val="0"/>
              <w:spacing w:before="240" w:after="240"/>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rPr>
              <w:t xml:space="preserve">金额大写</w:t>
            </w:r>
            <w:r/>
          </w:p>
        </w:tc>
      </w:tr>
    </w:tbl>
    <w:p>
      <w:pPr>
        <w:pStyle w:val="721"/>
        <w:ind w:left="0" w:firstLine="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21"/>
        <w:ind w:left="0" w:firstLine="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21"/>
        <w:ind w:left="0" w:firstLine="0"/>
        <w:jc w:val="both"/>
        <w:spacing w:beforeAutospacing="0" w:afterAutospacing="0"/>
      </w:pPr>
      <w:r>
        <w:rPr>
          <w:rFonts w:hint="eastAsia" w:ascii="宋体" w:hAnsi="宋体" w:eastAsia="宋体" w:cs="宋体"/>
          <w:color w:val="000000"/>
        </w:rPr>
        <w:t xml:space="preserve">投标人</w:t>
      </w:r>
      <w:r>
        <w:rPr>
          <w:rFonts w:hint="eastAsia" w:ascii="宋体" w:hAnsi="宋体" w:eastAsia="宋体" w:cs="宋体"/>
          <w:color w:val="000000"/>
          <w:lang w:val="en-US" w:eastAsia="zh-CN"/>
        </w:rPr>
        <w:t xml:space="preserve">公章</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电子签章</w:t>
      </w: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jc w:val="right"/>
        <w:rPr>
          <w:sz w:val="24"/>
        </w:rPr>
      </w:pPr>
      <w:r>
        <w:rPr>
          <w:sz w:val="24"/>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21"/>
        <w:ind w:firstLine="321"/>
        <w:jc w:val="center"/>
        <w:spacing w:beforeAutospacing="0" w:afterAutospacing="0" w:line="0" w:lineRule="atLeast"/>
        <w:rPr>
          <w:rFonts w:hint="eastAsia" w:ascii="黑体" w:hAnsi="黑体" w:eastAsia="黑体" w:cs="黑体"/>
          <w:i/>
          <w:sz w:val="32"/>
          <w:szCs w:val="32"/>
          <w:u w:val="single"/>
        </w:rPr>
        <w:outlineLvl w:val="1"/>
      </w:pPr>
      <w:r>
        <w:rPr>
          <w:rFonts w:hint="eastAsia" w:ascii="黑体" w:hAnsi="黑体" w:eastAsia="黑体" w:cs="黑体"/>
          <w:iCs/>
          <w:sz w:val="32"/>
          <w:szCs w:val="32"/>
        </w:rPr>
        <w:t xml:space="preserve">十六、</w:t>
      </w:r>
      <w:bookmarkStart w:id="212" w:name="OLE_LINK74"/>
      <w:r/>
      <w:bookmarkStart w:id="213" w:name="_Hlk194934168"/>
      <w:r>
        <w:rPr>
          <w:rFonts w:hint="eastAsia" w:ascii="黑体" w:hAnsi="黑体" w:eastAsia="黑体" w:cs="黑体"/>
          <w:iCs/>
          <w:sz w:val="32"/>
          <w:szCs w:val="32"/>
        </w:rPr>
        <w:t xml:space="preserve">技术方案、服务承诺、培训承诺等</w:t>
      </w:r>
      <w:bookmarkEnd w:id="212"/>
      <w:r/>
      <w:bookmarkEnd w:id="213"/>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1"/>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600"/>
        <w:spacing w:line="499" w:lineRule="atLeast"/>
        <w:rPr>
          <w:rFonts w:hint="eastAsia" w:ascii="宋体" w:hAnsi="宋体" w:eastAsia="宋体" w:cs="宋体"/>
          <w:b/>
          <w:bCs/>
          <w:sz w:val="24"/>
        </w:rPr>
        <w:outlineLvl w:val="1"/>
      </w:pPr>
      <w:r/>
      <w:bookmarkStart w:id="214" w:name="_Hlk194934185"/>
      <w:r>
        <w:rPr>
          <w:rFonts w:hint="eastAsia" w:ascii="宋体" w:hAnsi="宋体" w:eastAsia="宋体" w:cs="宋体"/>
          <w:b/>
          <w:bCs/>
          <w:color w:val="000000"/>
          <w:sz w:val="32"/>
          <w:szCs w:val="32"/>
        </w:rPr>
        <w:t xml:space="preserve">十七、</w:t>
      </w:r>
      <w:bookmarkStart w:id="215" w:name="OLE_LINK75"/>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rPr>
          <w:rFonts w:hint="eastAsia"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187"/>
      <w:r/>
      <w:bookmarkEnd w:id="188"/>
      <w:r/>
      <w:bookmarkEnd w:id="189"/>
      <w:r/>
      <w:bookmarkEnd w:id="198"/>
      <w:r/>
      <w:bookmarkEnd w:id="207"/>
      <w:r/>
      <w:bookmarkEnd w:id="208"/>
      <w:r/>
      <w:bookmarkEnd w:id="209"/>
      <w:r/>
      <w:bookmarkEnd w:id="210"/>
      <w:r/>
      <w:bookmarkEnd w:id="211"/>
      <w:r/>
      <w:bookmarkEnd w:id="214"/>
      <w:r/>
      <w:bookmarkEnd w:id="215"/>
      <w:r/>
      <w:r/>
    </w:p>
    <w:p>
      <w:pPr>
        <w:pStyle w:val="721"/>
        <w:jc w:val="center"/>
        <w:spacing w:beforeAutospacing="0" w:afterAutospacing="0"/>
      </w:pPr>
      <w:r/>
      <w:r/>
    </w:p>
    <w:p>
      <w:pPr>
        <w:pStyle w:val="721"/>
        <w:jc w:val="center"/>
        <w:spacing w:beforeAutospacing="0" w:afterAutospacing="0"/>
      </w:pPr>
      <w:r/>
      <w:r/>
    </w:p>
    <w:p>
      <w:pPr>
        <w:pStyle w:val="721"/>
        <w:jc w:val="center"/>
        <w:spacing w:beforeAutospacing="0" w:afterAutospacing="0"/>
      </w:pPr>
      <w:r/>
      <w:r/>
    </w:p>
    <w:p>
      <w:pPr>
        <w:pStyle w:val="721"/>
        <w:jc w:val="center"/>
        <w:spacing w:beforeAutospacing="0" w:afterAutospacing="0"/>
      </w:pPr>
      <w:r/>
      <w:r/>
    </w:p>
    <w:p>
      <w:pPr>
        <w:pStyle w:val="721"/>
        <w:jc w:val="center"/>
        <w:spacing w:beforeAutospacing="0" w:afterAutospacing="0"/>
      </w:pPr>
      <w:r/>
      <w:r/>
    </w:p>
    <w:p>
      <w:pPr>
        <w:pStyle w:val="721"/>
        <w:jc w:val="center"/>
        <w:spacing w:beforeAutospacing="0" w:afterAutospacing="0"/>
      </w:p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721"/>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21"/>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p>
    <w:p>
      <w:pPr>
        <w:pStyle w:val="72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2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联系话：</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2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2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2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2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21"/>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721"/>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21"/>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21"/>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21"/>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21"/>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21"/>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21"/>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21"/>
        <w:ind w:firstLine="241"/>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721"/>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21"/>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1"/>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21"/>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21"/>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21"/>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21"/>
        <w:ind w:firstLine="480"/>
        <w:spacing w:beforeAutospacing="0" w:afterAutospacing="0" w:line="500" w:lineRule="exact"/>
      </w:pPr>
      <w:r/>
      <w:r/>
    </w:p>
    <w:p>
      <w:pPr>
        <w:pStyle w:val="721"/>
        <w:spacing w:beforeAutospacing="0" w:afterAutospacing="0"/>
      </w:pPr>
      <w:r/>
      <w:r/>
    </w:p>
    <w:sectPr>
      <w:footnotePr/>
      <w:endnotePr/>
      <w:type w:val="nextPage"/>
      <w:pgSz w:w="11906" w:h="16838" w:orient="portrait"/>
      <w:pgMar w:top="1247" w:right="1417" w:bottom="124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等线">
    <w:panose1 w:val="02010600030101010101"/>
  </w:font>
  <w:font w:name="楷体_GB2312">
    <w:panose1 w:val="02010609060101010101"/>
  </w:font>
  <w:font w:name="Formata">
    <w:panose1 w:val="020B0503020202020204"/>
  </w:font>
  <w:font w:name="华文楷体">
    <w:panose1 w:val="02010600040101010101"/>
  </w:font>
  <w:font w:name="Wingdings">
    <w:panose1 w:val="05000000000000000000"/>
  </w:font>
  <w:font w:name="_x000B__x000C_">
    <w:panose1 w:val="020B0503020202020204"/>
  </w:font>
  <w:font w:name="Courier New">
    <w:panose1 w:val="02070309020205020404"/>
  </w:font>
  <w:font w:name="Calibri">
    <w:panose1 w:val="020F0502020204030204"/>
  </w:font>
  <w:font w:name="Arial">
    <w:panose1 w:val="020B0604020202020204"/>
  </w:font>
  <w:font w:name="华文中宋">
    <w:panose1 w:val="02010600040101010101"/>
  </w:font>
  <w:font w:name="仿宋_GB2312">
    <w:panose1 w:val="020106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9"/>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lvlOverride w:ilvl="0">
      <w:startOverride w:val="2"/>
    </w:lvlOverride>
  </w:num>
  <w:num w:numId="5">
    <w:abstractNumId w:val="5"/>
    <w:lvlOverride w:ilvl="0">
      <w:startOverride w:val="6"/>
    </w:lvlOverride>
  </w:num>
  <w:num w:numId="6">
    <w:abstractNumId w:val="7"/>
    <w:lvlOverride w:ilvl="0">
      <w:startOverride w:val="16"/>
    </w:lvlOverride>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link w:val="923"/>
    <w:uiPriority w:val="0"/>
    <w:qFormat/>
    <w:pPr>
      <w:ind w:firstLine="482"/>
      <w:jc w:val="both"/>
    </w:pPr>
    <w:rPr>
      <w:rFonts w:hint="default" w:asciiTheme="minorHAnsi" w:hAnsiTheme="minorHAnsi" w:eastAsiaTheme="minorEastAsia" w:cstheme="minorBidi"/>
      <w:sz w:val="21"/>
      <w:szCs w:val="24"/>
      <w:lang w:val="en-US" w:eastAsia="zh-CN" w:bidi="ar-SA"/>
    </w:rPr>
  </w:style>
  <w:style w:type="paragraph" w:styleId="686">
    <w:name w:val="Heading 1"/>
    <w:basedOn w:val="685"/>
    <w:next w:val="685"/>
    <w:link w:val="920"/>
    <w:uiPriority w:val="0"/>
    <w:qFormat/>
    <w:pPr>
      <w:keepLines/>
      <w:keepNext/>
      <w:spacing w:before="340" w:after="330" w:line="578" w:lineRule="auto"/>
      <w:outlineLvl w:val="0"/>
    </w:pPr>
    <w:rPr>
      <w:b/>
      <w:bCs/>
      <w:sz w:val="44"/>
      <w:szCs w:val="44"/>
    </w:rPr>
  </w:style>
  <w:style w:type="paragraph" w:styleId="687">
    <w:name w:val="Heading 2"/>
    <w:basedOn w:val="685"/>
    <w:next w:val="685"/>
    <w:uiPriority w:val="0"/>
    <w:unhideWhenUsed/>
    <w:qFormat/>
    <w:pPr>
      <w:jc w:val="left"/>
      <w:spacing w:before="100" w:beforeAutospacing="1"/>
      <w:outlineLvl w:val="1"/>
    </w:pPr>
    <w:rPr>
      <w:rFonts w:ascii="黑体" w:hAnsi="黑体" w:eastAsia="黑体" w:cs="Times New Roman"/>
      <w:bCs/>
      <w:i/>
      <w:sz w:val="32"/>
      <w:szCs w:val="32"/>
      <w:u w:val="single"/>
    </w:rPr>
  </w:style>
  <w:style w:type="paragraph" w:styleId="688">
    <w:name w:val="Heading 3"/>
    <w:basedOn w:val="685"/>
    <w:next w:val="685"/>
    <w:link w:val="790"/>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91"/>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92"/>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93"/>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95"/>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96"/>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firstLine="0"/>
      <w:spacing w:after="57"/>
    </w:pPr>
  </w:style>
  <w:style w:type="paragraph" w:styleId="698">
    <w:name w:val="Caption"/>
    <w:basedOn w:val="685"/>
    <w:next w:val="6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9">
    <w:name w:val="annotation text"/>
    <w:basedOn w:val="685"/>
    <w:link w:val="943"/>
    <w:uiPriority w:val="0"/>
    <w:qFormat/>
    <w:pPr>
      <w:jc w:val="left"/>
    </w:pPr>
  </w:style>
  <w:style w:type="paragraph" w:styleId="700">
    <w:name w:val="Body Text"/>
    <w:basedOn w:val="685"/>
    <w:uiPriority w:val="0"/>
    <w:unhideWhenUsed/>
    <w:qFormat/>
    <w:pPr>
      <w:spacing w:after="120"/>
    </w:pPr>
    <w:rPr>
      <w:rFonts w:ascii="Calibri" w:hAnsi="Calibri"/>
      <w:szCs w:val="22"/>
    </w:rPr>
  </w:style>
  <w:style w:type="paragraph" w:styleId="701">
    <w:name w:val="Body Text Indent"/>
    <w:basedOn w:val="685"/>
    <w:uiPriority w:val="0"/>
    <w:qFormat/>
    <w:pPr>
      <w:ind w:left="420"/>
      <w:spacing w:after="120"/>
    </w:pPr>
  </w:style>
  <w:style w:type="paragraph" w:styleId="702">
    <w:name w:val="index 4"/>
    <w:basedOn w:val="685"/>
    <w:next w:val="685"/>
    <w:uiPriority w:val="99"/>
    <w:unhideWhenUsed/>
    <w:qFormat/>
    <w:pPr>
      <w:ind w:left="600"/>
    </w:pPr>
    <w:rPr>
      <w:rFonts w:ascii="Calibri" w:hAnsi="Calibri"/>
      <w:szCs w:val="22"/>
    </w:rPr>
  </w:style>
  <w:style w:type="paragraph" w:styleId="703">
    <w:name w:val="toc 5"/>
    <w:basedOn w:val="685"/>
    <w:next w:val="685"/>
    <w:uiPriority w:val="39"/>
    <w:unhideWhenUsed/>
    <w:qFormat/>
    <w:pPr>
      <w:ind w:left="1134" w:firstLine="0"/>
      <w:spacing w:after="57"/>
    </w:pPr>
  </w:style>
  <w:style w:type="paragraph" w:styleId="704">
    <w:name w:val="toc 3"/>
    <w:basedOn w:val="685"/>
    <w:next w:val="685"/>
    <w:uiPriority w:val="39"/>
    <w:unhideWhenUsed/>
    <w:qFormat/>
    <w:pPr>
      <w:ind w:left="567" w:firstLine="0"/>
      <w:spacing w:after="57"/>
    </w:pPr>
  </w:style>
  <w:style w:type="paragraph" w:styleId="705">
    <w:name w:val="Plain Text"/>
    <w:basedOn w:val="685"/>
    <w:uiPriority w:val="0"/>
    <w:unhideWhenUsed/>
    <w:qFormat/>
    <w:rPr>
      <w:rFonts w:ascii="宋体" w:hAnsi="Courier New" w:cs="Courier New"/>
      <w:szCs w:val="21"/>
    </w:rPr>
  </w:style>
  <w:style w:type="paragraph" w:styleId="706">
    <w:name w:val="toc 8"/>
    <w:basedOn w:val="685"/>
    <w:next w:val="685"/>
    <w:uiPriority w:val="39"/>
    <w:unhideWhenUsed/>
    <w:qFormat/>
    <w:pPr>
      <w:ind w:left="1984" w:firstLine="0"/>
      <w:spacing w:after="57"/>
    </w:pPr>
  </w:style>
  <w:style w:type="paragraph" w:styleId="707">
    <w:name w:val="endnote text"/>
    <w:basedOn w:val="685"/>
    <w:link w:val="914"/>
    <w:uiPriority w:val="99"/>
    <w:semiHidden/>
    <w:unhideWhenUsed/>
    <w:qFormat/>
    <w:rPr>
      <w:sz w:val="20"/>
    </w:rPr>
  </w:style>
  <w:style w:type="paragraph" w:styleId="708">
    <w:name w:val="Balloon Text"/>
    <w:basedOn w:val="685"/>
    <w:link w:val="925"/>
    <w:uiPriority w:val="0"/>
    <w:semiHidden/>
    <w:unhideWhenUsed/>
    <w:qFormat/>
    <w:rPr>
      <w:sz w:val="18"/>
      <w:szCs w:val="18"/>
    </w:rPr>
  </w:style>
  <w:style w:type="paragraph" w:styleId="709">
    <w:name w:val="Footer"/>
    <w:basedOn w:val="685"/>
    <w:link w:val="917"/>
    <w:uiPriority w:val="0"/>
    <w:qFormat/>
    <w:pPr>
      <w:jc w:val="left"/>
      <w:tabs>
        <w:tab w:val="center" w:pos="4153" w:leader="none"/>
        <w:tab w:val="right" w:pos="8306" w:leader="none"/>
      </w:tabs>
    </w:pPr>
    <w:rPr>
      <w:sz w:val="18"/>
      <w:szCs w:val="18"/>
    </w:rPr>
  </w:style>
  <w:style w:type="paragraph" w:styleId="710">
    <w:name w:val="envelope return"/>
    <w:basedOn w:val="685"/>
    <w:uiPriority w:val="0"/>
    <w:unhideWhenUsed/>
    <w:qFormat/>
    <w:rPr>
      <w:rFonts w:ascii="Arial" w:hAnsi="Arial"/>
    </w:rPr>
  </w:style>
  <w:style w:type="paragraph" w:styleId="711">
    <w:name w:val="Header"/>
    <w:basedOn w:val="685"/>
    <w:link w:val="916"/>
    <w:uiPriority w:val="0"/>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5"/>
    <w:next w:val="685"/>
    <w:uiPriority w:val="39"/>
    <w:unhideWhenUsed/>
    <w:qFormat/>
    <w:pPr>
      <w:ind w:firstLine="0"/>
      <w:spacing w:after="57"/>
    </w:pPr>
  </w:style>
  <w:style w:type="paragraph" w:styleId="713">
    <w:name w:val="toc 4"/>
    <w:basedOn w:val="685"/>
    <w:next w:val="685"/>
    <w:uiPriority w:val="39"/>
    <w:unhideWhenUsed/>
    <w:qFormat/>
    <w:pPr>
      <w:ind w:left="850" w:firstLine="0"/>
      <w:spacing w:after="57"/>
    </w:pPr>
  </w:style>
  <w:style w:type="paragraph" w:styleId="714">
    <w:name w:val="Subtitle"/>
    <w:basedOn w:val="685"/>
    <w:next w:val="685"/>
    <w:link w:val="799"/>
    <w:uiPriority w:val="11"/>
    <w:qFormat/>
    <w:pPr>
      <w:spacing w:before="200" w:after="200"/>
    </w:pPr>
    <w:rPr>
      <w:sz w:val="24"/>
    </w:rPr>
  </w:style>
  <w:style w:type="paragraph" w:styleId="715">
    <w:name w:val="footnote text"/>
    <w:basedOn w:val="685"/>
    <w:link w:val="913"/>
    <w:uiPriority w:val="99"/>
    <w:semiHidden/>
    <w:unhideWhenUsed/>
    <w:qFormat/>
    <w:pPr>
      <w:spacing w:after="40"/>
    </w:pPr>
    <w:rPr>
      <w:sz w:val="18"/>
    </w:rPr>
  </w:style>
  <w:style w:type="paragraph" w:styleId="716">
    <w:name w:val="toc 6"/>
    <w:basedOn w:val="685"/>
    <w:next w:val="685"/>
    <w:uiPriority w:val="39"/>
    <w:unhideWhenUsed/>
    <w:qFormat/>
    <w:pPr>
      <w:ind w:left="1417" w:firstLine="0"/>
      <w:spacing w:after="57"/>
    </w:pPr>
  </w:style>
  <w:style w:type="paragraph" w:styleId="717">
    <w:name w:val="table of figures"/>
    <w:basedOn w:val="685"/>
    <w:next w:val="685"/>
    <w:uiPriority w:val="99"/>
    <w:unhideWhenUsed/>
    <w:qFormat/>
  </w:style>
  <w:style w:type="paragraph" w:styleId="718">
    <w:name w:val="toc 2"/>
    <w:basedOn w:val="685"/>
    <w:next w:val="685"/>
    <w:uiPriority w:val="39"/>
    <w:unhideWhenUsed/>
    <w:qFormat/>
    <w:pPr>
      <w:ind w:left="283" w:firstLine="0"/>
      <w:spacing w:after="57"/>
    </w:pPr>
  </w:style>
  <w:style w:type="paragraph" w:styleId="719">
    <w:name w:val="toc 9"/>
    <w:basedOn w:val="685"/>
    <w:next w:val="685"/>
    <w:uiPriority w:val="39"/>
    <w:unhideWhenUsed/>
    <w:qFormat/>
    <w:pPr>
      <w:ind w:left="2268" w:firstLine="0"/>
      <w:spacing w:after="57"/>
    </w:pPr>
  </w:style>
  <w:style w:type="paragraph" w:styleId="720">
    <w:name w:val="Body Text 2"/>
    <w:basedOn w:val="685"/>
    <w:uiPriority w:val="0"/>
    <w:qFormat/>
    <w:pPr>
      <w:spacing w:after="120" w:line="480" w:lineRule="auto"/>
    </w:pPr>
  </w:style>
  <w:style w:type="paragraph" w:styleId="721">
    <w:name w:val="Normal (Web)"/>
    <w:basedOn w:val="685"/>
    <w:uiPriority w:val="0"/>
    <w:qFormat/>
    <w:pPr>
      <w:jc w:val="left"/>
      <w:spacing w:beforeAutospacing="1" w:afterAutospacing="1"/>
    </w:pPr>
    <w:rPr>
      <w:rFonts w:cs="Times New Roman"/>
      <w:sz w:val="24"/>
    </w:rPr>
  </w:style>
  <w:style w:type="paragraph" w:styleId="722">
    <w:name w:val="Title"/>
    <w:basedOn w:val="685"/>
    <w:next w:val="685"/>
    <w:link w:val="798"/>
    <w:uiPriority w:val="10"/>
    <w:qFormat/>
    <w:pPr>
      <w:contextualSpacing/>
      <w:spacing w:before="300" w:after="200"/>
    </w:pPr>
    <w:rPr>
      <w:sz w:val="48"/>
      <w:szCs w:val="48"/>
    </w:rPr>
  </w:style>
  <w:style w:type="paragraph" w:styleId="723">
    <w:name w:val="annotation subject"/>
    <w:basedOn w:val="699"/>
    <w:next w:val="699"/>
    <w:link w:val="944"/>
    <w:uiPriority w:val="99"/>
    <w:semiHidden/>
    <w:unhideWhenUsed/>
    <w:qFormat/>
    <w:rPr>
      <w:b/>
      <w:bCs/>
    </w:rPr>
  </w:style>
  <w:style w:type="paragraph" w:styleId="724">
    <w:name w:val="Body Text First Indent"/>
    <w:basedOn w:val="700"/>
    <w:link w:val="938"/>
    <w:uiPriority w:val="0"/>
    <w:qFormat/>
    <w:pPr>
      <w:ind w:firstLine="420"/>
    </w:pPr>
    <w:rPr>
      <w:rFonts w:asciiTheme="minorHAnsi" w:hAnsiTheme="minorHAnsi"/>
      <w:szCs w:val="24"/>
    </w:rPr>
  </w:style>
  <w:style w:type="paragraph" w:styleId="725">
    <w:name w:val="Body Text First Indent 2"/>
    <w:basedOn w:val="701"/>
    <w:uiPriority w:val="0"/>
    <w:unhideWhenUsed/>
    <w:qFormat/>
    <w:pPr>
      <w:ind w:firstLine="420"/>
    </w:pPr>
  </w:style>
  <w:style w:type="table" w:styleId="726">
    <w:name w:val="Table Grid"/>
    <w:basedOn w:val="6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basedOn w:val="695"/>
    <w:uiPriority w:val="22"/>
    <w:qFormat/>
    <w:rPr>
      <w:b/>
    </w:rPr>
  </w:style>
  <w:style w:type="character" w:styleId="728">
    <w:name w:val="endnote reference"/>
    <w:basedOn w:val="695"/>
    <w:uiPriority w:val="99"/>
    <w:semiHidden/>
    <w:unhideWhenUsed/>
    <w:qFormat/>
    <w:rPr>
      <w:vertAlign w:val="superscript"/>
    </w:rPr>
  </w:style>
  <w:style w:type="character" w:styleId="729">
    <w:name w:val="Hyperlink"/>
    <w:uiPriority w:val="99"/>
    <w:unhideWhenUsed/>
    <w:qFormat/>
    <w:rPr>
      <w:color w:val="0563c1" w:themeColor="hyperlink"/>
      <w:u w:val="single"/>
      <w14:textFill>
        <w14:solidFill>
          <w14:schemeClr w14:val="hlink"/>
        </w14:solidFill>
      </w14:textFill>
    </w:rPr>
  </w:style>
  <w:style w:type="character" w:styleId="730">
    <w:name w:val="annotation reference"/>
    <w:basedOn w:val="695"/>
    <w:uiPriority w:val="99"/>
    <w:semiHidden/>
    <w:unhideWhenUsed/>
    <w:qFormat/>
    <w:rPr>
      <w:sz w:val="21"/>
      <w:szCs w:val="21"/>
    </w:rPr>
  </w:style>
  <w:style w:type="character" w:styleId="731">
    <w:name w:val="footnote reference"/>
    <w:basedOn w:val="695"/>
    <w:uiPriority w:val="99"/>
    <w:unhideWhenUsed/>
    <w:qFormat/>
    <w:rPr>
      <w:vertAlign w:val="superscript"/>
    </w:rPr>
  </w:style>
  <w:style w:type="table" w:styleId="732"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table" w:styleId="752" w:customStyle="1">
    <w:name w:val="无格式表格 1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网格表 7 彩色1"/>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6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清单表 6 彩色1"/>
    <w:basedOn w:val="6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清单表 7 彩色1"/>
    <w:basedOn w:val="6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1" w:customStyle="1">
    <w:name w:val="TOC 标题1"/>
    <w:uiPriority w:val="39"/>
    <w:unhideWhenUsed/>
    <w:qFormat/>
    <w:rPr>
      <w:rFonts w:hint="default" w:ascii="Times New Roman" w:hAnsi="Times New Roman" w:eastAsia="宋体" w:cs="Times New Roman"/>
      <w:lang w:val="en-US" w:eastAsia="zh-CN" w:bidi="ar-SA"/>
    </w:rPr>
  </w:style>
  <w:style w:type="character" w:styleId="772" w:customStyle="1">
    <w:name w:val="Heading 3 Char"/>
    <w:basedOn w:val="695"/>
    <w:uiPriority w:val="9"/>
    <w:qFormat/>
    <w:rPr>
      <w:rFonts w:ascii="Arial" w:hAnsi="Arial" w:eastAsia="Arial" w:cs="Arial"/>
      <w:sz w:val="30"/>
      <w:szCs w:val="30"/>
    </w:rPr>
  </w:style>
  <w:style w:type="character" w:styleId="773" w:customStyle="1">
    <w:name w:val="Heading 4 Char"/>
    <w:basedOn w:val="695"/>
    <w:uiPriority w:val="9"/>
    <w:qFormat/>
    <w:rPr>
      <w:rFonts w:ascii="Arial" w:hAnsi="Arial" w:eastAsia="Arial" w:cs="Arial"/>
      <w:b/>
      <w:bCs/>
      <w:sz w:val="26"/>
      <w:szCs w:val="26"/>
    </w:rPr>
  </w:style>
  <w:style w:type="character" w:styleId="774" w:customStyle="1">
    <w:name w:val="Heading 5 Char"/>
    <w:basedOn w:val="695"/>
    <w:uiPriority w:val="9"/>
    <w:qFormat/>
    <w:rPr>
      <w:rFonts w:ascii="Arial" w:hAnsi="Arial" w:eastAsia="Arial" w:cs="Arial"/>
      <w:b/>
      <w:bCs/>
      <w:sz w:val="24"/>
      <w:szCs w:val="24"/>
    </w:rPr>
  </w:style>
  <w:style w:type="character" w:styleId="775" w:customStyle="1">
    <w:name w:val="Heading 6 Char"/>
    <w:basedOn w:val="695"/>
    <w:uiPriority w:val="9"/>
    <w:qFormat/>
    <w:rPr>
      <w:rFonts w:ascii="Arial" w:hAnsi="Arial" w:eastAsia="Arial" w:cs="Arial"/>
      <w:b/>
      <w:bCs/>
      <w:sz w:val="22"/>
      <w:szCs w:val="22"/>
    </w:rPr>
  </w:style>
  <w:style w:type="character" w:styleId="776" w:customStyle="1">
    <w:name w:val="Heading 7 Char"/>
    <w:basedOn w:val="695"/>
    <w:uiPriority w:val="9"/>
    <w:qFormat/>
    <w:rPr>
      <w:rFonts w:ascii="Arial" w:hAnsi="Arial" w:eastAsia="Arial" w:cs="Arial"/>
      <w:b/>
      <w:bCs/>
      <w:i/>
      <w:iCs/>
      <w:sz w:val="22"/>
      <w:szCs w:val="22"/>
    </w:rPr>
  </w:style>
  <w:style w:type="character" w:styleId="777" w:customStyle="1">
    <w:name w:val="Heading 8 Char"/>
    <w:basedOn w:val="695"/>
    <w:uiPriority w:val="9"/>
    <w:qFormat/>
    <w:rPr>
      <w:rFonts w:ascii="Arial" w:hAnsi="Arial" w:eastAsia="Arial" w:cs="Arial"/>
      <w:i/>
      <w:iCs/>
      <w:sz w:val="22"/>
      <w:szCs w:val="22"/>
    </w:rPr>
  </w:style>
  <w:style w:type="character" w:styleId="778" w:customStyle="1">
    <w:name w:val="Heading 9 Char"/>
    <w:basedOn w:val="695"/>
    <w:uiPriority w:val="9"/>
    <w:qFormat/>
    <w:rPr>
      <w:rFonts w:ascii="Arial" w:hAnsi="Arial" w:eastAsia="Arial" w:cs="Arial"/>
      <w:i/>
      <w:iCs/>
      <w:sz w:val="21"/>
      <w:szCs w:val="21"/>
    </w:rPr>
  </w:style>
  <w:style w:type="character" w:styleId="779" w:customStyle="1">
    <w:name w:val="Title Char"/>
    <w:basedOn w:val="695"/>
    <w:uiPriority w:val="10"/>
    <w:qFormat/>
    <w:rPr>
      <w:sz w:val="48"/>
      <w:szCs w:val="48"/>
    </w:rPr>
  </w:style>
  <w:style w:type="character" w:styleId="780" w:customStyle="1">
    <w:name w:val="Subtitle Char"/>
    <w:basedOn w:val="695"/>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11"/>
    <w:uiPriority w:val="39"/>
    <w:unhideWhenUsed/>
    <w:qFormat/>
    <w:rPr>
      <w:rFonts w:hint="default" w:ascii="Times New Roman" w:hAnsi="Times New Roman" w:eastAsia="宋体" w:cs="Times New Roman"/>
      <w:lang w:val="en-US" w:eastAsia="zh-CN" w:bidi="ar-SA"/>
    </w:rPr>
  </w:style>
  <w:style w:type="paragraph" w:styleId="786" w:customStyle="1">
    <w:name w:val="正文缩进1"/>
    <w:basedOn w:val="685"/>
    <w:uiPriority w:val="0"/>
    <w:qFormat/>
    <w:pPr>
      <w:ind w:firstLine="420"/>
    </w:pPr>
  </w:style>
  <w:style w:type="paragraph" w:styleId="787" w:customStyle="1">
    <w:name w:val="文档结构图11"/>
    <w:basedOn w:val="685"/>
    <w:uiPriority w:val="0"/>
    <w:qFormat/>
    <w:pPr>
      <w:shd w:val="clear" w:color="auto" w:fill="000080"/>
    </w:pPr>
    <w:rPr>
      <w:rFonts w:ascii="Times New Roman" w:hAnsi="Times New Roman" w:eastAsia="宋体" w:cs="Times New Roman"/>
      <w:szCs w:val="21"/>
    </w:rPr>
  </w:style>
  <w:style w:type="character" w:styleId="788" w:customStyle="1">
    <w:name w:val="Heading 1 Char"/>
    <w:basedOn w:val="695"/>
    <w:uiPriority w:val="9"/>
    <w:qFormat/>
    <w:rPr>
      <w:rFonts w:ascii="Arial" w:hAnsi="Arial" w:eastAsia="Arial" w:cs="Arial"/>
      <w:sz w:val="40"/>
      <w:szCs w:val="40"/>
    </w:rPr>
  </w:style>
  <w:style w:type="character" w:styleId="789" w:customStyle="1">
    <w:name w:val="Heading 2 Char"/>
    <w:basedOn w:val="695"/>
    <w:uiPriority w:val="9"/>
    <w:qFormat/>
    <w:rPr>
      <w:rFonts w:ascii="Arial" w:hAnsi="Arial" w:eastAsia="Arial" w:cs="Arial"/>
      <w:sz w:val="34"/>
    </w:rPr>
  </w:style>
  <w:style w:type="character" w:styleId="790" w:customStyle="1">
    <w:name w:val="标题 3 字符"/>
    <w:basedOn w:val="695"/>
    <w:link w:val="688"/>
    <w:uiPriority w:val="9"/>
    <w:qFormat/>
    <w:rPr>
      <w:rFonts w:ascii="Arial" w:hAnsi="Arial" w:eastAsia="Arial" w:cs="Arial"/>
      <w:sz w:val="30"/>
      <w:szCs w:val="30"/>
    </w:rPr>
  </w:style>
  <w:style w:type="character" w:styleId="791" w:customStyle="1">
    <w:name w:val="标题 4 字符"/>
    <w:basedOn w:val="695"/>
    <w:link w:val="689"/>
    <w:uiPriority w:val="9"/>
    <w:qFormat/>
    <w:rPr>
      <w:rFonts w:ascii="Arial" w:hAnsi="Arial" w:eastAsia="Arial" w:cs="Arial"/>
      <w:b/>
      <w:bCs/>
      <w:sz w:val="26"/>
      <w:szCs w:val="26"/>
    </w:rPr>
  </w:style>
  <w:style w:type="character" w:styleId="792" w:customStyle="1">
    <w:name w:val="标题 5 字符"/>
    <w:basedOn w:val="695"/>
    <w:link w:val="690"/>
    <w:uiPriority w:val="9"/>
    <w:qFormat/>
    <w:rPr>
      <w:rFonts w:ascii="Arial" w:hAnsi="Arial" w:eastAsia="Arial" w:cs="Arial"/>
      <w:b/>
      <w:bCs/>
      <w:sz w:val="24"/>
      <w:szCs w:val="24"/>
    </w:rPr>
  </w:style>
  <w:style w:type="character" w:styleId="793" w:customStyle="1">
    <w:name w:val="标题 6 字符"/>
    <w:basedOn w:val="695"/>
    <w:link w:val="691"/>
    <w:uiPriority w:val="9"/>
    <w:qFormat/>
    <w:rPr>
      <w:rFonts w:ascii="Arial" w:hAnsi="Arial" w:eastAsia="Arial" w:cs="Arial"/>
      <w:b/>
      <w:bCs/>
      <w:sz w:val="22"/>
      <w:szCs w:val="22"/>
    </w:rPr>
  </w:style>
  <w:style w:type="character" w:styleId="794" w:customStyle="1">
    <w:name w:val="标题 7 字符"/>
    <w:basedOn w:val="695"/>
    <w:link w:val="692"/>
    <w:uiPriority w:val="9"/>
    <w:qFormat/>
    <w:rPr>
      <w:rFonts w:ascii="Arial" w:hAnsi="Arial" w:eastAsia="Arial" w:cs="Arial"/>
      <w:b/>
      <w:bCs/>
      <w:i/>
      <w:iCs/>
      <w:sz w:val="22"/>
      <w:szCs w:val="22"/>
    </w:rPr>
  </w:style>
  <w:style w:type="character" w:styleId="795" w:customStyle="1">
    <w:name w:val="标题 8 字符"/>
    <w:basedOn w:val="695"/>
    <w:link w:val="693"/>
    <w:uiPriority w:val="9"/>
    <w:qFormat/>
    <w:rPr>
      <w:rFonts w:ascii="Arial" w:hAnsi="Arial" w:eastAsia="Arial" w:cs="Arial"/>
      <w:i/>
      <w:iCs/>
      <w:sz w:val="22"/>
      <w:szCs w:val="22"/>
    </w:rPr>
  </w:style>
  <w:style w:type="character" w:styleId="796" w:customStyle="1">
    <w:name w:val="标题 9 字符"/>
    <w:basedOn w:val="695"/>
    <w:link w:val="694"/>
    <w:uiPriority w:val="9"/>
    <w:qFormat/>
    <w:rPr>
      <w:rFonts w:ascii="Arial" w:hAnsi="Arial" w:eastAsia="Arial" w:cs="Arial"/>
      <w:i/>
      <w:iCs/>
      <w:sz w:val="21"/>
      <w:szCs w:val="21"/>
    </w:r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字符"/>
    <w:basedOn w:val="695"/>
    <w:link w:val="722"/>
    <w:uiPriority w:val="10"/>
    <w:qFormat/>
    <w:rPr>
      <w:sz w:val="48"/>
      <w:szCs w:val="48"/>
    </w:rPr>
  </w:style>
  <w:style w:type="character" w:styleId="799" w:customStyle="1">
    <w:name w:val="副标题 字符"/>
    <w:basedOn w:val="695"/>
    <w:link w:val="714"/>
    <w:uiPriority w:val="11"/>
    <w:qFormat/>
    <w:rPr>
      <w:sz w:val="24"/>
      <w:szCs w:val="24"/>
    </w:rPr>
  </w:style>
  <w:style w:type="paragraph" w:styleId="800">
    <w:name w:val="Quote"/>
    <w:basedOn w:val="685"/>
    <w:next w:val="685"/>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685"/>
    <w:next w:val="685"/>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Header Char"/>
    <w:basedOn w:val="695"/>
    <w:uiPriority w:val="99"/>
    <w:qFormat/>
  </w:style>
  <w:style w:type="character" w:styleId="805" w:customStyle="1">
    <w:name w:val="Footer Char"/>
    <w:basedOn w:val="695"/>
    <w:uiPriority w:val="99"/>
    <w:qFormat/>
  </w:style>
  <w:style w:type="character" w:styleId="806" w:customStyle="1">
    <w:name w:val="Caption Char"/>
    <w:uiPriority w:val="99"/>
    <w:qFormat/>
  </w:style>
  <w:style w:type="table" w:styleId="807" w:customStyle="1">
    <w:name w:val="Table Grid Light"/>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8" w:customStyle="1">
    <w:name w:val="Grid Table 1 Light - Accent 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6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6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 Accent 1"/>
    <w:basedOn w:val="6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6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6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Grid Table 3 - Accent 1"/>
    <w:basedOn w:val="6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6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6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 Accent 1"/>
    <w:basedOn w:val="6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7" w:customStyle="1">
    <w:name w:val="Grid Table 4 - Accent 2"/>
    <w:basedOn w:val="6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6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6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6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1" w:customStyle="1">
    <w:name w:val="Grid Table 4 - Accent 6"/>
    <w:basedOn w:val="6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Grid Table 5 Dark- Accent 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3" w:customStyle="1">
    <w:name w:val="Grid Table 5 Dark - Accent 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4" w:customStyle="1">
    <w:name w:val="Grid Table 5 Dark - Accent 3"/>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5" w:customStyle="1">
    <w:name w:val="Grid Table 5 Dark- Accent 4"/>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6" w:customStyle="1">
    <w:name w:val="Grid Table 5 Dark - Accent 5"/>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7" w:customStyle="1">
    <w:name w:val="Grid Table 5 Dark - Accent 6"/>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8" w:customStyle="1">
    <w:name w:val="Grid Table 6 Colorful - Accent 1"/>
    <w:basedOn w:val="6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9" w:customStyle="1">
    <w:name w:val="Grid Table 6 Colorful - Accent 2"/>
    <w:basedOn w:val="6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0" w:customStyle="1">
    <w:name w:val="Grid Table 6 Colorful - Accent 3"/>
    <w:basedOn w:val="6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1" w:customStyle="1">
    <w:name w:val="Grid Table 6 Colorful - Accent 4"/>
    <w:basedOn w:val="6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2" w:customStyle="1">
    <w:name w:val="Grid Table 6 Colorful - Accent 5"/>
    <w:basedOn w:val="6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3" w:customStyle="1">
    <w:name w:val="Grid Table 6 Colorful - Accent 6"/>
    <w:basedOn w:val="6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4" w:customStyle="1">
    <w:name w:val="Grid Table 7 Colorful - Accent 1"/>
    <w:basedOn w:val="6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6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6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6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6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6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 Accent 1"/>
    <w:basedOn w:val="6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6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6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6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6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6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List Table 2 - Accent 1"/>
    <w:basedOn w:val="6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7" w:customStyle="1">
    <w:name w:val="List Table 2 - Accent 2"/>
    <w:basedOn w:val="6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8" w:customStyle="1">
    <w:name w:val="List Table 2 - Accent 3"/>
    <w:basedOn w:val="6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9" w:customStyle="1">
    <w:name w:val="List Table 2 - Accent 4"/>
    <w:basedOn w:val="6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0" w:customStyle="1">
    <w:name w:val="List Table 2 - Accent 5"/>
    <w:basedOn w:val="6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1" w:customStyle="1">
    <w:name w:val="List Table 2 - Accent 6"/>
    <w:basedOn w:val="6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2" w:customStyle="1">
    <w:name w:val="List Table 3 - Accent 1"/>
    <w:basedOn w:val="6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3 - Accent 2"/>
    <w:basedOn w:val="6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8" w:customStyle="1">
    <w:name w:val="List Table 4 - Accent 1"/>
    <w:basedOn w:val="6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4 - Accent 2"/>
    <w:basedOn w:val="6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6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6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6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3" w:customStyle="1">
    <w:name w:val="List Table 4 - Accent 6"/>
    <w:basedOn w:val="6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List Table 5 Dark - Accent 1"/>
    <w:basedOn w:val="6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6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6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6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6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6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 Accent 1"/>
    <w:basedOn w:val="6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6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6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6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6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6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List Table 7 Colorful - Accent 1"/>
    <w:basedOn w:val="6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6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6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6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6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6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6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6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6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6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6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6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6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6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6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6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脚注文本 字符"/>
    <w:link w:val="715"/>
    <w:uiPriority w:val="99"/>
    <w:qFormat/>
    <w:rPr>
      <w:sz w:val="18"/>
    </w:rPr>
  </w:style>
  <w:style w:type="character" w:styleId="914" w:customStyle="1">
    <w:name w:val="尾注文本 字符"/>
    <w:link w:val="707"/>
    <w:uiPriority w:val="99"/>
    <w:qFormat/>
    <w:rPr>
      <w:sz w:val="20"/>
    </w:rPr>
  </w:style>
  <w:style w:type="paragraph" w:styleId="915" w:customStyle="1">
    <w:name w:val="TOC 标题11"/>
    <w:uiPriority w:val="39"/>
    <w:unhideWhenUsed/>
    <w:qFormat/>
    <w:rPr>
      <w:rFonts w:hint="default" w:ascii="Times New Roman" w:hAnsi="Times New Roman" w:eastAsia="宋体" w:cs="Times New Roman"/>
      <w:lang w:val="en-US" w:eastAsia="zh-CN" w:bidi="ar-SA"/>
    </w:rPr>
  </w:style>
  <w:style w:type="character" w:styleId="916" w:customStyle="1">
    <w:name w:val="页眉 字符"/>
    <w:basedOn w:val="695"/>
    <w:link w:val="711"/>
    <w:uiPriority w:val="0"/>
    <w:qFormat/>
    <w:rPr>
      <w:rFonts w:asciiTheme="minorHAnsi" w:hAnsiTheme="minorHAnsi" w:eastAsiaTheme="minorEastAsia" w:cstheme="minorBidi"/>
      <w:sz w:val="18"/>
      <w:szCs w:val="18"/>
    </w:rPr>
  </w:style>
  <w:style w:type="character" w:styleId="917" w:customStyle="1">
    <w:name w:val="页脚 字符"/>
    <w:basedOn w:val="695"/>
    <w:link w:val="709"/>
    <w:uiPriority w:val="0"/>
    <w:qFormat/>
    <w:rPr>
      <w:rFonts w:asciiTheme="minorHAnsi" w:hAnsiTheme="minorHAnsi" w:eastAsiaTheme="minorEastAsia" w:cstheme="minorBidi"/>
      <w:sz w:val="18"/>
      <w:szCs w:val="18"/>
    </w:rPr>
  </w:style>
  <w:style w:type="paragraph" w:styleId="918" w:customStyle="1">
    <w:name w:val="AONormal"/>
    <w:uiPriority w:val="0"/>
    <w:qFormat/>
    <w:pPr>
      <w:ind w:firstLine="440"/>
      <w:jc w:val="both"/>
      <w:spacing w:line="400" w:lineRule="exact"/>
    </w:pPr>
    <w:rPr>
      <w:rFonts w:hint="default" w:ascii="华文楷体" w:hAnsi="华文楷体" w:eastAsia="华文楷体" w:cs="华文楷体"/>
      <w:sz w:val="22"/>
      <w:szCs w:val="21"/>
      <w:lang w:val="en-US" w:eastAsia="zh-CN" w:bidi="ar-SA"/>
    </w:rPr>
  </w:style>
  <w:style w:type="paragraph" w:styleId="919" w:customStyle="1">
    <w:name w:val="页脚1"/>
    <w:basedOn w:val="685"/>
    <w:uiPriority w:val="99"/>
    <w:unhideWhenUsed/>
    <w:qFormat/>
    <w:pPr>
      <w:jc w:val="left"/>
      <w:tabs>
        <w:tab w:val="center" w:pos="4153" w:leader="none"/>
        <w:tab w:val="right" w:pos="8306" w:leader="none"/>
      </w:tabs>
    </w:pPr>
    <w:rPr>
      <w:sz w:val="18"/>
      <w:szCs w:val="18"/>
    </w:rPr>
  </w:style>
  <w:style w:type="character" w:styleId="920" w:customStyle="1">
    <w:name w:val="标题 1 字符"/>
    <w:basedOn w:val="695"/>
    <w:link w:val="686"/>
    <w:uiPriority w:val="0"/>
    <w:qFormat/>
    <w:rPr>
      <w:rFonts w:asciiTheme="minorHAnsi" w:hAnsiTheme="minorHAnsi" w:eastAsiaTheme="minorEastAsia" w:cstheme="minorBidi"/>
      <w:b/>
      <w:bCs/>
      <w:sz w:val="44"/>
      <w:szCs w:val="44"/>
    </w:rPr>
  </w:style>
  <w:style w:type="paragraph" w:styleId="921">
    <w:name w:val="List Paragraph"/>
    <w:basedOn w:val="685"/>
    <w:uiPriority w:val="34"/>
    <w:qFormat/>
    <w:pPr>
      <w:ind w:firstLine="420"/>
    </w:pPr>
  </w:style>
  <w:style w:type="paragraph" w:styleId="922" w:customStyle="1">
    <w:name w:val="Normal_1_1"/>
    <w:uiPriority w:val="0"/>
    <w:qFormat/>
    <w:pPr>
      <w:ind w:firstLine="482"/>
      <w:jc w:val="both"/>
    </w:pPr>
    <w:rPr>
      <w:rFonts w:hint="default" w:ascii="Times New Roman" w:hAnsi="Times New Roman" w:eastAsia="Times New Roman" w:cs="Times New Roman"/>
      <w:sz w:val="24"/>
      <w:szCs w:val="24"/>
      <w:lang w:val="en-US" w:eastAsia="zh-CN" w:bidi="ar-SA"/>
    </w:rPr>
  </w:style>
  <w:style w:type="character" w:styleId="923" w:customStyle="1">
    <w:name w:val="NormalCharacter"/>
    <w:link w:val="685"/>
    <w:uiPriority w:val="0"/>
    <w:semiHidden/>
    <w:qFormat/>
    <w:rPr>
      <w:rFonts w:hint="default" w:asciiTheme="minorHAnsi" w:hAnsiTheme="minorHAnsi" w:eastAsiaTheme="minorEastAsia" w:cstheme="minorBidi"/>
      <w:sz w:val="21"/>
      <w:szCs w:val="24"/>
      <w:lang w:val="en-US" w:eastAsia="zh-CN" w:bidi="ar-SA"/>
    </w:rPr>
  </w:style>
  <w:style w:type="paragraph" w:styleId="924" w:customStyle="1">
    <w:name w:val="Normal_0_3"/>
    <w:uiPriority w:val="0"/>
    <w:qFormat/>
    <w:pPr>
      <w:ind w:firstLine="482"/>
      <w:jc w:val="both"/>
    </w:pPr>
    <w:rPr>
      <w:rFonts w:hint="default" w:ascii="Times New Roman" w:hAnsi="Times New Roman" w:eastAsia="Times New Roman" w:cs="Times New Roman"/>
      <w:sz w:val="24"/>
      <w:szCs w:val="24"/>
      <w:lang w:val="en-US" w:eastAsia="zh-CN" w:bidi="ar-SA"/>
    </w:rPr>
  </w:style>
  <w:style w:type="character" w:styleId="925" w:customStyle="1">
    <w:name w:val="批注框文本 字符"/>
    <w:basedOn w:val="695"/>
    <w:link w:val="708"/>
    <w:uiPriority w:val="0"/>
    <w:semiHidden/>
    <w:qFormat/>
    <w:rPr>
      <w:rFonts w:asciiTheme="minorHAnsi" w:hAnsiTheme="minorHAnsi" w:eastAsiaTheme="minorEastAsia" w:cstheme="minorBidi"/>
      <w:sz w:val="18"/>
      <w:szCs w:val="18"/>
    </w:rPr>
  </w:style>
  <w:style w:type="paragraph" w:styleId="926"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927" w:customStyle="1">
    <w:name w:val="NormalCharacter1"/>
    <w:uiPriority w:val="0"/>
    <w:qFormat/>
    <w:rPr>
      <w:rFonts w:hint="default" w:asciiTheme="minorHAnsi" w:hAnsiTheme="minorHAnsi" w:eastAsiaTheme="minorEastAsia" w:cstheme="minorBidi"/>
      <w:sz w:val="21"/>
      <w:szCs w:val="24"/>
    </w:rPr>
  </w:style>
  <w:style w:type="paragraph" w:styleId="928" w:customStyle="1">
    <w:name w:val="无间隔1"/>
    <w:uiPriority w:val="99"/>
    <w:qFormat/>
    <w:pPr>
      <w:jc w:val="both"/>
      <w:widowControl w:val="off"/>
    </w:pPr>
    <w:rPr>
      <w:rFonts w:hint="default" w:ascii="Calibri" w:hAnsi="Calibri" w:eastAsia="宋体" w:cs="Times New Roman"/>
      <w:sz w:val="22"/>
      <w:szCs w:val="22"/>
      <w:lang w:val="en-US" w:eastAsia="zh-CN" w:bidi="ar-SA"/>
    </w:rPr>
  </w:style>
  <w:style w:type="paragraph" w:styleId="929" w:customStyle="1">
    <w:name w:val="列出段落1"/>
    <w:basedOn w:val="685"/>
    <w:uiPriority w:val="99"/>
    <w:qFormat/>
    <w:pPr>
      <w:ind w:firstLine="200"/>
    </w:pPr>
    <w:rPr>
      <w:rFonts w:ascii="Calibri" w:hAnsi="Calibri"/>
      <w:szCs w:val="22"/>
    </w:rPr>
  </w:style>
  <w:style w:type="paragraph" w:styleId="930" w:customStyle="1">
    <w:name w:val="_Style 1"/>
    <w:basedOn w:val="685"/>
    <w:uiPriority w:val="34"/>
    <w:qFormat/>
    <w:pPr>
      <w:ind w:firstLine="420"/>
    </w:pPr>
    <w:rPr>
      <w:rFonts w:ascii="Calibri" w:hAnsi="Calibri" w:eastAsia="宋体" w:cs="Times New Roman"/>
      <w:szCs w:val="22"/>
    </w:rPr>
  </w:style>
  <w:style w:type="character" w:styleId="931" w:customStyle="1">
    <w:name w:val="s141"/>
    <w:basedOn w:val="695"/>
    <w:uiPriority w:val="0"/>
    <w:qFormat/>
    <w:rPr>
      <w:rFonts w:hint="default" w:ascii="_x000B__x000C_" w:hAnsi="_x000B__x000C_" w:eastAsia="_x000B__x000C_" w:cs="_x000B__x000C_"/>
      <w:sz w:val="21"/>
      <w:szCs w:val="21"/>
    </w:rPr>
  </w:style>
  <w:style w:type="paragraph" w:styleId="932"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33" w:customStyle="1">
    <w:name w:val="正文文本1"/>
    <w:basedOn w:val="685"/>
    <w:uiPriority w:val="0"/>
    <w:qFormat/>
    <w:pPr>
      <w:widowControl w:val="off"/>
    </w:pPr>
    <w:rPr>
      <w:rFonts w:ascii="楷体_GB2312" w:hAnsi="Arial" w:eastAsia="楷体_GB2312" w:cs="Times New Roman"/>
      <w:sz w:val="28"/>
      <w:szCs w:val="28"/>
    </w:rPr>
  </w:style>
  <w:style w:type="paragraph" w:styleId="934" w:customStyle="1">
    <w:name w:val="批注文字1"/>
    <w:basedOn w:val="685"/>
    <w:uiPriority w:val="0"/>
    <w:qFormat/>
    <w:pPr>
      <w:jc w:val="left"/>
      <w:widowControl w:val="off"/>
    </w:pPr>
    <w:rPr>
      <w:rFonts w:ascii="Calibri" w:hAnsi="Calibri" w:eastAsia="宋体" w:cs="Times New Roman"/>
      <w:sz w:val="20"/>
      <w:szCs w:val="20"/>
    </w:rPr>
  </w:style>
  <w:style w:type="paragraph" w:styleId="935" w:customStyle="1">
    <w:name w:val="正文首行缩进 21"/>
    <w:basedOn w:val="936"/>
    <w:uiPriority w:val="0"/>
    <w:qFormat/>
    <w:pPr>
      <w:ind w:firstLine="420"/>
    </w:pPr>
  </w:style>
  <w:style w:type="paragraph" w:styleId="936" w:customStyle="1">
    <w:name w:val="正文文本缩进1"/>
    <w:basedOn w:val="685"/>
    <w:uiPriority w:val="0"/>
    <w:qFormat/>
    <w:pPr>
      <w:ind w:left="420"/>
      <w:spacing w:after="120"/>
    </w:pPr>
  </w:style>
  <w:style w:type="paragraph" w:styleId="937" w:customStyle="1">
    <w:name w:val="普通正文"/>
    <w:basedOn w:val="685"/>
    <w:uiPriority w:val="0"/>
    <w:qFormat/>
    <w:pPr>
      <w:ind w:firstLine="480"/>
      <w:jc w:val="left"/>
      <w:spacing w:before="120" w:after="120" w:line="360" w:lineRule="auto"/>
    </w:pPr>
    <w:rPr>
      <w:rFonts w:ascii="Arial" w:hAnsi="Arial" w:eastAsia="等线" w:cs="Arial"/>
      <w:sz w:val="24"/>
    </w:rPr>
  </w:style>
  <w:style w:type="character" w:styleId="938" w:customStyle="1">
    <w:name w:val="正文文本首行缩进 字符"/>
    <w:basedOn w:val="695"/>
    <w:link w:val="724"/>
    <w:uiPriority w:val="0"/>
    <w:qFormat/>
    <w:rPr>
      <w:rFonts w:asciiTheme="minorHAnsi" w:hAnsiTheme="minorHAnsi" w:eastAsiaTheme="minorEastAsia" w:cstheme="minorBidi"/>
      <w:sz w:val="21"/>
      <w:szCs w:val="24"/>
    </w:rPr>
  </w:style>
  <w:style w:type="paragraph" w:styleId="939"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paragraph" w:styleId="940" w:customStyle="1">
    <w:name w:val="正文首行缩进11"/>
    <w:basedOn w:val="941"/>
    <w:next w:val="685"/>
    <w:uiPriority w:val="99"/>
    <w:unhideWhenUsed/>
    <w:qFormat/>
    <w:pPr>
      <w:ind w:firstLine="420"/>
    </w:pPr>
    <w:rPr>
      <w:rFonts w:ascii="Times New Roman" w:hAnsi="Times New Roman"/>
    </w:rPr>
  </w:style>
  <w:style w:type="paragraph" w:styleId="941" w:customStyle="1">
    <w:name w:val="正文文本11"/>
    <w:basedOn w:val="685"/>
    <w:next w:val="685"/>
    <w:uiPriority w:val="0"/>
    <w:qFormat/>
    <w:rPr>
      <w:rFonts w:ascii="楷体_GB2312" w:hAnsi="Arial" w:eastAsia="楷体_GB2312"/>
      <w:sz w:val="28"/>
      <w:szCs w:val="28"/>
      <w:lang w:eastAsia="en-US"/>
    </w:rPr>
  </w:style>
  <w:style w:type="paragraph" w:styleId="942" w:customStyle="1">
    <w:name w:val="段落文字"/>
    <w:basedOn w:val="685"/>
    <w:uiPriority w:val="0"/>
    <w:qFormat/>
    <w:rPr>
      <w:rFonts w:cs="Times New Roman"/>
      <w:color w:val="000000"/>
      <w:sz w:val="24"/>
      <w:szCs w:val="28"/>
    </w:rPr>
  </w:style>
  <w:style w:type="character" w:styleId="943" w:customStyle="1">
    <w:name w:val="批注文字 字符"/>
    <w:basedOn w:val="695"/>
    <w:link w:val="699"/>
    <w:uiPriority w:val="0"/>
    <w:qFormat/>
    <w:rPr>
      <w:rFonts w:asciiTheme="minorHAnsi" w:hAnsiTheme="minorHAnsi" w:eastAsiaTheme="minorEastAsia" w:cstheme="minorBidi"/>
      <w:sz w:val="21"/>
      <w:szCs w:val="24"/>
    </w:rPr>
  </w:style>
  <w:style w:type="character" w:styleId="944" w:customStyle="1">
    <w:name w:val="批注主题 字符"/>
    <w:basedOn w:val="943"/>
    <w:link w:val="723"/>
    <w:uiPriority w:val="99"/>
    <w:semiHidden/>
    <w:qFormat/>
    <w:rPr>
      <w:rFonts w:asciiTheme="minorHAnsi" w:hAnsiTheme="minorHAnsi" w:eastAsiaTheme="minorEastAsia" w:cstheme="minorBidi"/>
      <w:b/>
      <w:bCs/>
      <w:sz w:val="21"/>
      <w:szCs w:val="24"/>
    </w:rPr>
  </w:style>
  <w:style w:type="paragraph" w:styleId="945" w:customStyle="1">
    <w:name w:val="修订2"/>
    <w:hidden/>
    <w:uiPriority w:val="99"/>
    <w:unhideWhenUsed/>
    <w:qFormat/>
    <w:rPr>
      <w:rFonts w:hint="default" w:asciiTheme="minorHAnsi" w:hAnsiTheme="minorHAnsi" w:eastAsiaTheme="minorEastAsia" w:cstheme="minorBidi"/>
      <w:sz w:val="21"/>
      <w:szCs w:val="24"/>
      <w:lang w:val="en-US" w:eastAsia="zh-CN" w:bidi="ar-SA"/>
    </w:rPr>
  </w:style>
  <w:style w:type="paragraph" w:styleId="946" w:customStyle="1">
    <w:name w:val="修订3"/>
    <w:hidden/>
    <w:uiPriority w:val="99"/>
    <w:unhideWhenUsed/>
    <w:qFormat/>
    <w:rPr>
      <w:rFonts w:hint="default" w:asciiTheme="minorHAnsi" w:hAnsiTheme="minorHAnsi" w:eastAsiaTheme="minorEastAsia" w:cstheme="minorBidi"/>
      <w:sz w:val="21"/>
      <w:szCs w:val="24"/>
      <w:lang w:val="en-US" w:eastAsia="zh-CN" w:bidi="ar-SA"/>
    </w:rPr>
  </w:style>
  <w:style w:type="paragraph" w:styleId="947" w:customStyle="1">
    <w:name w:val="普通(网站)12"/>
    <w:basedOn w:val="685"/>
    <w:uiPriority w:val="99"/>
    <w:qFormat/>
    <w:pPr>
      <w:jc w:val="left"/>
      <w:spacing w:before="100" w:beforeAutospacing="1" w:after="100" w:afterAutospacing="1"/>
    </w:pPr>
    <w:rPr>
      <w:rFonts w:ascii="宋体" w:hAnsi="宋体" w:cs="宋体"/>
      <w:sz w:val="24"/>
    </w:rPr>
  </w:style>
  <w:style w:type="paragraph" w:styleId="948" w:customStyle="1">
    <w:name w:val="修订4"/>
    <w:hidden/>
    <w:uiPriority w:val="99"/>
    <w:unhideWhenUsed/>
    <w:qFormat/>
    <w:rPr>
      <w:rFonts w:hint="default" w:asciiTheme="minorHAnsi" w:hAnsiTheme="minorHAnsi" w:eastAsiaTheme="minorEastAsia" w:cstheme="minorBidi"/>
      <w:sz w:val="21"/>
      <w:szCs w:val="24"/>
      <w:lang w:val="en-US" w:eastAsia="zh-CN" w:bidi="ar-SA"/>
    </w:rPr>
  </w:style>
  <w:style w:type="paragraph" w:styleId="949" w:customStyle="1">
    <w:name w:val="Table Paragraph"/>
    <w:basedOn w:val="685"/>
    <w:uiPriority w:val="1"/>
    <w:qFormat/>
    <w:pPr>
      <w:jc w:val="left"/>
    </w:pPr>
    <w:rPr>
      <w:rFonts w:ascii="Calibri" w:hAnsi="Calibri" w:eastAsia="宋体" w:cs="Calibri"/>
      <w:sz w:val="22"/>
      <w:szCs w:val="22"/>
      <w:lang w:eastAsia="en-US"/>
    </w:rPr>
  </w:style>
  <w:style w:type="paragraph" w:styleId="950" w:customStyle="1">
    <w:name w:val="修订5"/>
    <w:hidden/>
    <w:uiPriority w:val="99"/>
    <w:unhideWhenUsed/>
    <w:qFormat/>
    <w:rPr>
      <w:rFonts w:hint="default" w:asciiTheme="minorHAnsi" w:hAnsiTheme="minorHAnsi" w:eastAsiaTheme="minorEastAsia" w:cstheme="minorBidi"/>
      <w:sz w:val="21"/>
      <w:szCs w:val="24"/>
      <w:lang w:val="en-US" w:eastAsia="zh-CN" w:bidi="ar-SA"/>
    </w:rPr>
  </w:style>
  <w:style w:type="paragraph" w:styleId="951" w:customStyle="1">
    <w:name w:val="Revision"/>
    <w:hidden/>
    <w:uiPriority w:val="99"/>
    <w:unhideWhenUsed/>
    <w:qFormat/>
    <w:rPr>
      <w:rFonts w:hint="default" w:asciiTheme="minorHAnsi" w:hAnsiTheme="minorHAnsi" w:eastAsiaTheme="minorEastAsia" w:cstheme="minorBidi"/>
      <w:sz w:val="21"/>
      <w:szCs w:val="24"/>
      <w:lang w:val="en-US" w:eastAsia="zh-CN" w:bidi="ar-SA"/>
    </w:r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9521115-C37B-45FD-A249-756AE6DC27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熊伟</cp:lastModifiedBy>
  <cp:revision>3168</cp:revision>
  <dcterms:created xsi:type="dcterms:W3CDTF">2024-09-23T05:47:00Z</dcterms:created>
  <dcterms:modified xsi:type="dcterms:W3CDTF">2026-06-25T01:36:57Z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CBD1EFD8C8904BA4883B1BCFFDD209E8_13</vt:lpwstr>
  </property>
  <property fmtid="{D5CDD505-2E9C-101B-9397-08002B2CF9AE}" pid="4" name="KSOTemplateDocerSaveRecord">
    <vt:lpwstr>eyJoZGlkIjoiODZkZDhiMGRhNjI0MjMyZGNiZjBmZTUwZmY4Yjk1MjEiLCJ1c2VySWQiOiIxNjcxNDc2OTEwIn0=</vt:lpwstr>
  </property>
</Properties>
</file>