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color w:val="auto"/>
          <w:sz w:val="60"/>
          <w:szCs w:val="60"/>
        </w:rPr>
      </w:pPr>
      <w:r/>
      <w:bookmarkStart w:id="743" w:name="_GoBack"/>
      <w:r/>
      <w:r/>
    </w:p>
    <w:p>
      <w:pPr>
        <w:jc w:val="center"/>
        <w:rPr>
          <w:b/>
          <w:bCs/>
          <w:color w:val="auto"/>
          <w:sz w:val="60"/>
          <w:szCs w:val="60"/>
        </w:rPr>
      </w:pPr>
      <w:r>
        <w:rPr>
          <w:b/>
          <w:bCs/>
          <w:color w:val="auto"/>
          <w:sz w:val="60"/>
          <w:szCs w:val="60"/>
        </w:rPr>
        <w:t xml:space="preserve">常州市政府采购项目</w:t>
      </w:r>
      <w:r/>
    </w:p>
    <w:p>
      <w:pPr>
        <w:jc w:val="center"/>
        <w:rPr>
          <w:b/>
          <w:bCs/>
          <w:color w:val="auto"/>
          <w:sz w:val="60"/>
          <w:szCs w:val="60"/>
        </w:rPr>
      </w:pPr>
      <w:r>
        <w:rPr>
          <w:b/>
          <w:bCs/>
          <w:color w:val="auto"/>
          <w:sz w:val="60"/>
          <w:szCs w:val="60"/>
        </w:rPr>
        <w:t xml:space="preserve">竞争性磋商文件</w:t>
      </w:r>
      <w:r/>
    </w:p>
    <w:p>
      <w:pPr>
        <w:jc w:val="center"/>
        <w:spacing w:line="360" w:lineRule="auto"/>
        <w:rPr>
          <w:rFonts w:ascii="宋体" w:hAnsi="宋体"/>
          <w:b/>
          <w:bCs/>
          <w:color w:val="auto"/>
          <w:sz w:val="60"/>
          <w:szCs w:val="60"/>
        </w:rPr>
      </w:pPr>
      <w:r>
        <w:rPr>
          <w:rFonts w:ascii="宋体" w:hAnsi="宋体"/>
          <w:b/>
          <w:bCs/>
          <w:color w:val="auto"/>
          <w:sz w:val="60"/>
          <w:szCs w:val="60"/>
        </w:rPr>
      </w:r>
      <w:r/>
    </w:p>
    <w:p>
      <w:pPr>
        <w:jc w:val="center"/>
        <w:spacing w:line="360" w:lineRule="auto"/>
        <w:rPr>
          <w:rFonts w:hint="eastAsia" w:ascii="宋体" w:hAnsi="宋体"/>
          <w:b/>
          <w:bCs/>
          <w:color w:val="auto"/>
          <w:sz w:val="60"/>
          <w:szCs w:val="60"/>
        </w:rPr>
      </w:pPr>
      <w:r>
        <w:rPr>
          <w:rFonts w:hint="eastAsia" w:ascii="宋体" w:hAnsi="宋体"/>
          <w:b/>
          <w:bCs/>
          <w:color w:val="auto"/>
          <w:sz w:val="60"/>
          <w:szCs w:val="60"/>
        </w:rPr>
      </w:r>
      <w:r/>
    </w:p>
    <w:p>
      <w:pPr>
        <w:jc w:val="center"/>
        <w:spacing w:line="360" w:lineRule="auto"/>
        <w:rPr>
          <w:rFonts w:hint="eastAsia" w:ascii="宋体" w:hAnsi="宋体"/>
          <w:b/>
          <w:bCs/>
          <w:color w:val="auto"/>
          <w:sz w:val="60"/>
          <w:szCs w:val="60"/>
        </w:rPr>
      </w:pPr>
      <w:r>
        <w:rPr>
          <w:rFonts w:hint="eastAsia" w:ascii="宋体" w:hAnsi="宋体"/>
          <w:b/>
          <w:bCs/>
          <w:color w:val="auto"/>
          <w:sz w:val="60"/>
          <w:szCs w:val="60"/>
        </w:rPr>
      </w:r>
      <w:r/>
    </w:p>
    <w:p>
      <w:pPr>
        <w:jc w:val="center"/>
        <w:spacing w:line="360" w:lineRule="auto"/>
        <w:rPr>
          <w:rFonts w:hint="eastAsia" w:ascii="宋体" w:hAnsi="宋体"/>
          <w:b/>
          <w:bCs/>
          <w:color w:val="auto"/>
          <w:sz w:val="60"/>
          <w:szCs w:val="60"/>
        </w:rPr>
      </w:pPr>
      <w:r>
        <w:rPr>
          <w:rFonts w:hint="eastAsia" w:ascii="宋体" w:hAnsi="宋体"/>
          <w:b/>
          <w:bCs/>
          <w:color w:val="auto"/>
          <w:sz w:val="60"/>
          <w:szCs w:val="60"/>
        </w:rPr>
      </w:r>
      <w:r/>
    </w:p>
    <w:p>
      <w:pPr>
        <w:ind w:left="2832" w:hanging="1900"/>
        <w:jc w:val="left"/>
        <w:spacing w:line="360" w:lineRule="auto"/>
        <w:tabs>
          <w:tab w:val="left" w:pos="5609" w:leader="none"/>
        </w:tabs>
        <w:rPr>
          <w:rFonts w:hint="eastAsia" w:eastAsia="宋体"/>
          <w:bCs/>
          <w:color w:val="auto"/>
          <w:sz w:val="36"/>
          <w:szCs w:val="36"/>
          <w:lang w:eastAsia="zh-CN"/>
        </w:rPr>
      </w:pPr>
      <w:r>
        <w:rPr>
          <w:bCs/>
          <w:color w:val="auto"/>
          <w:sz w:val="36"/>
          <w:szCs w:val="36"/>
        </w:rPr>
        <w:t xml:space="preserve">项目名称：</w:t>
      </w:r>
      <w:r>
        <w:rPr>
          <w:rFonts w:hint="eastAsia"/>
          <w:bCs/>
          <w:color w:val="auto"/>
          <w:sz w:val="36"/>
          <w:szCs w:val="36"/>
          <w:lang w:eastAsia="zh-CN"/>
        </w:rPr>
        <w:t xml:space="preserve">2026年溧阳市公安局交通安全设施维护服务采购项目</w:t>
      </w:r>
      <w:r/>
    </w:p>
    <w:p>
      <w:pPr>
        <w:ind w:left="2832" w:hanging="1900"/>
        <w:jc w:val="left"/>
        <w:spacing w:line="360" w:lineRule="auto"/>
        <w:tabs>
          <w:tab w:val="left" w:pos="3240" w:leader="none"/>
          <w:tab w:val="left" w:pos="3420" w:leader="none"/>
        </w:tabs>
        <w:rPr>
          <w:bCs/>
          <w:color w:val="auto"/>
          <w:sz w:val="36"/>
          <w:szCs w:val="36"/>
        </w:rPr>
      </w:pPr>
      <w:r>
        <w:rPr>
          <w:bCs/>
          <w:color w:val="auto"/>
          <w:sz w:val="36"/>
          <w:szCs w:val="36"/>
        </w:rPr>
        <w:t xml:space="preserve">项目编号/包号：</w:t>
      </w:r>
      <w:r>
        <w:rPr>
          <w:rFonts w:hint="eastAsia"/>
          <w:bCs/>
          <w:color w:val="auto"/>
          <w:sz w:val="36"/>
          <w:szCs w:val="36"/>
        </w:rPr>
        <w:t xml:space="preserve">JSZC-320481-HXZC-C2026-0033</w:t>
      </w:r>
      <w:r>
        <w:rPr>
          <w:rFonts w:hint="eastAsia"/>
          <w:bCs/>
          <w:color w:val="auto"/>
          <w:sz w:val="36"/>
          <w:szCs w:val="36"/>
          <w:lang w:val="en-US" w:eastAsia="zh-CN"/>
        </w:rPr>
        <w:t xml:space="preserve"> </w:t>
      </w:r>
      <w:r/>
    </w:p>
    <w:p>
      <w:pPr>
        <w:ind w:left="2832" w:hanging="1900"/>
        <w:jc w:val="left"/>
        <w:spacing w:line="360" w:lineRule="auto"/>
        <w:tabs>
          <w:tab w:val="left" w:pos="3240" w:leader="none"/>
          <w:tab w:val="left" w:pos="3420" w:leader="none"/>
        </w:tabs>
        <w:rPr>
          <w:rFonts w:hint="eastAsia"/>
          <w:bCs/>
          <w:color w:val="auto"/>
          <w:sz w:val="36"/>
          <w:szCs w:val="36"/>
          <w:lang w:eastAsia="zh-CN"/>
        </w:rPr>
      </w:pPr>
      <w:r>
        <w:rPr>
          <w:bCs/>
          <w:color w:val="auto"/>
          <w:sz w:val="36"/>
          <w:szCs w:val="36"/>
        </w:rPr>
        <w:t xml:space="preserve">采 购 人：</w:t>
      </w:r>
      <w:r>
        <w:rPr>
          <w:rFonts w:hint="eastAsia"/>
          <w:bCs/>
          <w:color w:val="auto"/>
          <w:sz w:val="36"/>
          <w:szCs w:val="36"/>
          <w:lang w:eastAsia="zh-CN"/>
        </w:rPr>
        <w:t xml:space="preserve">溧阳市公安局</w:t>
      </w:r>
      <w:r/>
    </w:p>
    <w:p>
      <w:pPr>
        <w:ind w:left="3192" w:hanging="2260"/>
        <w:jc w:val="left"/>
        <w:spacing w:line="360" w:lineRule="auto"/>
        <w:tabs>
          <w:tab w:val="left" w:pos="3240" w:leader="none"/>
          <w:tab w:val="left" w:pos="3420" w:leader="none"/>
        </w:tabs>
        <w:rPr>
          <w:rFonts w:hint="eastAsia" w:eastAsia="宋体"/>
          <w:bCs/>
          <w:color w:val="auto"/>
          <w:sz w:val="36"/>
          <w:szCs w:val="36"/>
          <w:lang w:eastAsia="zh-CN"/>
        </w:rPr>
      </w:pPr>
      <w:r>
        <w:rPr>
          <w:rFonts w:hint="eastAsia"/>
          <w:bCs/>
          <w:color w:val="auto"/>
          <w:sz w:val="36"/>
          <w:szCs w:val="36"/>
        </w:rPr>
        <w:t xml:space="preserve">采购</w:t>
      </w:r>
      <w:r>
        <w:rPr>
          <w:bCs/>
          <w:color w:val="auto"/>
          <w:sz w:val="36"/>
          <w:szCs w:val="36"/>
        </w:rPr>
        <w:t xml:space="preserve">代理机构：</w:t>
      </w:r>
      <w:r>
        <w:rPr>
          <w:rFonts w:hint="eastAsia" w:ascii="宋体" w:hAnsi="宋体"/>
          <w:bCs/>
          <w:color w:val="auto"/>
          <w:sz w:val="36"/>
          <w:szCs w:val="36"/>
          <w:lang w:eastAsia="zh-CN"/>
        </w:rPr>
        <w:t xml:space="preserve">江苏省华厦工程项目管理有限公司</w:t>
      </w:r>
      <w:r/>
    </w:p>
    <w:p>
      <w:pPr>
        <w:jc w:val="left"/>
        <w:widowControl/>
        <w:rPr>
          <w:color w:val="auto"/>
          <w:sz w:val="24"/>
        </w:rPr>
      </w:pPr>
      <w:r>
        <w:rPr>
          <w:b/>
          <w:bCs/>
          <w:color w:val="auto"/>
          <w:sz w:val="44"/>
        </w:rPr>
        <w:br w:type="page" w:clear="all"/>
      </w:r>
      <w:r/>
    </w:p>
    <w:p>
      <w:pPr>
        <w:jc w:val="left"/>
        <w:widowControl/>
        <w:rPr>
          <w:color w:val="auto"/>
          <w:sz w:val="24"/>
        </w:rPr>
      </w:pPr>
      <w:r>
        <w:rPr>
          <w:color w:val="auto"/>
          <w:sz w:val="24"/>
        </w:rPr>
      </w:r>
      <w:r/>
    </w:p>
    <w:p>
      <w:pPr>
        <w:pStyle w:val="1252"/>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rFonts w:hint="eastAsia"/>
          <w:b/>
          <w:color w:val="auto"/>
          <w:sz w:val="36"/>
          <w:szCs w:val="36"/>
        </w:rPr>
        <w:outlineLvl w:val="0"/>
      </w:pPr>
      <w:r/>
      <w:bookmarkStart w:id="0" w:name="_Toc104818924"/>
      <w:r/>
      <w:bookmarkStart w:id="1" w:name="_Toc120102174"/>
      <w:r>
        <w:rPr>
          <w:rFonts w:hint="eastAsia"/>
          <w:b/>
          <w:color w:val="auto"/>
          <w:sz w:val="36"/>
          <w:szCs w:val="36"/>
        </w:rPr>
        <w:t xml:space="preserve">目</w:t>
      </w:r>
      <w:r>
        <w:rPr>
          <w:b/>
          <w:color w:val="auto"/>
          <w:sz w:val="36"/>
          <w:szCs w:val="36"/>
        </w:rPr>
        <w:t xml:space="preserve">      </w:t>
      </w:r>
      <w:r>
        <w:rPr>
          <w:rFonts w:hint="eastAsia"/>
          <w:b/>
          <w:color w:val="auto"/>
          <w:sz w:val="36"/>
          <w:szCs w:val="36"/>
        </w:rPr>
        <w:t xml:space="preserve">录</w:t>
      </w:r>
      <w:bookmarkEnd w:id="0"/>
      <w:r/>
      <w:bookmarkEnd w:id="1"/>
      <w:r/>
      <w:r/>
    </w:p>
    <w:p>
      <w:pPr>
        <w:rPr>
          <w:color w:val="auto"/>
        </w:rPr>
      </w:pPr>
      <w:r>
        <w:rPr>
          <w:color w:val="auto"/>
        </w:rPr>
      </w:r>
      <w:r/>
    </w:p>
    <w:p>
      <w:pPr>
        <w:pStyle w:val="1126"/>
        <w:rPr>
          <w:rFonts w:ascii="Calibri" w:hAnsi="Calibri"/>
          <w:b w:val="0"/>
          <w:color w:val="auto"/>
          <w:sz w:val="21"/>
          <w:szCs w:val="22"/>
          <w:highlight w:val="none"/>
        </w:rPr>
      </w:pPr>
      <w:r>
        <w:rPr>
          <w:rFonts w:ascii="Calibri" w:hAnsi="Calibri"/>
          <w:b w:val="0"/>
          <w:color w:val="auto"/>
          <w:sz w:val="21"/>
          <w:szCs w:val="22"/>
          <w:highlight w:val="none"/>
        </w:rPr>
      </w:r>
      <w:r/>
    </w:p>
    <w:p>
      <w:pPr>
        <w:pStyle w:val="1126"/>
        <w:jc w:val="both"/>
        <w:spacing w:line="360" w:lineRule="auto"/>
        <w:rPr>
          <w:rFonts w:ascii="等线" w:hAnsi="等线" w:eastAsia="等线"/>
          <w:b w:val="0"/>
          <w:color w:val="auto"/>
          <w:sz w:val="21"/>
          <w:szCs w:val="22"/>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1149"/>
          <w:rFonts w:ascii="Times New Roman" w:hAnsi="Times New Roman"/>
          <w:color w:val="auto"/>
          <w:highlight w:val="none"/>
          <w:u w:val="none"/>
        </w:rPr>
        <w:t xml:space="preserve">第一章   </w:t>
      </w:r>
      <w:r>
        <w:rPr>
          <w:rStyle w:val="1149"/>
          <w:rFonts w:hint="eastAsia" w:ascii="Times New Roman" w:hAnsi="Times New Roman"/>
          <w:color w:val="auto"/>
          <w:highlight w:val="none"/>
          <w:u w:val="none"/>
          <w:lang w:eastAsia="zh-CN"/>
        </w:rPr>
        <w:t xml:space="preserve">磋商</w:t>
      </w:r>
      <w:r>
        <w:rPr>
          <w:rStyle w:val="1149"/>
          <w:rFonts w:hint="eastAsia" w:ascii="Times New Roman" w:hAnsi="Times New Roman"/>
          <w:color w:val="auto"/>
          <w:highlight w:val="none"/>
          <w:u w:val="none"/>
        </w:rPr>
        <w:t xml:space="preserve">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 xml:space="preserve">3</w:t>
      </w:r>
      <w:r>
        <w:rPr>
          <w:rFonts w:ascii="Times New Roman" w:hAnsi="Times New Roman"/>
          <w:color w:val="auto"/>
          <w:highlight w:val="none"/>
        </w:rPr>
        <w:fldChar w:fldCharType="end"/>
      </w:r>
      <w:r>
        <w:rPr>
          <w:rFonts w:ascii="Times New Roman" w:hAnsi="Times New Roman"/>
          <w:color w:val="auto"/>
          <w:highlight w:val="none"/>
        </w:rPr>
        <w:fldChar w:fldCharType="end"/>
      </w:r>
      <w:r>
        <w:rPr>
          <w:rFonts w:ascii="Times New Roman" w:hAnsi="Times New Roman"/>
          <w:b w:val="0"/>
          <w:color w:val="auto"/>
        </w:rPr>
        <w:fldChar w:fldCharType="begin"/>
      </w:r>
      <w:r>
        <w:rPr>
          <w:rFonts w:ascii="Times New Roman" w:hAnsi="Times New Roman"/>
          <w:b w:val="0"/>
          <w:color w:val="auto"/>
        </w:rPr>
        <w:instrText xml:space="preserve"> TOC \o "1-1" \h \z \u </w:instrText>
      </w:r>
      <w:r>
        <w:rPr>
          <w:rFonts w:ascii="Times New Roman" w:hAnsi="Times New Roman"/>
          <w:b w:val="0"/>
          <w:color w:val="auto"/>
        </w:rPr>
        <w:fldChar w:fldCharType="separate"/>
      </w:r>
      <w:r/>
    </w:p>
    <w:p>
      <w:pPr>
        <w:pStyle w:val="1126"/>
        <w:spacing w:line="360" w:lineRule="auto"/>
        <w:rPr>
          <w:rFonts w:ascii="等线" w:hAnsi="等线" w:eastAsia="等线"/>
          <w:b w:val="0"/>
          <w:color w:val="auto"/>
          <w:sz w:val="21"/>
          <w:szCs w:val="22"/>
        </w:rPr>
      </w:pPr>
      <w:r>
        <w:rPr>
          <w:rStyle w:val="1149"/>
          <w:color w:val="auto"/>
        </w:rPr>
        <w:fldChar w:fldCharType="begin"/>
      </w:r>
      <w:r>
        <w:rPr>
          <w:rStyle w:val="1149"/>
          <w:color w:val="auto"/>
        </w:rPr>
        <w:instrText xml:space="preserve"> </w:instrText>
      </w:r>
      <w:r>
        <w:rPr>
          <w:color w:val="auto"/>
        </w:rPr>
        <w:instrText xml:space="preserve">HYPERLINK \l "_Toc120102175"</w:instrText>
      </w:r>
      <w:r>
        <w:rPr>
          <w:rStyle w:val="1149"/>
          <w:color w:val="auto"/>
        </w:rPr>
        <w:instrText xml:space="preserve"> </w:instrText>
      </w:r>
      <w:r>
        <w:rPr>
          <w:rStyle w:val="1149"/>
          <w:color w:val="auto"/>
        </w:rPr>
        <w:fldChar w:fldCharType="separate"/>
      </w:r>
      <w:r>
        <w:rPr>
          <w:rStyle w:val="1149"/>
          <w:color w:val="auto"/>
        </w:rPr>
        <w:t xml:space="preserve">第二章   供应商须知</w:t>
      </w:r>
      <w:r>
        <w:rPr>
          <w:color w:val="auto"/>
        </w:rPr>
        <w:tab/>
      </w:r>
      <w:r>
        <w:rPr>
          <w:color w:val="auto"/>
        </w:rPr>
        <w:fldChar w:fldCharType="begin"/>
      </w:r>
      <w:r>
        <w:rPr>
          <w:color w:val="auto"/>
        </w:rPr>
        <w:instrText xml:space="preserve"> PAGEREF _Toc120102175 \h </w:instrText>
      </w:r>
      <w:r>
        <w:rPr>
          <w:color w:val="auto"/>
        </w:rPr>
        <w:fldChar w:fldCharType="separate"/>
      </w:r>
      <w:r>
        <w:rPr>
          <w:color w:val="auto"/>
        </w:rPr>
        <w:t xml:space="preserve">4</w:t>
      </w:r>
      <w:r>
        <w:rPr>
          <w:color w:val="auto"/>
        </w:rPr>
        <w:fldChar w:fldCharType="end"/>
      </w:r>
      <w:r>
        <w:rPr>
          <w:rStyle w:val="1149"/>
          <w:color w:val="auto"/>
        </w:rPr>
        <w:fldChar w:fldCharType="end"/>
      </w:r>
      <w:r/>
    </w:p>
    <w:p>
      <w:pPr>
        <w:pStyle w:val="1126"/>
        <w:spacing w:line="360" w:lineRule="auto"/>
        <w:rPr>
          <w:rFonts w:ascii="等线" w:hAnsi="等线" w:eastAsia="等线"/>
          <w:b w:val="0"/>
          <w:color w:val="auto"/>
          <w:sz w:val="21"/>
          <w:szCs w:val="22"/>
        </w:rPr>
      </w:pPr>
      <w:r>
        <w:rPr>
          <w:rStyle w:val="1149"/>
          <w:color w:val="auto"/>
        </w:rPr>
        <w:fldChar w:fldCharType="begin"/>
      </w:r>
      <w:r>
        <w:rPr>
          <w:rStyle w:val="1149"/>
          <w:color w:val="auto"/>
        </w:rPr>
        <w:instrText xml:space="preserve"> </w:instrText>
      </w:r>
      <w:r>
        <w:rPr>
          <w:color w:val="auto"/>
        </w:rPr>
        <w:instrText xml:space="preserve">HYPERLINK \l "_Toc120102176"</w:instrText>
      </w:r>
      <w:r>
        <w:rPr>
          <w:rStyle w:val="1149"/>
          <w:color w:val="auto"/>
        </w:rPr>
        <w:instrText xml:space="preserve"> </w:instrText>
      </w:r>
      <w:r>
        <w:rPr>
          <w:rStyle w:val="1149"/>
          <w:color w:val="auto"/>
        </w:rPr>
        <w:fldChar w:fldCharType="separate"/>
      </w:r>
      <w:r>
        <w:rPr>
          <w:rStyle w:val="1149"/>
          <w:color w:val="auto"/>
        </w:rPr>
        <w:t xml:space="preserve">第三章   评审程序、评审方法和评审标准</w:t>
      </w:r>
      <w:r>
        <w:rPr>
          <w:color w:val="auto"/>
        </w:rPr>
        <w:tab/>
      </w:r>
      <w:r>
        <w:rPr>
          <w:color w:val="auto"/>
        </w:rPr>
        <w:fldChar w:fldCharType="begin"/>
      </w:r>
      <w:r>
        <w:rPr>
          <w:color w:val="auto"/>
        </w:rPr>
        <w:instrText xml:space="preserve"> PAGEREF _Toc120102176 \h </w:instrText>
      </w:r>
      <w:r>
        <w:rPr>
          <w:color w:val="auto"/>
        </w:rPr>
        <w:fldChar w:fldCharType="separate"/>
      </w:r>
      <w:r>
        <w:rPr>
          <w:color w:val="auto"/>
        </w:rPr>
        <w:t xml:space="preserve">21</w:t>
      </w:r>
      <w:r>
        <w:rPr>
          <w:color w:val="auto"/>
        </w:rPr>
        <w:fldChar w:fldCharType="end"/>
      </w:r>
      <w:r>
        <w:rPr>
          <w:rStyle w:val="1149"/>
          <w:color w:val="auto"/>
        </w:rPr>
        <w:fldChar w:fldCharType="end"/>
      </w:r>
      <w:r/>
    </w:p>
    <w:p>
      <w:pPr>
        <w:pStyle w:val="1126"/>
        <w:spacing w:line="360" w:lineRule="auto"/>
        <w:rPr>
          <w:rFonts w:ascii="等线" w:hAnsi="等线" w:eastAsia="等线"/>
          <w:b w:val="0"/>
          <w:color w:val="auto"/>
          <w:sz w:val="21"/>
          <w:szCs w:val="22"/>
        </w:rPr>
      </w:pPr>
      <w:r>
        <w:rPr>
          <w:rStyle w:val="1149"/>
          <w:color w:val="auto"/>
        </w:rPr>
        <w:fldChar w:fldCharType="begin"/>
      </w:r>
      <w:r>
        <w:rPr>
          <w:rStyle w:val="1149"/>
          <w:color w:val="auto"/>
        </w:rPr>
        <w:instrText xml:space="preserve"> </w:instrText>
      </w:r>
      <w:r>
        <w:rPr>
          <w:color w:val="auto"/>
        </w:rPr>
        <w:instrText xml:space="preserve">HYPERLINK \l "_Toc120102177"</w:instrText>
      </w:r>
      <w:r>
        <w:rPr>
          <w:rStyle w:val="1149"/>
          <w:color w:val="auto"/>
        </w:rPr>
        <w:instrText xml:space="preserve"> </w:instrText>
      </w:r>
      <w:r>
        <w:rPr>
          <w:rStyle w:val="1149"/>
          <w:color w:val="auto"/>
        </w:rPr>
        <w:fldChar w:fldCharType="separate"/>
      </w:r>
      <w:r>
        <w:rPr>
          <w:rStyle w:val="1149"/>
          <w:color w:val="auto"/>
        </w:rPr>
        <w:t xml:space="preserve">第四章   采购需求</w:t>
      </w:r>
      <w:r>
        <w:rPr>
          <w:color w:val="auto"/>
        </w:rPr>
        <w:tab/>
      </w:r>
      <w:r>
        <w:rPr>
          <w:color w:val="auto"/>
        </w:rPr>
        <w:fldChar w:fldCharType="begin"/>
      </w:r>
      <w:r>
        <w:rPr>
          <w:color w:val="auto"/>
        </w:rPr>
        <w:instrText xml:space="preserve"> PAGEREF _Toc120102177 \h </w:instrText>
      </w:r>
      <w:r>
        <w:rPr>
          <w:color w:val="auto"/>
        </w:rPr>
        <w:fldChar w:fldCharType="separate"/>
      </w:r>
      <w:r>
        <w:rPr>
          <w:color w:val="auto"/>
        </w:rPr>
        <w:t xml:space="preserve">30</w:t>
      </w:r>
      <w:r>
        <w:rPr>
          <w:color w:val="auto"/>
        </w:rPr>
        <w:fldChar w:fldCharType="end"/>
      </w:r>
      <w:r>
        <w:rPr>
          <w:rStyle w:val="1149"/>
          <w:color w:val="auto"/>
        </w:rPr>
        <w:fldChar w:fldCharType="end"/>
      </w:r>
      <w:r/>
    </w:p>
    <w:p>
      <w:pPr>
        <w:pStyle w:val="1126"/>
        <w:spacing w:line="360" w:lineRule="auto"/>
        <w:rPr>
          <w:rFonts w:ascii="等线" w:hAnsi="等线" w:eastAsia="等线"/>
          <w:b w:val="0"/>
          <w:color w:val="auto"/>
          <w:sz w:val="21"/>
          <w:szCs w:val="22"/>
        </w:rPr>
      </w:pPr>
      <w:r>
        <w:rPr>
          <w:rStyle w:val="1149"/>
          <w:color w:val="auto"/>
        </w:rPr>
        <w:fldChar w:fldCharType="begin"/>
      </w:r>
      <w:r>
        <w:rPr>
          <w:rStyle w:val="1149"/>
          <w:color w:val="auto"/>
        </w:rPr>
        <w:instrText xml:space="preserve"> </w:instrText>
      </w:r>
      <w:r>
        <w:rPr>
          <w:color w:val="auto"/>
        </w:rPr>
        <w:instrText xml:space="preserve">HYPERLINK \l "_Toc120102178"</w:instrText>
      </w:r>
      <w:r>
        <w:rPr>
          <w:rStyle w:val="1149"/>
          <w:color w:val="auto"/>
        </w:rPr>
        <w:instrText xml:space="preserve"> </w:instrText>
      </w:r>
      <w:r>
        <w:rPr>
          <w:rStyle w:val="1149"/>
          <w:color w:val="auto"/>
        </w:rPr>
        <w:fldChar w:fldCharType="separate"/>
      </w:r>
      <w:r>
        <w:rPr>
          <w:rStyle w:val="1149"/>
          <w:color w:val="auto"/>
        </w:rPr>
        <w:t xml:space="preserve">第五章   合同草案条款</w:t>
      </w:r>
      <w:r>
        <w:rPr>
          <w:color w:val="auto"/>
        </w:rPr>
        <w:tab/>
      </w:r>
      <w:r>
        <w:rPr>
          <w:color w:val="auto"/>
        </w:rPr>
        <w:fldChar w:fldCharType="begin"/>
      </w:r>
      <w:r>
        <w:rPr>
          <w:color w:val="auto"/>
        </w:rPr>
        <w:instrText xml:space="preserve"> PAGEREF _Toc120102178 \h </w:instrText>
      </w:r>
      <w:r>
        <w:rPr>
          <w:color w:val="auto"/>
        </w:rPr>
        <w:fldChar w:fldCharType="separate"/>
      </w:r>
      <w:r>
        <w:rPr>
          <w:color w:val="auto"/>
        </w:rPr>
        <w:t xml:space="preserve">33</w:t>
      </w:r>
      <w:r>
        <w:rPr>
          <w:color w:val="auto"/>
        </w:rPr>
        <w:fldChar w:fldCharType="end"/>
      </w:r>
      <w:r>
        <w:rPr>
          <w:rStyle w:val="1149"/>
          <w:color w:val="auto"/>
        </w:rPr>
        <w:fldChar w:fldCharType="end"/>
      </w:r>
      <w:r/>
    </w:p>
    <w:p>
      <w:pPr>
        <w:pStyle w:val="1126"/>
        <w:spacing w:line="360" w:lineRule="auto"/>
        <w:rPr>
          <w:rFonts w:ascii="等线" w:hAnsi="等线" w:eastAsia="等线"/>
          <w:b w:val="0"/>
          <w:color w:val="auto"/>
          <w:sz w:val="21"/>
          <w:szCs w:val="22"/>
        </w:rPr>
      </w:pPr>
      <w:r>
        <w:rPr>
          <w:rStyle w:val="1149"/>
          <w:color w:val="auto"/>
        </w:rPr>
        <w:fldChar w:fldCharType="begin"/>
      </w:r>
      <w:r>
        <w:rPr>
          <w:rStyle w:val="1149"/>
          <w:color w:val="auto"/>
        </w:rPr>
        <w:instrText xml:space="preserve"> </w:instrText>
      </w:r>
      <w:r>
        <w:rPr>
          <w:color w:val="auto"/>
        </w:rPr>
        <w:instrText xml:space="preserve">HYPERLINK \l "_Toc120102179"</w:instrText>
      </w:r>
      <w:r>
        <w:rPr>
          <w:rStyle w:val="1149"/>
          <w:color w:val="auto"/>
        </w:rPr>
        <w:instrText xml:space="preserve"> </w:instrText>
      </w:r>
      <w:r>
        <w:rPr>
          <w:rStyle w:val="1149"/>
          <w:color w:val="auto"/>
        </w:rPr>
        <w:fldChar w:fldCharType="separate"/>
      </w:r>
      <w:r>
        <w:rPr>
          <w:rStyle w:val="1149"/>
          <w:color w:val="auto"/>
        </w:rPr>
        <w:t xml:space="preserve">第六章   响应文件格式</w:t>
      </w:r>
      <w:r>
        <w:rPr>
          <w:color w:val="auto"/>
        </w:rPr>
        <w:tab/>
      </w:r>
      <w:r>
        <w:rPr>
          <w:color w:val="auto"/>
        </w:rPr>
        <w:fldChar w:fldCharType="begin"/>
      </w:r>
      <w:r>
        <w:rPr>
          <w:color w:val="auto"/>
        </w:rPr>
        <w:instrText xml:space="preserve"> PAGEREF _Toc120102179 \h </w:instrText>
      </w:r>
      <w:r>
        <w:rPr>
          <w:color w:val="auto"/>
        </w:rPr>
        <w:fldChar w:fldCharType="separate"/>
      </w:r>
      <w:r>
        <w:rPr>
          <w:color w:val="auto"/>
        </w:rPr>
        <w:t xml:space="preserve">40</w:t>
      </w:r>
      <w:r>
        <w:rPr>
          <w:color w:val="auto"/>
        </w:rPr>
        <w:fldChar w:fldCharType="end"/>
      </w:r>
      <w:r>
        <w:rPr>
          <w:rStyle w:val="1149"/>
          <w:color w:val="auto"/>
        </w:rPr>
        <w:fldChar w:fldCharType="end"/>
      </w:r>
      <w:r/>
    </w:p>
    <w:p>
      <w:pPr>
        <w:pStyle w:val="1126"/>
        <w:spacing w:line="360" w:lineRule="auto"/>
        <w:rPr>
          <w:rFonts w:ascii="Times New Roman" w:hAnsi="Times New Roman"/>
          <w:b w:val="0"/>
          <w:color w:val="auto"/>
        </w:rPr>
      </w:pPr>
      <w:r>
        <w:rPr>
          <w:rFonts w:ascii="Times New Roman" w:hAnsi="Times New Roman"/>
          <w:b w:val="0"/>
          <w:color w:val="auto"/>
        </w:rPr>
        <w:fldChar w:fldCharType="end"/>
      </w:r>
      <w:r/>
    </w:p>
    <w:p>
      <w:pPr>
        <w:pStyle w:val="1126"/>
        <w:spacing w:line="360" w:lineRule="auto"/>
        <w:rPr>
          <w:b w:val="0"/>
          <w:color w:val="auto"/>
          <w:sz w:val="36"/>
          <w:szCs w:val="36"/>
        </w:rPr>
      </w:pPr>
      <w:r>
        <w:rPr>
          <w:b w:val="0"/>
          <w:color w:val="auto"/>
          <w:sz w:val="36"/>
          <w:szCs w:val="36"/>
        </w:rPr>
      </w:r>
      <w:r/>
    </w:p>
    <w:p>
      <w:pPr>
        <w:jc w:val="center"/>
        <w:spacing w:line="360" w:lineRule="auto"/>
        <w:rPr>
          <w:b/>
          <w:color w:val="auto"/>
          <w:sz w:val="36"/>
          <w:szCs w:val="36"/>
        </w:rPr>
        <w:sectPr>
          <w:headerReference w:type="default" r:id="rId9"/>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auto"/>
          <w:sz w:val="36"/>
          <w:szCs w:val="36"/>
        </w:rPr>
        <w:br w:type="page" w:clear="all"/>
      </w:r>
      <w:r/>
    </w:p>
    <w:p>
      <w:pPr>
        <w:jc w:val="center"/>
        <w:spacing w:line="360" w:lineRule="auto"/>
        <w:rPr>
          <w:rFonts w:ascii="Times New Roman" w:hAnsi="Times New Roman" w:eastAsia="宋体" w:cs="Times New Roman"/>
          <w:b/>
          <w:color w:val="auto"/>
          <w:sz w:val="36"/>
          <w:szCs w:val="36"/>
          <w:highlight w:val="none"/>
        </w:rPr>
        <w:outlineLvl w:val="0"/>
      </w:pPr>
      <w:r/>
      <w:bookmarkStart w:id="2" w:name="_Toc19414"/>
      <w:r>
        <w:rPr>
          <w:rFonts w:ascii="Times New Roman" w:hAnsi="Times New Roman" w:eastAsia="宋体" w:cs="Times New Roman"/>
          <w:b/>
          <w:color w:val="auto"/>
          <w:sz w:val="36"/>
          <w:szCs w:val="36"/>
          <w:highlight w:val="none"/>
        </w:rPr>
        <w:t xml:space="preserve">第一章   </w:t>
      </w:r>
      <w:bookmarkEnd w:id="2"/>
      <w:r>
        <w:rPr>
          <w:b/>
          <w:color w:val="auto"/>
          <w:sz w:val="36"/>
          <w:szCs w:val="36"/>
          <w:highlight w:val="none"/>
        </w:rPr>
        <w:t xml:space="preserve"> </w:t>
      </w:r>
      <w:r>
        <w:rPr>
          <w:rFonts w:hint="eastAsia"/>
          <w:b/>
          <w:color w:val="auto"/>
          <w:sz w:val="36"/>
          <w:szCs w:val="36"/>
          <w:highlight w:val="none"/>
          <w:lang w:eastAsia="zh-CN"/>
        </w:rPr>
        <w:t xml:space="preserve">磋商邀请</w:t>
      </w:r>
      <w:r/>
    </w:p>
    <w:p>
      <w:pPr>
        <w:pStyle w:val="1323"/>
        <w:ind w:firstLine="482"/>
        <w:pageBreakBefore w:val="0"/>
        <w:spacing w:line="336" w:lineRule="auto"/>
        <w:rPr>
          <w:rFonts w:ascii="宋体" w:hAnsi="宋体" w:cs="宋体"/>
          <w:b/>
          <w:bCs/>
          <w:color w:val="auto"/>
          <w:sz w:val="24"/>
          <w:szCs w:val="24"/>
        </w:rPr>
      </w:pPr>
      <w:r/>
      <w:bookmarkStart w:id="3" w:name="_Hlk44623590"/>
      <w:r>
        <w:rPr>
          <w:rFonts w:hint="eastAsia" w:ascii="宋体" w:hAnsi="宋体" w:cs="宋体"/>
          <w:b/>
          <w:bCs/>
          <w:color w:val="auto"/>
          <w:sz w:val="24"/>
          <w:szCs w:val="24"/>
        </w:rPr>
        <w:t xml:space="preserve">一、项目基本情况</w:t>
      </w:r>
      <w:r/>
    </w:p>
    <w:p>
      <w:pPr>
        <w:pStyle w:val="1323"/>
        <w:ind w:firstLine="480"/>
        <w:pageBreakBefore w:val="0"/>
        <w:spacing w:line="336" w:lineRule="auto"/>
        <w:rPr>
          <w:rFonts w:ascii="宋体" w:hAnsi="宋体"/>
          <w:bCs/>
          <w:color w:val="auto"/>
          <w:sz w:val="24"/>
          <w:szCs w:val="24"/>
        </w:rPr>
      </w:pPr>
      <w:r>
        <w:rPr>
          <w:rFonts w:hint="eastAsia" w:ascii="宋体" w:hAnsi="宋体" w:cs="宋体"/>
          <w:color w:val="auto"/>
          <w:sz w:val="24"/>
          <w:szCs w:val="24"/>
        </w:rPr>
        <w:t xml:space="preserve">1.项目编号：JSZC-320481-HXZC-C2026-0033</w:t>
      </w:r>
      <w:r>
        <w:rPr>
          <w:rFonts w:hint="eastAsia" w:ascii="宋体" w:hAnsi="宋体" w:cs="宋体"/>
          <w:color w:val="auto"/>
          <w:sz w:val="24"/>
          <w:szCs w:val="24"/>
          <w:lang w:val="en-US" w:eastAsia="zh-CN"/>
        </w:rPr>
        <w:t xml:space="preserve"> </w:t>
      </w:r>
      <w:r/>
    </w:p>
    <w:p>
      <w:pPr>
        <w:pStyle w:val="1323"/>
        <w:ind w:firstLine="480"/>
        <w:pageBreakBefore w:val="0"/>
        <w:spacing w:line="33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2026年溧阳市公安局交通安全设施维护服务采购项目</w:t>
      </w:r>
      <w:r/>
    </w:p>
    <w:p>
      <w:pPr>
        <w:pStyle w:val="1323"/>
        <w:ind w:firstLine="480"/>
        <w:pageBreakBefore w:val="0"/>
        <w:spacing w:line="336" w:lineRule="auto"/>
        <w:rPr>
          <w:rFonts w:ascii="宋体" w:hAnsi="宋体" w:cs="宋体"/>
          <w:color w:val="auto"/>
          <w:sz w:val="24"/>
          <w:szCs w:val="24"/>
        </w:rPr>
      </w:pPr>
      <w:r>
        <w:rPr>
          <w:rFonts w:hint="eastAsia" w:ascii="宋体" w:hAnsi="宋体" w:cs="宋体"/>
          <w:color w:val="auto"/>
          <w:sz w:val="24"/>
          <w:szCs w:val="24"/>
        </w:rPr>
        <w:t xml:space="preserve">3.采购方式：竞争性磋商</w:t>
      </w:r>
      <w:r/>
    </w:p>
    <w:p>
      <w:pPr>
        <w:pStyle w:val="1323"/>
        <w:ind w:firstLine="480"/>
        <w:pageBreakBefore w:val="0"/>
        <w:spacing w:line="336" w:lineRule="auto"/>
        <w:rPr>
          <w:rFonts w:ascii="宋体" w:hAnsi="宋体" w:cs="宋体"/>
          <w:color w:val="auto"/>
          <w:sz w:val="24"/>
          <w:szCs w:val="24"/>
        </w:rPr>
      </w:pPr>
      <w:r>
        <w:rPr>
          <w:rFonts w:hint="eastAsia" w:ascii="宋体" w:hAnsi="宋体" w:cs="宋体"/>
          <w:color w:val="auto"/>
          <w:sz w:val="24"/>
          <w:szCs w:val="24"/>
        </w:rPr>
        <w:t xml:space="preserve">4.预算金额：</w:t>
      </w:r>
      <w:r>
        <w:rPr>
          <w:rFonts w:hint="eastAsia" w:ascii="宋体" w:hAnsi="宋体" w:cs="宋体"/>
          <w:color w:val="auto"/>
          <w:sz w:val="24"/>
          <w:szCs w:val="24"/>
          <w:lang w:val="en-US" w:eastAsia="zh-CN"/>
        </w:rPr>
        <w:t xml:space="preserve">390万元</w:t>
      </w:r>
      <w:r/>
    </w:p>
    <w:p>
      <w:pPr>
        <w:pStyle w:val="1323"/>
        <w:ind w:firstLine="480"/>
        <w:pageBreakBefore w:val="0"/>
        <w:spacing w:line="336" w:lineRule="auto"/>
        <w:rPr>
          <w:rFonts w:ascii="宋体" w:hAnsi="宋体" w:cs="宋体"/>
          <w:color w:val="auto"/>
          <w:sz w:val="24"/>
          <w:szCs w:val="24"/>
        </w:rPr>
      </w:pPr>
      <w:r>
        <w:rPr>
          <w:rFonts w:hint="eastAsia" w:ascii="宋体" w:hAnsi="宋体" w:cs="宋体"/>
          <w:color w:val="auto"/>
          <w:sz w:val="24"/>
          <w:szCs w:val="24"/>
        </w:rPr>
        <w:t xml:space="preserve">5.最高限价：</w:t>
      </w:r>
      <w:r>
        <w:rPr>
          <w:rFonts w:hint="eastAsia" w:ascii="宋体" w:hAnsi="宋体" w:cs="宋体"/>
          <w:color w:val="auto"/>
          <w:sz w:val="24"/>
          <w:szCs w:val="24"/>
          <w:lang w:val="en-US" w:eastAsia="zh-CN"/>
        </w:rPr>
        <w:t xml:space="preserve">390万元</w:t>
      </w:r>
      <w:r/>
    </w:p>
    <w:p>
      <w:pPr>
        <w:ind w:firstLine="480"/>
        <w:pageBreakBefore w:val="0"/>
        <w:spacing w:line="336" w:lineRule="auto"/>
        <w:tabs>
          <w:tab w:val="center" w:pos="4199" w:leader="none"/>
        </w:tabs>
        <w:rPr>
          <w:rFonts w:ascii="宋体" w:hAnsi="宋体" w:cs="宋体"/>
          <w:color w:val="auto"/>
          <w:sz w:val="24"/>
          <w:szCs w:val="24"/>
          <w:highlight w:val="none"/>
        </w:rPr>
      </w:pPr>
      <w:r>
        <w:rPr>
          <w:rFonts w:hint="eastAsia" w:ascii="宋体" w:hAnsi="宋体" w:cs="宋体"/>
          <w:color w:val="auto"/>
          <w:sz w:val="24"/>
          <w:szCs w:val="24"/>
        </w:rPr>
        <w:t xml:space="preserve">6.采购需求：</w:t>
      </w:r>
      <w:r>
        <w:rPr>
          <w:rFonts w:hint="eastAsia"/>
          <w:color w:val="auto"/>
          <w:sz w:val="24"/>
          <w:lang w:eastAsia="zh-CN"/>
        </w:rPr>
        <w:t xml:space="preserve">城区基础交通设施</w:t>
      </w:r>
      <w:r>
        <w:rPr>
          <w:rFonts w:hint="eastAsia"/>
          <w:color w:val="auto"/>
          <w:sz w:val="24"/>
          <w:lang w:eastAsia="zh-CN"/>
        </w:rPr>
        <w:t xml:space="preserve">（交通标志、标线、隔离护栏、减速带、警示柱等）及全市信号灯设施（</w:t>
      </w:r>
      <w:r>
        <w:rPr>
          <w:rFonts w:hint="eastAsia"/>
          <w:color w:val="auto"/>
          <w:sz w:val="24"/>
          <w:lang w:eastAsia="zh-CN"/>
        </w:rPr>
        <w:t xml:space="preserve">交通信号灯、信号机、爆闪灯、哨兵系统等）的维护服务。</w:t>
      </w:r>
      <w:r/>
    </w:p>
    <w:p>
      <w:pPr>
        <w:ind w:firstLine="480"/>
        <w:pageBreakBefore w:val="0"/>
        <w:spacing w:line="336" w:lineRule="auto"/>
        <w:tabs>
          <w:tab w:val="center" w:pos="4199" w:leader="none"/>
        </w:tabs>
        <w:rPr>
          <w:rFonts w:hint="eastAsia" w:ascii="宋体" w:hAnsi="宋体" w:eastAsia="宋体" w:cs="宋体"/>
          <w:color w:val="auto"/>
          <w:sz w:val="24"/>
          <w:szCs w:val="24"/>
          <w:lang w:eastAsia="zh-CN"/>
        </w:rPr>
      </w:pPr>
      <w:r/>
      <w:bookmarkStart w:id="4" w:name="_Toc28359013"/>
      <w:r/>
      <w:bookmarkStart w:id="5" w:name="_Toc28359090"/>
      <w:r/>
      <w:bookmarkStart w:id="6" w:name="_Toc35393799"/>
      <w:r/>
      <w:bookmarkStart w:id="7" w:name="_Toc35393630"/>
      <w:r>
        <w:rPr>
          <w:rFonts w:hint="eastAsia" w:ascii="宋体" w:hAnsi="宋体" w:cs="宋体"/>
          <w:color w:val="auto"/>
          <w:sz w:val="24"/>
          <w:szCs w:val="24"/>
          <w:highlight w:val="none"/>
        </w:rPr>
        <w:t xml:space="preserve">7.合同履行期限：</w:t>
      </w:r>
      <w:r>
        <w:rPr>
          <w:rFonts w:hint="eastAsia" w:ascii="Times New Roman" w:hAnsi="Times New Roman" w:eastAsia="宋体" w:cs="Times New Roman"/>
          <w:color w:val="auto"/>
          <w:sz w:val="24"/>
        </w:rPr>
        <w:t xml:space="preserve">1年（时间以合同签订时间为准），合同期满考核合格的可续签1年。</w:t>
      </w:r>
      <w:r/>
    </w:p>
    <w:p>
      <w:pPr>
        <w:ind w:firstLine="480"/>
        <w:pageBreakBefore w:val="0"/>
        <w:spacing w:line="336" w:lineRule="auto"/>
        <w:rPr>
          <w:rFonts w:ascii="宋体" w:hAnsi="宋体" w:eastAsia="宋体" w:cs="宋体"/>
          <w:b/>
          <w:bCs/>
          <w:color w:val="auto"/>
          <w:spacing w:val="-4"/>
          <w:sz w:val="24"/>
          <w:szCs w:val="24"/>
        </w:rPr>
      </w:pPr>
      <w:r>
        <w:rPr>
          <w:rFonts w:hint="eastAsia" w:ascii="宋体" w:hAnsi="宋体" w:cs="宋体"/>
          <w:color w:val="auto"/>
          <w:sz w:val="24"/>
          <w:szCs w:val="24"/>
        </w:rPr>
        <w:t xml:space="preserve">8.</w:t>
      </w:r>
      <w:r>
        <w:rPr>
          <w:rFonts w:ascii="宋体" w:hAnsi="宋体" w:eastAsia="宋体" w:cs="宋体"/>
          <w:color w:val="auto"/>
          <w:spacing w:val="1"/>
          <w:sz w:val="24"/>
          <w:szCs w:val="24"/>
        </w:rPr>
        <w:t xml:space="preserve">本项目是否接受联合体投标</w:t>
      </w:r>
      <w:r>
        <w:rPr>
          <w:rFonts w:hint="eastAsia" w:ascii="Times New Roman" w:hAnsi="Times New Roman" w:eastAsia="宋体" w:cs="Times New Roman"/>
          <w:color w:val="auto"/>
          <w:sz w:val="24"/>
          <w:lang w:eastAsia="zh-CN"/>
        </w:rPr>
        <w:t xml:space="preserve">：</w:t>
      </w:r>
      <w:r>
        <w:rPr>
          <w:rFonts w:hint="eastAsia" w:cs="Times New Roman"/>
          <w:b/>
          <w:bCs/>
          <w:color w:val="auto"/>
          <w:sz w:val="24"/>
          <w:lang w:val="en-US" w:eastAsia="zh-CN"/>
        </w:rPr>
        <w:t xml:space="preserve">是，</w:t>
      </w:r>
      <w:r>
        <w:rPr>
          <w:rFonts w:ascii="宋体" w:hAnsi="宋体" w:eastAsia="宋体" w:cs="宋体"/>
          <w:b/>
          <w:bCs/>
          <w:color w:val="auto"/>
          <w:spacing w:val="1"/>
          <w:sz w:val="24"/>
          <w:szCs w:val="24"/>
        </w:rPr>
        <w:t xml:space="preserve">以联合体形</w:t>
      </w:r>
      <w:r>
        <w:rPr>
          <w:rFonts w:ascii="宋体" w:hAnsi="宋体" w:eastAsia="宋体" w:cs="宋体"/>
          <w:b/>
          <w:bCs/>
          <w:color w:val="auto"/>
          <w:sz w:val="24"/>
          <w:szCs w:val="24"/>
        </w:rPr>
        <w:t xml:space="preserve">式投标的，联合体的资格（资质）条件</w:t>
      </w:r>
      <w:r>
        <w:rPr>
          <w:rFonts w:ascii="宋体" w:hAnsi="宋体" w:eastAsia="宋体" w:cs="宋体"/>
          <w:b/>
          <w:bCs/>
          <w:color w:val="auto"/>
          <w:spacing w:val="1"/>
          <w:sz w:val="24"/>
          <w:szCs w:val="24"/>
        </w:rPr>
        <w:t xml:space="preserve">必须符合要求，并附有共同投标协议；</w:t>
      </w:r>
      <w:r>
        <w:rPr>
          <w:rFonts w:ascii="宋体" w:hAnsi="宋体" w:eastAsia="宋体" w:cs="宋体"/>
          <w:b/>
          <w:bCs/>
          <w:strike w:val="0"/>
          <w:color w:val="auto"/>
          <w:spacing w:val="1"/>
          <w:sz w:val="24"/>
          <w:szCs w:val="24"/>
        </w:rPr>
        <w:t xml:space="preserve">但联合体主办方必须</w:t>
      </w:r>
      <w:r>
        <w:rPr>
          <w:rFonts w:ascii="宋体" w:hAnsi="宋体" w:eastAsia="宋体" w:cs="宋体"/>
          <w:b/>
          <w:bCs/>
          <w:strike w:val="0"/>
          <w:color w:val="auto"/>
          <w:sz w:val="24"/>
          <w:szCs w:val="24"/>
        </w:rPr>
        <w:t xml:space="preserve">为具有公路交通工程专业承包公路安全设施分项二级（含）以上资质的单位（以下简称为“联合体主办方</w:t>
      </w:r>
      <w:r>
        <w:rPr>
          <w:rFonts w:ascii="宋体" w:hAnsi="宋体" w:eastAsia="宋体" w:cs="宋体"/>
          <w:b/>
          <w:bCs/>
          <w:strike w:val="0"/>
          <w:color w:val="auto"/>
          <w:spacing w:val="-87"/>
          <w:sz w:val="24"/>
          <w:szCs w:val="24"/>
        </w:rPr>
        <w:t xml:space="preserve"> </w:t>
      </w:r>
      <w:r>
        <w:rPr>
          <w:rFonts w:ascii="宋体" w:hAnsi="宋体" w:eastAsia="宋体" w:cs="宋体"/>
          <w:b/>
          <w:bCs/>
          <w:strike w:val="0"/>
          <w:color w:val="auto"/>
          <w:sz w:val="24"/>
          <w:szCs w:val="24"/>
        </w:rPr>
        <w:t xml:space="preserve">”</w:t>
      </w:r>
      <w:r>
        <w:rPr>
          <w:rFonts w:ascii="宋体" w:hAnsi="宋体" w:eastAsia="宋体" w:cs="宋体"/>
          <w:b/>
          <w:bCs/>
          <w:strike w:val="0"/>
          <w:color w:val="auto"/>
          <w:spacing w:val="-3"/>
          <w:sz w:val="24"/>
          <w:szCs w:val="24"/>
        </w:rPr>
        <w:t xml:space="preserve">），</w:t>
      </w:r>
      <w:r>
        <w:rPr>
          <w:rFonts w:ascii="宋体" w:hAnsi="宋体" w:eastAsia="宋体" w:cs="宋体"/>
          <w:b/>
          <w:bCs/>
          <w:color w:val="auto"/>
          <w:sz w:val="24"/>
          <w:szCs w:val="24"/>
        </w:rPr>
        <w:t xml:space="preserve">且联合体成</w:t>
      </w:r>
      <w:r>
        <w:rPr>
          <w:rFonts w:ascii="宋体" w:hAnsi="宋体" w:eastAsia="宋体" w:cs="宋体"/>
          <w:b/>
          <w:bCs/>
          <w:color w:val="auto"/>
          <w:spacing w:val="1"/>
          <w:sz w:val="24"/>
          <w:szCs w:val="24"/>
        </w:rPr>
        <w:t xml:space="preserve">员不能同时参加两个或两个以上联合体投标，如果出现这种</w:t>
      </w:r>
      <w:r>
        <w:rPr>
          <w:rFonts w:ascii="宋体" w:hAnsi="宋体" w:eastAsia="宋体" w:cs="宋体"/>
          <w:b/>
          <w:bCs/>
          <w:color w:val="auto"/>
          <w:sz w:val="24"/>
          <w:szCs w:val="24"/>
        </w:rPr>
        <w:t xml:space="preserve">情况，与此有关的各联合体的投</w:t>
      </w:r>
      <w:r>
        <w:rPr>
          <w:rFonts w:ascii="宋体" w:hAnsi="宋体" w:eastAsia="宋体" w:cs="宋体"/>
          <w:b/>
          <w:bCs/>
          <w:color w:val="auto"/>
          <w:spacing w:val="1"/>
          <w:sz w:val="24"/>
          <w:szCs w:val="24"/>
        </w:rPr>
        <w:t xml:space="preserve">标文件将被拒绝。代理人、项目负责人必须为联合体主办单</w:t>
      </w:r>
      <w:r>
        <w:rPr>
          <w:rFonts w:ascii="宋体" w:hAnsi="宋体" w:eastAsia="宋体" w:cs="宋体"/>
          <w:b/>
          <w:bCs/>
          <w:color w:val="auto"/>
          <w:sz w:val="24"/>
          <w:szCs w:val="24"/>
        </w:rPr>
        <w:t xml:space="preserve">位人员。联合体中中小企业承担</w:t>
      </w:r>
      <w:r>
        <w:rPr>
          <w:rFonts w:ascii="宋体" w:hAnsi="宋体" w:eastAsia="宋体" w:cs="宋体"/>
          <w:b/>
          <w:bCs/>
          <w:color w:val="auto"/>
          <w:spacing w:val="1"/>
          <w:sz w:val="24"/>
          <w:szCs w:val="24"/>
        </w:rPr>
        <w:t xml:space="preserve">的部分必须达到100%；组成联合体的中小企业与联合体</w:t>
      </w:r>
      <w:r>
        <w:rPr>
          <w:rFonts w:ascii="宋体" w:hAnsi="宋体" w:eastAsia="宋体" w:cs="宋体"/>
          <w:b/>
          <w:bCs/>
          <w:color w:val="auto"/>
          <w:sz w:val="24"/>
          <w:szCs w:val="24"/>
        </w:rPr>
        <w:t xml:space="preserve">内其他企业之间不得存在直接控股</w:t>
      </w:r>
      <w:r>
        <w:rPr>
          <w:rFonts w:ascii="宋体" w:hAnsi="宋体" w:eastAsia="宋体" w:cs="宋体"/>
          <w:b/>
          <w:bCs/>
          <w:color w:val="auto"/>
          <w:spacing w:val="-4"/>
          <w:sz w:val="24"/>
          <w:szCs w:val="24"/>
        </w:rPr>
        <w:t xml:space="preserve">管理关系。</w:t>
      </w:r>
      <w:r/>
    </w:p>
    <w:p>
      <w:pPr>
        <w:ind w:firstLine="480"/>
        <w:pageBreakBefore w:val="0"/>
        <w:spacing w:line="336"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r>
      <w:bookmarkEnd w:id="4"/>
      <w:bookmarkEnd w:id="5"/>
      <w:bookmarkEnd w:id="6"/>
      <w:bookmarkEnd w:id="7"/>
      <w:r/>
    </w:p>
    <w:p>
      <w:pPr>
        <w:pStyle w:val="1076"/>
        <w:ind w:firstLine="354"/>
        <w:jc w:val="left"/>
        <w:pageBreakBefore w:val="0"/>
        <w:spacing w:before="0" w:line="336" w:lineRule="auto"/>
        <w:rPr>
          <w:rFonts w:ascii="Times New Roman" w:hAnsi="Times New Roman" w:eastAsia="宋体"/>
          <w:color w:val="auto"/>
          <w:sz w:val="24"/>
          <w:szCs w:val="24"/>
        </w:rPr>
      </w:pPr>
      <w:r/>
      <w:bookmarkStart w:id="8" w:name="_Toc28359014"/>
      <w:r/>
      <w:bookmarkStart w:id="9" w:name="_Toc35393631"/>
      <w:r/>
      <w:bookmarkStart w:id="10" w:name="_Toc35393800"/>
      <w:r/>
      <w:bookmarkStart w:id="11" w:name="_Toc28359091"/>
      <w:r>
        <w:rPr>
          <w:rFonts w:ascii="Times New Roman" w:hAnsi="Times New Roman" w:eastAsia="宋体"/>
          <w:color w:val="auto"/>
          <w:sz w:val="24"/>
          <w:szCs w:val="24"/>
        </w:rPr>
        <w:t xml:space="preserve">二、申请人的资格要求（须同时满足）</w:t>
      </w:r>
      <w:r/>
    </w:p>
    <w:p>
      <w:pPr>
        <w:ind w:firstLine="480"/>
        <w:pageBreakBefore w:val="0"/>
        <w:spacing w:line="336" w:lineRule="auto"/>
        <w:rPr>
          <w:rFonts w:hint="eastAsia"/>
          <w:color w:val="auto"/>
          <w:sz w:val="24"/>
        </w:rPr>
      </w:pPr>
      <w:r>
        <w:rPr>
          <w:color w:val="auto"/>
          <w:sz w:val="24"/>
        </w:rPr>
        <w:t xml:space="preserve">1.满足《中华人民共和国政府采购法》第二十二条规定</w:t>
      </w:r>
      <w:r>
        <w:rPr>
          <w:rFonts w:hint="eastAsia"/>
          <w:color w:val="auto"/>
          <w:sz w:val="24"/>
        </w:rPr>
        <w:t xml:space="preserve">以及下列情形：</w:t>
      </w:r>
      <w:r/>
    </w:p>
    <w:p>
      <w:pPr>
        <w:ind w:firstLine="480"/>
        <w:pageBreakBefore w:val="0"/>
        <w:spacing w:line="336" w:lineRule="auto"/>
        <w:rPr>
          <w:color w:val="auto"/>
          <w:sz w:val="24"/>
        </w:rPr>
      </w:pPr>
      <w:r>
        <w:rPr>
          <w:rFonts w:hint="eastAsia"/>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pageBreakBefore w:val="0"/>
        <w:spacing w:line="336" w:lineRule="auto"/>
        <w:rPr>
          <w:color w:val="auto"/>
          <w:sz w:val="24"/>
        </w:rPr>
      </w:pPr>
      <w:r>
        <w:rPr>
          <w:rFonts w:hint="eastAsia"/>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pageBreakBefore w:val="0"/>
        <w:spacing w:line="336" w:lineRule="auto"/>
        <w:rPr>
          <w:color w:val="auto"/>
          <w:sz w:val="24"/>
        </w:rPr>
      </w:pPr>
      <w:r>
        <w:rPr>
          <w:color w:val="auto"/>
          <w:sz w:val="24"/>
        </w:rPr>
        <w:t xml:space="preserve">2.落实政府采购政策需满足的资格要求：</w:t>
      </w:r>
      <w:r/>
    </w:p>
    <w:p>
      <w:pPr>
        <w:ind w:firstLine="480"/>
        <w:pageBreakBefore w:val="0"/>
        <w:spacing w:line="336" w:lineRule="auto"/>
        <w:rPr>
          <w:color w:val="auto"/>
          <w:sz w:val="24"/>
        </w:rPr>
      </w:pPr>
      <w:r>
        <w:rPr>
          <w:color w:val="auto"/>
          <w:sz w:val="24"/>
        </w:rPr>
        <w:t xml:space="preserve">2.1 中小企业政策</w:t>
      </w:r>
      <w:r/>
    </w:p>
    <w:p>
      <w:pPr>
        <w:ind w:firstLine="420"/>
        <w:pageBreakBefore w:val="0"/>
        <w:spacing w:line="336" w:lineRule="auto"/>
        <w:rPr>
          <w:color w:val="auto"/>
          <w:sz w:val="24"/>
        </w:rPr>
      </w:pPr>
      <w:r>
        <w:rPr>
          <w:color w:val="auto"/>
        </w:rPr>
        <w:t xml:space="preserve">□</w:t>
      </w:r>
      <w:r>
        <w:rPr>
          <w:color w:val="auto"/>
          <w:sz w:val="24"/>
        </w:rPr>
        <w:t xml:space="preserve">本项目不专门面向中小企业预留采购份额。</w:t>
      </w:r>
      <w:r/>
    </w:p>
    <w:p>
      <w:pPr>
        <w:ind w:firstLine="482"/>
        <w:pageBreakBefore w:val="0"/>
        <w:spacing w:line="336" w:lineRule="auto"/>
        <w:rPr>
          <w:color w:val="auto"/>
          <w:sz w:val="24"/>
        </w:rPr>
      </w:pPr>
      <w:r>
        <w:rPr>
          <w:b/>
          <w:color w:val="auto"/>
          <w:sz w:val="24"/>
        </w:rPr>
        <w:t xml:space="preserve">■</w:t>
      </w:r>
      <w:r>
        <w:rPr>
          <w:color w:val="auto"/>
          <w:sz w:val="24"/>
        </w:rPr>
        <w:t xml:space="preserve">本项目专门面向  </w:t>
      </w:r>
      <w:r>
        <w:rPr>
          <w:b/>
          <w:color w:val="auto"/>
          <w:sz w:val="24"/>
        </w:rPr>
        <w:t xml:space="preserve">■</w:t>
      </w:r>
      <w:r>
        <w:rPr>
          <w:color w:val="auto"/>
          <w:sz w:val="24"/>
        </w:rPr>
        <w:t xml:space="preserve">中小 </w:t>
      </w:r>
      <w:r>
        <w:rPr>
          <w:b/>
          <w:color w:val="auto"/>
          <w:sz w:val="24"/>
        </w:rPr>
        <w:t xml:space="preserve">■</w:t>
      </w:r>
      <w:r>
        <w:rPr>
          <w:color w:val="auto"/>
          <w:sz w:val="24"/>
        </w:rPr>
        <w:t xml:space="preserve">小微企业  采购。即：提供的货物全部由符合政策要求的中小/小微企业制造、服务全部由符合政策要求的中小/小微企业承接。</w:t>
      </w:r>
      <w:r/>
    </w:p>
    <w:p>
      <w:pPr>
        <w:ind w:firstLine="420"/>
        <w:pageBreakBefore w:val="0"/>
        <w:spacing w:line="336" w:lineRule="auto"/>
        <w:rPr>
          <w:color w:val="auto"/>
          <w:sz w:val="24"/>
        </w:rPr>
      </w:pPr>
      <w:r>
        <w:rPr>
          <w:color w:val="auto"/>
        </w:rPr>
        <w:t xml:space="preserve">□</w:t>
      </w:r>
      <w:r>
        <w:rPr>
          <w:color w:val="auto"/>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auto"/>
          <w:sz w:val="24"/>
        </w:rPr>
        <w:t xml:space="preserve">。</w:t>
      </w:r>
      <w:r/>
    </w:p>
    <w:p>
      <w:pPr>
        <w:ind w:firstLine="480"/>
        <w:pageBreakBefore w:val="0"/>
        <w:spacing w:line="336" w:lineRule="auto"/>
        <w:rPr>
          <w:color w:val="auto"/>
          <w:sz w:val="24"/>
        </w:rPr>
      </w:pPr>
      <w:r>
        <w:rPr>
          <w:color w:val="auto"/>
          <w:sz w:val="24"/>
        </w:rPr>
        <w:t xml:space="preserve">2.2 其它落实政府采购政策的资格要求：</w:t>
      </w:r>
      <w:r>
        <w:rPr>
          <w:color w:val="auto"/>
          <w:sz w:val="24"/>
          <w:u w:val="single"/>
        </w:rPr>
        <w:t xml:space="preserve">无</w:t>
      </w:r>
      <w:r>
        <w:rPr>
          <w:rFonts w:hint="eastAsia"/>
          <w:color w:val="auto"/>
          <w:sz w:val="24"/>
        </w:rPr>
        <w:t xml:space="preserve">。</w:t>
      </w:r>
      <w:r/>
    </w:p>
    <w:p>
      <w:pPr>
        <w:ind w:firstLine="480"/>
        <w:pageBreakBefore w:val="0"/>
        <w:spacing w:line="336" w:lineRule="auto"/>
        <w:rPr>
          <w:i/>
          <w:iCs/>
          <w:color w:val="auto"/>
          <w:sz w:val="24"/>
          <w:u w:val="single"/>
        </w:rPr>
      </w:pPr>
      <w:r>
        <w:rPr>
          <w:color w:val="auto"/>
          <w:sz w:val="24"/>
        </w:rPr>
        <w:t xml:space="preserve">3.本项目的特定资格要求：</w:t>
      </w:r>
      <w:r/>
    </w:p>
    <w:p>
      <w:pPr>
        <w:ind w:firstLine="480"/>
        <w:pageBreakBefore w:val="0"/>
        <w:spacing w:line="336" w:lineRule="auto"/>
        <w:tabs>
          <w:tab w:val="left" w:pos="900" w:leader="none"/>
          <w:tab w:val="left" w:pos="1134" w:leader="none"/>
          <w:tab w:val="left" w:pos="1589" w:leader="none"/>
          <w:tab w:val="left" w:pos="5521" w:leader="none"/>
        </w:tabs>
        <w:rPr>
          <w:rFonts w:hint="eastAsia"/>
          <w:color w:val="auto"/>
          <w:sz w:val="24"/>
        </w:rPr>
      </w:pPr>
      <w:r>
        <w:rPr>
          <w:color w:val="auto"/>
          <w:sz w:val="24"/>
        </w:rPr>
        <w:t xml:space="preserve">3.1本项目是否接受分支机构参与响应：</w:t>
      </w:r>
      <w:r>
        <w:rPr>
          <w:color w:val="auto"/>
        </w:rPr>
        <w:t xml:space="preserve">□</w:t>
      </w:r>
      <w:r>
        <w:rPr>
          <w:color w:val="auto"/>
          <w:sz w:val="24"/>
        </w:rPr>
        <w:t xml:space="preserve">是   </w:t>
      </w:r>
      <w:r>
        <w:rPr>
          <w:b/>
          <w:color w:val="auto"/>
          <w:sz w:val="24"/>
        </w:rPr>
        <w:t xml:space="preserve">■</w:t>
      </w:r>
      <w:r>
        <w:rPr>
          <w:color w:val="auto"/>
          <w:sz w:val="24"/>
        </w:rPr>
        <w:t xml:space="preserve">否；</w:t>
      </w:r>
      <w:r/>
    </w:p>
    <w:p>
      <w:pPr>
        <w:ind w:firstLine="480"/>
        <w:pageBreakBefore w:val="0"/>
        <w:spacing w:line="336" w:lineRule="auto"/>
        <w:tabs>
          <w:tab w:val="left" w:pos="900" w:leader="none"/>
          <w:tab w:val="left" w:pos="1134" w:leader="none"/>
          <w:tab w:val="left" w:pos="1589" w:leader="none"/>
          <w:tab w:val="left" w:pos="5521" w:leader="none"/>
        </w:tabs>
        <w:rPr>
          <w:color w:val="auto"/>
          <w:sz w:val="24"/>
        </w:rPr>
      </w:pPr>
      <w:r>
        <w:rPr>
          <w:color w:val="auto"/>
          <w:sz w:val="24"/>
        </w:rPr>
        <w:t xml:space="preserve">3.2 本项目是否属于政府购买服务：</w:t>
      </w:r>
      <w:r/>
    </w:p>
    <w:p>
      <w:pPr>
        <w:ind w:left="991" w:firstLine="2"/>
        <w:pageBreakBefore w:val="0"/>
        <w:spacing w:line="336" w:lineRule="auto"/>
        <w:tabs>
          <w:tab w:val="left" w:pos="900" w:leader="none"/>
          <w:tab w:val="left" w:pos="1134" w:leader="none"/>
          <w:tab w:val="left" w:pos="1589" w:leader="none"/>
          <w:tab w:val="left" w:pos="5521" w:leader="none"/>
        </w:tabs>
        <w:rPr>
          <w:color w:val="auto"/>
          <w:sz w:val="24"/>
        </w:rPr>
      </w:pPr>
      <w:r>
        <w:rPr>
          <w:color w:val="auto"/>
        </w:rPr>
        <w:t xml:space="preserve">□</w:t>
      </w:r>
      <w:r>
        <w:rPr>
          <w:color w:val="auto"/>
          <w:sz w:val="24"/>
        </w:rPr>
        <w:t xml:space="preserve">否</w:t>
      </w:r>
      <w:r/>
    </w:p>
    <w:p>
      <w:pPr>
        <w:ind w:left="991" w:firstLine="2"/>
        <w:pageBreakBefore w:val="0"/>
        <w:spacing w:line="336" w:lineRule="auto"/>
        <w:tabs>
          <w:tab w:val="left" w:pos="900" w:leader="none"/>
          <w:tab w:val="left" w:pos="1134" w:leader="none"/>
          <w:tab w:val="left" w:pos="1589" w:leader="none"/>
          <w:tab w:val="left" w:pos="5521" w:leader="none"/>
        </w:tabs>
        <w:rPr>
          <w:color w:val="auto"/>
          <w:sz w:val="24"/>
        </w:rPr>
      </w:pPr>
      <w:r>
        <w:rPr>
          <w:b/>
          <w:color w:val="auto"/>
          <w:sz w:val="24"/>
        </w:rPr>
        <w:t xml:space="preserve">■</w:t>
      </w:r>
      <w:r>
        <w:rPr>
          <w:color w:val="auto"/>
          <w:sz w:val="24"/>
        </w:rPr>
        <w:t xml:space="preserve">是，公益一类事业单位、使用事业编制且由财政拨款保障的群团组织，不得作为承接主体；</w:t>
      </w:r>
      <w:r/>
    </w:p>
    <w:p>
      <w:pPr>
        <w:ind w:firstLine="480"/>
        <w:pageBreakBefore w:val="0"/>
        <w:spacing w:line="336" w:lineRule="auto"/>
        <w:tabs>
          <w:tab w:val="left" w:pos="900" w:leader="none"/>
          <w:tab w:val="left" w:pos="1134" w:leader="none"/>
          <w:tab w:val="left" w:pos="1589" w:leader="none"/>
          <w:tab w:val="left" w:pos="5521" w:leader="none"/>
        </w:tabs>
        <w:rPr>
          <w:color w:val="auto"/>
          <w:sz w:val="24"/>
        </w:rPr>
      </w:pPr>
      <w:r>
        <w:rPr>
          <w:color w:val="auto"/>
          <w:sz w:val="24"/>
        </w:rPr>
        <w:t xml:space="preserve">3.3其他特定资格要求：</w:t>
      </w:r>
      <w:r/>
    </w:p>
    <w:p>
      <w:pPr>
        <w:ind w:firstLine="480"/>
        <w:pageBreakBefore w:val="0"/>
        <w:spacing w:line="336" w:lineRule="auto"/>
        <w:tabs>
          <w:tab w:val="left" w:pos="900" w:leader="none"/>
          <w:tab w:val="left" w:pos="1134" w:leader="none"/>
          <w:tab w:val="left" w:pos="1589" w:leader="none"/>
          <w:tab w:val="left" w:pos="5521" w:leader="none"/>
        </w:tabs>
        <w:rPr>
          <w:rFonts w:hint="eastAsia" w:asciiTheme="minorEastAsia" w:hAnsiTheme="minorEastAsia" w:eastAsiaTheme="minorEastAsia" w:cstheme="minorEastAsia"/>
          <w:color w:val="auto"/>
          <w:sz w:val="24"/>
          <w:szCs w:val="24"/>
        </w:rPr>
      </w:pP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供应商</w:t>
      </w:r>
      <w:r>
        <w:rPr>
          <w:rFonts w:hint="eastAsia" w:ascii="Times New Roman" w:hAnsi="Times New Roman" w:eastAsia="宋体" w:cs="Times New Roman"/>
          <w:color w:val="auto"/>
          <w:sz w:val="24"/>
        </w:rPr>
        <w:t xml:space="preserve">必须同时具备公路交通工程专业承包</w:t>
      </w:r>
      <w:r>
        <w:rPr>
          <w:rFonts w:hint="eastAsia" w:ascii="Times New Roman" w:hAnsi="Times New Roman" w:eastAsia="宋体" w:cs="Times New Roman"/>
          <w:color w:val="auto"/>
          <w:sz w:val="24"/>
          <w:u w:val="none"/>
        </w:rPr>
        <w:t xml:space="preserve">公路安全设施分</w:t>
      </w:r>
      <w:r>
        <w:rPr>
          <w:rFonts w:hint="eastAsia" w:ascii="Times New Roman" w:hAnsi="Times New Roman" w:eastAsia="宋体" w:cs="Times New Roman"/>
          <w:color w:val="auto"/>
          <w:sz w:val="24"/>
        </w:rPr>
        <w:t xml:space="preserve">项二级（含）以上资质及</w:t>
      </w:r>
      <w:r>
        <w:rPr>
          <w:rFonts w:hint="eastAsia" w:ascii="Times New Roman" w:hAnsi="Times New Roman" w:eastAsia="宋体" w:cs="Times New Roman"/>
          <w:color w:val="auto"/>
          <w:sz w:val="24"/>
          <w:u w:val="none"/>
        </w:rPr>
        <w:t xml:space="preserve">公路机电工程分</w:t>
      </w:r>
      <w:r>
        <w:rPr>
          <w:rFonts w:hint="eastAsia" w:ascii="Times New Roman" w:hAnsi="Times New Roman" w:eastAsia="宋体" w:cs="Times New Roman"/>
          <w:color w:val="auto"/>
          <w:sz w:val="24"/>
        </w:rPr>
        <w:t xml:space="preserve">项二级（含）以上资质；</w:t>
      </w:r>
      <w:r/>
    </w:p>
    <w:p>
      <w:pPr>
        <w:ind w:firstLine="480"/>
        <w:pageBreakBefore w:val="0"/>
        <w:spacing w:line="336" w:lineRule="auto"/>
        <w:tabs>
          <w:tab w:val="left" w:pos="900" w:leader="none"/>
          <w:tab w:val="left" w:pos="1134" w:leader="none"/>
          <w:tab w:val="left" w:pos="1589" w:leader="none"/>
          <w:tab w:val="left" w:pos="5521"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（2）项</w:t>
      </w:r>
      <w:r>
        <w:rPr>
          <w:rFonts w:hint="eastAsia" w:asciiTheme="minorEastAsia" w:hAnsiTheme="minorEastAsia" w:eastAsiaTheme="minorEastAsia" w:cstheme="minorEastAsia"/>
          <w:b w:val="0"/>
          <w:bCs w:val="0"/>
          <w:color w:val="auto"/>
          <w:sz w:val="24"/>
          <w:szCs w:val="24"/>
        </w:rPr>
        <w:t xml:space="preserve">目负责人具备公路工程贰级（含）以上注册建造师执业资格</w:t>
      </w:r>
      <w:r>
        <w:rPr>
          <w:rFonts w:hint="eastAsia" w:asciiTheme="minorEastAsia" w:hAnsiTheme="minorEastAsia" w:eastAsiaTheme="minorEastAsia" w:cstheme="minorEastAsia"/>
          <w:b w:val="0"/>
          <w:bCs w:val="0"/>
          <w:color w:val="auto"/>
          <w:sz w:val="24"/>
          <w:szCs w:val="24"/>
          <w:lang w:eastAsia="zh-CN"/>
        </w:rPr>
        <w:t xml:space="preserve">，及</w:t>
      </w:r>
      <w:r>
        <w:rPr>
          <w:rFonts w:hint="eastAsia" w:asciiTheme="minorEastAsia" w:hAnsiTheme="minorEastAsia" w:eastAsiaTheme="minorEastAsia" w:cstheme="minorEastAsia"/>
          <w:b w:val="0"/>
          <w:bCs w:val="0"/>
          <w:strike w:val="0"/>
          <w:color w:val="auto"/>
          <w:spacing w:val="-3"/>
          <w:sz w:val="24"/>
          <w:szCs w:val="24"/>
          <w:lang w:eastAsia="zh-CN"/>
        </w:rPr>
        <w:t xml:space="preserve">供应商</w:t>
      </w:r>
      <w:r>
        <w:rPr>
          <w:rFonts w:hint="eastAsia" w:asciiTheme="minorEastAsia" w:hAnsiTheme="minorEastAsia" w:eastAsiaTheme="minorEastAsia" w:cstheme="minorEastAsia"/>
          <w:b w:val="0"/>
          <w:bCs w:val="0"/>
          <w:color w:val="auto"/>
          <w:sz w:val="24"/>
          <w:szCs w:val="24"/>
          <w:highlight w:val="none"/>
          <w:lang w:val="en-US" w:eastAsia="zh-CN"/>
        </w:rPr>
        <w:t xml:space="preserve">为其缴纳的近三个月（2026年4月-2026年6月）中任意一个月的社保缴费证明。</w:t>
      </w:r>
      <w:r/>
    </w:p>
    <w:p>
      <w:pPr>
        <w:ind w:firstLine="480"/>
        <w:pageBreakBefore w:val="0"/>
        <w:spacing w:line="336" w:lineRule="auto"/>
        <w:tabs>
          <w:tab w:val="left" w:pos="900" w:leader="none"/>
          <w:tab w:val="left" w:pos="1134" w:leader="none"/>
          <w:tab w:val="left" w:pos="1589" w:leader="none"/>
          <w:tab w:val="left" w:pos="5521" w:leader="none"/>
        </w:tabs>
        <w:rPr>
          <w:rFonts w:hint="eastAsia"/>
          <w:color w:val="auto"/>
          <w:sz w:val="24"/>
        </w:rPr>
      </w:pPr>
      <w:r>
        <w:rPr>
          <w:rFonts w:hint="eastAsia"/>
          <w:color w:val="auto"/>
          <w:sz w:val="24"/>
        </w:rPr>
      </w:r>
      <w:r/>
    </w:p>
    <w:p>
      <w:pPr>
        <w:ind w:firstLine="482"/>
        <w:pageBreakBefore w:val="0"/>
        <w:spacing w:line="336" w:lineRule="auto"/>
        <w:tabs>
          <w:tab w:val="left" w:pos="900" w:leader="none"/>
          <w:tab w:val="left" w:pos="1134" w:leader="none"/>
          <w:tab w:val="left" w:pos="1589" w:leader="none"/>
          <w:tab w:val="left" w:pos="5521" w:leader="none"/>
        </w:tabs>
        <w:rPr>
          <w:rFonts w:ascii="宋体" w:hAnsi="宋体" w:cs="宋体"/>
          <w:b/>
          <w:bCs/>
          <w:color w:val="auto"/>
          <w:sz w:val="24"/>
        </w:rPr>
      </w:pPr>
      <w:r>
        <w:rPr>
          <w:rFonts w:hint="eastAsia" w:ascii="宋体" w:hAnsi="宋体" w:cs="宋体"/>
          <w:b/>
          <w:bCs/>
          <w:color w:val="auto"/>
          <w:sz w:val="24"/>
        </w:rPr>
        <w:t xml:space="preserve">三、</w:t>
      </w:r>
      <w:bookmarkEnd w:id="8"/>
      <w:r/>
      <w:bookmarkEnd w:id="9"/>
      <w:r/>
      <w:bookmarkEnd w:id="10"/>
      <w:r/>
      <w:bookmarkEnd w:id="11"/>
      <w:r>
        <w:rPr>
          <w:rFonts w:hint="eastAsia" w:ascii="宋体" w:hAnsi="宋体" w:cs="宋体"/>
          <w:b/>
          <w:bCs/>
          <w:color w:val="auto"/>
          <w:sz w:val="24"/>
        </w:rPr>
        <w:t xml:space="preserve">获取采购文件</w:t>
      </w:r>
      <w:r/>
    </w:p>
    <w:p>
      <w:pPr>
        <w:pStyle w:val="1323"/>
        <w:ind w:firstLine="480"/>
        <w:pageBreakBefore w:val="0"/>
        <w:spacing w:line="336" w:lineRule="auto"/>
        <w:rPr>
          <w:rFonts w:ascii="宋体" w:hAnsi="宋体" w:cs="宋体"/>
          <w:color w:val="auto"/>
          <w:sz w:val="24"/>
          <w:szCs w:val="24"/>
        </w:rPr>
      </w:pPr>
      <w:r>
        <w:rPr>
          <w:rFonts w:hint="eastAsia" w:ascii="宋体" w:hAnsi="宋体" w:cs="宋体"/>
          <w:bCs/>
          <w:color w:val="auto"/>
          <w:sz w:val="24"/>
          <w:szCs w:val="24"/>
        </w:rPr>
        <w:t xml:space="preserve">时间：</w:t>
      </w:r>
      <w:r>
        <w:rPr>
          <w:color w:val="auto"/>
          <w:sz w:val="24"/>
          <w:highlight w:val="none"/>
        </w:rPr>
        <w:t xml:space="preserve">自</w:t>
      </w:r>
      <w:r>
        <w:rPr>
          <w:rFonts w:hint="eastAsia"/>
          <w:color w:val="auto"/>
          <w:sz w:val="24"/>
          <w:highlight w:val="none"/>
          <w:lang w:val="en-US" w:eastAsia="zh-CN"/>
        </w:rPr>
        <w:t xml:space="preserve">采购文件</w:t>
      </w:r>
      <w:r>
        <w:rPr>
          <w:color w:val="auto"/>
          <w:sz w:val="24"/>
          <w:highlight w:val="none"/>
        </w:rPr>
        <w:t xml:space="preserve">公告发布之日起5个工作日</w:t>
      </w:r>
      <w:r>
        <w:rPr>
          <w:rFonts w:hint="eastAsia"/>
          <w:color w:val="auto"/>
          <w:sz w:val="24"/>
          <w:highlight w:val="none"/>
          <w:lang w:eastAsia="zh-CN"/>
        </w:rPr>
        <w:t xml:space="preserve">。</w:t>
      </w:r>
      <w:r/>
    </w:p>
    <w:p>
      <w:pPr>
        <w:ind w:firstLine="480"/>
        <w:pageBreakBefore w:val="0"/>
        <w:spacing w:line="336" w:lineRule="auto"/>
        <w:rPr>
          <w:rFonts w:hint="eastAsia"/>
          <w:color w:val="auto"/>
          <w:sz w:val="24"/>
        </w:rPr>
      </w:pPr>
      <w:r>
        <w:rPr>
          <w:color w:val="auto"/>
          <w:sz w:val="24"/>
          <w:lang w:bidi="ar"/>
        </w:rPr>
        <w:t xml:space="preserve">地点：</w:t>
      </w:r>
      <w:r>
        <w:rPr>
          <w:rFonts w:hint="eastAsia"/>
          <w:color w:val="auto"/>
          <w:sz w:val="24"/>
          <w:lang w:bidi="ar"/>
        </w:rPr>
        <w:t xml:space="preserve">苏采云</w:t>
      </w:r>
      <w:r/>
    </w:p>
    <w:p>
      <w:pPr>
        <w:ind w:firstLine="480"/>
        <w:jc w:val="left"/>
        <w:pageBreakBefore w:val="0"/>
        <w:spacing w:line="336" w:lineRule="auto"/>
        <w:widowControl/>
        <w:rPr>
          <w:color w:val="auto"/>
          <w:sz w:val="24"/>
          <w:lang w:bidi="ar"/>
        </w:rPr>
      </w:pPr>
      <w:r>
        <w:rPr>
          <w:rFonts w:hint="eastAsia"/>
          <w:color w:val="auto"/>
          <w:sz w:val="24"/>
          <w:lang w:bidi="ar"/>
        </w:rPr>
        <w:t xml:space="preserve">方式：</w:t>
      </w:r>
      <w:r>
        <w:rPr>
          <w:rFonts w:hint="eastAsia" w:ascii="宋体" w:hAnsi="宋体" w:cs="宋体"/>
          <w:color w:val="auto"/>
          <w:sz w:val="24"/>
          <w:highlight w:val="none"/>
        </w:rPr>
        <w:t xml:space="preserve">供应商完成注册并办理CA证书后登录“</w:t>
      </w:r>
      <w:r>
        <w:rPr>
          <w:rFonts w:hint="eastAsia"/>
          <w:color w:val="auto"/>
          <w:sz w:val="24"/>
          <w:highlight w:val="none"/>
          <w:lang w:bidi="ar"/>
        </w:rPr>
        <w:t xml:space="preserve">苏采云</w:t>
      </w:r>
      <w:r>
        <w:rPr>
          <w:rFonts w:hint="eastAsia" w:ascii="宋体" w:hAnsi="宋体" w:cs="宋体"/>
          <w:color w:val="auto"/>
          <w:sz w:val="24"/>
          <w:highlight w:val="none"/>
        </w:rPr>
        <w:t xml:space="preserve">” 系统，在线自行下载本项目竞争性磋商文件</w:t>
      </w:r>
      <w:r>
        <w:rPr>
          <w:color w:val="auto"/>
          <w:sz w:val="24"/>
          <w:highlight w:val="none"/>
          <w:lang w:bidi="ar"/>
        </w:rPr>
        <w:t xml:space="preserve">。</w:t>
      </w:r>
      <w:r/>
    </w:p>
    <w:p>
      <w:pPr>
        <w:ind w:firstLine="480"/>
        <w:jc w:val="left"/>
        <w:pageBreakBefore w:val="0"/>
        <w:spacing w:line="336" w:lineRule="auto"/>
        <w:widowControl/>
        <w:rPr>
          <w:color w:val="auto"/>
          <w:sz w:val="24"/>
        </w:rPr>
      </w:pPr>
      <w:r>
        <w:rPr>
          <w:color w:val="auto"/>
          <w:sz w:val="24"/>
          <w:lang w:bidi="ar"/>
        </w:rPr>
        <w:t xml:space="preserve">售价：</w:t>
      </w:r>
      <w:r>
        <w:rPr>
          <w:rFonts w:hint="eastAsia"/>
          <w:color w:val="auto"/>
          <w:sz w:val="24"/>
          <w:lang w:bidi="ar"/>
        </w:rPr>
        <w:t xml:space="preserve">0.00元</w:t>
      </w:r>
      <w:r/>
    </w:p>
    <w:p>
      <w:pPr>
        <w:pStyle w:val="1323"/>
        <w:ind w:firstLine="482"/>
        <w:pageBreakBefore w:val="0"/>
        <w:spacing w:line="336" w:lineRule="auto"/>
        <w:rPr>
          <w:rFonts w:hint="eastAsia" w:ascii="宋体" w:hAnsi="宋体"/>
          <w:b/>
          <w:color w:val="auto"/>
          <w:sz w:val="24"/>
          <w:szCs w:val="24"/>
        </w:rPr>
      </w:pPr>
      <w:r/>
      <w:bookmarkStart w:id="12" w:name="_Toc35393632"/>
      <w:r/>
      <w:bookmarkStart w:id="13" w:name="_Toc35393801"/>
      <w:r/>
      <w:bookmarkStart w:id="14" w:name="_Toc28359015"/>
      <w:r/>
      <w:bookmarkStart w:id="15" w:name="_Toc28359092"/>
      <w:r/>
      <w:r/>
    </w:p>
    <w:p>
      <w:pPr>
        <w:pStyle w:val="1323"/>
        <w:ind w:firstLine="482"/>
        <w:pageBreakBefore w:val="0"/>
        <w:spacing w:line="336" w:lineRule="auto"/>
        <w:rPr>
          <w:rFonts w:ascii="宋体" w:hAnsi="宋体" w:cs="宋体"/>
          <w:b/>
          <w:bCs/>
          <w:color w:val="auto"/>
          <w:sz w:val="24"/>
          <w:szCs w:val="24"/>
        </w:rPr>
      </w:pPr>
      <w:r>
        <w:rPr>
          <w:rFonts w:hint="eastAsia" w:ascii="宋体" w:hAnsi="宋体" w:cs="宋体"/>
          <w:b/>
          <w:bCs/>
          <w:color w:val="auto"/>
          <w:sz w:val="24"/>
          <w:szCs w:val="24"/>
        </w:rPr>
        <w:t xml:space="preserve">四、</w:t>
      </w:r>
      <w:bookmarkEnd w:id="12"/>
      <w:r/>
      <w:bookmarkEnd w:id="13"/>
      <w:r/>
      <w:bookmarkEnd w:id="14"/>
      <w:r/>
      <w:bookmarkEnd w:id="15"/>
      <w:r>
        <w:rPr>
          <w:rFonts w:hint="eastAsia" w:ascii="宋体" w:hAnsi="宋体" w:cs="宋体"/>
          <w:b/>
          <w:bCs/>
          <w:color w:val="auto"/>
          <w:sz w:val="24"/>
          <w:szCs w:val="24"/>
        </w:rPr>
        <w:t xml:space="preserve">响应文件提交</w:t>
      </w:r>
      <w:r/>
    </w:p>
    <w:p>
      <w:pPr>
        <w:ind w:firstLine="480"/>
        <w:pageBreakBefore w:val="0"/>
        <w:spacing w:line="336" w:lineRule="auto"/>
        <w:rPr>
          <w:rFonts w:hint="eastAsia"/>
          <w:iCs/>
          <w:color w:val="auto"/>
          <w:sz w:val="24"/>
          <w:lang w:bidi="ar"/>
        </w:rPr>
      </w:pPr>
      <w:r>
        <w:rPr>
          <w:color w:val="auto"/>
          <w:sz w:val="24"/>
          <w:lang w:bidi="ar"/>
        </w:rPr>
        <w:t xml:space="preserve">截止时间：</w:t>
      </w:r>
      <w:r>
        <w:rPr>
          <w:rFonts w:hint="eastAsia"/>
          <w:color w:val="auto"/>
          <w:sz w:val="24"/>
          <w:u w:val="none"/>
          <w:lang w:bidi="ar"/>
        </w:rPr>
        <w:t xml:space="preserve">202</w:t>
      </w:r>
      <w:r>
        <w:rPr>
          <w:rFonts w:hint="eastAsia"/>
          <w:color w:val="auto"/>
          <w:sz w:val="24"/>
          <w:u w:val="none"/>
          <w:lang w:val="en-US" w:eastAsia="zh-CN" w:bidi="ar"/>
        </w:rPr>
        <w:t xml:space="preserve">6</w:t>
      </w:r>
      <w:r>
        <w:rPr>
          <w:color w:val="auto"/>
          <w:sz w:val="24"/>
          <w:u w:val="none"/>
          <w:lang w:bidi="ar"/>
        </w:rPr>
        <w:t xml:space="preserve">年</w:t>
      </w:r>
      <w:r>
        <w:rPr>
          <w:rFonts w:hint="eastAsia"/>
          <w:color w:val="auto"/>
          <w:sz w:val="24"/>
          <w:u w:val="none"/>
          <w:lang w:val="en-US" w:eastAsia="zh-CN" w:bidi="ar"/>
        </w:rPr>
        <w:t xml:space="preserve">7</w:t>
      </w:r>
      <w:r>
        <w:rPr>
          <w:color w:val="auto"/>
          <w:sz w:val="24"/>
          <w:u w:val="none"/>
          <w:lang w:bidi="ar"/>
        </w:rPr>
        <w:t xml:space="preserve">月</w:t>
      </w:r>
      <w:r>
        <w:rPr>
          <w:rFonts w:hint="eastAsia"/>
          <w:color w:val="auto"/>
          <w:sz w:val="24"/>
          <w:u w:val="none"/>
          <w:lang w:val="en-US" w:eastAsia="zh-CN" w:bidi="ar"/>
        </w:rPr>
        <w:t xml:space="preserve">6</w:t>
      </w:r>
      <w:r>
        <w:rPr>
          <w:color w:val="auto"/>
          <w:sz w:val="24"/>
          <w:u w:val="none"/>
          <w:lang w:bidi="ar"/>
        </w:rPr>
        <w:t xml:space="preserve">日</w:t>
      </w:r>
      <w:r>
        <w:rPr>
          <w:rFonts w:hint="eastAsia"/>
          <w:color w:val="auto"/>
          <w:sz w:val="24"/>
          <w:u w:val="none"/>
          <w:lang w:val="en-US" w:eastAsia="zh-CN" w:bidi="ar"/>
        </w:rPr>
        <w:t xml:space="preserve">09点30分</w:t>
      </w:r>
      <w:r>
        <w:rPr>
          <w:bCs/>
          <w:color w:val="auto"/>
          <w:sz w:val="24"/>
          <w:lang w:bidi="ar"/>
        </w:rPr>
        <w:t xml:space="preserve">（北京时间）</w:t>
      </w:r>
      <w:r/>
    </w:p>
    <w:p>
      <w:pPr>
        <w:ind w:firstLine="480"/>
        <w:pageBreakBefore w:val="0"/>
        <w:spacing w:line="336" w:lineRule="auto"/>
        <w:rPr>
          <w:color w:val="auto"/>
          <w:sz w:val="24"/>
          <w:lang w:val="zh-TW" w:bidi="ar"/>
        </w:rPr>
      </w:pPr>
      <w:r>
        <w:rPr>
          <w:color w:val="auto"/>
          <w:sz w:val="24"/>
          <w:lang w:bidi="ar"/>
        </w:rPr>
        <w:t xml:space="preserve">地点</w:t>
      </w:r>
      <w:r>
        <w:rPr>
          <w:rFonts w:ascii="宋体" w:hAnsi="宋体"/>
          <w:color w:val="auto"/>
          <w:sz w:val="24"/>
        </w:rPr>
        <w:t xml:space="preserve">：</w:t>
      </w:r>
      <w:r>
        <w:rPr>
          <w:rFonts w:hint="eastAsia" w:ascii="宋体" w:hAnsi="宋体" w:cs="宋体"/>
          <w:color w:val="auto"/>
          <w:sz w:val="24"/>
          <w:highlight w:val="none"/>
        </w:rPr>
        <w:t xml:space="preserve">本项目采用不见面交易方式，无需到现场提交，供应商登录“</w:t>
      </w:r>
      <w:r>
        <w:rPr>
          <w:rFonts w:hint="eastAsia"/>
          <w:color w:val="auto"/>
          <w:sz w:val="24"/>
          <w:highlight w:val="none"/>
          <w:lang w:bidi="ar"/>
        </w:rPr>
        <w:t xml:space="preserve">苏采云</w:t>
      </w:r>
      <w:r>
        <w:rPr>
          <w:rFonts w:hint="eastAsia" w:ascii="宋体" w:hAnsi="宋体" w:cs="宋体"/>
          <w:color w:val="auto"/>
          <w:sz w:val="24"/>
          <w:highlight w:val="none"/>
        </w:rPr>
        <w:t xml:space="preserve">”供应商端，通过系统在线提交电子响应文件</w:t>
      </w:r>
      <w:r>
        <w:rPr>
          <w:color w:val="auto"/>
          <w:sz w:val="24"/>
          <w:highlight w:val="none"/>
          <w:lang w:val="zh-TW" w:bidi="ar"/>
        </w:rPr>
        <w:t xml:space="preserve">。</w:t>
      </w:r>
      <w:r/>
    </w:p>
    <w:p>
      <w:pPr>
        <w:pStyle w:val="1323"/>
        <w:ind w:firstLine="482"/>
        <w:pageBreakBefore w:val="0"/>
        <w:spacing w:line="336" w:lineRule="auto"/>
        <w:rPr>
          <w:rFonts w:ascii="宋体" w:hAnsi="宋体" w:cs="宋体"/>
          <w:b/>
          <w:bCs/>
          <w:color w:val="auto"/>
          <w:sz w:val="24"/>
          <w:szCs w:val="24"/>
        </w:rPr>
      </w:pPr>
      <w:r/>
      <w:bookmarkStart w:id="16" w:name="_Toc35393633"/>
      <w:r/>
      <w:bookmarkStart w:id="17" w:name="_Toc28359016"/>
      <w:r/>
      <w:bookmarkStart w:id="18" w:name="_Toc35393802"/>
      <w:r/>
      <w:bookmarkStart w:id="19" w:name="_Toc28359093"/>
      <w:r>
        <w:rPr>
          <w:rFonts w:hint="eastAsia" w:ascii="宋体" w:hAnsi="宋体" w:cs="宋体"/>
          <w:b/>
          <w:bCs/>
          <w:color w:val="auto"/>
          <w:sz w:val="24"/>
          <w:szCs w:val="24"/>
        </w:rPr>
        <w:t xml:space="preserve">五、</w:t>
      </w:r>
      <w:bookmarkEnd w:id="16"/>
      <w:r/>
      <w:bookmarkEnd w:id="17"/>
      <w:r/>
      <w:bookmarkEnd w:id="18"/>
      <w:r/>
      <w:bookmarkEnd w:id="19"/>
      <w:r/>
      <w:bookmarkStart w:id="20" w:name="_Toc28359017"/>
      <w:r/>
      <w:bookmarkStart w:id="21" w:name="_Toc28359094"/>
      <w:r/>
      <w:bookmarkStart w:id="22" w:name="_Toc35393803"/>
      <w:r/>
      <w:bookmarkStart w:id="23" w:name="_Toc35393634"/>
      <w:r>
        <w:rPr>
          <w:rFonts w:hint="eastAsia" w:ascii="宋体" w:hAnsi="宋体" w:cs="宋体"/>
          <w:b/>
          <w:bCs/>
          <w:color w:val="auto"/>
          <w:sz w:val="24"/>
          <w:szCs w:val="24"/>
        </w:rPr>
        <w:t xml:space="preserve">开启</w:t>
      </w:r>
      <w:r/>
    </w:p>
    <w:p>
      <w:pPr>
        <w:pStyle w:val="1323"/>
        <w:ind w:firstLine="482"/>
        <w:pageBreakBefore w:val="0"/>
        <w:spacing w:line="336" w:lineRule="auto"/>
        <w:rPr>
          <w:rFonts w:ascii="宋体" w:hAnsi="宋体" w:cs="宋体"/>
          <w:color w:val="auto"/>
          <w:sz w:val="24"/>
          <w:szCs w:val="24"/>
        </w:rPr>
      </w:pPr>
      <w:r>
        <w:rPr>
          <w:rFonts w:hint="eastAsia" w:ascii="宋体" w:hAnsi="宋体" w:cs="宋体"/>
          <w:b/>
          <w:bCs/>
          <w:color w:val="auto"/>
          <w:sz w:val="24"/>
          <w:szCs w:val="24"/>
        </w:rPr>
        <w:t xml:space="preserve">时间：</w:t>
      </w:r>
      <w:r>
        <w:rPr>
          <w:rFonts w:hint="eastAsia"/>
          <w:color w:val="auto"/>
          <w:sz w:val="24"/>
          <w:u w:val="none"/>
          <w:lang w:bidi="ar"/>
        </w:rPr>
        <w:t xml:space="preserve">202</w:t>
      </w:r>
      <w:r>
        <w:rPr>
          <w:rFonts w:hint="eastAsia" w:ascii="Times New Roman" w:eastAsia="宋体"/>
          <w:color w:val="auto"/>
          <w:sz w:val="24"/>
          <w:u w:val="none"/>
          <w:lang w:val="en-US" w:eastAsia="zh-CN" w:bidi="ar"/>
        </w:rPr>
        <w:t xml:space="preserve">6</w:t>
      </w:r>
      <w:r>
        <w:rPr>
          <w:color w:val="auto"/>
          <w:sz w:val="24"/>
          <w:u w:val="none"/>
          <w:lang w:bidi="ar"/>
        </w:rPr>
        <w:t xml:space="preserve">年</w:t>
      </w:r>
      <w:r>
        <w:rPr>
          <w:rFonts w:hint="eastAsia"/>
          <w:color w:val="auto"/>
          <w:sz w:val="24"/>
          <w:u w:val="none"/>
          <w:lang w:val="en-US" w:eastAsia="zh-CN" w:bidi="ar"/>
        </w:rPr>
        <w:t xml:space="preserve">7</w:t>
      </w:r>
      <w:r>
        <w:rPr>
          <w:color w:val="auto"/>
          <w:sz w:val="24"/>
          <w:u w:val="none"/>
          <w:lang w:bidi="ar"/>
        </w:rPr>
        <w:t xml:space="preserve">月</w:t>
      </w:r>
      <w:r>
        <w:rPr>
          <w:rFonts w:hint="eastAsia"/>
          <w:color w:val="auto"/>
          <w:sz w:val="24"/>
          <w:u w:val="none"/>
          <w:lang w:val="en-US" w:eastAsia="zh-CN" w:bidi="ar"/>
        </w:rPr>
        <w:t xml:space="preserve">6</w:t>
      </w:r>
      <w:r>
        <w:rPr>
          <w:color w:val="auto"/>
          <w:sz w:val="24"/>
          <w:u w:val="none"/>
          <w:lang w:bidi="ar"/>
        </w:rPr>
        <w:t xml:space="preserve">日</w:t>
      </w:r>
      <w:r>
        <w:rPr>
          <w:rFonts w:hint="eastAsia"/>
          <w:color w:val="auto"/>
          <w:sz w:val="24"/>
          <w:u w:val="none"/>
          <w:lang w:val="en-US" w:eastAsia="zh-CN" w:bidi="ar"/>
        </w:rPr>
        <w:t xml:space="preserve">09点30分</w:t>
      </w:r>
      <w:r>
        <w:rPr>
          <w:bCs/>
          <w:color w:val="auto"/>
          <w:sz w:val="24"/>
          <w:lang w:bidi="ar"/>
        </w:rPr>
        <w:t xml:space="preserve">（北京时间）</w:t>
      </w:r>
      <w:r>
        <w:rPr>
          <w:iCs/>
          <w:color w:val="auto"/>
          <w:sz w:val="24"/>
          <w:lang w:bidi="ar"/>
        </w:rPr>
        <w:t xml:space="preserve">。</w:t>
      </w:r>
      <w:r/>
    </w:p>
    <w:p>
      <w:pPr>
        <w:pStyle w:val="1323"/>
        <w:ind w:left="420"/>
        <w:pageBreakBefore w:val="0"/>
        <w:spacing w:line="336" w:lineRule="auto"/>
        <w:rPr>
          <w:rFonts w:hint="eastAsia" w:ascii="宋体" w:hAnsi="宋体" w:cs="宋体"/>
          <w:color w:val="auto"/>
          <w:sz w:val="24"/>
          <w:szCs w:val="24"/>
        </w:rPr>
      </w:pPr>
      <w:r>
        <w:rPr>
          <w:rFonts w:hint="eastAsia" w:ascii="宋体" w:hAnsi="宋体" w:cs="宋体"/>
          <w:color w:val="auto"/>
          <w:sz w:val="24"/>
          <w:szCs w:val="24"/>
        </w:rPr>
        <w:t xml:space="preserve">地点：</w:t>
      </w:r>
      <w:r>
        <w:rPr>
          <w:rFonts w:hint="eastAsia" w:ascii="宋体" w:hAnsi="宋体" w:cs="宋体"/>
          <w:color w:val="auto"/>
          <w:sz w:val="24"/>
          <w:highlight w:val="none"/>
        </w:rPr>
        <w:t xml:space="preserve">本项目采用不见面交易方式，供应商登录“</w:t>
      </w:r>
      <w:r>
        <w:rPr>
          <w:rFonts w:hint="eastAsia"/>
          <w:color w:val="auto"/>
          <w:sz w:val="24"/>
          <w:highlight w:val="none"/>
          <w:lang w:bidi="ar"/>
        </w:rPr>
        <w:t xml:space="preserve">苏采云</w:t>
      </w:r>
      <w:r>
        <w:rPr>
          <w:rFonts w:hint="eastAsia" w:ascii="宋体" w:hAnsi="宋体" w:cs="宋体"/>
          <w:color w:val="auto"/>
          <w:sz w:val="24"/>
          <w:highlight w:val="none"/>
        </w:rPr>
        <w:t xml:space="preserve">”供应商端，通过系统在线解密电子响应文件</w:t>
      </w:r>
      <w:r>
        <w:rPr>
          <w:color w:val="auto"/>
          <w:sz w:val="24"/>
          <w:highlight w:val="none"/>
          <w:lang w:val="zh-TW" w:bidi="ar"/>
        </w:rPr>
        <w:t xml:space="preserve">。</w:t>
      </w:r>
      <w:r/>
    </w:p>
    <w:p>
      <w:pPr>
        <w:pStyle w:val="1323"/>
        <w:ind w:left="420"/>
        <w:pageBreakBefore w:val="0"/>
        <w:spacing w:line="336" w:lineRule="auto"/>
        <w:rPr>
          <w:rFonts w:hint="eastAsia" w:ascii="宋体" w:hAnsi="宋体" w:cs="宋体"/>
          <w:color w:val="auto"/>
          <w:sz w:val="24"/>
          <w:szCs w:val="24"/>
        </w:rPr>
      </w:pPr>
      <w:r>
        <w:rPr>
          <w:rFonts w:hint="eastAsia" w:ascii="宋体" w:hAnsi="宋体" w:cs="宋体"/>
          <w:color w:val="auto"/>
          <w:sz w:val="24"/>
          <w:szCs w:val="24"/>
        </w:rPr>
      </w:r>
      <w:r/>
    </w:p>
    <w:p>
      <w:pPr>
        <w:pStyle w:val="1323"/>
        <w:ind w:left="420"/>
        <w:pageBreakBefore w:val="0"/>
        <w:spacing w:line="336" w:lineRule="auto"/>
        <w:rPr>
          <w:rFonts w:ascii="宋体" w:hAnsi="宋体" w:cs="宋体"/>
          <w:b/>
          <w:bCs/>
          <w:color w:val="auto"/>
          <w:sz w:val="24"/>
          <w:szCs w:val="24"/>
        </w:rPr>
      </w:pPr>
      <w:r>
        <w:rPr>
          <w:rFonts w:hint="eastAsia" w:ascii="宋体" w:hAnsi="宋体" w:cs="宋体"/>
          <w:b/>
          <w:bCs/>
          <w:color w:val="auto"/>
          <w:sz w:val="24"/>
          <w:szCs w:val="24"/>
        </w:rPr>
        <w:t xml:space="preserve">六、公告期限</w:t>
      </w:r>
      <w:bookmarkEnd w:id="20"/>
      <w:r/>
      <w:bookmarkEnd w:id="21"/>
      <w:r/>
      <w:bookmarkEnd w:id="22"/>
      <w:r/>
      <w:bookmarkEnd w:id="23"/>
      <w:r/>
      <w:r/>
    </w:p>
    <w:p>
      <w:pPr>
        <w:pStyle w:val="1323"/>
        <w:ind w:firstLine="480"/>
        <w:pageBreakBefore w:val="0"/>
        <w:spacing w:line="336" w:lineRule="auto"/>
        <w:rPr>
          <w:rFonts w:hint="eastAsia" w:ascii="宋体" w:hAnsi="宋体" w:cs="宋体"/>
          <w:color w:val="auto"/>
          <w:sz w:val="24"/>
          <w:szCs w:val="24"/>
        </w:rPr>
      </w:pPr>
      <w:r>
        <w:rPr>
          <w:rFonts w:hint="eastAsia" w:ascii="宋体" w:hAnsi="宋体" w:cs="宋体"/>
          <w:color w:val="auto"/>
          <w:sz w:val="24"/>
          <w:szCs w:val="24"/>
        </w:rPr>
        <w:t xml:space="preserve">自本公告发布之日起</w:t>
      </w:r>
      <w:r>
        <w:rPr>
          <w:rFonts w:hint="eastAsia" w:ascii="宋体" w:hAnsi="宋体" w:cs="宋体"/>
          <w:b/>
          <w:bCs/>
          <w:color w:val="auto"/>
          <w:sz w:val="24"/>
          <w:szCs w:val="24"/>
        </w:rPr>
        <w:t xml:space="preserve">3</w:t>
      </w:r>
      <w:r>
        <w:rPr>
          <w:rFonts w:hint="eastAsia" w:ascii="宋体" w:hAnsi="宋体" w:cs="宋体"/>
          <w:color w:val="auto"/>
          <w:sz w:val="24"/>
          <w:szCs w:val="24"/>
        </w:rPr>
        <w:t xml:space="preserve">个工作日。</w:t>
      </w:r>
      <w:r/>
    </w:p>
    <w:p>
      <w:pPr>
        <w:pStyle w:val="1323"/>
        <w:ind w:firstLine="480"/>
        <w:pageBreakBefore w:val="0"/>
        <w:spacing w:line="336" w:lineRule="auto"/>
        <w:rPr>
          <w:rFonts w:ascii="宋体" w:hAnsi="宋体" w:cs="宋体"/>
          <w:color w:val="auto"/>
          <w:sz w:val="24"/>
          <w:szCs w:val="24"/>
        </w:rPr>
      </w:pPr>
      <w:r>
        <w:rPr>
          <w:rFonts w:ascii="宋体" w:hAnsi="宋体" w:cs="宋体"/>
          <w:color w:val="auto"/>
          <w:sz w:val="24"/>
          <w:szCs w:val="24"/>
        </w:rPr>
      </w:r>
      <w:r/>
    </w:p>
    <w:p>
      <w:pPr>
        <w:pStyle w:val="1323"/>
        <w:ind w:firstLine="482"/>
        <w:pageBreakBefore w:val="0"/>
        <w:spacing w:line="336" w:lineRule="auto"/>
        <w:rPr>
          <w:rFonts w:ascii="宋体" w:hAnsi="宋体" w:cs="宋体"/>
          <w:b/>
          <w:bCs/>
          <w:color w:val="auto"/>
          <w:sz w:val="24"/>
          <w:szCs w:val="24"/>
        </w:rPr>
      </w:pPr>
      <w:r/>
      <w:bookmarkStart w:id="24" w:name="_Toc35393804"/>
      <w:r/>
      <w:bookmarkStart w:id="25" w:name="_Toc35393635"/>
      <w:r>
        <w:rPr>
          <w:rFonts w:hint="eastAsia" w:ascii="宋体" w:hAnsi="宋体" w:cs="宋体"/>
          <w:b/>
          <w:bCs/>
          <w:color w:val="auto"/>
          <w:sz w:val="24"/>
          <w:szCs w:val="24"/>
        </w:rPr>
        <w:t xml:space="preserve">七、其他补充事宜</w:t>
      </w:r>
      <w:bookmarkEnd w:id="24"/>
      <w:r/>
      <w:bookmarkEnd w:id="25"/>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1.本项目需要落实的政府采购政策：扶持中小企业、监狱企业、残疾人福利企业。</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技术支持服务热线   0519-85588210</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CA认证证书办理（可邮寄）联系电话   0519-85588120</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2.1办理CA认证证书</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供应商登录常州市政府采购网“下载中心”下载并查阅 “江苏省政府采购数字证书CA及电子签章办理指南”，按照程序要求办理。</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2.2注册</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供应商登录常州市政府采购网“下载中心”-““苏采云”系统供应商操作手册”下载相关操作手册、操作视频等，查阅后进行自助注册。</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2.3控件、客户端下载</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供应商登录常州市政府采购网“下载中心”-“政府采购管理交易系统（苏采云）CA及签章控件驱动”下载相关控件和客户端。</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2.4获取电子磋商文件</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供应商持CA数字认证证书登录“苏采云”获取电子磋商文件。未在规定期限内通过“苏采云”获取磋商文件的响应无效。</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2.5编制电子响应文件</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2.6提交电子响应文件</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供应商应于响应截止时间前在“苏采云”提交电子响应文件，上传电子响应文件过程中请保持与互联网的连接畅通。</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2.7电子开标</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供应商使用CA认证证书登录“苏采云”进行电子化不见面开标。</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2.8注意事项</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3.关于常州市中小企业政府采购信用融资：</w:t>
      </w:r>
      <w:r/>
    </w:p>
    <w:p>
      <w:pPr>
        <w:pStyle w:val="1323"/>
        <w:ind w:firstLine="482"/>
        <w:pageBreakBefore w:val="0"/>
        <w:spacing w:line="336" w:lineRule="auto"/>
        <w:rPr>
          <w:rFonts w:hint="eastAsia"/>
          <w:color w:val="auto"/>
          <w:sz w:val="24"/>
          <w:highlight w:val="none"/>
          <w:lang w:val="zh-TW" w:bidi="ar"/>
        </w:rPr>
      </w:pPr>
      <w:r>
        <w:rPr>
          <w:rFonts w:hint="eastAsia"/>
          <w:color w:val="auto"/>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pStyle w:val="1323"/>
        <w:ind w:firstLine="482"/>
        <w:pageBreakBefore w:val="0"/>
        <w:spacing w:line="336" w:lineRule="auto"/>
        <w:rPr>
          <w:rFonts w:hint="eastAsia"/>
          <w:color w:val="auto"/>
          <w:sz w:val="24"/>
          <w:highlight w:val="none"/>
          <w:lang w:val="zh-TW" w:bidi="ar"/>
        </w:rPr>
      </w:pPr>
      <w:r>
        <w:rPr>
          <w:rFonts w:hint="eastAsia"/>
          <w:color w:val="auto"/>
          <w:sz w:val="24"/>
          <w:highlight w:val="none"/>
          <w:lang w:val="zh-TW" w:bidi="ar"/>
        </w:rPr>
      </w:r>
      <w:r/>
    </w:p>
    <w:p>
      <w:pPr>
        <w:pStyle w:val="1323"/>
        <w:ind w:firstLine="482"/>
        <w:pageBreakBefore w:val="0"/>
        <w:spacing w:line="336" w:lineRule="auto"/>
        <w:rPr>
          <w:rFonts w:ascii="宋体" w:hAnsi="宋体" w:cs="宋体"/>
          <w:b/>
          <w:bCs/>
          <w:color w:val="auto"/>
          <w:sz w:val="24"/>
          <w:szCs w:val="24"/>
        </w:rPr>
      </w:pPr>
      <w:r>
        <w:rPr>
          <w:rFonts w:hint="eastAsia" w:ascii="宋体" w:hAnsi="宋体" w:cs="宋体"/>
          <w:b/>
          <w:bCs/>
          <w:color w:val="auto"/>
          <w:sz w:val="24"/>
          <w:szCs w:val="24"/>
        </w:rPr>
        <w:t xml:space="preserve">八、凡对本次招标提出询问，请按以下方式联系。</w:t>
      </w:r>
      <w:bookmarkStart w:id="26" w:name="_Toc35393637"/>
      <w:r/>
      <w:bookmarkStart w:id="27" w:name="_Toc35393806"/>
      <w:r/>
      <w:bookmarkStart w:id="28" w:name="_Toc28359096"/>
      <w:r/>
      <w:bookmarkStart w:id="29" w:name="_Toc28359019"/>
      <w:r/>
      <w:bookmarkEnd w:id="26"/>
      <w:bookmarkEnd w:id="27"/>
      <w:bookmarkEnd w:id="28"/>
      <w:bookmarkEnd w:id="29"/>
      <w:r/>
    </w:p>
    <w:p>
      <w:pPr>
        <w:ind w:left="1080" w:hanging="301"/>
        <w:jc w:val="left"/>
        <w:pageBreakBefore w:val="0"/>
        <w:spacing w:line="336" w:lineRule="auto"/>
        <w:rPr>
          <w:b/>
          <w:color w:val="auto"/>
          <w:sz w:val="24"/>
          <w:highlight w:val="none"/>
        </w:rPr>
      </w:pPr>
      <w:r/>
      <w:bookmarkStart w:id="30" w:name="_Toc28359097"/>
      <w:r/>
      <w:bookmarkStart w:id="31" w:name="_Toc35393807"/>
      <w:r/>
      <w:bookmarkStart w:id="32" w:name="_Toc28359020"/>
      <w:r/>
      <w:bookmarkStart w:id="33" w:name="_Toc35393638"/>
      <w:r>
        <w:rPr>
          <w:b/>
          <w:color w:val="auto"/>
          <w:sz w:val="24"/>
          <w:highlight w:val="none"/>
        </w:rPr>
        <w:t xml:space="preserve">1.采购人信息</w:t>
      </w:r>
      <w:r/>
    </w:p>
    <w:p>
      <w:pPr>
        <w:ind w:left="1079" w:hanging="300"/>
        <w:jc w:val="left"/>
        <w:pageBreakBefore w:val="0"/>
        <w:spacing w:line="336" w:lineRule="auto"/>
        <w:rPr>
          <w:rFonts w:hint="eastAsia" w:ascii="Times New Roman" w:hAnsi="Times New Roman" w:eastAsia="宋体" w:cs="Times New Roman"/>
          <w:color w:val="auto"/>
          <w:sz w:val="24"/>
          <w:highlight w:val="none"/>
          <w:u w:val="none"/>
          <w:lang w:eastAsia="zh-CN"/>
        </w:rPr>
      </w:pPr>
      <w:r>
        <w:rPr>
          <w:rFonts w:ascii="Times New Roman" w:hAnsi="Times New Roman" w:eastAsia="宋体" w:cs="Times New Roman"/>
          <w:color w:val="auto"/>
          <w:sz w:val="24"/>
          <w:highlight w:val="none"/>
        </w:rPr>
        <w:t xml:space="preserve">名    称：</w:t>
      </w:r>
      <w:r>
        <w:rPr>
          <w:rFonts w:hint="eastAsia" w:cs="Times New Roman"/>
          <w:color w:val="auto"/>
          <w:sz w:val="24"/>
          <w:highlight w:val="none"/>
          <w:u w:val="none"/>
          <w:lang w:eastAsia="zh-CN"/>
        </w:rPr>
        <w:t xml:space="preserve">溧阳市公安局</w:t>
      </w:r>
      <w:bookmarkEnd w:id="3"/>
      <w:bookmarkEnd w:id="30"/>
      <w:bookmarkEnd w:id="31"/>
      <w:bookmarkEnd w:id="32"/>
      <w:bookmarkEnd w:id="33"/>
      <w:r/>
    </w:p>
    <w:p>
      <w:pPr>
        <w:ind w:firstLine="720"/>
        <w:jc w:val="left"/>
        <w:pageBreakBefore w:val="0"/>
        <w:spacing w:line="336" w:lineRule="auto"/>
        <w:rPr>
          <w:rFonts w:hint="eastAsia"/>
          <w:color w:val="auto"/>
          <w:sz w:val="24"/>
        </w:rPr>
      </w:pPr>
      <w:r/>
      <w:bookmarkStart w:id="34" w:name="_Toc226965856"/>
      <w:r/>
      <w:bookmarkStart w:id="35" w:name="_Toc305158928"/>
      <w:r/>
      <w:bookmarkStart w:id="36" w:name="_Toc353873938"/>
      <w:r/>
      <w:bookmarkStart w:id="37" w:name="_Toc120102175"/>
      <w:r/>
      <w:bookmarkStart w:id="38" w:name="_Toc264969275"/>
      <w:r/>
      <w:bookmarkStart w:id="39" w:name="_Toc305158854"/>
      <w:r/>
      <w:bookmarkStart w:id="40" w:name="_Toc353825548"/>
      <w:r/>
      <w:bookmarkStart w:id="41" w:name="_Toc127151777"/>
      <w:r/>
      <w:bookmarkStart w:id="42" w:name="_Toc150774783"/>
      <w:r/>
      <w:bookmarkStart w:id="43" w:name="_Toc265228423"/>
      <w:r/>
      <w:bookmarkStart w:id="44" w:name="_Toc195842950"/>
      <w:r/>
      <w:bookmarkStart w:id="45" w:name="_Toc512937850"/>
      <w:r/>
      <w:bookmarkStart w:id="46" w:name="_Toc127161488"/>
      <w:r>
        <w:rPr>
          <w:rFonts w:hint="eastAsia"/>
          <w:color w:val="auto"/>
          <w:sz w:val="24"/>
        </w:rPr>
        <w:t xml:space="preserve">地    址：溧阳市燕山中路8号</w:t>
      </w:r>
      <w:r/>
    </w:p>
    <w:p>
      <w:pPr>
        <w:ind w:firstLine="720"/>
        <w:jc w:val="left"/>
        <w:pageBreakBefore w:val="0"/>
        <w:spacing w:line="336" w:lineRule="auto"/>
        <w:rPr>
          <w:rFonts w:hint="eastAsia"/>
          <w:color w:val="auto"/>
          <w:sz w:val="24"/>
        </w:rPr>
      </w:pPr>
      <w:r>
        <w:rPr>
          <w:rFonts w:hint="eastAsia"/>
          <w:color w:val="auto"/>
          <w:sz w:val="24"/>
        </w:rPr>
        <w:t xml:space="preserve">联系方式：0519-87266295</w:t>
      </w:r>
      <w:r/>
    </w:p>
    <w:p>
      <w:pPr>
        <w:ind w:left="1078" w:hanging="299"/>
        <w:jc w:val="left"/>
        <w:pageBreakBefore w:val="0"/>
        <w:spacing w:line="336"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2.采购代理机构信息</w:t>
      </w:r>
      <w:r/>
    </w:p>
    <w:p>
      <w:pPr>
        <w:ind w:firstLine="787"/>
        <w:jc w:val="left"/>
        <w:pageBreakBefore w:val="0"/>
        <w:spacing w:line="336" w:lineRule="auto"/>
        <w:rPr>
          <w:rFonts w:hint="eastAsia" w:eastAsia="宋体"/>
          <w:color w:val="auto"/>
          <w:sz w:val="24"/>
          <w:highlight w:val="none"/>
          <w:lang w:eastAsia="zh-CN"/>
        </w:rPr>
      </w:pPr>
      <w:r/>
      <w:bookmarkStart w:id="47" w:name="_Toc28359010"/>
      <w:r/>
      <w:bookmarkStart w:id="48" w:name="_Toc28359087"/>
      <w:r>
        <w:rPr>
          <w:color w:val="auto"/>
          <w:sz w:val="24"/>
          <w:highlight w:val="none"/>
        </w:rPr>
        <w:t xml:space="preserve">名    称：</w:t>
      </w:r>
      <w:r>
        <w:rPr>
          <w:rFonts w:hint="eastAsia"/>
          <w:color w:val="auto"/>
          <w:sz w:val="24"/>
          <w:highlight w:val="none"/>
          <w:lang w:eastAsia="zh-CN"/>
        </w:rPr>
        <w:t xml:space="preserve">江苏省华厦工程项目管理有限公司</w:t>
      </w:r>
      <w:r/>
    </w:p>
    <w:p>
      <w:pPr>
        <w:ind w:firstLine="787"/>
        <w:jc w:val="left"/>
        <w:pageBreakBefore w:val="0"/>
        <w:spacing w:line="336" w:lineRule="auto"/>
        <w:rPr>
          <w:rFonts w:hint="eastAsia" w:eastAsia="宋体"/>
          <w:color w:val="auto"/>
          <w:sz w:val="24"/>
          <w:highlight w:val="none"/>
          <w:lang w:eastAsia="zh-CN"/>
        </w:rPr>
      </w:pPr>
      <w:r>
        <w:rPr>
          <w:color w:val="auto"/>
          <w:sz w:val="24"/>
          <w:highlight w:val="none"/>
        </w:rPr>
        <w:t xml:space="preserve">地    址：</w:t>
      </w:r>
      <w:r>
        <w:rPr>
          <w:rFonts w:hint="eastAsia"/>
          <w:color w:val="auto"/>
          <w:sz w:val="24"/>
          <w:highlight w:val="none"/>
          <w:lang w:eastAsia="zh-CN"/>
        </w:rPr>
        <w:t xml:space="preserve">溧阳市燕园北路90号2幢3楼</w:t>
      </w:r>
      <w:r/>
    </w:p>
    <w:p>
      <w:pPr>
        <w:ind w:firstLine="787"/>
        <w:jc w:val="left"/>
        <w:pageBreakBefore w:val="0"/>
        <w:spacing w:line="336" w:lineRule="auto"/>
        <w:rPr>
          <w:rFonts w:hint="eastAsia" w:eastAsia="宋体"/>
          <w:color w:val="auto"/>
          <w:sz w:val="24"/>
          <w:highlight w:val="none"/>
          <w:u w:val="single"/>
          <w:lang w:eastAsia="zh-CN"/>
        </w:rPr>
      </w:pPr>
      <w:r>
        <w:rPr>
          <w:color w:val="auto"/>
          <w:sz w:val="24"/>
          <w:highlight w:val="none"/>
        </w:rPr>
        <w:t xml:space="preserve">联系方式：</w:t>
      </w:r>
      <w:r>
        <w:rPr>
          <w:rFonts w:hint="eastAsia"/>
          <w:color w:val="auto"/>
          <w:sz w:val="24"/>
          <w:highlight w:val="none"/>
          <w:lang w:eastAsia="zh-CN"/>
        </w:rPr>
        <w:t xml:space="preserve">0519-80899926</w:t>
      </w:r>
      <w:r/>
    </w:p>
    <w:p>
      <w:pPr>
        <w:ind w:firstLine="793"/>
        <w:pageBreakBefore w:val="0"/>
        <w:spacing w:line="336" w:lineRule="auto"/>
        <w:rPr>
          <w:b/>
          <w:color w:val="auto"/>
          <w:sz w:val="24"/>
          <w:highlight w:val="none"/>
          <w:u w:val="single"/>
        </w:rPr>
      </w:pPr>
      <w:r>
        <w:rPr>
          <w:b/>
          <w:color w:val="auto"/>
          <w:sz w:val="24"/>
          <w:highlight w:val="none"/>
        </w:rPr>
        <w:t xml:space="preserve">3.项目联系方式</w:t>
      </w:r>
      <w:bookmarkEnd w:id="47"/>
      <w:r/>
      <w:bookmarkEnd w:id="48"/>
      <w:r/>
      <w:r/>
    </w:p>
    <w:p>
      <w:pPr>
        <w:pStyle w:val="1113"/>
        <w:ind w:firstLine="787"/>
        <w:pageBreakBefore w:val="0"/>
        <w:spacing w:line="336"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eastAsia="zh-CN"/>
        </w:rPr>
        <w:t xml:space="preserve">王</w:t>
      </w:r>
      <w:r>
        <w:rPr>
          <w:rFonts w:ascii="Times New Roman" w:hAnsi="Times New Roman"/>
          <w:color w:val="auto"/>
          <w:sz w:val="24"/>
          <w:highlight w:val="none"/>
        </w:rPr>
        <w:t xml:space="preserve">女士</w:t>
      </w:r>
      <w:r/>
    </w:p>
    <w:p>
      <w:pPr>
        <w:pStyle w:val="1113"/>
        <w:ind w:firstLine="787"/>
        <w:pageBreakBefore w:val="0"/>
        <w:spacing w:line="336" w:lineRule="auto"/>
        <w:rPr>
          <w:rFonts w:hint="eastAsia" w:ascii="Times New Roman" w:hAnsi="Times New Roman" w:eastAsia="宋体"/>
          <w:color w:val="auto"/>
          <w:sz w:val="24"/>
          <w:szCs w:val="24"/>
          <w:highlight w:val="none"/>
          <w:lang w:eastAsia="zh-CN"/>
        </w:rPr>
      </w:pPr>
      <w:r>
        <w:rPr>
          <w:rFonts w:ascii="Times New Roman" w:hAnsi="Times New Roman"/>
          <w:color w:val="auto"/>
          <w:sz w:val="24"/>
          <w:highlight w:val="none"/>
        </w:rPr>
        <w:t xml:space="preserve">电      话：</w:t>
      </w:r>
      <w:r>
        <w:rPr>
          <w:rFonts w:hint="eastAsia" w:ascii="Times New Roman" w:hAnsi="Times New Roman"/>
          <w:color w:val="auto"/>
          <w:sz w:val="24"/>
          <w:highlight w:val="none"/>
          <w:lang w:eastAsia="zh-CN"/>
        </w:rPr>
        <w:t xml:space="preserve">0519-80899926</w:t>
      </w:r>
      <w:r/>
    </w:p>
    <w:p>
      <w:pPr>
        <w:jc w:val="center"/>
        <w:spacing w:line="360" w:lineRule="auto"/>
        <w:rPr>
          <w:b/>
          <w:color w:val="auto"/>
          <w:sz w:val="32"/>
          <w:szCs w:val="32"/>
        </w:rPr>
        <w:outlineLvl w:val="0"/>
      </w:pPr>
      <w:r>
        <w:rPr>
          <w:b/>
          <w:color w:val="auto"/>
          <w:sz w:val="36"/>
          <w:szCs w:val="36"/>
        </w:rPr>
        <w:br w:type="page" w:clear="all"/>
      </w:r>
      <w:r>
        <w:rPr>
          <w:b/>
          <w:color w:val="auto"/>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76"/>
        <w:spacing w:before="0" w:line="360" w:lineRule="auto"/>
        <w:tabs>
          <w:tab w:val="center" w:pos="4592" w:leader="none"/>
          <w:tab w:val="left" w:pos="7860" w:leader="none"/>
        </w:tabs>
        <w:rPr>
          <w:b/>
          <w:color w:val="auto"/>
          <w:sz w:val="28"/>
          <w:szCs w:val="28"/>
        </w:rPr>
      </w:pPr>
      <w:r/>
      <w:bookmarkStart w:id="49" w:name="_Toc142311021"/>
      <w:r/>
      <w:bookmarkStart w:id="50" w:name="_Toc226309763"/>
      <w:r/>
      <w:bookmarkStart w:id="51" w:name="_Toc151193617"/>
      <w:r/>
      <w:bookmarkStart w:id="52" w:name="_Toc164351613"/>
      <w:r/>
      <w:bookmarkStart w:id="53" w:name="_Toc151193833"/>
      <w:r/>
      <w:bookmarkStart w:id="54" w:name="_Toc151193689"/>
      <w:r/>
      <w:bookmarkStart w:id="55" w:name="_Toc195842884"/>
      <w:r/>
      <w:bookmarkStart w:id="56" w:name="_Toc127151519"/>
      <w:r/>
      <w:bookmarkStart w:id="57" w:name="_Toc226337215"/>
      <w:r/>
      <w:bookmarkStart w:id="58" w:name="_Toc150774724"/>
      <w:r/>
      <w:bookmarkStart w:id="59" w:name="_Toc127151720"/>
      <w:r/>
      <w:bookmarkStart w:id="60" w:name="_Toc151193907"/>
      <w:r/>
      <w:bookmarkStart w:id="61" w:name="_Toc150774619"/>
      <w:r/>
      <w:bookmarkStart w:id="62" w:name="_Toc226965709"/>
      <w:r/>
      <w:bookmarkStart w:id="63" w:name="_Toc150480757"/>
      <w:r/>
      <w:bookmarkStart w:id="64" w:name="_Toc150509270"/>
      <w:r/>
      <w:bookmarkStart w:id="65" w:name="_Toc164608788"/>
      <w:r/>
      <w:bookmarkStart w:id="66" w:name="_Toc164229360"/>
      <w:r/>
      <w:bookmarkStart w:id="67" w:name="_Toc149720812"/>
      <w:r/>
      <w:bookmarkStart w:id="68" w:name="_Toc520356144"/>
      <w:r/>
      <w:bookmarkStart w:id="69" w:name="_Toc164229214"/>
      <w:r/>
      <w:bookmarkStart w:id="70" w:name="_Toc151193761"/>
      <w:r/>
      <w:bookmarkStart w:id="71" w:name="_Toc226965792"/>
      <w:r/>
      <w:bookmarkStart w:id="72" w:name="_Toc127161433"/>
      <w:r/>
      <w:bookmarkStart w:id="73" w:name="_Toc164608633"/>
      <w:r/>
      <w:bookmarkStart w:id="74" w:name="_Toc151190146"/>
      <w:r>
        <w:rPr>
          <w:rFonts w:ascii="Times New Roman" w:hAnsi="Times New Roman" w:eastAsia="宋体"/>
          <w:color w:val="auto"/>
          <w:sz w:val="28"/>
        </w:rPr>
        <w:t xml:space="preserve">供应商须知资料表</w:t>
      </w:r>
      <w:r/>
    </w:p>
    <w:p>
      <w:pPr>
        <w:ind w:firstLine="480"/>
        <w:spacing w:line="360" w:lineRule="auto"/>
        <w:rPr>
          <w:color w:val="auto"/>
          <w:sz w:val="24"/>
        </w:rPr>
      </w:pPr>
      <w:r>
        <w:rPr>
          <w:color w:val="auto"/>
          <w:sz w:val="24"/>
        </w:rPr>
        <w:t xml:space="preserve">本表是对供应商须知的具体补充和修改，如有矛盾，均以本资料表为准。标记</w:t>
      </w:r>
      <w:r>
        <w:rPr>
          <w:color w:val="auto"/>
          <w:sz w:val="24"/>
        </w:rPr>
        <w:t xml:space="preserve">“</w:t>
      </w:r>
      <w:r>
        <w:rPr>
          <w:b/>
          <w:color w:val="auto"/>
          <w:sz w:val="24"/>
        </w:rPr>
        <w:t xml:space="preserve">■</w:t>
      </w:r>
      <w:r>
        <w:rPr>
          <w:color w:val="auto"/>
          <w:sz w:val="24"/>
        </w:rPr>
        <w:t xml:space="preserve">”</w:t>
      </w:r>
      <w:r>
        <w:rPr>
          <w:color w:val="auto"/>
          <w:sz w:val="24"/>
        </w:rPr>
        <w:t xml:space="preserve">的选项意为适用于本项目，标记“</w:t>
      </w:r>
      <w:r>
        <w:rPr>
          <w:color w:val="auto"/>
        </w:rPr>
        <w:t xml:space="preserve">□</w:t>
      </w:r>
      <w:r>
        <w:rPr>
          <w:color w:val="auto"/>
          <w:sz w:val="24"/>
        </w:rPr>
        <w:t xml:space="preserve">”的选项意为不适用于本项目。</w:t>
      </w:r>
      <w:r/>
    </w:p>
    <w:tbl>
      <w:tblPr>
        <w:tblStyle w:val="903"/>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rPr>
            </w:pPr>
            <w:r>
              <w:rPr>
                <w:b/>
                <w:color w:val="auto"/>
                <w:sz w:val="24"/>
              </w:rPr>
              <w:t xml:space="preserve">条款号</w:t>
            </w:r>
            <w:r/>
          </w:p>
        </w:tc>
        <w:tc>
          <w:tcPr>
            <w:tcW w:w="1701" w:type="dxa"/>
            <w:vAlign w:val="center"/>
            <w:textDirection w:val="lrTb"/>
            <w:noWrap w:val="false"/>
          </w:tcPr>
          <w:p>
            <w:pPr>
              <w:jc w:val="center"/>
              <w:rPr>
                <w:b/>
                <w:bCs/>
                <w:color w:val="auto"/>
                <w:sz w:val="24"/>
              </w:rPr>
            </w:pPr>
            <w:r>
              <w:rPr>
                <w:b/>
                <w:bCs/>
                <w:color w:val="auto"/>
                <w:sz w:val="24"/>
              </w:rPr>
              <w:t xml:space="preserve">条目</w:t>
            </w:r>
            <w:r/>
          </w:p>
        </w:tc>
        <w:tc>
          <w:tcPr>
            <w:tcW w:w="7253" w:type="dxa"/>
            <w:vAlign w:val="center"/>
            <w:textDirection w:val="lrTb"/>
            <w:noWrap w:val="false"/>
          </w:tcPr>
          <w:p>
            <w:pPr>
              <w:jc w:val="center"/>
              <w:rPr>
                <w:b/>
                <w:bCs/>
                <w:color w:val="auto"/>
                <w:sz w:val="24"/>
              </w:rPr>
            </w:pPr>
            <w:r>
              <w:rPr>
                <w:b/>
                <w:bCs/>
                <w:color w:val="auto"/>
                <w:sz w:val="24"/>
              </w:rPr>
              <w:t xml:space="preserve">内容</w:t>
            </w:r>
            <w:r/>
          </w:p>
        </w:tc>
      </w:tr>
      <w:tr>
        <w:trPr>
          <w:jc w:val="center"/>
          <w:trHeight w:val="2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2.2</w:t>
            </w:r>
            <w:r/>
          </w:p>
        </w:tc>
        <w:tc>
          <w:tcPr>
            <w:tcW w:w="1701" w:type="dxa"/>
            <w:vAlign w:val="center"/>
            <w:textDirection w:val="lrTb"/>
            <w:noWrap w:val="false"/>
          </w:tcPr>
          <w:p>
            <w:pPr>
              <w:jc w:val="center"/>
              <w:rPr>
                <w:color w:val="auto"/>
                <w:sz w:val="24"/>
              </w:rPr>
            </w:pPr>
            <w:r>
              <w:rPr>
                <w:color w:val="auto"/>
                <w:sz w:val="24"/>
              </w:rPr>
              <w:t xml:space="preserve">项目属性</w:t>
            </w:r>
            <w:r/>
          </w:p>
        </w:tc>
        <w:tc>
          <w:tcPr>
            <w:tcW w:w="7253" w:type="dxa"/>
            <w:vAlign w:val="center"/>
            <w:textDirection w:val="lrTb"/>
            <w:noWrap w:val="false"/>
          </w:tcPr>
          <w:p>
            <w:pPr>
              <w:jc w:val="left"/>
              <w:rPr>
                <w:color w:val="auto"/>
                <w:sz w:val="24"/>
              </w:rPr>
            </w:pPr>
            <w:r>
              <w:rPr>
                <w:color w:val="auto"/>
                <w:sz w:val="24"/>
              </w:rPr>
              <w:t xml:space="preserve">项目属性：</w:t>
            </w:r>
            <w:r/>
          </w:p>
          <w:p>
            <w:pPr>
              <w:jc w:val="left"/>
              <w:rPr>
                <w:color w:val="auto"/>
                <w:sz w:val="24"/>
              </w:rPr>
            </w:pPr>
            <w:r>
              <w:rPr>
                <w:b/>
                <w:color w:val="auto"/>
                <w:sz w:val="24"/>
              </w:rPr>
              <w:t xml:space="preserve">■</w:t>
            </w:r>
            <w:r>
              <w:rPr>
                <w:color w:val="auto"/>
                <w:sz w:val="24"/>
              </w:rPr>
              <w:t xml:space="preserve">服务</w:t>
            </w:r>
            <w:r/>
          </w:p>
          <w:p>
            <w:pPr>
              <w:jc w:val="left"/>
              <w:rPr>
                <w:color w:val="auto"/>
                <w:sz w:val="24"/>
              </w:rPr>
            </w:pPr>
            <w:r>
              <w:rPr>
                <w:color w:val="auto"/>
              </w:rPr>
              <w:t xml:space="preserve">□</w:t>
            </w:r>
            <w:r>
              <w:rPr>
                <w:color w:val="auto"/>
                <w:sz w:val="24"/>
              </w:rPr>
              <w:t xml:space="preserve">货物</w:t>
            </w:r>
            <w:r/>
          </w:p>
          <w:p>
            <w:pPr>
              <w:jc w:val="left"/>
              <w:rPr>
                <w:color w:val="auto"/>
                <w:sz w:val="24"/>
                <w:u w:val="single"/>
              </w:rPr>
            </w:pPr>
            <w:r>
              <w:rPr>
                <w:color w:val="auto"/>
                <w:sz w:val="24"/>
              </w:rPr>
              <w:t xml:space="preserve">□</w:t>
            </w:r>
            <w:r>
              <w:rPr>
                <w:rFonts w:hint="eastAsia"/>
                <w:color w:val="auto"/>
                <w:sz w:val="24"/>
              </w:rPr>
              <w:t xml:space="preserve">工程</w:t>
            </w:r>
            <w:r/>
          </w:p>
        </w:tc>
      </w:tr>
      <w:tr>
        <w:trPr>
          <w:jc w:val="center"/>
          <w:trHeight w:val="2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2.3</w:t>
            </w:r>
            <w:r/>
          </w:p>
        </w:tc>
        <w:tc>
          <w:tcPr>
            <w:tcW w:w="1701" w:type="dxa"/>
            <w:vAlign w:val="center"/>
            <w:textDirection w:val="lrTb"/>
            <w:noWrap w:val="false"/>
          </w:tcPr>
          <w:p>
            <w:pPr>
              <w:jc w:val="center"/>
              <w:rPr>
                <w:color w:val="auto"/>
                <w:sz w:val="24"/>
              </w:rPr>
            </w:pPr>
            <w:r>
              <w:rPr>
                <w:color w:val="auto"/>
                <w:sz w:val="24"/>
              </w:rPr>
              <w:t xml:space="preserve">科研仪器设备</w:t>
            </w:r>
            <w:r/>
          </w:p>
        </w:tc>
        <w:tc>
          <w:tcPr>
            <w:tcW w:w="7253" w:type="dxa"/>
            <w:vAlign w:val="center"/>
            <w:textDirection w:val="lrTb"/>
            <w:noWrap w:val="false"/>
          </w:tcPr>
          <w:p>
            <w:pPr>
              <w:jc w:val="left"/>
              <w:rPr>
                <w:color w:val="auto"/>
                <w:sz w:val="24"/>
              </w:rPr>
            </w:pPr>
            <w:r>
              <w:rPr>
                <w:color w:val="auto"/>
                <w:sz w:val="24"/>
              </w:rPr>
              <w:t xml:space="preserve">是否属于科研仪器设备采购项目：</w:t>
            </w:r>
            <w:r/>
          </w:p>
          <w:p>
            <w:pPr>
              <w:jc w:val="left"/>
              <w:rPr>
                <w:color w:val="auto"/>
                <w:sz w:val="24"/>
              </w:rPr>
            </w:pPr>
            <w:r>
              <w:rPr>
                <w:color w:val="auto"/>
              </w:rPr>
              <w:t xml:space="preserve">□</w:t>
            </w:r>
            <w:r>
              <w:rPr>
                <w:color w:val="auto"/>
                <w:sz w:val="24"/>
              </w:rPr>
              <w:t xml:space="preserve">是</w:t>
            </w:r>
            <w:r/>
          </w:p>
          <w:p>
            <w:pPr>
              <w:jc w:val="left"/>
              <w:rPr>
                <w:color w:val="auto"/>
                <w:sz w:val="24"/>
              </w:rPr>
            </w:pPr>
            <w:r>
              <w:rPr>
                <w:b/>
                <w:color w:val="auto"/>
                <w:sz w:val="24"/>
              </w:rPr>
              <w:t xml:space="preserve">■</w:t>
            </w:r>
            <w:r>
              <w:rPr>
                <w:color w:val="auto"/>
                <w:sz w:val="24"/>
              </w:rPr>
              <w:t xml:space="preserve">否</w:t>
            </w:r>
            <w:r/>
          </w:p>
        </w:tc>
      </w:tr>
      <w:tr>
        <w:trPr>
          <w:jc w:val="center"/>
          <w:trHeight w:val="20"/>
        </w:trPr>
        <w:tc>
          <w:tcPr>
            <w:tcW w:w="988" w:type="dxa"/>
            <w:vAlign w:val="center"/>
            <w:vMerge w:val="restart"/>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3.1</w:t>
            </w:r>
            <w:r/>
          </w:p>
        </w:tc>
        <w:tc>
          <w:tcPr>
            <w:tcW w:w="1701" w:type="dxa"/>
            <w:vAlign w:val="center"/>
            <w:textDirection w:val="lrTb"/>
            <w:noWrap w:val="false"/>
          </w:tcPr>
          <w:p>
            <w:pPr>
              <w:jc w:val="center"/>
              <w:rPr>
                <w:color w:val="auto"/>
                <w:sz w:val="24"/>
              </w:rPr>
            </w:pPr>
            <w:r>
              <w:rPr>
                <w:color w:val="auto"/>
                <w:sz w:val="24"/>
              </w:rPr>
              <w:t xml:space="preserve">现场考察</w:t>
            </w:r>
            <w:r/>
          </w:p>
        </w:tc>
        <w:tc>
          <w:tcPr>
            <w:tcW w:w="7253" w:type="dxa"/>
            <w:vAlign w:val="center"/>
            <w:textDirection w:val="lrTb"/>
            <w:noWrap w:val="false"/>
          </w:tcPr>
          <w:p>
            <w:pPr>
              <w:jc w:val="left"/>
              <w:rPr>
                <w:color w:val="auto"/>
                <w:sz w:val="24"/>
              </w:rPr>
            </w:pPr>
            <w:r>
              <w:rPr>
                <w:b/>
                <w:color w:val="auto"/>
                <w:sz w:val="24"/>
              </w:rPr>
              <w:t xml:space="preserve">■</w:t>
            </w:r>
            <w:r>
              <w:rPr>
                <w:color w:val="auto"/>
                <w:sz w:val="24"/>
              </w:rPr>
              <w:t xml:space="preserve">不组织</w:t>
            </w:r>
            <w:r/>
          </w:p>
          <w:p>
            <w:pPr>
              <w:jc w:val="left"/>
              <w:rPr>
                <w:bCs/>
                <w:color w:val="auto"/>
                <w:sz w:val="24"/>
              </w:rPr>
            </w:pPr>
            <w:r>
              <w:rPr>
                <w:color w:val="auto"/>
              </w:rPr>
              <w:t xml:space="preserve">□</w:t>
            </w:r>
            <w:r>
              <w:rPr>
                <w:color w:val="auto"/>
                <w:sz w:val="24"/>
              </w:rPr>
              <w:t xml:space="preserve">组织，考察时间：___</w:t>
            </w:r>
            <w:r>
              <w:rPr>
                <w:color w:val="auto"/>
                <w:sz w:val="24"/>
                <w:lang w:bidi="ar"/>
              </w:rPr>
              <w:t xml:space="preserve">年</w:t>
            </w:r>
            <w:r>
              <w:rPr>
                <w:color w:val="auto"/>
                <w:sz w:val="24"/>
              </w:rPr>
              <w:t xml:space="preserve">___</w:t>
            </w:r>
            <w:r>
              <w:rPr>
                <w:color w:val="auto"/>
                <w:sz w:val="24"/>
                <w:lang w:bidi="ar"/>
              </w:rPr>
              <w:t xml:space="preserve">月</w:t>
            </w:r>
            <w:r>
              <w:rPr>
                <w:color w:val="auto"/>
                <w:sz w:val="24"/>
              </w:rPr>
              <w:t xml:space="preserve">___</w:t>
            </w:r>
            <w:r>
              <w:rPr>
                <w:color w:val="auto"/>
                <w:sz w:val="24"/>
                <w:lang w:bidi="ar"/>
              </w:rPr>
              <w:t xml:space="preserve">日</w:t>
            </w:r>
            <w:r>
              <w:rPr>
                <w:color w:val="auto"/>
                <w:sz w:val="24"/>
              </w:rPr>
              <w:t xml:space="preserve">___</w:t>
            </w:r>
            <w:r>
              <w:rPr>
                <w:color w:val="auto"/>
                <w:sz w:val="24"/>
                <w:lang w:bidi="ar"/>
              </w:rPr>
              <w:t xml:space="preserve">点</w:t>
            </w:r>
            <w:r>
              <w:rPr>
                <w:color w:val="auto"/>
                <w:sz w:val="24"/>
              </w:rPr>
              <w:t xml:space="preserve">___</w:t>
            </w:r>
            <w:r>
              <w:rPr>
                <w:color w:val="auto"/>
                <w:sz w:val="24"/>
                <w:lang w:bidi="ar"/>
              </w:rPr>
              <w:t xml:space="preserve">分</w:t>
            </w:r>
            <w:r/>
          </w:p>
          <w:p>
            <w:pPr>
              <w:pStyle w:val="1113"/>
              <w:rPr>
                <w:rFonts w:ascii="Times New Roman" w:hAnsi="Times New Roman"/>
                <w:color w:val="auto"/>
                <w:sz w:val="24"/>
                <w:szCs w:val="24"/>
                <w:lang w:val="en-US" w:eastAsia="zh-CN"/>
              </w:rPr>
            </w:pPr>
            <w:r>
              <w:rPr>
                <w:rFonts w:ascii="Times New Roman" w:hAnsi="Times New Roman"/>
                <w:color w:val="auto"/>
                <w:sz w:val="24"/>
                <w:lang w:val="en-US" w:eastAsia="zh-CN"/>
              </w:rPr>
              <w:t xml:space="preserve">考察地点：___________。</w:t>
            </w:r>
            <w:r/>
          </w:p>
        </w:tc>
      </w:tr>
      <w:tr>
        <w:trPr>
          <w:jc w:val="center"/>
          <w:trHeight w:val="20"/>
        </w:trPr>
        <w:tc>
          <w:tcPr>
            <w:tcW w:w="988" w:type="dxa"/>
            <w:vAlign w:val="center"/>
            <w:vMerge w:val="continue"/>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r>
            <w:r/>
          </w:p>
        </w:tc>
        <w:tc>
          <w:tcPr>
            <w:tcW w:w="1701" w:type="dxa"/>
            <w:vAlign w:val="center"/>
            <w:textDirection w:val="lrTb"/>
            <w:noWrap w:val="false"/>
          </w:tcPr>
          <w:p>
            <w:pPr>
              <w:jc w:val="center"/>
              <w:rPr>
                <w:color w:val="auto"/>
                <w:sz w:val="24"/>
              </w:rPr>
            </w:pPr>
            <w:r>
              <w:rPr>
                <w:color w:val="auto"/>
                <w:sz w:val="24"/>
              </w:rPr>
              <w:t xml:space="preserve">磋商前答疑会</w:t>
            </w:r>
            <w:r/>
          </w:p>
        </w:tc>
        <w:tc>
          <w:tcPr>
            <w:tcW w:w="7253" w:type="dxa"/>
            <w:vAlign w:val="center"/>
            <w:textDirection w:val="lrTb"/>
            <w:noWrap w:val="false"/>
          </w:tcPr>
          <w:p>
            <w:pPr>
              <w:jc w:val="left"/>
              <w:rPr>
                <w:color w:val="auto"/>
                <w:sz w:val="24"/>
              </w:rPr>
            </w:pPr>
            <w:r>
              <w:rPr>
                <w:b/>
                <w:color w:val="auto"/>
                <w:sz w:val="24"/>
              </w:rPr>
              <w:t xml:space="preserve">■</w:t>
            </w:r>
            <w:r>
              <w:rPr>
                <w:color w:val="auto"/>
                <w:sz w:val="24"/>
              </w:rPr>
              <w:t xml:space="preserve">不召开</w:t>
            </w:r>
            <w:r/>
          </w:p>
          <w:p>
            <w:pPr>
              <w:jc w:val="left"/>
              <w:rPr>
                <w:color w:val="auto"/>
                <w:sz w:val="24"/>
              </w:rPr>
            </w:pPr>
            <w:r>
              <w:rPr>
                <w:color w:val="auto"/>
              </w:rPr>
              <w:t xml:space="preserve">□</w:t>
            </w:r>
            <w:r>
              <w:rPr>
                <w:color w:val="auto"/>
                <w:sz w:val="24"/>
              </w:rPr>
              <w:t xml:space="preserve">召开，召开时间：___</w:t>
            </w:r>
            <w:r>
              <w:rPr>
                <w:color w:val="auto"/>
                <w:sz w:val="24"/>
                <w:lang w:bidi="ar"/>
              </w:rPr>
              <w:t xml:space="preserve">年</w:t>
            </w:r>
            <w:r>
              <w:rPr>
                <w:color w:val="auto"/>
                <w:sz w:val="24"/>
              </w:rPr>
              <w:t xml:space="preserve">___</w:t>
            </w:r>
            <w:r>
              <w:rPr>
                <w:color w:val="auto"/>
                <w:sz w:val="24"/>
                <w:lang w:bidi="ar"/>
              </w:rPr>
              <w:t xml:space="preserve">月</w:t>
            </w:r>
            <w:r>
              <w:rPr>
                <w:color w:val="auto"/>
                <w:sz w:val="24"/>
              </w:rPr>
              <w:t xml:space="preserve">___</w:t>
            </w:r>
            <w:r>
              <w:rPr>
                <w:color w:val="auto"/>
                <w:sz w:val="24"/>
                <w:lang w:bidi="ar"/>
              </w:rPr>
              <w:t xml:space="preserve">日</w:t>
            </w:r>
            <w:r>
              <w:rPr>
                <w:color w:val="auto"/>
                <w:sz w:val="24"/>
              </w:rPr>
              <w:t xml:space="preserve">___</w:t>
            </w:r>
            <w:r>
              <w:rPr>
                <w:color w:val="auto"/>
                <w:sz w:val="24"/>
                <w:lang w:bidi="ar"/>
              </w:rPr>
              <w:t xml:space="preserve">点</w:t>
            </w:r>
            <w:r>
              <w:rPr>
                <w:color w:val="auto"/>
                <w:sz w:val="24"/>
              </w:rPr>
              <w:t xml:space="preserve">___</w:t>
            </w:r>
            <w:r>
              <w:rPr>
                <w:color w:val="auto"/>
                <w:sz w:val="24"/>
                <w:lang w:bidi="ar"/>
              </w:rPr>
              <w:t xml:space="preserve">分</w:t>
            </w:r>
            <w:r/>
          </w:p>
          <w:p>
            <w:pPr>
              <w:jc w:val="left"/>
              <w:rPr>
                <w:color w:val="auto"/>
                <w:sz w:val="24"/>
              </w:rPr>
            </w:pPr>
            <w:r>
              <w:rPr>
                <w:color w:val="auto"/>
                <w:sz w:val="24"/>
              </w:rPr>
              <w:t xml:space="preserve">召开地点：___________</w:t>
            </w:r>
            <w:r>
              <w:rPr>
                <w:rFonts w:hint="eastAsia"/>
                <w:color w:val="auto"/>
                <w:sz w:val="24"/>
              </w:rPr>
              <w:t xml:space="preserve">。</w:t>
            </w:r>
            <w:r/>
          </w:p>
        </w:tc>
      </w:tr>
      <w:tr>
        <w:trPr>
          <w:jc w:val="center"/>
          <w:trHeight w:val="798"/>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4.2.5</w:t>
            </w:r>
            <w:r/>
          </w:p>
        </w:tc>
        <w:tc>
          <w:tcPr>
            <w:tcW w:w="1701" w:type="dxa"/>
            <w:vAlign w:val="center"/>
            <w:textDirection w:val="lrTb"/>
            <w:noWrap w:val="false"/>
          </w:tcPr>
          <w:p>
            <w:pPr>
              <w:jc w:val="center"/>
              <w:rPr>
                <w:color w:val="auto"/>
                <w:sz w:val="24"/>
              </w:rPr>
            </w:pPr>
            <w:r>
              <w:rPr>
                <w:color w:val="auto"/>
                <w:sz w:val="24"/>
              </w:rPr>
              <w:t xml:space="preserve">标的所属行业</w:t>
            </w:r>
            <w:r/>
          </w:p>
        </w:tc>
        <w:tc>
          <w:tcPr>
            <w:tcW w:w="7253" w:type="dxa"/>
            <w:vAlign w:val="center"/>
            <w:textDirection w:val="lrTb"/>
            <w:noWrap w:val="false"/>
          </w:tcPr>
          <w:p>
            <w:pPr>
              <w:jc w:val="left"/>
              <w:rPr>
                <w:color w:val="auto"/>
                <w:sz w:val="24"/>
              </w:rPr>
            </w:pPr>
            <w:r>
              <w:rPr>
                <w:color w:val="auto"/>
                <w:sz w:val="24"/>
              </w:rPr>
              <w:t xml:space="preserve">本项目采购标的对应的中小企业划分标准所属行业：</w:t>
            </w:r>
            <w:r>
              <w:rPr>
                <w:color w:val="auto"/>
                <w:sz w:val="24"/>
                <w:u w:val="single"/>
              </w:rPr>
              <w:t xml:space="preserve">其他未列明行业</w:t>
            </w:r>
            <w:r/>
          </w:p>
        </w:tc>
      </w:tr>
      <w:tr>
        <w:trPr>
          <w:jc w:val="center"/>
          <w:trHeight w:val="89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10.2</w:t>
            </w:r>
            <w:r/>
          </w:p>
        </w:tc>
        <w:tc>
          <w:tcPr>
            <w:tcW w:w="1701" w:type="dxa"/>
            <w:vAlign w:val="center"/>
            <w:textDirection w:val="lrTb"/>
            <w:noWrap w:val="false"/>
          </w:tcPr>
          <w:p>
            <w:pPr>
              <w:jc w:val="center"/>
              <w:rPr>
                <w:color w:val="auto"/>
                <w:sz w:val="24"/>
              </w:rPr>
            </w:pPr>
            <w:r>
              <w:rPr>
                <w:color w:val="auto"/>
                <w:sz w:val="24"/>
              </w:rPr>
              <w:t xml:space="preserve">报价</w:t>
            </w:r>
            <w:r/>
          </w:p>
        </w:tc>
        <w:tc>
          <w:tcPr>
            <w:tcW w:w="7253" w:type="dxa"/>
            <w:vAlign w:val="center"/>
            <w:textDirection w:val="lrTb"/>
            <w:noWrap w:val="false"/>
          </w:tcPr>
          <w:p>
            <w:pPr>
              <w:jc w:val="left"/>
              <w:rPr>
                <w:color w:val="auto"/>
                <w:sz w:val="24"/>
              </w:rPr>
            </w:pPr>
            <w:r>
              <w:rPr>
                <w:color w:val="auto"/>
                <w:sz w:val="24"/>
              </w:rPr>
              <w:t xml:space="preserve">报价的特殊规定：</w:t>
            </w:r>
            <w:r/>
          </w:p>
          <w:p>
            <w:pPr>
              <w:jc w:val="left"/>
              <w:rPr>
                <w:color w:val="auto"/>
                <w:sz w:val="24"/>
              </w:rPr>
            </w:pPr>
            <w:r>
              <w:rPr>
                <w:color w:val="auto"/>
              </w:rPr>
              <w:t xml:space="preserve">□</w:t>
            </w:r>
            <w:r>
              <w:rPr>
                <w:color w:val="auto"/>
                <w:sz w:val="24"/>
              </w:rPr>
              <w:t xml:space="preserve">无</w:t>
            </w:r>
            <w:r/>
          </w:p>
          <w:p>
            <w:pPr>
              <w:jc w:val="left"/>
              <w:rPr>
                <w:color w:val="auto"/>
                <w:sz w:val="24"/>
              </w:rPr>
            </w:pPr>
            <w:r>
              <w:rPr>
                <w:b/>
                <w:color w:val="auto"/>
                <w:sz w:val="24"/>
              </w:rPr>
              <w:t xml:space="preserve">■</w:t>
            </w:r>
            <w:r>
              <w:rPr>
                <w:color w:val="auto"/>
                <w:sz w:val="24"/>
              </w:rPr>
              <w:t xml:space="preserve">有，具体情形：</w:t>
            </w:r>
            <w:r>
              <w:rPr>
                <w:rFonts w:hint="eastAsia"/>
                <w:color w:val="auto"/>
                <w:sz w:val="24"/>
                <w:u w:val="single"/>
              </w:rPr>
              <w:t xml:space="preserve"> </w:t>
            </w:r>
            <w:r>
              <w:rPr>
                <w:rFonts w:hint="eastAsia"/>
                <w:b/>
                <w:bCs/>
                <w:color w:val="auto"/>
                <w:sz w:val="24"/>
                <w:u w:val="single"/>
              </w:rPr>
              <w:t xml:space="preserve">本项目采用二轮报价，响应文件中报价为首轮报价，磋商结束后，磋商小组将要求所有实质性响应的供应商在规定时间内通过“苏采云” 系统提交第二轮报价，</w:t>
            </w:r>
            <w:r>
              <w:rPr>
                <w:rFonts w:hint="eastAsia"/>
                <w:b/>
                <w:bCs/>
                <w:color w:val="auto"/>
                <w:sz w:val="24"/>
                <w:u w:val="single"/>
                <w:lang w:eastAsia="zh-Hans"/>
              </w:rPr>
              <w:t xml:space="preserve">第二轮报价</w:t>
            </w:r>
            <w:r>
              <w:rPr>
                <w:rFonts w:hint="eastAsia"/>
                <w:b/>
                <w:bCs/>
                <w:color w:val="auto"/>
                <w:sz w:val="24"/>
                <w:u w:val="single"/>
              </w:rPr>
              <w:t xml:space="preserve">不得超过首轮报价，否则作无效报价文件处理。</w:t>
            </w:r>
            <w:r>
              <w:rPr>
                <w:rFonts w:hint="eastAsia"/>
                <w:color w:val="auto"/>
                <w:sz w:val="24"/>
                <w:u w:val="single"/>
              </w:rPr>
              <w:t xml:space="preserve">    </w:t>
            </w:r>
            <w:r>
              <w:rPr>
                <w:color w:val="auto"/>
                <w:sz w:val="24"/>
              </w:rPr>
              <w:t xml:space="preserve">。</w:t>
            </w:r>
            <w:r/>
          </w:p>
        </w:tc>
      </w:tr>
      <w:tr>
        <w:trPr>
          <w:jc w:val="center"/>
          <w:trHeight w:val="2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11.1</w:t>
            </w:r>
            <w:r/>
          </w:p>
        </w:tc>
        <w:tc>
          <w:tcPr>
            <w:tcW w:w="1701" w:type="dxa"/>
            <w:vAlign w:val="center"/>
            <w:textDirection w:val="lrTb"/>
            <w:noWrap w:val="false"/>
          </w:tcPr>
          <w:p>
            <w:pPr>
              <w:jc w:val="center"/>
              <w:rPr>
                <w:color w:val="auto"/>
                <w:sz w:val="24"/>
              </w:rPr>
            </w:pPr>
            <w:r>
              <w:rPr>
                <w:color w:val="auto"/>
                <w:sz w:val="24"/>
              </w:rPr>
              <w:t xml:space="preserve">磋商保证金</w:t>
            </w:r>
            <w:r/>
          </w:p>
        </w:tc>
        <w:tc>
          <w:tcPr>
            <w:tcW w:w="7253" w:type="dxa"/>
            <w:vAlign w:val="center"/>
            <w:textDirection w:val="lrTb"/>
            <w:noWrap w:val="false"/>
          </w:tcPr>
          <w:p>
            <w:pPr>
              <w:jc w:val="left"/>
              <w:rPr>
                <w:color w:val="auto"/>
                <w:sz w:val="24"/>
              </w:rPr>
            </w:pPr>
            <w:r>
              <w:rPr>
                <w:rFonts w:hint="eastAsia"/>
                <w:color w:val="auto"/>
                <w:sz w:val="24"/>
              </w:rPr>
              <w:t xml:space="preserve">免收</w:t>
            </w:r>
            <w:r/>
          </w:p>
        </w:tc>
      </w:tr>
      <w:tr>
        <w:trPr>
          <w:jc w:val="center"/>
          <w:trHeight w:val="2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12.1</w:t>
            </w:r>
            <w:r/>
          </w:p>
        </w:tc>
        <w:tc>
          <w:tcPr>
            <w:tcW w:w="1701" w:type="dxa"/>
            <w:vAlign w:val="center"/>
            <w:textDirection w:val="lrTb"/>
            <w:noWrap w:val="false"/>
          </w:tcPr>
          <w:p>
            <w:pPr>
              <w:jc w:val="center"/>
              <w:rPr>
                <w:color w:val="auto"/>
                <w:sz w:val="24"/>
              </w:rPr>
            </w:pPr>
            <w:r>
              <w:rPr>
                <w:color w:val="auto"/>
                <w:sz w:val="24"/>
              </w:rPr>
              <w:t xml:space="preserve">响应有效期</w:t>
            </w:r>
            <w:r/>
          </w:p>
        </w:tc>
        <w:tc>
          <w:tcPr>
            <w:tcW w:w="7253" w:type="dxa"/>
            <w:vAlign w:val="center"/>
            <w:textDirection w:val="lrTb"/>
            <w:noWrap w:val="false"/>
          </w:tcPr>
          <w:p>
            <w:pPr>
              <w:jc w:val="left"/>
              <w:rPr>
                <w:color w:val="auto"/>
                <w:sz w:val="24"/>
              </w:rPr>
            </w:pPr>
            <w:r>
              <w:rPr>
                <w:color w:val="auto"/>
                <w:sz w:val="24"/>
              </w:rPr>
              <w:t xml:space="preserve">自提交响应文件的截止之日起算</w:t>
            </w:r>
            <w:r>
              <w:rPr>
                <w:color w:val="auto"/>
                <w:sz w:val="24"/>
                <w:u w:val="single"/>
              </w:rPr>
              <w:t xml:space="preserve">  60  </w:t>
            </w:r>
            <w:r>
              <w:rPr>
                <w:color w:val="auto"/>
                <w:sz w:val="24"/>
              </w:rPr>
              <w:t xml:space="preserve">日历天。</w:t>
            </w:r>
            <w:r/>
          </w:p>
        </w:tc>
      </w:tr>
      <w:tr>
        <w:trPr>
          <w:jc w:val="center"/>
          <w:trHeight w:val="2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23.5</w:t>
            </w:r>
            <w:r/>
          </w:p>
        </w:tc>
        <w:tc>
          <w:tcPr>
            <w:tcW w:w="1701" w:type="dxa"/>
            <w:vAlign w:val="center"/>
            <w:textDirection w:val="lrTb"/>
            <w:noWrap w:val="false"/>
          </w:tcPr>
          <w:p>
            <w:pPr>
              <w:jc w:val="center"/>
              <w:rPr>
                <w:color w:val="auto"/>
                <w:sz w:val="24"/>
              </w:rPr>
            </w:pPr>
            <w:r>
              <w:rPr>
                <w:color w:val="auto"/>
                <w:sz w:val="24"/>
              </w:rPr>
              <w:t xml:space="preserve">分包</w:t>
            </w:r>
            <w:r/>
          </w:p>
        </w:tc>
        <w:tc>
          <w:tcPr>
            <w:tcW w:w="7253" w:type="dxa"/>
            <w:vAlign w:val="center"/>
            <w:textDirection w:val="lrTb"/>
            <w:noWrap w:val="false"/>
          </w:tcPr>
          <w:p>
            <w:pPr>
              <w:jc w:val="left"/>
              <w:rPr>
                <w:color w:val="auto"/>
                <w:sz w:val="24"/>
              </w:rPr>
            </w:pPr>
            <w:r>
              <w:rPr>
                <w:color w:val="auto"/>
                <w:sz w:val="24"/>
              </w:rPr>
              <w:t xml:space="preserve">本项目是否允许分包： </w:t>
            </w:r>
            <w:r/>
          </w:p>
          <w:p>
            <w:pPr>
              <w:jc w:val="left"/>
              <w:rPr>
                <w:color w:val="auto"/>
                <w:sz w:val="24"/>
              </w:rPr>
            </w:pPr>
            <w:r>
              <w:rPr>
                <w:b/>
                <w:color w:val="auto"/>
                <w:sz w:val="24"/>
              </w:rPr>
              <w:t xml:space="preserve">■</w:t>
            </w:r>
            <w:r>
              <w:rPr>
                <w:color w:val="auto"/>
                <w:sz w:val="24"/>
              </w:rPr>
              <w:t xml:space="preserve">不允许</w:t>
            </w:r>
            <w:r/>
          </w:p>
          <w:p>
            <w:pPr>
              <w:jc w:val="left"/>
              <w:rPr>
                <w:color w:val="auto"/>
                <w:sz w:val="24"/>
              </w:rPr>
            </w:pPr>
            <w:r>
              <w:rPr>
                <w:color w:val="auto"/>
              </w:rPr>
              <w:t xml:space="preserve">□</w:t>
            </w:r>
            <w:r>
              <w:rPr>
                <w:color w:val="auto"/>
                <w:sz w:val="24"/>
              </w:rPr>
              <w:t xml:space="preserve">允许，具体要求：_______。</w:t>
            </w:r>
            <w:r/>
          </w:p>
          <w:p>
            <w:pPr>
              <w:jc w:val="left"/>
              <w:rPr>
                <w:color w:val="auto"/>
                <w:sz w:val="24"/>
              </w:rPr>
            </w:pPr>
            <w:r>
              <w:rPr>
                <w:color w:val="auto"/>
                <w:sz w:val="24"/>
              </w:rPr>
              <w:t xml:space="preserve">（1）可以分包履行的具体内容：_______；</w:t>
            </w:r>
            <w:r/>
          </w:p>
          <w:p>
            <w:pPr>
              <w:jc w:val="left"/>
              <w:rPr>
                <w:color w:val="auto"/>
                <w:sz w:val="24"/>
              </w:rPr>
            </w:pPr>
            <w:r>
              <w:rPr>
                <w:color w:val="auto"/>
                <w:sz w:val="24"/>
              </w:rPr>
              <w:t xml:space="preserve">（2）允许分包的金额或者比例：_______；</w:t>
            </w:r>
            <w:r/>
          </w:p>
          <w:p>
            <w:pPr>
              <w:jc w:val="left"/>
              <w:rPr>
                <w:color w:val="auto"/>
                <w:sz w:val="24"/>
                <w:u w:val="single"/>
              </w:rPr>
            </w:pPr>
            <w:r>
              <w:rPr>
                <w:color w:val="auto"/>
                <w:sz w:val="24"/>
              </w:rPr>
              <w:t xml:space="preserve">（3）其他要求：_______。</w:t>
            </w:r>
            <w:r/>
          </w:p>
        </w:tc>
      </w:tr>
      <w:tr>
        <w:trPr>
          <w:jc w:val="center"/>
          <w:trHeight w:val="2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24.1.1</w:t>
            </w:r>
            <w:r/>
          </w:p>
        </w:tc>
        <w:tc>
          <w:tcPr>
            <w:tcW w:w="1701" w:type="dxa"/>
            <w:vAlign w:val="center"/>
            <w:textDirection w:val="lrTb"/>
            <w:noWrap w:val="false"/>
          </w:tcPr>
          <w:p>
            <w:pPr>
              <w:jc w:val="center"/>
              <w:rPr>
                <w:color w:val="auto"/>
                <w:sz w:val="24"/>
              </w:rPr>
            </w:pPr>
            <w:r>
              <w:rPr>
                <w:color w:val="auto"/>
                <w:sz w:val="24"/>
              </w:rPr>
              <w:t xml:space="preserve">询问</w:t>
            </w:r>
            <w:r/>
          </w:p>
        </w:tc>
        <w:tc>
          <w:tcPr>
            <w:tcW w:w="7253" w:type="dxa"/>
            <w:vAlign w:val="center"/>
            <w:textDirection w:val="lrTb"/>
            <w:noWrap w:val="false"/>
          </w:tcPr>
          <w:p>
            <w:pPr>
              <w:jc w:val="left"/>
              <w:rPr>
                <w:color w:val="auto"/>
                <w:sz w:val="24"/>
              </w:rPr>
            </w:pPr>
            <w:r>
              <w:rPr>
                <w:color w:val="auto"/>
                <w:sz w:val="24"/>
              </w:rPr>
              <w:t xml:space="preserve">询问送达形式：</w:t>
            </w:r>
            <w:r>
              <w:rPr>
                <w:color w:val="auto"/>
                <w:sz w:val="24"/>
                <w:u w:val="single"/>
              </w:rPr>
              <w:t xml:space="preserve">书面形式</w:t>
            </w:r>
            <w:r>
              <w:rPr>
                <w:color w:val="auto"/>
                <w:sz w:val="24"/>
              </w:rPr>
              <w:t xml:space="preserve">。</w:t>
            </w:r>
            <w:r/>
          </w:p>
        </w:tc>
      </w:tr>
      <w:tr>
        <w:trPr>
          <w:jc w:val="center"/>
          <w:trHeight w:val="20"/>
        </w:trPr>
        <w:tc>
          <w:tcPr>
            <w:tcW w:w="988" w:type="dxa"/>
            <w:vAlign w:val="center"/>
            <w:textDirection w:val="lrTb"/>
            <w:noWrap w:val="false"/>
          </w:tcPr>
          <w:p>
            <w:pPr>
              <w:pStyle w:val="1113"/>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24.3</w:t>
            </w:r>
            <w:r/>
          </w:p>
        </w:tc>
        <w:tc>
          <w:tcPr>
            <w:tcW w:w="1701" w:type="dxa"/>
            <w:vAlign w:val="center"/>
            <w:textDirection w:val="lrTb"/>
            <w:noWrap w:val="false"/>
          </w:tcPr>
          <w:p>
            <w:pPr>
              <w:jc w:val="center"/>
              <w:rPr>
                <w:color w:val="auto"/>
                <w:sz w:val="24"/>
              </w:rPr>
            </w:pPr>
            <w:r>
              <w:rPr>
                <w:color w:val="auto"/>
                <w:sz w:val="24"/>
              </w:rPr>
              <w:t xml:space="preserve">联系方式</w:t>
            </w:r>
            <w:r/>
          </w:p>
        </w:tc>
        <w:tc>
          <w:tcPr>
            <w:tcW w:w="7253" w:type="dxa"/>
            <w:vAlign w:val="center"/>
            <w:textDirection w:val="lrTb"/>
            <w:noWrap w:val="false"/>
          </w:tcPr>
          <w:p>
            <w:pPr>
              <w:jc w:val="left"/>
              <w:rPr>
                <w:color w:val="auto"/>
                <w:sz w:val="24"/>
              </w:rPr>
            </w:pPr>
            <w:r>
              <w:rPr>
                <w:color w:val="auto"/>
                <w:sz w:val="24"/>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ascii="宋体" w:hAnsi="宋体"/>
                <w:color w:val="auto"/>
                <w:sz w:val="24"/>
                <w:highlight w:val="none"/>
                <w:lang w:eastAsia="zh-CN"/>
              </w:rPr>
              <w:t xml:space="preserve">江苏省华厦工程项目管理有限公司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lang w:eastAsia="zh-CN"/>
              </w:rPr>
              <w:t xml:space="preserve">0519-80899926</w:t>
            </w:r>
            <w:r>
              <w:rPr>
                <w:color w:val="auto"/>
                <w:sz w:val="24"/>
                <w:highlight w:val="none"/>
              </w:rPr>
              <w:t xml:space="preserve">；</w:t>
            </w:r>
            <w:r/>
          </w:p>
          <w:p>
            <w:pPr>
              <w:jc w:val="left"/>
              <w:rPr>
                <w:color w:val="auto"/>
                <w:sz w:val="24"/>
              </w:rPr>
            </w:pPr>
            <w:r>
              <w:rPr>
                <w:color w:val="auto"/>
                <w:sz w:val="24"/>
                <w:highlight w:val="none"/>
              </w:rPr>
              <w:t xml:space="preserve">通讯地址</w:t>
            </w:r>
            <w:r>
              <w:rPr>
                <w:rFonts w:hint="eastAsia"/>
                <w:color w:val="auto"/>
                <w:sz w:val="24"/>
                <w:highlight w:val="none"/>
                <w:lang w:eastAsia="zh-CN"/>
              </w:rPr>
              <w:t xml:space="preserve">溧阳市溧城街道燕园北路90号2幢3楼</w:t>
            </w:r>
            <w:r>
              <w:rPr>
                <w:rFonts w:hint="eastAsia"/>
                <w:color w:val="auto"/>
                <w:sz w:val="24"/>
                <w:highlight w:val="none"/>
              </w:rPr>
              <w:t xml:space="preserve">。</w:t>
            </w:r>
            <w:r/>
          </w:p>
        </w:tc>
      </w:tr>
    </w:tbl>
    <w:p>
      <w:pPr>
        <w:jc w:val="both"/>
        <w:spacing w:line="360" w:lineRule="auto"/>
        <w:tabs>
          <w:tab w:val="left" w:pos="5580" w:leader="none"/>
        </w:tabs>
        <w:rPr>
          <w:color w:val="auto"/>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rPr>
      </w:r>
      <w:r/>
    </w:p>
    <w:p>
      <w:pPr>
        <w:jc w:val="center"/>
        <w:spacing w:before="240" w:after="240"/>
        <w:rPr>
          <w:b/>
          <w:color w:val="auto"/>
          <w:sz w:val="28"/>
          <w:szCs w:val="28"/>
        </w:rPr>
      </w:pPr>
      <w:r>
        <w:rPr>
          <w:b/>
          <w:color w:val="auto"/>
          <w:sz w:val="28"/>
          <w:szCs w:val="28"/>
        </w:rPr>
        <w:t xml:space="preserve">供应商须知</w:t>
      </w:r>
      <w:r/>
    </w:p>
    <w:p>
      <w:pPr>
        <w:pStyle w:val="1076"/>
        <w:jc w:val="left"/>
        <w:spacing w:before="0" w:line="360" w:lineRule="auto"/>
        <w:tabs>
          <w:tab w:val="center" w:pos="4592" w:leader="none"/>
          <w:tab w:val="left" w:pos="7860" w:leader="none"/>
        </w:tabs>
        <w:rPr>
          <w:rFonts w:ascii="Times New Roman" w:hAnsi="Times New Roman" w:eastAsia="宋体"/>
          <w:color w:val="auto"/>
          <w:sz w:val="28"/>
        </w:rPr>
      </w:pPr>
      <w:r/>
      <w:bookmarkStart w:id="75" w:name="_Toc127151518"/>
      <w:r/>
      <w:bookmarkStart w:id="76" w:name="_Toc520356143"/>
      <w:r>
        <w:rPr>
          <w:rFonts w:ascii="Times New Roman" w:hAnsi="Times New Roman" w:eastAsia="宋体"/>
          <w:color w:val="auto"/>
          <w:sz w:val="28"/>
        </w:rPr>
        <w:tab/>
      </w:r>
      <w:bookmarkStart w:id="77" w:name="_Toc264969208"/>
      <w:r/>
      <w:bookmarkStart w:id="78" w:name="_Toc151193832"/>
      <w:r/>
      <w:bookmarkStart w:id="79" w:name="_Toc151190145"/>
      <w:r/>
      <w:bookmarkStart w:id="80" w:name="_Toc226309762"/>
      <w:r/>
      <w:bookmarkStart w:id="81" w:name="_Toc151193760"/>
      <w:r/>
      <w:bookmarkStart w:id="82" w:name="_Toc150774618"/>
      <w:r/>
      <w:bookmarkStart w:id="83" w:name="_Toc226965791"/>
      <w:r/>
      <w:bookmarkStart w:id="84" w:name="_Toc226965708"/>
      <w:r/>
      <w:bookmarkStart w:id="85" w:name="_Toc150509269"/>
      <w:r/>
      <w:bookmarkStart w:id="86" w:name="_Toc265228356"/>
      <w:r/>
      <w:bookmarkStart w:id="87" w:name="_Toc305158786"/>
      <w:r/>
      <w:bookmarkStart w:id="88" w:name="_Toc305158860"/>
      <w:r/>
      <w:bookmarkStart w:id="89" w:name="_Toc151193906"/>
      <w:r/>
      <w:bookmarkStart w:id="90" w:name="_Toc151193616"/>
      <w:r/>
      <w:bookmarkStart w:id="91" w:name="_Toc195842883"/>
      <w:r/>
      <w:bookmarkStart w:id="92" w:name="_Toc142311020"/>
      <w:r/>
      <w:bookmarkStart w:id="93" w:name="_Toc226337214"/>
      <w:r/>
      <w:bookmarkStart w:id="94" w:name="_Toc150774723"/>
      <w:r/>
      <w:bookmarkStart w:id="95" w:name="_Toc151193688"/>
      <w:r/>
      <w:bookmarkStart w:id="96" w:name="_Toc150480756"/>
      <w:r>
        <w:rPr>
          <w:rFonts w:ascii="Times New Roman" w:hAnsi="Times New Roman" w:eastAsia="宋体"/>
          <w:color w:val="auto"/>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color w:val="auto"/>
          <w:sz w:val="28"/>
        </w:rPr>
        <w:tab/>
      </w:r>
      <w:r/>
    </w:p>
    <w:p>
      <w:pPr>
        <w:numPr>
          <w:ilvl w:val="0"/>
          <w:numId w:val="8"/>
        </w:numPr>
        <w:ind w:left="357" w:hanging="357"/>
        <w:spacing w:line="360" w:lineRule="auto"/>
        <w:tabs>
          <w:tab w:val="left" w:pos="360" w:leader="none"/>
        </w:tabs>
        <w:rPr>
          <w:color w:val="auto"/>
          <w:sz w:val="24"/>
        </w:rPr>
        <w:outlineLvl w:val="1"/>
      </w:pPr>
      <w:r/>
      <w:bookmarkStart w:id="97" w:name="_Toc265228357"/>
      <w:r/>
      <w:bookmarkStart w:id="98" w:name="_Toc305158787"/>
      <w:r/>
      <w:bookmarkStart w:id="99" w:name="_Toc305158861"/>
      <w:r/>
      <w:bookmarkStart w:id="100" w:name="_Toc264969209"/>
      <w:r>
        <w:rPr>
          <w:color w:val="auto"/>
          <w:sz w:val="24"/>
        </w:rPr>
        <w:t xml:space="preserve">采购人、采购代理机构、供应商</w:t>
      </w:r>
      <w:bookmarkEnd w:id="97"/>
      <w:r/>
      <w:bookmarkEnd w:id="98"/>
      <w:r/>
      <w:bookmarkEnd w:id="99"/>
      <w:r/>
      <w:bookmarkEnd w:id="100"/>
      <w:r>
        <w:rPr>
          <w:color w:val="auto"/>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采购人、采购代理机构：指依法进行政府采购的国家机关、事业单位、团体组织，及其委托的采购代理机构。本项目采购人、采购代理机构见第一章《竞争性磋商公告》。</w:t>
      </w:r>
      <w:r/>
    </w:p>
    <w:p>
      <w:pPr>
        <w:numPr>
          <w:ilvl w:val="1"/>
          <w:numId w:val="8"/>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rPr>
        <w:outlineLvl w:val="1"/>
      </w:pPr>
      <w:r/>
      <w:bookmarkStart w:id="101" w:name="_Toc265228358"/>
      <w:r/>
      <w:bookmarkStart w:id="102" w:name="_Toc305158862"/>
      <w:r/>
      <w:bookmarkStart w:id="103" w:name="_Toc164608789"/>
      <w:r/>
      <w:bookmarkStart w:id="104" w:name="_Toc226309764"/>
      <w:r/>
      <w:bookmarkStart w:id="105" w:name="_Toc226965710"/>
      <w:r/>
      <w:bookmarkStart w:id="106" w:name="_Toc164229215"/>
      <w:r/>
      <w:bookmarkStart w:id="107" w:name="_Toc151193762"/>
      <w:r/>
      <w:bookmarkStart w:id="108" w:name="_Toc127161434"/>
      <w:r/>
      <w:bookmarkStart w:id="109" w:name="_Toc305158788"/>
      <w:r/>
      <w:bookmarkStart w:id="110" w:name="_Toc150509271"/>
      <w:r/>
      <w:bookmarkStart w:id="111" w:name="_Toc150774725"/>
      <w:r/>
      <w:bookmarkStart w:id="112" w:name="_Toc150480758"/>
      <w:r/>
      <w:bookmarkStart w:id="113" w:name="_Toc164351614"/>
      <w:r/>
      <w:bookmarkStart w:id="114" w:name="_Toc151193834"/>
      <w:r/>
      <w:bookmarkStart w:id="115" w:name="_Toc226965793"/>
      <w:r/>
      <w:bookmarkStart w:id="116" w:name="_Toc149720813"/>
      <w:r/>
      <w:bookmarkStart w:id="117" w:name="_Toc164229361"/>
      <w:r/>
      <w:bookmarkStart w:id="118" w:name="_Toc142311022"/>
      <w:r/>
      <w:bookmarkStart w:id="119" w:name="_Toc195842885"/>
      <w:r/>
      <w:bookmarkStart w:id="120" w:name="_Toc151190147"/>
      <w:r/>
      <w:bookmarkStart w:id="121" w:name="_Toc150774620"/>
      <w:r/>
      <w:bookmarkStart w:id="122" w:name="_Toc226337216"/>
      <w:r/>
      <w:bookmarkStart w:id="123" w:name="_Toc264969210"/>
      <w:r/>
      <w:bookmarkStart w:id="124" w:name="_Toc164608634"/>
      <w:r/>
      <w:bookmarkStart w:id="125" w:name="_Toc127151520"/>
      <w:r/>
      <w:bookmarkStart w:id="126" w:name="_Toc127151721"/>
      <w:r/>
      <w:bookmarkStart w:id="127" w:name="_Toc151193908"/>
      <w:r/>
      <w:bookmarkStart w:id="128" w:name="_Toc151193690"/>
      <w:r/>
      <w:bookmarkStart w:id="129" w:name="_Toc151193618"/>
      <w:r>
        <w:rPr>
          <w:color w:val="auto"/>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color w:val="auto"/>
          <w:sz w:val="24"/>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rPr>
      </w:pPr>
      <w:r>
        <w:rPr>
          <w:color w:val="auto"/>
          <w:sz w:val="24"/>
        </w:rPr>
        <w:t xml:space="preserve">若《供应商须知资料表》中规定了组织现场考察、召开磋商前答疑会，则供应商应按要求在规定的时间和地点参加。</w:t>
      </w:r>
      <w:bookmarkStart w:id="130" w:name="_Toc151193910"/>
      <w:r/>
      <w:bookmarkStart w:id="131" w:name="_Toc305158790"/>
      <w:r/>
      <w:bookmarkStart w:id="132" w:name="_Toc520356146"/>
      <w:r/>
      <w:bookmarkStart w:id="133" w:name="_Toc195842887"/>
      <w:r/>
      <w:bookmarkStart w:id="134" w:name="_Toc150509273"/>
      <w:r/>
      <w:bookmarkStart w:id="135" w:name="_Toc151190149"/>
      <w:r/>
      <w:bookmarkStart w:id="136" w:name="_Toc226309766"/>
      <w:r/>
      <w:bookmarkStart w:id="137" w:name="_Toc226965795"/>
      <w:r/>
      <w:bookmarkStart w:id="138" w:name="_Toc151193836"/>
      <w:r/>
      <w:bookmarkStart w:id="139" w:name="_Toc305158864"/>
      <w:r/>
      <w:bookmarkStart w:id="140" w:name="_Toc151193620"/>
      <w:r/>
      <w:bookmarkStart w:id="141" w:name="_Toc150480760"/>
      <w:r/>
      <w:bookmarkStart w:id="142" w:name="_Toc142311024"/>
      <w:r/>
      <w:bookmarkStart w:id="143" w:name="_Toc150774622"/>
      <w:r/>
      <w:bookmarkStart w:id="144" w:name="_Toc151193692"/>
      <w:r/>
      <w:bookmarkStart w:id="145" w:name="_Toc226965712"/>
      <w:r/>
      <w:bookmarkStart w:id="146" w:name="_Toc127151522"/>
      <w:r/>
      <w:bookmarkStart w:id="147" w:name="_Toc150774727"/>
      <w:r/>
      <w:bookmarkStart w:id="148" w:name="_Toc265228360"/>
      <w:r/>
      <w:bookmarkStart w:id="149" w:name="_Toc264969212"/>
      <w:r/>
      <w:bookmarkStart w:id="150" w:name="_Toc151193764"/>
      <w:r/>
      <w:bookmarkStart w:id="151" w:name="_Toc226337218"/>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进口产品</w:t>
      </w:r>
      <w:r/>
    </w:p>
    <w:p>
      <w:pPr>
        <w:numPr>
          <w:ilvl w:val="2"/>
          <w:numId w:val="8"/>
        </w:numPr>
        <w:spacing w:line="360" w:lineRule="auto"/>
        <w:tabs>
          <w:tab w:val="left" w:pos="2014" w:leader="none"/>
        </w:tabs>
        <w:rPr>
          <w:color w:val="auto"/>
          <w:sz w:val="24"/>
        </w:rPr>
      </w:pPr>
      <w:r>
        <w:rPr>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中小企业、监狱企业及残疾人福利性单位</w:t>
      </w:r>
      <w:r/>
    </w:p>
    <w:p>
      <w:pPr>
        <w:numPr>
          <w:ilvl w:val="2"/>
          <w:numId w:val="8"/>
        </w:numPr>
        <w:spacing w:line="360" w:lineRule="auto"/>
        <w:rPr>
          <w:color w:val="auto"/>
          <w:sz w:val="24"/>
        </w:rPr>
      </w:pPr>
      <w:r>
        <w:rPr>
          <w:color w:val="auto"/>
          <w:sz w:val="24"/>
        </w:rPr>
        <w:t xml:space="preserve">中小企业定义：</w:t>
      </w:r>
      <w:r/>
      <w:r>
        <w:rPr>
          <w:rFonts w:ascii="Times New Roman" w:hAnsi="Times New Roman"/>
          <w:vanish/>
          <w:color w:val="auto"/>
          <w:sz w:val="24"/>
          <w:szCs w:val="24"/>
        </w:rPr>
      </w:r>
      <w:r/>
      <w:r>
        <w:rPr>
          <w:color w:val="auto"/>
          <w:sz w:val="24"/>
        </w:rP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中小企业是</w:t>
      </w:r>
      <w:r>
        <w:rPr>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供应商提供的货物、工程或者服务符合下列情形的，享受中小企业扶持政策：</w:t>
      </w:r>
      <w:r/>
    </w:p>
    <w:p>
      <w:pPr>
        <w:ind w:left="2835"/>
        <w:spacing w:line="360" w:lineRule="auto"/>
        <w:tabs>
          <w:tab w:val="left" w:pos="1980" w:leader="none"/>
        </w:tabs>
        <w:rPr>
          <w:color w:val="auto"/>
          <w:sz w:val="24"/>
        </w:rPr>
      </w:pPr>
      <w:r>
        <w:rPr>
          <w:color w:val="auto"/>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rPr>
      </w:pPr>
      <w:r>
        <w:rPr>
          <w:color w:val="auto"/>
          <w:sz w:val="24"/>
        </w:rPr>
        <w:t xml:space="preserve">（2）在工程采购项目中，工程由中小企业承建，即工程施工单位为中小企业；</w:t>
      </w:r>
      <w:r/>
    </w:p>
    <w:p>
      <w:pPr>
        <w:ind w:left="2835"/>
        <w:spacing w:line="360" w:lineRule="auto"/>
        <w:tabs>
          <w:tab w:val="left" w:pos="1980" w:leader="none"/>
        </w:tabs>
        <w:rPr>
          <w:color w:val="auto"/>
          <w:sz w:val="24"/>
        </w:rPr>
      </w:pPr>
      <w:r>
        <w:rPr>
          <w:color w:val="auto"/>
          <w:sz w:val="24"/>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rPr>
      </w:pPr>
      <w:r>
        <w:rPr>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rPr>
      </w:pPr>
      <w:r>
        <w:rPr>
          <w:color w:val="auto"/>
          <w:sz w:val="24"/>
        </w:rPr>
        <w:t xml:space="preserve">残疾人福利单位定义：享受政府采购支持政策的残疾人福利性单位应当同时满足以下条件：</w:t>
      </w:r>
      <w:r/>
      <w:r>
        <w:rPr>
          <w:rFonts w:ascii="Times New Roman" w:hAnsi="Times New Roman"/>
          <w:vanish/>
          <w:color w:val="auto"/>
          <w:sz w:val="24"/>
          <w:szCs w:val="24"/>
        </w:rPr>
      </w:r>
      <w:r/>
      <w:r>
        <w:rPr>
          <w:rFonts w:ascii="Times New Roman" w:hAnsi="Times New Roman"/>
          <w:vanish/>
          <w:color w:val="auto"/>
          <w:sz w:val="24"/>
          <w:szCs w:val="24"/>
        </w:rPr>
      </w:r>
      <w:r/>
      <w:r>
        <w:rPr>
          <w:rFonts w:ascii="Times New Roman" w:hAnsi="Times New Roman"/>
          <w:vanish/>
          <w:color w:val="auto"/>
          <w:sz w:val="24"/>
          <w:szCs w:val="24"/>
        </w:rPr>
      </w:r>
      <w:r>
        <w:rPr>
          <w:color w:val="auto"/>
          <w:sz w:val="24"/>
        </w:rP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rPr>
      </w:pPr>
      <w:r>
        <w:rPr>
          <w:color w:val="auto"/>
          <w:sz w:val="24"/>
        </w:rPr>
        <w:t xml:space="preserve">本项目是否专门面向中小企业预留采购份额见第一章《竞争性磋商公告》。</w:t>
      </w:r>
      <w:r/>
    </w:p>
    <w:p>
      <w:pPr>
        <w:numPr>
          <w:ilvl w:val="2"/>
          <w:numId w:val="8"/>
        </w:numPr>
        <w:spacing w:line="360" w:lineRule="auto"/>
        <w:rPr>
          <w:color w:val="auto"/>
          <w:sz w:val="24"/>
        </w:rPr>
      </w:pPr>
      <w:r>
        <w:rPr>
          <w:color w:val="auto"/>
          <w:sz w:val="24"/>
        </w:rPr>
        <w:t xml:space="preserve">采购标的对应的中小企业划分标准所属行业见《供应商须知资料表》。</w:t>
      </w:r>
      <w:r/>
    </w:p>
    <w:p>
      <w:pPr>
        <w:numPr>
          <w:ilvl w:val="2"/>
          <w:numId w:val="8"/>
        </w:numPr>
        <w:spacing w:line="360" w:lineRule="auto"/>
        <w:rPr>
          <w:color w:val="auto"/>
          <w:sz w:val="24"/>
        </w:rPr>
      </w:pPr>
      <w:r>
        <w:rPr>
          <w:color w:val="auto"/>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政府采购节能产品、环境标志产品</w:t>
      </w:r>
      <w:r/>
    </w:p>
    <w:p>
      <w:pPr>
        <w:numPr>
          <w:ilvl w:val="2"/>
          <w:numId w:val="8"/>
        </w:numPr>
        <w:spacing w:line="360" w:lineRule="auto"/>
        <w:rPr>
          <w:color w:val="auto"/>
          <w:sz w:val="24"/>
        </w:rPr>
      </w:pPr>
      <w:r>
        <w:rPr>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rPr>
      </w:pPr>
      <w:r>
        <w:rPr>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rPr>
      </w:pPr>
      <w:r>
        <w:rPr>
          <w:color w:val="auto"/>
          <w:sz w:val="24"/>
        </w:rPr>
        <w:t xml:space="preserve">如本项目采购产品属于实施政府强制采购品目清单范围的节能产品，则供应商所报产品必须获得国家确定的认证机构出具的、处于有效期之内的节能产品认证证书，否则</w:t>
      </w:r>
      <w:r>
        <w:rPr>
          <w:b/>
          <w:color w:val="auto"/>
          <w:sz w:val="24"/>
        </w:rPr>
        <w:t xml:space="preserve">响应无效</w:t>
      </w:r>
      <w:r>
        <w:rPr>
          <w:color w:val="auto"/>
          <w:sz w:val="24"/>
        </w:rPr>
        <w:t xml:space="preserve">；</w:t>
      </w:r>
      <w:r/>
    </w:p>
    <w:p>
      <w:pPr>
        <w:numPr>
          <w:ilvl w:val="2"/>
          <w:numId w:val="8"/>
        </w:numPr>
        <w:spacing w:line="360" w:lineRule="auto"/>
        <w:rPr>
          <w:rFonts w:hint="eastAsia"/>
          <w:color w:val="auto"/>
          <w:sz w:val="24"/>
        </w:rPr>
      </w:pPr>
      <w:r>
        <w:rPr>
          <w:color w:val="auto"/>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color w:val="auto"/>
          <w:sz w:val="24"/>
        </w:rPr>
      </w:pPr>
      <w:r>
        <w:rPr>
          <w:rFonts w:hint="eastAsia"/>
          <w:color w:val="auto"/>
          <w:sz w:val="24"/>
        </w:rPr>
        <w:t xml:space="preserve">依据</w:t>
      </w:r>
      <w:r>
        <w:rPr>
          <w:color w:val="auto"/>
          <w:sz w:val="24"/>
        </w:rPr>
        <w:t xml:space="preserve">《关于印发〈商品包装政府采购需求标准（试行）〉、〈快递包装政府采购需求标准（试行）〉的通知》（财办库〔2020〕123号）</w:t>
      </w:r>
      <w:r>
        <w:rPr>
          <w:rFonts w:hint="eastAsia"/>
          <w:color w:val="auto"/>
          <w:sz w:val="24"/>
        </w:rPr>
        <w:t xml:space="preserve">文件</w:t>
      </w:r>
      <w:r>
        <w:rPr>
          <w:color w:val="auto"/>
          <w:sz w:val="24"/>
        </w:rPr>
        <w:t xml:space="preserve">精神</w:t>
      </w:r>
      <w:r>
        <w:rPr>
          <w:rFonts w:hint="eastAsia"/>
          <w:color w:val="auto"/>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支持乡村产业振兴管理</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正版软件</w:t>
      </w:r>
      <w:r/>
    </w:p>
    <w:p>
      <w:pPr>
        <w:numPr>
          <w:ilvl w:val="2"/>
          <w:numId w:val="8"/>
        </w:numPr>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color w:val="auto"/>
          <w:sz w:val="24"/>
        </w:rPr>
      </w:pPr>
      <w:r>
        <w:rPr>
          <w:rFonts w:hint="eastAsia"/>
          <w:color w:val="auto"/>
          <w:sz w:val="24"/>
        </w:rPr>
        <w:t xml:space="preserve">政府采购创新产品政策</w:t>
      </w:r>
      <w:r/>
    </w:p>
    <w:p>
      <w:pPr>
        <w:numPr>
          <w:ilvl w:val="2"/>
          <w:numId w:val="8"/>
        </w:numPr>
        <w:spacing w:line="360" w:lineRule="auto"/>
        <w:tabs>
          <w:tab w:val="left" w:pos="2014" w:leader="none"/>
        </w:tabs>
        <w:rPr>
          <w:rFonts w:hint="eastAsia"/>
          <w:color w:val="auto"/>
          <w:sz w:val="24"/>
        </w:rPr>
      </w:pPr>
      <w:r>
        <w:rPr>
          <w:rFonts w:hint="eastAsia"/>
          <w:color w:val="auto"/>
          <w:sz w:val="24"/>
          <w:lang w:eastAsia="zh-CN"/>
        </w:rPr>
        <w:t xml:space="preserve">本项目不适用。</w:t>
      </w:r>
      <w:r/>
    </w:p>
    <w:p>
      <w:pPr>
        <w:ind w:firstLine="360"/>
        <w:spacing w:line="480" w:lineRule="exact"/>
        <w:rPr>
          <w:color w:val="auto"/>
          <w:sz w:val="24"/>
        </w:rPr>
      </w:pPr>
      <w:r>
        <w:rPr>
          <w:rFonts w:hint="eastAsia"/>
          <w:color w:val="auto"/>
          <w:sz w:val="24"/>
        </w:rPr>
        <w:t xml:space="preserve"> 4.8    绿色采购政策</w:t>
      </w:r>
      <w:r/>
    </w:p>
    <w:p>
      <w:pPr>
        <w:ind w:left="900"/>
        <w:spacing w:line="480" w:lineRule="exact"/>
        <w:rPr>
          <w:rFonts w:ascii="宋体" w:hAnsi="宋体"/>
          <w:b/>
          <w:color w:val="auto"/>
          <w:sz w:val="24"/>
        </w:rPr>
      </w:pPr>
      <w:r>
        <w:rPr>
          <w:rFonts w:hint="eastAsia"/>
          <w:color w:val="auto"/>
          <w:sz w:val="24"/>
        </w:rPr>
        <w:t xml:space="preserve">4.8.1</w:t>
      </w:r>
      <w:r>
        <w:rPr>
          <w:rFonts w:hint="eastAsia"/>
          <w:b/>
          <w:bCs/>
          <w:color w:val="auto"/>
          <w:sz w:val="24"/>
        </w:rPr>
        <w:t xml:space="preserve"> </w:t>
      </w:r>
      <w:r>
        <w:rPr>
          <w:rFonts w:hint="eastAsia"/>
          <w:b w:val="0"/>
          <w:bCs w:val="0"/>
          <w:color w:val="auto"/>
          <w:sz w:val="24"/>
        </w:rPr>
        <w:t xml:space="preserve"> </w:t>
      </w:r>
      <w:r>
        <w:rPr>
          <w:rFonts w:hint="eastAsia" w:ascii="宋体" w:hAnsi="宋体"/>
          <w:b w:val="0"/>
          <w:bCs w:val="0"/>
          <w:color w:val="auto"/>
          <w:sz w:val="24"/>
        </w:rPr>
        <w:t xml:space="preserve">绿色数据中心政策 </w:t>
      </w:r>
      <w:r/>
    </w:p>
    <w:p>
      <w:pPr>
        <w:ind w:left="1050" w:firstLine="96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ind w:firstLine="960"/>
        <w:spacing w:line="480" w:lineRule="exact"/>
        <w:rPr>
          <w:rFonts w:ascii="宋体" w:hAnsi="宋体"/>
          <w:color w:val="auto"/>
          <w:sz w:val="24"/>
        </w:rPr>
      </w:pPr>
      <w:r>
        <w:rPr>
          <w:rFonts w:hint="eastAsia" w:ascii="宋体" w:hAnsi="宋体"/>
          <w:color w:val="auto"/>
          <w:sz w:val="24"/>
        </w:rPr>
        <w:t xml:space="preserve">4.8.2 推广应用绿色建材</w:t>
      </w:r>
      <w:r/>
    </w:p>
    <w:p>
      <w:pPr>
        <w:ind w:left="1050" w:firstLine="96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ind w:firstLine="960"/>
        <w:spacing w:line="480" w:lineRule="exact"/>
        <w:rPr>
          <w:rFonts w:ascii="宋体" w:hAnsi="宋体"/>
          <w:color w:val="auto"/>
          <w:sz w:val="24"/>
        </w:rPr>
      </w:pPr>
      <w:r>
        <w:rPr>
          <w:rFonts w:hint="eastAsia" w:ascii="宋体" w:hAnsi="宋体"/>
          <w:color w:val="auto"/>
          <w:sz w:val="24"/>
        </w:rPr>
        <w:t xml:space="preserve">4.8.3 优先使用低挥发性有机化合物产品</w:t>
      </w:r>
      <w:r/>
    </w:p>
    <w:p>
      <w:pPr>
        <w:ind w:left="1050" w:firstLine="96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响应费用</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rPr>
      </w:pPr>
      <w:r/>
      <w:bookmarkStart w:id="152" w:name="_1.8_计量单位"/>
      <w:r/>
      <w:bookmarkEnd w:id="152"/>
      <w:r/>
      <w:r/>
    </w:p>
    <w:p>
      <w:pPr>
        <w:pStyle w:val="1076"/>
        <w:spacing w:before="0" w:line="360" w:lineRule="auto"/>
        <w:rPr>
          <w:rFonts w:ascii="Times New Roman" w:hAnsi="Times New Roman" w:eastAsia="宋体"/>
          <w:color w:val="auto"/>
          <w:sz w:val="28"/>
        </w:rPr>
      </w:pPr>
      <w:r>
        <w:rPr>
          <w:rFonts w:ascii="Times New Roman" w:hAnsi="Times New Roman" w:eastAsia="宋体"/>
          <w:color w:val="auto"/>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357" w:hanging="357"/>
        <w:spacing w:line="360" w:lineRule="auto"/>
        <w:tabs>
          <w:tab w:val="left" w:pos="360" w:leader="none"/>
        </w:tabs>
        <w:rPr>
          <w:color w:val="auto"/>
          <w:sz w:val="24"/>
        </w:rPr>
        <w:outlineLvl w:val="1"/>
      </w:pPr>
      <w:r/>
      <w:bookmarkStart w:id="153" w:name="_Toc264969213"/>
      <w:r/>
      <w:bookmarkStart w:id="154" w:name="_Toc151193837"/>
      <w:r/>
      <w:bookmarkStart w:id="155" w:name="_Toc164229218"/>
      <w:r/>
      <w:bookmarkStart w:id="156" w:name="_Toc150480761"/>
      <w:r/>
      <w:bookmarkStart w:id="157" w:name="_Toc151190150"/>
      <w:r/>
      <w:bookmarkStart w:id="158" w:name="_Toc149720816"/>
      <w:r/>
      <w:bookmarkStart w:id="159" w:name="_Toc150774623"/>
      <w:r/>
      <w:bookmarkStart w:id="160" w:name="_Toc226309767"/>
      <w:r/>
      <w:bookmarkStart w:id="161" w:name="_Toc164608637"/>
      <w:r/>
      <w:bookmarkStart w:id="162" w:name="_Toc226965796"/>
      <w:r/>
      <w:bookmarkStart w:id="163" w:name="_Toc226965713"/>
      <w:r/>
      <w:bookmarkStart w:id="164" w:name="_Toc305158791"/>
      <w:r/>
      <w:bookmarkStart w:id="165" w:name="_Toc127161437"/>
      <w:r/>
      <w:bookmarkStart w:id="166" w:name="_Toc164351617"/>
      <w:r/>
      <w:bookmarkStart w:id="167" w:name="_Toc150509274"/>
      <w:r/>
      <w:bookmarkStart w:id="168" w:name="_Toc151193765"/>
      <w:r/>
      <w:bookmarkStart w:id="169" w:name="_Toc151193621"/>
      <w:r/>
      <w:bookmarkStart w:id="170" w:name="_Toc150774728"/>
      <w:r/>
      <w:bookmarkStart w:id="171" w:name="_Toc520356147"/>
      <w:r/>
      <w:bookmarkStart w:id="172" w:name="_Toc265228361"/>
      <w:r/>
      <w:bookmarkStart w:id="173" w:name="_Toc127151523"/>
      <w:r/>
      <w:bookmarkStart w:id="174" w:name="_Toc151193911"/>
      <w:r/>
      <w:bookmarkStart w:id="175" w:name="_Toc164608792"/>
      <w:r/>
      <w:bookmarkStart w:id="176" w:name="_Toc226337219"/>
      <w:r/>
      <w:bookmarkStart w:id="177" w:name="_Toc127151724"/>
      <w:r/>
      <w:bookmarkStart w:id="178" w:name="_Toc142311025"/>
      <w:r/>
      <w:bookmarkStart w:id="179" w:name="_Toc151193693"/>
      <w:r/>
      <w:bookmarkStart w:id="180" w:name="_Toc305158865"/>
      <w:r/>
      <w:bookmarkStart w:id="181" w:name="_Toc195842888"/>
      <w:r/>
      <w:bookmarkStart w:id="182" w:name="_Toc164229364"/>
      <w:r>
        <w:rPr>
          <w:color w:val="auto"/>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color w:val="auto"/>
          <w:sz w:val="24"/>
        </w:rPr>
        <w:t xml:space="preserve">成</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color w:val="auto"/>
          <w:sz w:val="24"/>
        </w:rPr>
      </w:pPr>
      <w:r>
        <w:rPr>
          <w:rFonts w:hint="eastAsia"/>
          <w:color w:val="auto"/>
          <w:sz w:val="24"/>
        </w:rPr>
        <w:t xml:space="preserve">竞争性磋商公告</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供应商须知</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评审</w:t>
      </w:r>
      <w:r>
        <w:rPr>
          <w:rFonts w:hint="eastAsia"/>
          <w:color w:val="auto"/>
          <w:sz w:val="24"/>
        </w:rPr>
        <w:t xml:space="preserve">程序、评审</w:t>
      </w:r>
      <w:r>
        <w:rPr>
          <w:color w:val="auto"/>
          <w:sz w:val="24"/>
        </w:rPr>
        <w:t xml:space="preserve">方法和评审标准</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采购需求</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合同草案条款</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响应文件格式</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rPr>
        <w:t xml:space="preserve">响应无效</w:t>
      </w:r>
      <w:r>
        <w:rPr>
          <w:color w:val="auto"/>
          <w:sz w:val="24"/>
        </w:rPr>
        <w:t xml:space="preserve">。</w:t>
      </w:r>
      <w:r/>
    </w:p>
    <w:p>
      <w:pPr>
        <w:numPr>
          <w:ilvl w:val="0"/>
          <w:numId w:val="8"/>
        </w:numPr>
        <w:ind w:left="357" w:hanging="357"/>
        <w:spacing w:line="360" w:lineRule="auto"/>
        <w:tabs>
          <w:tab w:val="left" w:pos="1080" w:leader="none"/>
          <w:tab w:val="left" w:pos="2014" w:leader="none"/>
        </w:tabs>
        <w:rPr>
          <w:color w:val="auto"/>
          <w:sz w:val="24"/>
        </w:rPr>
        <w:outlineLvl w:val="1"/>
      </w:pPr>
      <w:r>
        <w:rPr>
          <w:color w:val="auto"/>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rPr>
      </w:pPr>
      <w:r>
        <w:rPr>
          <w:color w:val="auto"/>
          <w:sz w:val="24"/>
        </w:rPr>
        <w:t xml:space="preserve">采购人或采购代理机构对已发出的竞争性磋商文件进行必要澄清或者修改的，将在原公告发布媒体上以</w:t>
      </w:r>
      <w:r>
        <w:rPr>
          <w:rFonts w:hint="eastAsia"/>
          <w:color w:val="auto"/>
          <w:sz w:val="24"/>
        </w:rPr>
        <w:t xml:space="preserve">发布</w:t>
      </w:r>
      <w:r>
        <w:rPr>
          <w:color w:val="auto"/>
          <w:sz w:val="24"/>
        </w:rPr>
        <w:t xml:space="preserve">更正公告</w:t>
      </w:r>
      <w:r>
        <w:rPr>
          <w:rFonts w:hint="eastAsia"/>
          <w:color w:val="auto"/>
          <w:sz w:val="24"/>
        </w:rPr>
        <w:t xml:space="preserve">的</w:t>
      </w:r>
      <w:r>
        <w:rPr>
          <w:color w:val="auto"/>
          <w:sz w:val="24"/>
        </w:rPr>
        <w:t xml:space="preserve">形式通知所有获取</w:t>
      </w:r>
      <w:r>
        <w:rPr>
          <w:rFonts w:hint="eastAsia"/>
          <w:color w:val="auto"/>
          <w:sz w:val="24"/>
        </w:rPr>
        <w:t xml:space="preserve">磋商文件</w:t>
      </w:r>
      <w:r>
        <w:rPr>
          <w:color w:val="auto"/>
          <w:sz w:val="24"/>
        </w:rPr>
        <w:t xml:space="preserve">的</w:t>
      </w:r>
      <w:r>
        <w:rPr>
          <w:rFonts w:hint="eastAsia"/>
          <w:color w:val="auto"/>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rPr>
      </w:pPr>
      <w:r>
        <w:rPr>
          <w:color w:val="auto"/>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rPr>
        <w:t xml:space="preserve">5</w:t>
      </w:r>
      <w:r>
        <w:rPr>
          <w:color w:val="auto"/>
          <w:sz w:val="24"/>
        </w:rPr>
        <w:t xml:space="preserve">日前</w:t>
      </w:r>
      <w:r>
        <w:rPr>
          <w:rFonts w:hint="eastAsia"/>
          <w:color w:val="auto"/>
          <w:sz w:val="24"/>
        </w:rPr>
        <w:t xml:space="preserve">，</w:t>
      </w:r>
      <w:r>
        <w:rPr>
          <w:color w:val="auto"/>
          <w:sz w:val="24"/>
        </w:rPr>
        <w:t xml:space="preserve">以更正公告形式通知所有获取</w:t>
      </w:r>
      <w:r>
        <w:rPr>
          <w:rFonts w:hint="eastAsia"/>
          <w:color w:val="auto"/>
          <w:sz w:val="24"/>
        </w:rPr>
        <w:t xml:space="preserve">磋商</w:t>
      </w:r>
      <w:r>
        <w:rPr>
          <w:color w:val="auto"/>
          <w:sz w:val="24"/>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rPr>
      </w:pPr>
      <w:r/>
      <w:bookmarkStart w:id="183" w:name="_Toc516367020"/>
      <w:r/>
      <w:bookmarkStart w:id="184" w:name="_Toc151193696"/>
      <w:r/>
      <w:bookmarkStart w:id="185" w:name="_Toc226965716"/>
      <w:r/>
      <w:bookmarkStart w:id="186" w:name="_Toc151193840"/>
      <w:r/>
      <w:bookmarkStart w:id="187" w:name="_Toc151190153"/>
      <w:r/>
      <w:bookmarkStart w:id="188" w:name="_Toc265228364"/>
      <w:r/>
      <w:bookmarkStart w:id="189" w:name="_Toc226965799"/>
      <w:r/>
      <w:bookmarkStart w:id="190" w:name="_Toc226309770"/>
      <w:r/>
      <w:bookmarkStart w:id="191" w:name="_Toc150480764"/>
      <w:r/>
      <w:bookmarkStart w:id="192" w:name="_Toc150509277"/>
      <w:r/>
      <w:bookmarkStart w:id="193" w:name="_Toc520356150"/>
      <w:r/>
      <w:bookmarkStart w:id="194" w:name="_Toc151193914"/>
      <w:r/>
      <w:bookmarkStart w:id="195" w:name="_Toc264969216"/>
      <w:r/>
      <w:bookmarkStart w:id="196" w:name="_Toc150774731"/>
      <w:r/>
      <w:bookmarkStart w:id="197" w:name="_Toc142311028"/>
      <w:r/>
      <w:bookmarkStart w:id="198" w:name="_Toc195842891"/>
      <w:r/>
      <w:bookmarkStart w:id="199" w:name="_Toc151193624"/>
      <w:r/>
      <w:bookmarkStart w:id="200" w:name="_Toc226337222"/>
      <w:r/>
      <w:bookmarkStart w:id="201" w:name="_Toc151193768"/>
      <w:r/>
      <w:bookmarkStart w:id="202" w:name="_Toc150774626"/>
      <w:r/>
      <w:bookmarkStart w:id="203" w:name="_Toc305158868"/>
      <w:r/>
      <w:bookmarkStart w:id="204" w:name="_Toc127151526"/>
      <w:r/>
      <w:bookmarkStart w:id="205" w:name="_Toc305158794"/>
      <w:r/>
      <w:r/>
    </w:p>
    <w:p>
      <w:pPr>
        <w:pStyle w:val="1076"/>
        <w:spacing w:before="0" w:line="360" w:lineRule="auto"/>
        <w:rPr>
          <w:rFonts w:ascii="Times New Roman" w:hAnsi="Times New Roman" w:eastAsia="宋体"/>
          <w:color w:val="auto"/>
          <w:sz w:val="28"/>
        </w:rPr>
      </w:pPr>
      <w:r>
        <w:rPr>
          <w:rFonts w:ascii="Times New Roman" w:hAnsi="Times New Roman" w:eastAsia="宋体"/>
          <w:color w:val="auto"/>
          <w:sz w:val="28"/>
        </w:rPr>
        <w:t xml:space="preserve">三   响应文件</w:t>
      </w:r>
      <w:bookmarkEnd w:id="183"/>
      <w:r>
        <w:rPr>
          <w:rFonts w:ascii="Times New Roman" w:hAnsi="Times New Roman" w:eastAsia="宋体"/>
          <w:color w:val="auto"/>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357" w:hanging="357"/>
        <w:spacing w:line="360" w:lineRule="auto"/>
        <w:tabs>
          <w:tab w:val="left" w:pos="360" w:leader="none"/>
        </w:tabs>
        <w:rPr>
          <w:color w:val="auto"/>
          <w:sz w:val="24"/>
        </w:rPr>
        <w:outlineLvl w:val="1"/>
      </w:pPr>
      <w:r/>
      <w:bookmarkStart w:id="206" w:name="_Toc142311029"/>
      <w:r/>
      <w:bookmarkStart w:id="207" w:name="_Toc164229368"/>
      <w:r/>
      <w:bookmarkStart w:id="208" w:name="_Toc164229222"/>
      <w:r/>
      <w:bookmarkStart w:id="209" w:name="_Toc226965800"/>
      <w:r/>
      <w:bookmarkStart w:id="210" w:name="_Toc151193915"/>
      <w:r/>
      <w:bookmarkStart w:id="211" w:name="_Toc151193841"/>
      <w:r/>
      <w:bookmarkStart w:id="212" w:name="_Toc265228365"/>
      <w:r/>
      <w:bookmarkStart w:id="213" w:name="_Toc516367021"/>
      <w:r/>
      <w:bookmarkStart w:id="214" w:name="_Toc151193697"/>
      <w:r/>
      <w:bookmarkStart w:id="215" w:name="_Toc151193769"/>
      <w:r/>
      <w:bookmarkStart w:id="216" w:name="_Toc195842892"/>
      <w:r/>
      <w:bookmarkStart w:id="217" w:name="_Toc127161441"/>
      <w:r/>
      <w:bookmarkStart w:id="218" w:name="_Toc151190154"/>
      <w:r/>
      <w:bookmarkStart w:id="219" w:name="_Toc150774627"/>
      <w:r/>
      <w:bookmarkStart w:id="220" w:name="_Toc264969217"/>
      <w:r/>
      <w:bookmarkStart w:id="221" w:name="_Toc150774732"/>
      <w:r/>
      <w:bookmarkStart w:id="222" w:name="_Toc164608796"/>
      <w:r/>
      <w:bookmarkStart w:id="223" w:name="_Toc305158795"/>
      <w:r/>
      <w:bookmarkStart w:id="224" w:name="_Toc305158869"/>
      <w:r/>
      <w:bookmarkStart w:id="225" w:name="_Toc150509278"/>
      <w:r/>
      <w:bookmarkStart w:id="226" w:name="_Toc164351621"/>
      <w:r/>
      <w:bookmarkStart w:id="227" w:name="_Toc151193625"/>
      <w:r/>
      <w:bookmarkStart w:id="228" w:name="_Toc226965717"/>
      <w:r/>
      <w:bookmarkStart w:id="229" w:name="_Toc150480765"/>
      <w:r/>
      <w:bookmarkStart w:id="230" w:name="_Toc164608641"/>
      <w:r/>
      <w:bookmarkStart w:id="231" w:name="_Toc520356151"/>
      <w:r/>
      <w:bookmarkStart w:id="232" w:name="_Toc149720820"/>
      <w:r/>
      <w:bookmarkStart w:id="233" w:name="_Toc226337223"/>
      <w:r/>
      <w:bookmarkStart w:id="234" w:name="_Toc226309771"/>
      <w:r/>
      <w:bookmarkStart w:id="235" w:name="_Toc127151728"/>
      <w:r/>
      <w:bookmarkStart w:id="236" w:name="_Toc127151527"/>
      <w:r>
        <w:rPr>
          <w:color w:val="auto"/>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color w:val="auto"/>
          <w:sz w:val="24"/>
        </w:rPr>
        <w:t xml:space="preserve">及磋商语言</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rPr>
        <w:t xml:space="preserve">响应无效</w:t>
      </w:r>
      <w:r>
        <w:rPr>
          <w:color w:val="auto"/>
          <w:sz w:val="24"/>
        </w:rPr>
        <w:t xml:space="preserve">。</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rPr>
        <w:outlineLvl w:val="1"/>
      </w:pPr>
      <w:r/>
      <w:bookmarkStart w:id="237" w:name="_Toc516367022"/>
      <w:r/>
      <w:bookmarkStart w:id="238" w:name="_Ref467306195"/>
      <w:r/>
      <w:bookmarkStart w:id="239" w:name="_Ref467306676"/>
      <w:r/>
      <w:bookmarkStart w:id="240" w:name="_Toc150774733"/>
      <w:r/>
      <w:bookmarkStart w:id="241" w:name="_Toc520356152"/>
      <w:r/>
      <w:bookmarkStart w:id="242" w:name="_Toc150774628"/>
      <w:r/>
      <w:bookmarkStart w:id="243" w:name="_Toc151193626"/>
      <w:r/>
      <w:bookmarkStart w:id="244" w:name="_Toc127161442"/>
      <w:r/>
      <w:bookmarkStart w:id="245" w:name="_Toc151190155"/>
      <w:r/>
      <w:bookmarkStart w:id="246" w:name="_Toc226337224"/>
      <w:r/>
      <w:bookmarkStart w:id="247" w:name="_Toc265228366"/>
      <w:r/>
      <w:bookmarkStart w:id="248" w:name="_Toc142311030"/>
      <w:r/>
      <w:bookmarkStart w:id="249" w:name="_Toc150480766"/>
      <w:r/>
      <w:bookmarkStart w:id="250" w:name="_Toc127151528"/>
      <w:r/>
      <w:bookmarkStart w:id="251" w:name="_Toc226965801"/>
      <w:r/>
      <w:bookmarkStart w:id="252" w:name="_Toc151193916"/>
      <w:r/>
      <w:bookmarkStart w:id="253" w:name="_Toc164608797"/>
      <w:r/>
      <w:bookmarkStart w:id="254" w:name="_Toc164229223"/>
      <w:r/>
      <w:bookmarkStart w:id="255" w:name="_Toc151193698"/>
      <w:r/>
      <w:bookmarkStart w:id="256" w:name="_Toc149720821"/>
      <w:r/>
      <w:bookmarkStart w:id="257" w:name="_Toc305158870"/>
      <w:r/>
      <w:bookmarkStart w:id="258" w:name="_Toc164351622"/>
      <w:r/>
      <w:bookmarkStart w:id="259" w:name="_Toc195842893"/>
      <w:r/>
      <w:bookmarkStart w:id="260" w:name="_Toc151193770"/>
      <w:r/>
      <w:bookmarkStart w:id="261" w:name="_Toc127151729"/>
      <w:r/>
      <w:bookmarkStart w:id="262" w:name="_Toc226309772"/>
      <w:r/>
      <w:bookmarkStart w:id="263" w:name="_Toc264969218"/>
      <w:r/>
      <w:bookmarkStart w:id="264" w:name="_Toc150509279"/>
      <w:r/>
      <w:bookmarkStart w:id="265" w:name="_Toc226965718"/>
      <w:r/>
      <w:bookmarkStart w:id="266" w:name="_Toc164608642"/>
      <w:r/>
      <w:bookmarkStart w:id="267" w:name="_Toc151193842"/>
      <w:r/>
      <w:bookmarkStart w:id="268" w:name="_Toc164229369"/>
      <w:r/>
      <w:bookmarkStart w:id="269" w:name="_Toc305158796"/>
      <w:r>
        <w:rPr>
          <w:color w:val="auto"/>
          <w:sz w:val="24"/>
        </w:rPr>
        <w:t xml:space="preserve">响应文件</w:t>
      </w:r>
      <w:bookmarkEnd w:id="237"/>
      <w:r/>
      <w:bookmarkEnd w:id="238"/>
      <w:r/>
      <w:bookmarkEnd w:id="239"/>
      <w:r>
        <w:rPr>
          <w:color w:val="auto"/>
          <w:sz w:val="24"/>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1077" w:hanging="720"/>
        <w:spacing w:line="360" w:lineRule="auto"/>
        <w:tabs>
          <w:tab w:val="left" w:pos="1080" w:leader="none"/>
          <w:tab w:val="left" w:pos="2014" w:leader="none"/>
        </w:tabs>
        <w:rPr>
          <w:color w:val="auto"/>
          <w:sz w:val="24"/>
        </w:rPr>
      </w:pPr>
      <w:r/>
      <w:bookmarkStart w:id="270" w:name="_Ref467052588"/>
      <w:r>
        <w:rPr>
          <w:color w:val="auto"/>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rPr>
        <w:t xml:space="preserve">否则响应无效</w:t>
      </w:r>
      <w:r>
        <w:rPr>
          <w:color w:val="auto"/>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供应商认为应附的其他材料。</w:t>
      </w:r>
      <w:bookmarkEnd w:id="270"/>
      <w:r/>
      <w:r/>
    </w:p>
    <w:p>
      <w:pPr>
        <w:numPr>
          <w:ilvl w:val="0"/>
          <w:numId w:val="8"/>
        </w:numPr>
        <w:ind w:left="357" w:hanging="357"/>
        <w:spacing w:line="360" w:lineRule="auto"/>
        <w:tabs>
          <w:tab w:val="left" w:pos="360" w:leader="none"/>
        </w:tabs>
        <w:rPr>
          <w:color w:val="auto"/>
          <w:sz w:val="24"/>
        </w:rPr>
        <w:outlineLvl w:val="1"/>
      </w:pPr>
      <w:r/>
      <w:bookmarkStart w:id="271" w:name="_Toc127151731"/>
      <w:r/>
      <w:bookmarkStart w:id="272" w:name="_Toc127151530"/>
      <w:r/>
      <w:bookmarkStart w:id="273" w:name="_Toc150774735"/>
      <w:r/>
      <w:bookmarkStart w:id="274" w:name="_Toc195842895"/>
      <w:r/>
      <w:bookmarkStart w:id="275" w:name="_Toc151190157"/>
      <w:r/>
      <w:bookmarkStart w:id="276" w:name="_Toc149720823"/>
      <w:r/>
      <w:bookmarkStart w:id="277" w:name="_Toc142311032"/>
      <w:r/>
      <w:bookmarkStart w:id="278" w:name="_Toc151193700"/>
      <w:r/>
      <w:bookmarkStart w:id="279" w:name="_Toc164229371"/>
      <w:r/>
      <w:bookmarkStart w:id="280" w:name="_Toc150509281"/>
      <w:r/>
      <w:bookmarkStart w:id="281" w:name="_Toc151193844"/>
      <w:r/>
      <w:bookmarkStart w:id="282" w:name="_Toc520356155"/>
      <w:r/>
      <w:bookmarkStart w:id="283" w:name="_Toc164608644"/>
      <w:r/>
      <w:bookmarkStart w:id="284" w:name="_Toc151193918"/>
      <w:r/>
      <w:bookmarkStart w:id="285" w:name="_Toc151193772"/>
      <w:r/>
      <w:bookmarkStart w:id="286" w:name="_Toc164351624"/>
      <w:r/>
      <w:bookmarkStart w:id="287" w:name="_Toc150480768"/>
      <w:r/>
      <w:bookmarkStart w:id="288" w:name="_Toc164608799"/>
      <w:r/>
      <w:bookmarkStart w:id="289" w:name="_Toc127161444"/>
      <w:r/>
      <w:bookmarkStart w:id="290" w:name="_Toc150774630"/>
      <w:r/>
      <w:bookmarkStart w:id="291" w:name="_Toc151193628"/>
      <w:r/>
      <w:bookmarkStart w:id="292" w:name="_Toc164229225"/>
      <w:r>
        <w:rPr>
          <w:color w:val="auto"/>
          <w:sz w:val="24"/>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所有响应均以人民币报价。</w:t>
      </w:r>
      <w:r/>
    </w:p>
    <w:p>
      <w:pPr>
        <w:numPr>
          <w:ilvl w:val="1"/>
          <w:numId w:val="8"/>
        </w:numPr>
        <w:spacing w:line="360" w:lineRule="auto"/>
        <w:tabs>
          <w:tab w:val="left" w:pos="1080" w:leader="none"/>
        </w:tabs>
        <w:rPr>
          <w:color w:val="auto"/>
          <w:sz w:val="24"/>
        </w:rPr>
      </w:pPr>
      <w:r>
        <w:rPr>
          <w:color w:val="auto"/>
          <w:sz w:val="24"/>
        </w:rPr>
        <w:t xml:space="preserve">供应商的报价应包括为完成本项目所发生的一切费用和税费，采购人将不再支付报价以外的任何费用。</w:t>
      </w:r>
      <w:r>
        <w:rPr>
          <w:rFonts w:hint="eastAsia"/>
          <w:color w:val="auto"/>
          <w:sz w:val="24"/>
        </w:rPr>
        <w:t xml:space="preserve">供应商的报价应包括但不限于下列内容，《供应商须知资料表》中有特殊规定的，从其规定。</w:t>
      </w:r>
      <w:r/>
    </w:p>
    <w:p>
      <w:pPr>
        <w:numPr>
          <w:ilvl w:val="2"/>
          <w:numId w:val="8"/>
        </w:numPr>
        <w:spacing w:line="360" w:lineRule="auto"/>
        <w:rPr>
          <w:color w:val="auto"/>
          <w:sz w:val="24"/>
        </w:rPr>
      </w:pPr>
      <w:r>
        <w:rPr>
          <w:color w:val="auto"/>
          <w:sz w:val="24"/>
        </w:rPr>
        <w:t xml:space="preserve">按照竞争性磋商文件要求完成本项</w:t>
      </w:r>
      <w:r>
        <w:rPr>
          <w:rFonts w:hint="eastAsia"/>
          <w:color w:val="auto"/>
          <w:sz w:val="24"/>
        </w:rPr>
        <w:t xml:space="preserve">目的全部相关服务费用。</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供应商不能提供任何有选择性或可调整的最终报价（</w:t>
      </w:r>
      <w:r>
        <w:rPr>
          <w:color w:val="auto"/>
          <w:sz w:val="24"/>
        </w:rPr>
        <w:t xml:space="preserve">竞争性磋商文件</w:t>
      </w:r>
      <w:r>
        <w:rPr>
          <w:color w:val="auto"/>
          <w:sz w:val="24"/>
        </w:rPr>
        <w:t xml:space="preserve">另有规定的除外），否则其</w:t>
      </w:r>
      <w:r>
        <w:rPr>
          <w:b/>
          <w:color w:val="auto"/>
          <w:sz w:val="24"/>
        </w:rPr>
        <w:t xml:space="preserve">响应无效</w:t>
      </w:r>
      <w:r>
        <w:rPr>
          <w:color w:val="auto"/>
          <w:sz w:val="24"/>
        </w:rPr>
        <w:t xml:space="preserve">。</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磋商保证金</w:t>
      </w:r>
      <w:r/>
    </w:p>
    <w:p>
      <w:pPr>
        <w:ind w:firstLine="360"/>
        <w:spacing w:line="360" w:lineRule="auto"/>
        <w:tabs>
          <w:tab w:val="left" w:pos="360" w:leader="none"/>
        </w:tabs>
        <w:rPr>
          <w:color w:val="auto"/>
          <w:sz w:val="24"/>
        </w:rPr>
        <w:outlineLvl w:val="1"/>
      </w:pPr>
      <w:r>
        <w:rPr>
          <w:rFonts w:hint="eastAsia"/>
          <w:color w:val="auto"/>
          <w:sz w:val="24"/>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响应有效期</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响应文件应在本竞争性磋商文件《供应商须知资料表》中规定的响应有效期内保持有效，响应有效期少于竞争性磋商文件规定期限的，其</w:t>
      </w:r>
      <w:r>
        <w:rPr>
          <w:b/>
          <w:color w:val="auto"/>
          <w:sz w:val="24"/>
        </w:rPr>
        <w:t xml:space="preserve">响应无效</w:t>
      </w:r>
      <w:r>
        <w:rPr>
          <w:color w:val="auto"/>
          <w:sz w:val="24"/>
        </w:rPr>
        <w:t xml:space="preserve">。</w:t>
      </w:r>
      <w:r/>
    </w:p>
    <w:p>
      <w:pPr>
        <w:numPr>
          <w:ilvl w:val="0"/>
          <w:numId w:val="8"/>
        </w:numPr>
        <w:ind w:left="357" w:hanging="357"/>
        <w:spacing w:line="360" w:lineRule="auto"/>
        <w:tabs>
          <w:tab w:val="left" w:pos="360" w:leader="none"/>
        </w:tabs>
        <w:rPr>
          <w:color w:val="auto"/>
          <w:sz w:val="24"/>
        </w:rPr>
        <w:outlineLvl w:val="1"/>
      </w:pPr>
      <w:r/>
      <w:bookmarkStart w:id="293" w:name="_Toc164608647"/>
      <w:r/>
      <w:bookmarkStart w:id="294" w:name="_Toc150509284"/>
      <w:r/>
      <w:bookmarkStart w:id="295" w:name="_Toc151193775"/>
      <w:r/>
      <w:bookmarkStart w:id="296" w:name="_Toc226965723"/>
      <w:r/>
      <w:bookmarkStart w:id="297" w:name="_Toc150480771"/>
      <w:r/>
      <w:bookmarkStart w:id="298" w:name="_Toc127161447"/>
      <w:r/>
      <w:bookmarkStart w:id="299" w:name="_Toc149720826"/>
      <w:r/>
      <w:bookmarkStart w:id="300" w:name="_Toc164608802"/>
      <w:r/>
      <w:bookmarkStart w:id="301" w:name="_Toc265228371"/>
      <w:r/>
      <w:bookmarkStart w:id="302" w:name="_Toc164229228"/>
      <w:r/>
      <w:bookmarkStart w:id="303" w:name="_Toc151193631"/>
      <w:r/>
      <w:bookmarkStart w:id="304" w:name="_Toc127151734"/>
      <w:r/>
      <w:bookmarkStart w:id="305" w:name="_Toc305158801"/>
      <w:r/>
      <w:bookmarkStart w:id="306" w:name="_Toc151193703"/>
      <w:r/>
      <w:bookmarkStart w:id="307" w:name="_Toc164229374"/>
      <w:r/>
      <w:bookmarkStart w:id="308" w:name="_Toc226965806"/>
      <w:r/>
      <w:bookmarkStart w:id="309" w:name="_Toc226337229"/>
      <w:r/>
      <w:bookmarkStart w:id="310" w:name="_Toc151193921"/>
      <w:r/>
      <w:bookmarkStart w:id="311" w:name="_Toc150774633"/>
      <w:r/>
      <w:bookmarkStart w:id="312" w:name="_Toc164351627"/>
      <w:r/>
      <w:bookmarkStart w:id="313" w:name="_Toc151193847"/>
      <w:r/>
      <w:bookmarkStart w:id="314" w:name="_Toc142311035"/>
      <w:r/>
      <w:bookmarkStart w:id="315" w:name="_Toc150774738"/>
      <w:r/>
      <w:bookmarkStart w:id="316" w:name="_Toc305158875"/>
      <w:r/>
      <w:bookmarkStart w:id="317" w:name="_Toc264969223"/>
      <w:r/>
      <w:bookmarkStart w:id="318" w:name="_Toc127151533"/>
      <w:r/>
      <w:bookmarkStart w:id="319" w:name="_Toc520356158"/>
      <w:r/>
      <w:bookmarkStart w:id="320" w:name="_Toc151190160"/>
      <w:r/>
      <w:bookmarkStart w:id="321" w:name="_Toc195842898"/>
      <w:r/>
      <w:bookmarkStart w:id="322" w:name="_Toc226309777"/>
      <w:r/>
      <w:bookmarkStart w:id="323" w:name="_Toc150509285"/>
      <w:r/>
      <w:bookmarkStart w:id="324" w:name="_Toc127151534"/>
      <w:r/>
      <w:bookmarkStart w:id="325" w:name="_Toc265228372"/>
      <w:r/>
      <w:bookmarkStart w:id="326" w:name="_Toc226965807"/>
      <w:r/>
      <w:bookmarkStart w:id="327" w:name="_Toc151190161"/>
      <w:r/>
      <w:bookmarkStart w:id="328" w:name="_Toc264969224"/>
      <w:r/>
      <w:bookmarkStart w:id="329" w:name="_Toc150480772"/>
      <w:r/>
      <w:bookmarkStart w:id="330" w:name="_Toc226965724"/>
      <w:r/>
      <w:bookmarkStart w:id="331" w:name="_Toc151193848"/>
      <w:r/>
      <w:bookmarkStart w:id="332" w:name="_Toc151193632"/>
      <w:r/>
      <w:bookmarkStart w:id="333" w:name="_Toc520356159"/>
      <w:r/>
      <w:bookmarkStart w:id="334" w:name="_Toc195842899"/>
      <w:r/>
      <w:bookmarkStart w:id="335" w:name="_Toc150774634"/>
      <w:r/>
      <w:bookmarkStart w:id="336" w:name="_Toc151193776"/>
      <w:r/>
      <w:bookmarkStart w:id="337" w:name="_Toc305158876"/>
      <w:r/>
      <w:bookmarkStart w:id="338" w:name="_Toc305158802"/>
      <w:r/>
      <w:bookmarkStart w:id="339" w:name="_Toc142311036"/>
      <w:r/>
      <w:bookmarkStart w:id="340" w:name="_Toc226309778"/>
      <w:r/>
      <w:bookmarkStart w:id="341" w:name="_Toc151193704"/>
      <w:r/>
      <w:bookmarkStart w:id="342" w:name="_Toc151193922"/>
      <w:r/>
      <w:bookmarkStart w:id="343" w:name="_Toc226337230"/>
      <w:r/>
      <w:bookmarkStart w:id="344" w:name="_Toc150774739"/>
      <w:r>
        <w:rPr>
          <w:color w:val="auto"/>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color w:val="auto"/>
          <w:sz w:val="24"/>
        </w:rPr>
        <w:t xml:space="preserve">、盖章</w:t>
      </w:r>
      <w:r/>
    </w:p>
    <w:p>
      <w:pPr>
        <w:numPr>
          <w:ilvl w:val="1"/>
          <w:numId w:val="8"/>
        </w:numPr>
        <w:spacing w:line="360" w:lineRule="auto"/>
        <w:tabs>
          <w:tab w:val="left" w:pos="1080" w:leader="none"/>
        </w:tabs>
        <w:rPr>
          <w:color w:val="auto"/>
          <w:sz w:val="24"/>
        </w:rPr>
      </w:pPr>
      <w:r>
        <w:rPr>
          <w:color w:val="auto"/>
          <w:sz w:val="24"/>
        </w:rPr>
        <w:t xml:space="preserve">竞争性磋商文件要求签字的内容（如授权委托书等），</w:t>
      </w:r>
      <w:r>
        <w:rPr>
          <w:rFonts w:hint="eastAsia"/>
          <w:color w:val="auto"/>
          <w:sz w:val="24"/>
        </w:rPr>
        <w:t xml:space="preserve">可以使用电子签章或使用原件的电子件（电子件指扫描件、照片等形式电子文件）；要求</w:t>
      </w:r>
      <w:r>
        <w:rPr>
          <w:color w:val="auto"/>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竞争性磋商文件要求盖章的内容，</w:t>
      </w:r>
      <w:r>
        <w:rPr>
          <w:rFonts w:hint="eastAsia"/>
          <w:color w:val="auto"/>
          <w:sz w:val="24"/>
        </w:rPr>
        <w:t xml:space="preserve">一般</w:t>
      </w:r>
      <w:r>
        <w:rPr>
          <w:color w:val="auto"/>
          <w:sz w:val="24"/>
        </w:rPr>
        <w:t xml:space="preserve">通过投标文件编制工具加盖电子签章。</w:t>
      </w:r>
      <w:r/>
    </w:p>
    <w:p>
      <w:pPr>
        <w:ind w:left="357"/>
        <w:spacing w:line="360" w:lineRule="auto"/>
        <w:tabs>
          <w:tab w:val="left" w:pos="900" w:leader="none"/>
          <w:tab w:val="left" w:pos="1080" w:leader="none"/>
        </w:tabs>
        <w:rPr>
          <w:color w:val="auto"/>
        </w:rPr>
      </w:pPr>
      <w:r>
        <w:rPr>
          <w:color w:val="auto"/>
        </w:rPr>
      </w:r>
      <w:r/>
    </w:p>
    <w:p>
      <w:pPr>
        <w:pStyle w:val="1076"/>
        <w:spacing w:before="0" w:line="360" w:lineRule="auto"/>
        <w:rPr>
          <w:rFonts w:ascii="Times New Roman" w:hAnsi="Times New Roman" w:eastAsia="宋体"/>
          <w:color w:val="auto"/>
          <w:sz w:val="28"/>
        </w:rPr>
      </w:pPr>
      <w:r>
        <w:rPr>
          <w:rFonts w:ascii="Times New Roman" w:hAnsi="Times New Roman" w:eastAsia="宋体"/>
          <w:color w:val="auto"/>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357" w:hanging="357"/>
        <w:spacing w:line="360" w:lineRule="auto"/>
        <w:tabs>
          <w:tab w:val="left" w:pos="360" w:leader="none"/>
        </w:tabs>
        <w:rPr>
          <w:color w:val="auto"/>
          <w:sz w:val="24"/>
        </w:rPr>
        <w:outlineLvl w:val="1"/>
      </w:pPr>
      <w:r/>
      <w:bookmarkStart w:id="345" w:name="_Toc142311037"/>
      <w:r/>
      <w:bookmarkStart w:id="346" w:name="_Toc150774740"/>
      <w:r/>
      <w:bookmarkStart w:id="347" w:name="_Toc151193705"/>
      <w:r/>
      <w:bookmarkStart w:id="348" w:name="_Toc164608649"/>
      <w:r/>
      <w:bookmarkStart w:id="349" w:name="_Toc151193633"/>
      <w:r/>
      <w:bookmarkStart w:id="350" w:name="_Toc226309779"/>
      <w:r/>
      <w:bookmarkStart w:id="351" w:name="_Toc150480773"/>
      <w:r/>
      <w:bookmarkStart w:id="352" w:name="_Toc150774635"/>
      <w:r/>
      <w:bookmarkStart w:id="353" w:name="_Toc151193777"/>
      <w:r/>
      <w:bookmarkStart w:id="354" w:name="_Toc164229376"/>
      <w:r/>
      <w:bookmarkStart w:id="355" w:name="_Toc520356160"/>
      <w:r/>
      <w:bookmarkStart w:id="356" w:name="_Toc127161449"/>
      <w:r/>
      <w:bookmarkStart w:id="357" w:name="_Toc149720828"/>
      <w:r/>
      <w:bookmarkStart w:id="358" w:name="_Toc127151736"/>
      <w:r/>
      <w:bookmarkStart w:id="359" w:name="_Toc150509286"/>
      <w:r/>
      <w:bookmarkStart w:id="360" w:name="_Toc151193923"/>
      <w:r/>
      <w:bookmarkStart w:id="361" w:name="_Toc305158803"/>
      <w:r/>
      <w:bookmarkStart w:id="362" w:name="_Toc264969225"/>
      <w:r/>
      <w:bookmarkStart w:id="363" w:name="_Toc226337231"/>
      <w:r/>
      <w:bookmarkStart w:id="364" w:name="_Toc305158877"/>
      <w:r/>
      <w:bookmarkStart w:id="365" w:name="_Toc164351629"/>
      <w:r/>
      <w:bookmarkStart w:id="366" w:name="_Toc164229230"/>
      <w:r/>
      <w:bookmarkStart w:id="367" w:name="_Toc226965808"/>
      <w:r/>
      <w:bookmarkStart w:id="368" w:name="_Toc127151535"/>
      <w:r/>
      <w:bookmarkStart w:id="369" w:name="_Toc226965725"/>
      <w:r/>
      <w:bookmarkStart w:id="370" w:name="_Toc195842900"/>
      <w:r/>
      <w:bookmarkStart w:id="371" w:name="_Toc151193849"/>
      <w:r/>
      <w:bookmarkStart w:id="372" w:name="_Toc151190162"/>
      <w:r/>
      <w:bookmarkStart w:id="373" w:name="_Toc265228373"/>
      <w:r/>
      <w:bookmarkStart w:id="374" w:name="_Toc164608804"/>
      <w:r>
        <w:rPr>
          <w:color w:val="auto"/>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color w:val="auto"/>
          <w:sz w:val="24"/>
        </w:rPr>
        <w:t xml:space="preserve">提交</w:t>
      </w:r>
      <w:r/>
    </w:p>
    <w:p>
      <w:pPr>
        <w:numPr>
          <w:ilvl w:val="1"/>
          <w:numId w:val="8"/>
        </w:numPr>
        <w:ind w:left="1077" w:hanging="720"/>
        <w:spacing w:line="360" w:lineRule="auto"/>
        <w:tabs>
          <w:tab w:val="left" w:pos="1080" w:leader="none"/>
          <w:tab w:val="left" w:pos="2014" w:leader="none"/>
        </w:tabs>
        <w:rPr>
          <w:color w:val="auto"/>
          <w:sz w:val="24"/>
        </w:rPr>
      </w:pPr>
      <w:r/>
      <w:bookmarkStart w:id="375" w:name="_Toc151193634"/>
      <w:r/>
      <w:bookmarkStart w:id="376" w:name="_Toc265228374"/>
      <w:r/>
      <w:bookmarkStart w:id="377" w:name="_Toc164229377"/>
      <w:r/>
      <w:bookmarkStart w:id="378" w:name="_Toc226965726"/>
      <w:r/>
      <w:bookmarkStart w:id="379" w:name="_Toc164351630"/>
      <w:r/>
      <w:bookmarkStart w:id="380" w:name="_Toc151190163"/>
      <w:r/>
      <w:bookmarkStart w:id="381" w:name="_Toc305158878"/>
      <w:r/>
      <w:bookmarkStart w:id="382" w:name="_Toc150774636"/>
      <w:r/>
      <w:bookmarkStart w:id="383" w:name="_Toc142311038"/>
      <w:r/>
      <w:bookmarkStart w:id="384" w:name="_Toc150774741"/>
      <w:r/>
      <w:bookmarkStart w:id="385" w:name="_Toc151193850"/>
      <w:r/>
      <w:bookmarkStart w:id="386" w:name="_Toc226309780"/>
      <w:r/>
      <w:bookmarkStart w:id="387" w:name="_Toc151193706"/>
      <w:r/>
      <w:bookmarkStart w:id="388" w:name="_Toc127161450"/>
      <w:r/>
      <w:bookmarkStart w:id="389" w:name="_Toc150509287"/>
      <w:r/>
      <w:bookmarkStart w:id="390" w:name="_Toc127151536"/>
      <w:r/>
      <w:bookmarkStart w:id="391" w:name="_Toc151193924"/>
      <w:r/>
      <w:bookmarkStart w:id="392" w:name="_Toc127151737"/>
      <w:r/>
      <w:bookmarkStart w:id="393" w:name="_Toc226337232"/>
      <w:r/>
      <w:bookmarkStart w:id="394" w:name="_Toc149720829"/>
      <w:r/>
      <w:bookmarkStart w:id="395" w:name="_Toc264969226"/>
      <w:r/>
      <w:bookmarkStart w:id="396" w:name="_Toc151193778"/>
      <w:r/>
      <w:bookmarkStart w:id="397" w:name="_Toc164229231"/>
      <w:r/>
      <w:bookmarkStart w:id="398" w:name="_Toc164608805"/>
      <w:r/>
      <w:bookmarkStart w:id="399" w:name="_Toc520356161"/>
      <w:r/>
      <w:bookmarkStart w:id="400" w:name="_Toc195842901"/>
      <w:r/>
      <w:bookmarkStart w:id="401" w:name="_Toc164608650"/>
      <w:r/>
      <w:bookmarkStart w:id="402" w:name="_Toc226965809"/>
      <w:r/>
      <w:bookmarkStart w:id="403" w:name="_Toc305158804"/>
      <w:r/>
      <w:bookmarkStart w:id="404" w:name="_Toc150480774"/>
      <w:r>
        <w:rPr>
          <w:color w:val="auto"/>
          <w:sz w:val="24"/>
        </w:rPr>
        <w:t xml:space="preserve">本项目使用</w:t>
      </w:r>
      <w:r>
        <w:rPr>
          <w:rFonts w:hint="eastAsia"/>
          <w:color w:val="auto"/>
          <w:sz w:val="24"/>
        </w:rPr>
        <w:t xml:space="preserve">“苏采云”</w:t>
      </w:r>
      <w:r>
        <w:rPr>
          <w:color w:val="auto"/>
          <w:sz w:val="24"/>
        </w:rPr>
        <w:t xml:space="preserve">。供应商根据竞争性磋商文件及</w:t>
      </w:r>
      <w:r>
        <w:rPr>
          <w:rFonts w:hint="eastAsia"/>
          <w:color w:val="auto"/>
          <w:sz w:val="24"/>
        </w:rPr>
        <w:t xml:space="preserve">“苏采云”</w:t>
      </w:r>
      <w:r>
        <w:rPr>
          <w:color w:val="auto"/>
          <w:sz w:val="24"/>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color w:val="auto"/>
          <w:sz w:val="24"/>
        </w:rPr>
        <w:t xml:space="preserve">时间</w:t>
      </w:r>
      <w:r/>
    </w:p>
    <w:p>
      <w:pPr>
        <w:numPr>
          <w:ilvl w:val="1"/>
          <w:numId w:val="8"/>
        </w:numPr>
        <w:ind w:left="1077" w:hanging="720"/>
        <w:spacing w:line="360" w:lineRule="auto"/>
        <w:tabs>
          <w:tab w:val="left" w:pos="1080" w:leader="none"/>
          <w:tab w:val="left" w:pos="2014" w:leader="none"/>
        </w:tabs>
        <w:rPr>
          <w:color w:val="auto"/>
          <w:sz w:val="24"/>
        </w:rPr>
      </w:pPr>
      <w:r/>
      <w:bookmarkStart w:id="405" w:name="_Toc127151537"/>
      <w:r/>
      <w:bookmarkStart w:id="406" w:name="_Toc164351631"/>
      <w:r/>
      <w:bookmarkStart w:id="407" w:name="_Toc151193635"/>
      <w:r/>
      <w:bookmarkStart w:id="408" w:name="_Toc151193779"/>
      <w:r/>
      <w:bookmarkStart w:id="409" w:name="_Toc151190164"/>
      <w:r/>
      <w:bookmarkStart w:id="410" w:name="_Toc226309781"/>
      <w:r/>
      <w:bookmarkStart w:id="411" w:name="_Toc151193707"/>
      <w:r/>
      <w:bookmarkStart w:id="412" w:name="_Toc142311039"/>
      <w:r/>
      <w:bookmarkStart w:id="413" w:name="_Toc264969227"/>
      <w:r/>
      <w:bookmarkStart w:id="414" w:name="_Toc151193851"/>
      <w:r/>
      <w:bookmarkStart w:id="415" w:name="_Toc150774742"/>
      <w:r/>
      <w:bookmarkStart w:id="416" w:name="_Toc127161451"/>
      <w:r/>
      <w:bookmarkStart w:id="417" w:name="_Toc265228375"/>
      <w:r/>
      <w:bookmarkStart w:id="418" w:name="_Toc195842902"/>
      <w:r/>
      <w:bookmarkStart w:id="419" w:name="_Toc305158805"/>
      <w:r/>
      <w:bookmarkStart w:id="420" w:name="_Toc520356162"/>
      <w:r/>
      <w:bookmarkStart w:id="421" w:name="_Toc226337233"/>
      <w:r/>
      <w:bookmarkStart w:id="422" w:name="_Toc226965727"/>
      <w:r/>
      <w:bookmarkStart w:id="423" w:name="_Toc164608651"/>
      <w:r/>
      <w:bookmarkStart w:id="424" w:name="_Toc164608806"/>
      <w:r/>
      <w:bookmarkStart w:id="425" w:name="_Toc150774637"/>
      <w:r/>
      <w:bookmarkStart w:id="426" w:name="_Toc149720830"/>
      <w:r/>
      <w:bookmarkStart w:id="427" w:name="_Toc164229378"/>
      <w:r/>
      <w:bookmarkStart w:id="428" w:name="_Toc164229232"/>
      <w:r/>
      <w:bookmarkStart w:id="429" w:name="_Toc151193925"/>
      <w:r/>
      <w:bookmarkStart w:id="430" w:name="_Toc150509288"/>
      <w:r/>
      <w:bookmarkStart w:id="431" w:name="_Toc305158879"/>
      <w:r/>
      <w:bookmarkStart w:id="432" w:name="_Toc226965810"/>
      <w:r/>
      <w:bookmarkStart w:id="433" w:name="_Toc127151738"/>
      <w:r/>
      <w:bookmarkStart w:id="434" w:name="_Toc150480775"/>
      <w:r>
        <w:rPr>
          <w:color w:val="auto"/>
          <w:sz w:val="24"/>
        </w:rPr>
        <w:t xml:space="preserve">供应商应在竞争性磋商文件要求提交响应文件截止时间前，将电子响应文件提交至</w:t>
      </w:r>
      <w:r>
        <w:rPr>
          <w:rFonts w:hint="eastAsia"/>
          <w:color w:val="auto"/>
          <w:sz w:val="24"/>
        </w:rPr>
        <w:t xml:space="preserve">“苏采云”</w:t>
      </w:r>
      <w:r>
        <w:rPr>
          <w:color w:val="auto"/>
          <w:sz w:val="24"/>
        </w:rPr>
        <w:t xml:space="preserve">。</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提交响应文件截止时间前，供应商可以通过电子交易平台对所提交的响应文件进行补充、修改或者撤回。</w:t>
      </w:r>
      <w:r>
        <w:rPr>
          <w:color w:val="auto"/>
          <w:sz w:val="24"/>
        </w:rPr>
        <w:t xml:space="preserve">磋商保证金</w:t>
      </w:r>
      <w:r>
        <w:rPr>
          <w:rFonts w:hint="eastAsia"/>
          <w:color w:val="auto"/>
          <w:sz w:val="24"/>
        </w:rPr>
        <w:t xml:space="preserve">的</w:t>
      </w:r>
      <w:r>
        <w:rPr>
          <w:color w:val="auto"/>
          <w:sz w:val="24"/>
        </w:rPr>
        <w:t xml:space="preserve">补充、修改或者撤回</w:t>
      </w:r>
      <w:r>
        <w:rPr>
          <w:rFonts w:hint="eastAsia"/>
          <w:color w:val="auto"/>
          <w:sz w:val="24"/>
        </w:rPr>
        <w:t xml:space="preserve">无需</w:t>
      </w:r>
      <w:r>
        <w:rPr>
          <w:color w:val="auto"/>
          <w:sz w:val="24"/>
        </w:rPr>
        <w:t xml:space="preserve">通过电子交易平台</w:t>
      </w:r>
      <w:r>
        <w:rPr>
          <w:rFonts w:hint="eastAsia"/>
          <w:color w:val="auto"/>
          <w:sz w:val="24"/>
        </w:rPr>
        <w:t xml:space="preserve">，</w:t>
      </w:r>
      <w:r>
        <w:rPr>
          <w:color w:val="auto"/>
          <w:sz w:val="24"/>
        </w:rPr>
        <w:t xml:space="preserve">但应</w:t>
      </w:r>
      <w:r>
        <w:rPr>
          <w:rFonts w:hint="eastAsia"/>
          <w:color w:val="auto"/>
          <w:sz w:val="24"/>
        </w:rPr>
        <w:t xml:space="preserve">就其</w:t>
      </w:r>
      <w:r>
        <w:rPr>
          <w:color w:val="auto"/>
          <w:sz w:val="24"/>
        </w:rPr>
        <w:t xml:space="preserve">补充、修改或者撤回</w:t>
      </w:r>
      <w:r>
        <w:rPr>
          <w:rFonts w:hint="eastAsia"/>
          <w:color w:val="auto"/>
          <w:sz w:val="24"/>
        </w:rPr>
        <w:t xml:space="preserve">通知</w:t>
      </w:r>
      <w:r>
        <w:rPr>
          <w:color w:val="auto"/>
          <w:sz w:val="24"/>
        </w:rPr>
        <w:t xml:space="preserve">采购人或采购代理机构</w:t>
      </w:r>
      <w:r>
        <w:rPr>
          <w:color w:val="auto"/>
          <w:sz w:val="24"/>
        </w:rPr>
        <w:t xml:space="preserve">。</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rPr>
      </w:pPr>
      <w:r>
        <w:rPr>
          <w:color w:val="auto"/>
          <w:sz w:val="24"/>
        </w:rPr>
      </w:r>
      <w:r/>
    </w:p>
    <w:p>
      <w:pPr>
        <w:pStyle w:val="1076"/>
        <w:spacing w:before="0" w:line="360" w:lineRule="auto"/>
        <w:rPr>
          <w:rFonts w:ascii="Times New Roman" w:hAnsi="Times New Roman" w:eastAsia="宋体"/>
          <w:color w:val="auto"/>
          <w:sz w:val="28"/>
        </w:rPr>
      </w:pPr>
      <w:r/>
      <w:bookmarkStart w:id="435" w:name="_Toc142311040"/>
      <w:r/>
      <w:bookmarkStart w:id="436" w:name="_Toc151193926"/>
      <w:r/>
      <w:bookmarkStart w:id="437" w:name="_Toc264969228"/>
      <w:r/>
      <w:bookmarkStart w:id="438" w:name="_Toc151193852"/>
      <w:r/>
      <w:bookmarkStart w:id="439" w:name="_Toc127151538"/>
      <w:r/>
      <w:bookmarkStart w:id="440" w:name="_Toc226965811"/>
      <w:r/>
      <w:bookmarkStart w:id="441" w:name="_Toc305158806"/>
      <w:r/>
      <w:bookmarkStart w:id="442" w:name="_Toc305158880"/>
      <w:r/>
      <w:bookmarkStart w:id="443" w:name="_Toc226337234"/>
      <w:r/>
      <w:bookmarkStart w:id="444" w:name="_Toc150509289"/>
      <w:r/>
      <w:bookmarkStart w:id="445" w:name="_Toc226965728"/>
      <w:r/>
      <w:bookmarkStart w:id="446" w:name="_Toc151193636"/>
      <w:r/>
      <w:bookmarkStart w:id="447" w:name="_Toc226309782"/>
      <w:r/>
      <w:bookmarkStart w:id="448" w:name="_Toc151193780"/>
      <w:r/>
      <w:bookmarkStart w:id="449" w:name="_Toc150480776"/>
      <w:r/>
      <w:bookmarkStart w:id="450" w:name="_Toc150774638"/>
      <w:r/>
      <w:bookmarkStart w:id="451" w:name="_Toc195842903"/>
      <w:r/>
      <w:bookmarkStart w:id="452" w:name="_Toc150774743"/>
      <w:r/>
      <w:bookmarkStart w:id="453" w:name="_Toc520356163"/>
      <w:r/>
      <w:bookmarkStart w:id="454" w:name="_Toc151193708"/>
      <w:r/>
      <w:bookmarkStart w:id="455" w:name="_Toc265228376"/>
      <w:r/>
      <w:bookmarkStart w:id="456" w:name="_Toc151190165"/>
      <w:r/>
      <w:bookmarkStart w:id="457" w:name="_Toc520356169"/>
      <w:r>
        <w:rPr>
          <w:rFonts w:ascii="Times New Roman" w:hAnsi="Times New Roman" w:eastAsia="宋体"/>
          <w:color w:val="auto"/>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Times New Roman" w:hAnsi="Times New Roman" w:eastAsia="宋体"/>
          <w:color w:val="auto"/>
          <w:sz w:val="28"/>
        </w:rPr>
        <w:t xml:space="preserve">评审</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响应文件的</w:t>
      </w:r>
      <w:r>
        <w:rPr>
          <w:rFonts w:hint="eastAsia"/>
          <w:color w:val="auto"/>
          <w:sz w:val="24"/>
        </w:rPr>
        <w:t xml:space="preserve">解密与</w:t>
      </w:r>
      <w:r>
        <w:rPr>
          <w:color w:val="auto"/>
          <w:sz w:val="24"/>
        </w:rPr>
        <w:t xml:space="preserve">开启</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本项目</w:t>
      </w:r>
      <w:r>
        <w:rPr>
          <w:rFonts w:ascii="宋体" w:hAnsi="宋体"/>
          <w:color w:val="auto"/>
          <w:sz w:val="24"/>
        </w:rPr>
        <w:t xml:space="preserve">采用不见面招</w:t>
      </w:r>
      <w:r>
        <w:rPr>
          <w:rFonts w:hint="eastAsia" w:ascii="宋体" w:hAnsi="宋体"/>
          <w:color w:val="auto"/>
          <w:sz w:val="24"/>
        </w:rPr>
        <w:t xml:space="preserve">交易</w:t>
      </w:r>
      <w:r>
        <w:rPr>
          <w:rFonts w:ascii="宋体" w:hAnsi="宋体"/>
          <w:color w:val="auto"/>
          <w:sz w:val="24"/>
        </w:rPr>
        <w:t xml:space="preserve">模式</w:t>
      </w:r>
      <w:r>
        <w:rPr>
          <w:rFonts w:hint="eastAsia" w:ascii="宋体" w:hAnsi="宋体"/>
          <w:color w:val="auto"/>
          <w:sz w:val="24"/>
        </w:rPr>
        <w:t xml:space="preserve">，</w:t>
      </w:r>
      <w:r>
        <w:rPr>
          <w:color w:val="auto"/>
          <w:sz w:val="24"/>
        </w:rPr>
        <w:t xml:space="preserve">使用</w:t>
      </w:r>
      <w:r>
        <w:rPr>
          <w:rFonts w:hint="eastAsia"/>
          <w:color w:val="auto"/>
          <w:sz w:val="24"/>
        </w:rPr>
        <w:t xml:space="preserve">“苏采云”在线进行</w:t>
      </w:r>
      <w:r>
        <w:rPr>
          <w:color w:val="auto"/>
          <w:sz w:val="24"/>
        </w:rPr>
        <w:t xml:space="preserve">解密。供应商应在规定的时间内对</w:t>
      </w:r>
      <w:r>
        <w:rPr>
          <w:rFonts w:hint="eastAsia"/>
          <w:color w:val="auto"/>
          <w:sz w:val="24"/>
        </w:rPr>
        <w:t xml:space="preserve">响应</w:t>
      </w:r>
      <w:r>
        <w:rPr>
          <w:color w:val="auto"/>
          <w:sz w:val="24"/>
        </w:rPr>
        <w:t xml:space="preserve">文件进行解密，因非系统原因导致的解密失败，视为</w:t>
      </w:r>
      <w:r>
        <w:rPr>
          <w:b/>
          <w:color w:val="auto"/>
          <w:sz w:val="24"/>
        </w:rPr>
        <w:t xml:space="preserve">响应无效</w:t>
      </w:r>
      <w:r>
        <w:rPr>
          <w:color w:val="auto"/>
          <w:sz w:val="24"/>
        </w:rPr>
        <w:t xml:space="preserve">。</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auto"/>
          <w:sz w:val="24"/>
        </w:rPr>
      </w:pPr>
      <w:r/>
      <w:bookmarkStart w:id="458" w:name="_Toc520356165"/>
      <w:r>
        <w:rPr>
          <w:color w:val="auto"/>
          <w:sz w:val="24"/>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供应商须在开标前使用</w:t>
      </w:r>
      <w:r>
        <w:rPr>
          <w:rFonts w:hint="eastAsia"/>
          <w:color w:val="auto"/>
          <w:sz w:val="24"/>
        </w:rPr>
        <w:t xml:space="preserve">“</w:t>
      </w:r>
      <w:r>
        <w:rPr>
          <w:color w:val="auto"/>
          <w:sz w:val="24"/>
        </w:rPr>
        <w:t xml:space="preserve">验证CA</w:t>
      </w:r>
      <w:r>
        <w:rPr>
          <w:rFonts w:hint="eastAsia"/>
          <w:color w:val="auto"/>
          <w:sz w:val="24"/>
        </w:rPr>
        <w:t xml:space="preserve">”</w:t>
      </w:r>
      <w:r>
        <w:rPr>
          <w:color w:val="auto"/>
          <w:sz w:val="24"/>
        </w:rPr>
        <w:t xml:space="preserve">功能验证本地计算机的控件环境是否正常，并且在</w:t>
      </w:r>
      <w:r>
        <w:rPr>
          <w:rFonts w:hint="eastAsia"/>
          <w:color w:val="auto"/>
          <w:sz w:val="24"/>
        </w:rPr>
        <w:t xml:space="preserve">解密、评审</w:t>
      </w:r>
      <w:r>
        <w:rPr>
          <w:color w:val="auto"/>
          <w:sz w:val="24"/>
        </w:rPr>
        <w:t xml:space="preserve">过程中不可随意更换</w:t>
      </w:r>
      <w:r>
        <w:rPr>
          <w:rFonts w:hint="eastAsia"/>
          <w:color w:val="auto"/>
          <w:sz w:val="24"/>
        </w:rPr>
        <w:t xml:space="preserve">计算机</w:t>
      </w:r>
      <w:r>
        <w:rPr>
          <w:color w:val="auto"/>
          <w:sz w:val="24"/>
        </w:rPr>
        <w:t xml:space="preserve">，必须使用验证成功的计算机进行操作，否则造成相应后果由供应商自行承担。本地计算机</w:t>
      </w:r>
      <w:r>
        <w:rPr>
          <w:rFonts w:hint="eastAsia"/>
          <w:color w:val="auto"/>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rPr>
      </w:pPr>
      <w:r>
        <w:rPr>
          <w:rFonts w:hint="eastAsia"/>
          <w:color w:val="auto"/>
          <w:sz w:val="24"/>
        </w:rPr>
        <w:t xml:space="preserve">因本项目</w:t>
      </w:r>
      <w:r>
        <w:rPr>
          <w:color w:val="auto"/>
          <w:sz w:val="24"/>
        </w:rPr>
        <w:t xml:space="preserve">采用不见面交易的</w:t>
      </w:r>
      <w:r>
        <w:rPr>
          <w:rFonts w:hint="eastAsia"/>
          <w:color w:val="auto"/>
          <w:sz w:val="24"/>
        </w:rPr>
        <w:t xml:space="preserve">方式</w:t>
      </w:r>
      <w:r>
        <w:rPr>
          <w:color w:val="auto"/>
          <w:sz w:val="24"/>
        </w:rPr>
        <w:t xml:space="preserve">，在</w:t>
      </w:r>
      <w:r>
        <w:rPr>
          <w:rFonts w:hint="eastAsia"/>
          <w:color w:val="auto"/>
          <w:sz w:val="24"/>
        </w:rPr>
        <w:t xml:space="preserve">解密、评审</w:t>
      </w:r>
      <w:r>
        <w:rPr>
          <w:color w:val="auto"/>
          <w:sz w:val="24"/>
        </w:rPr>
        <w:t xml:space="preserve">过程中，</w:t>
      </w:r>
      <w:r>
        <w:rPr>
          <w:rFonts w:hint="eastAsia"/>
          <w:color w:val="auto"/>
          <w:sz w:val="24"/>
        </w:rPr>
        <w:t xml:space="preserve">供应商</w:t>
      </w:r>
      <w:r>
        <w:rPr>
          <w:color w:val="auto"/>
          <w:sz w:val="24"/>
        </w:rPr>
        <w:t xml:space="preserve">需</w:t>
      </w:r>
      <w:r>
        <w:rPr>
          <w:rFonts w:hint="eastAsia"/>
          <w:color w:val="auto"/>
          <w:sz w:val="24"/>
        </w:rPr>
        <w:t xml:space="preserve">要</w:t>
      </w:r>
      <w:r>
        <w:rPr>
          <w:color w:val="auto"/>
          <w:sz w:val="24"/>
        </w:rPr>
        <w:t xml:space="preserve">保持操作计算机前有相关责任人</w:t>
      </w:r>
      <w:r>
        <w:rPr>
          <w:rFonts w:hint="eastAsia"/>
          <w:color w:val="auto"/>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rPr>
        <w:t xml:space="preserve">。</w:t>
      </w:r>
      <w:r/>
    </w:p>
    <w:p>
      <w:pPr>
        <w:numPr>
          <w:ilvl w:val="1"/>
          <w:numId w:val="8"/>
        </w:numPr>
        <w:ind w:left="1077" w:hanging="720"/>
        <w:spacing w:line="360" w:lineRule="auto"/>
        <w:tabs>
          <w:tab w:val="left" w:pos="1080" w:leader="none"/>
          <w:tab w:val="left" w:pos="2014" w:leader="none"/>
        </w:tabs>
        <w:rPr>
          <w:color w:val="auto"/>
          <w:sz w:val="24"/>
        </w:rPr>
      </w:pPr>
      <w:r>
        <w:rPr>
          <w:rFonts w:hint="eastAsia"/>
          <w:color w:val="auto"/>
          <w:sz w:val="24"/>
        </w:rPr>
        <w:t xml:space="preserve">如果在</w:t>
      </w:r>
      <w:r>
        <w:rPr>
          <w:color w:val="auto"/>
          <w:sz w:val="24"/>
        </w:rPr>
        <w:t xml:space="preserve">采购</w:t>
      </w:r>
      <w:r>
        <w:rPr>
          <w:rFonts w:hint="eastAsia"/>
          <w:color w:val="auto"/>
          <w:sz w:val="24"/>
        </w:rPr>
        <w:t xml:space="preserve">活动</w:t>
      </w:r>
      <w:r>
        <w:rPr>
          <w:color w:val="auto"/>
          <w:sz w:val="24"/>
        </w:rPr>
        <w:t xml:space="preserve">过程中出现以下情形，导致</w:t>
      </w:r>
      <w:r>
        <w:rPr>
          <w:rFonts w:hint="eastAsia"/>
          <w:color w:val="auto"/>
          <w:sz w:val="24"/>
          <w:lang w:bidi="ar"/>
        </w:rPr>
        <w:t xml:space="preserve">“苏采云”</w:t>
      </w:r>
      <w:r>
        <w:rPr>
          <w:rFonts w:hint="eastAsia"/>
          <w:color w:val="auto"/>
          <w:sz w:val="24"/>
        </w:rPr>
        <w:t xml:space="preserve">系统</w:t>
      </w:r>
      <w:r>
        <w:rPr>
          <w:color w:val="auto"/>
          <w:sz w:val="24"/>
        </w:rPr>
        <w:t xml:space="preserve">无法正常运行，或者无法保证</w:t>
      </w:r>
      <w:r>
        <w:rPr>
          <w:rFonts w:hint="eastAsia"/>
          <w:color w:val="auto"/>
          <w:sz w:val="24"/>
        </w:rPr>
        <w:t xml:space="preserve">本项目采购活动</w:t>
      </w:r>
      <w:r>
        <w:rPr>
          <w:color w:val="auto"/>
          <w:sz w:val="24"/>
        </w:rPr>
        <w:t xml:space="preserve">的公平、公正和安全时，</w:t>
      </w:r>
      <w:r>
        <w:rPr>
          <w:rFonts w:hint="eastAsia"/>
          <w:color w:val="auto"/>
          <w:sz w:val="24"/>
        </w:rPr>
        <w:t xml:space="preserve">代理机构</w:t>
      </w:r>
      <w:r>
        <w:rPr>
          <w:color w:val="auto"/>
          <w:sz w:val="24"/>
        </w:rPr>
        <w:t xml:space="preserve">可</w:t>
      </w:r>
      <w:r>
        <w:rPr>
          <w:rFonts w:hint="eastAsia"/>
          <w:color w:val="auto"/>
          <w:sz w:val="24"/>
        </w:rPr>
        <w:t xml:space="preserve">以延缓或者暂停采购活动，情况严重的可以终止采购</w:t>
      </w:r>
      <w:r>
        <w:rPr>
          <w:color w:val="auto"/>
          <w:sz w:val="24"/>
        </w:rPr>
        <w:t xml:space="preserve">活动：</w:t>
      </w:r>
      <w:r/>
    </w:p>
    <w:p>
      <w:pPr>
        <w:numPr>
          <w:ilvl w:val="1"/>
          <w:numId w:val="8"/>
        </w:numPr>
        <w:ind w:left="1077" w:hanging="720"/>
        <w:spacing w:line="360" w:lineRule="auto"/>
        <w:tabs>
          <w:tab w:val="left" w:pos="1080" w:leader="none"/>
          <w:tab w:val="left" w:pos="2014" w:leader="none"/>
        </w:tabs>
        <w:rPr>
          <w:color w:val="auto"/>
          <w:sz w:val="24"/>
        </w:rPr>
      </w:pPr>
      <w:r>
        <w:rPr>
          <w:rFonts w:hint="eastAsia"/>
          <w:color w:val="auto"/>
          <w:sz w:val="24"/>
        </w:rPr>
        <w:t xml:space="preserve"> 1)</w:t>
      </w:r>
      <w:r>
        <w:rPr>
          <w:color w:val="auto"/>
          <w:sz w:val="24"/>
        </w:rPr>
        <w:t xml:space="preserve">平台</w:t>
      </w:r>
      <w:r>
        <w:rPr>
          <w:rFonts w:hint="eastAsia"/>
          <w:color w:val="auto"/>
          <w:sz w:val="24"/>
        </w:rPr>
        <w:t xml:space="preserve">系统</w:t>
      </w:r>
      <w:r>
        <w:rPr>
          <w:color w:val="auto"/>
          <w:sz w:val="24"/>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2)</w:t>
      </w:r>
      <w:r>
        <w:rPr>
          <w:color w:val="auto"/>
          <w:sz w:val="24"/>
        </w:rPr>
        <w:t xml:space="preserve">平台</w:t>
      </w:r>
      <w:r>
        <w:rPr>
          <w:rFonts w:hint="eastAsia"/>
          <w:color w:val="auto"/>
          <w:sz w:val="24"/>
        </w:rPr>
        <w:t xml:space="preserve">系统</w:t>
      </w:r>
      <w:r>
        <w:rPr>
          <w:color w:val="auto"/>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3)</w:t>
      </w:r>
      <w:r>
        <w:rPr>
          <w:color w:val="auto"/>
          <w:sz w:val="24"/>
        </w:rPr>
        <w:t xml:space="preserve">平台</w:t>
      </w:r>
      <w:r>
        <w:rPr>
          <w:rFonts w:hint="eastAsia"/>
          <w:color w:val="auto"/>
          <w:sz w:val="24"/>
        </w:rPr>
        <w:t xml:space="preserve">系统</w:t>
      </w:r>
      <w:r>
        <w:rPr>
          <w:color w:val="auto"/>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4)</w:t>
      </w:r>
      <w:r>
        <w:rPr>
          <w:color w:val="auto"/>
          <w:sz w:val="24"/>
        </w:rPr>
        <w:t xml:space="preserve">病毒发作导致平台</w:t>
      </w:r>
      <w:r>
        <w:rPr>
          <w:rFonts w:hint="eastAsia"/>
          <w:color w:val="auto"/>
          <w:sz w:val="24"/>
        </w:rPr>
        <w:t xml:space="preserve">系统</w:t>
      </w:r>
      <w:r>
        <w:rPr>
          <w:color w:val="auto"/>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rPr>
      </w:pPr>
      <w:r>
        <w:rPr>
          <w:rFonts w:hint="eastAsia"/>
          <w:color w:val="auto"/>
          <w:sz w:val="24"/>
        </w:rPr>
        <w:t xml:space="preserve">5)</w:t>
      </w:r>
      <w:r>
        <w:rPr>
          <w:color w:val="auto"/>
          <w:sz w:val="24"/>
        </w:rPr>
        <w:t xml:space="preserve">其他无法保证</w:t>
      </w:r>
      <w:r>
        <w:rPr>
          <w:rFonts w:hint="eastAsia"/>
          <w:color w:val="auto"/>
          <w:sz w:val="24"/>
        </w:rPr>
        <w:t xml:space="preserve">本次采购活动</w:t>
      </w:r>
      <w:r>
        <w:rPr>
          <w:color w:val="auto"/>
          <w:sz w:val="24"/>
        </w:rPr>
        <w:t xml:space="preserve">的公平、公正和安全的情况。</w:t>
      </w:r>
      <w:r/>
    </w:p>
    <w:p>
      <w:pPr>
        <w:ind w:firstLine="480"/>
        <w:spacing w:line="360" w:lineRule="auto"/>
        <w:tabs>
          <w:tab w:val="left" w:pos="993" w:leader="none"/>
          <w:tab w:val="left" w:pos="1589" w:leader="none"/>
          <w:tab w:val="left" w:pos="2014" w:leader="none"/>
        </w:tabs>
        <w:rPr>
          <w:color w:val="auto"/>
          <w:sz w:val="24"/>
        </w:rPr>
      </w:pPr>
      <w:r>
        <w:rPr>
          <w:color w:val="auto"/>
          <w:sz w:val="24"/>
        </w:rPr>
        <w:t xml:space="preserve">出现</w:t>
      </w:r>
      <w:r>
        <w:rPr>
          <w:rFonts w:hint="eastAsia"/>
          <w:color w:val="auto"/>
          <w:sz w:val="24"/>
        </w:rPr>
        <w:t xml:space="preserve">上述</w:t>
      </w:r>
      <w:r>
        <w:rPr>
          <w:color w:val="auto"/>
          <w:sz w:val="24"/>
        </w:rPr>
        <w:t xml:space="preserve">情形，不影响采购</w:t>
      </w:r>
      <w:r>
        <w:rPr>
          <w:rFonts w:hint="eastAsia"/>
          <w:color w:val="auto"/>
          <w:sz w:val="24"/>
        </w:rPr>
        <w:t xml:space="preserve">活动</w:t>
      </w:r>
      <w:r>
        <w:rPr>
          <w:color w:val="auto"/>
          <w:sz w:val="24"/>
        </w:rPr>
        <w:t xml:space="preserve">公平、公正性的，</w:t>
      </w:r>
      <w:r>
        <w:rPr>
          <w:rFonts w:hint="eastAsia"/>
          <w:color w:val="auto"/>
          <w:sz w:val="24"/>
        </w:rPr>
        <w:t xml:space="preserve">代理机构</w:t>
      </w:r>
      <w:r>
        <w:rPr>
          <w:color w:val="auto"/>
          <w:sz w:val="24"/>
        </w:rPr>
        <w:t xml:space="preserve">可以待上述情形消除后继续组织</w:t>
      </w:r>
      <w:r>
        <w:rPr>
          <w:rFonts w:hint="eastAsia"/>
          <w:color w:val="auto"/>
          <w:sz w:val="24"/>
        </w:rPr>
        <w:t xml:space="preserve">不见面</w:t>
      </w:r>
      <w:r>
        <w:rPr>
          <w:color w:val="auto"/>
          <w:sz w:val="24"/>
        </w:rPr>
        <w:t xml:space="preserve">交易</w:t>
      </w:r>
      <w:r>
        <w:rPr>
          <w:rFonts w:hint="eastAsia"/>
          <w:color w:val="auto"/>
          <w:sz w:val="24"/>
        </w:rPr>
        <w:t xml:space="preserve">采购</w:t>
      </w:r>
      <w:r>
        <w:rPr>
          <w:color w:val="auto"/>
          <w:sz w:val="24"/>
        </w:rPr>
        <w:t xml:space="preserve">活动，也可以决定某些环节以纸质形式进行；影响或可能影响采购</w:t>
      </w:r>
      <w:r>
        <w:rPr>
          <w:rFonts w:hint="eastAsia"/>
          <w:color w:val="auto"/>
          <w:sz w:val="24"/>
        </w:rPr>
        <w:t xml:space="preserve">活动</w:t>
      </w:r>
      <w:r>
        <w:rPr>
          <w:color w:val="auto"/>
          <w:sz w:val="24"/>
        </w:rPr>
        <w:t xml:space="preserve">公平、公正性的，应当</w:t>
      </w:r>
      <w:r>
        <w:rPr>
          <w:rFonts w:hint="eastAsia"/>
          <w:color w:val="auto"/>
          <w:sz w:val="24"/>
        </w:rPr>
        <w:t xml:space="preserve">终止本次项目，</w:t>
      </w:r>
      <w:r>
        <w:rPr>
          <w:color w:val="auto"/>
          <w:sz w:val="24"/>
        </w:rPr>
        <w:t xml:space="preserve">重新</w:t>
      </w:r>
      <w:r>
        <w:rPr>
          <w:rFonts w:hint="eastAsia"/>
          <w:color w:val="auto"/>
          <w:sz w:val="24"/>
        </w:rPr>
        <w:t xml:space="preserve">组织</w:t>
      </w:r>
      <w:r>
        <w:rPr>
          <w:color w:val="auto"/>
          <w:sz w:val="24"/>
        </w:rPr>
        <w:t xml:space="preserve">采购。</w:t>
      </w:r>
      <w:bookmarkEnd w:id="458"/>
      <w:r/>
    </w:p>
    <w:p>
      <w:pPr>
        <w:numPr>
          <w:ilvl w:val="0"/>
          <w:numId w:val="8"/>
        </w:numPr>
        <w:ind w:left="357" w:hanging="357"/>
        <w:spacing w:line="360" w:lineRule="auto"/>
        <w:tabs>
          <w:tab w:val="left" w:pos="360" w:leader="none"/>
        </w:tabs>
        <w:rPr>
          <w:color w:val="auto"/>
          <w:sz w:val="24"/>
        </w:rPr>
        <w:outlineLvl w:val="1"/>
      </w:pPr>
      <w:r>
        <w:rPr>
          <w:color w:val="auto"/>
          <w:sz w:val="24"/>
        </w:rPr>
        <w:t xml:space="preserve">磋商小组</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磋商小组根据政府采购有关规定和本次采购项目的特点进行组建，并负责具体评审事务，独立履行职责。</w:t>
      </w:r>
      <w:bookmarkStart w:id="459" w:name="_Toc520356166"/>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评审专家须符合</w:t>
      </w:r>
      <w:r>
        <w:rPr>
          <w:rFonts w:hint="eastAsia"/>
          <w:color w:val="auto"/>
          <w:sz w:val="24"/>
        </w:rPr>
        <w:t xml:space="preserve">相关</w:t>
      </w:r>
      <w:r>
        <w:rPr>
          <w:color w:val="auto"/>
          <w:sz w:val="24"/>
        </w:rPr>
        <w:t xml:space="preserve">规定。依法自行选定评审专家的，采购人和采购代理机构将查询有关信用记录，对具有行贿、受贿、欺诈等不良信用记录的人员，拒绝其参与政府采购活动。</w:t>
      </w:r>
      <w:bookmarkEnd w:id="459"/>
      <w:r/>
      <w:r/>
    </w:p>
    <w:p>
      <w:pPr>
        <w:numPr>
          <w:ilvl w:val="0"/>
          <w:numId w:val="8"/>
        </w:numPr>
        <w:spacing w:line="360" w:lineRule="auto"/>
        <w:tabs>
          <w:tab w:val="left" w:pos="360" w:leader="none"/>
        </w:tabs>
        <w:rPr>
          <w:color w:val="auto"/>
          <w:sz w:val="24"/>
        </w:rPr>
        <w:outlineLvl w:val="1"/>
      </w:pPr>
      <w:r>
        <w:rPr>
          <w:color w:val="auto"/>
          <w:sz w:val="24"/>
        </w:rPr>
        <w:t xml:space="preserve">评审方法和评审标准</w:t>
      </w:r>
      <w:r/>
    </w:p>
    <w:p>
      <w:pPr>
        <w:ind w:left="1080"/>
        <w:spacing w:line="360" w:lineRule="auto"/>
        <w:tabs>
          <w:tab w:val="left" w:pos="360" w:leader="none"/>
          <w:tab w:val="left" w:pos="1080" w:leader="none"/>
        </w:tabs>
        <w:rPr>
          <w:color w:val="auto"/>
          <w:sz w:val="24"/>
        </w:rPr>
      </w:pPr>
      <w:r>
        <w:rPr>
          <w:color w:val="auto"/>
          <w:sz w:val="24"/>
        </w:rPr>
        <w:t xml:space="preserve">见第三章《评审方法和评审标准》。</w:t>
      </w:r>
      <w:r/>
    </w:p>
    <w:p>
      <w:pPr>
        <w:pStyle w:val="1076"/>
        <w:spacing w:before="0" w:line="360" w:lineRule="auto"/>
        <w:rPr>
          <w:rFonts w:ascii="Times New Roman" w:hAnsi="Times New Roman" w:eastAsia="宋体"/>
          <w:color w:val="auto"/>
          <w:sz w:val="28"/>
        </w:rPr>
      </w:pPr>
      <w:r/>
      <w:bookmarkStart w:id="460" w:name="_Toc305158887"/>
      <w:r/>
      <w:bookmarkStart w:id="461" w:name="_Toc151193859"/>
      <w:r/>
      <w:bookmarkStart w:id="462" w:name="_Toc226965818"/>
      <w:r/>
      <w:bookmarkStart w:id="463" w:name="_Toc226309789"/>
      <w:r/>
      <w:bookmarkStart w:id="464" w:name="_Toc226965735"/>
      <w:r/>
      <w:bookmarkStart w:id="465" w:name="_Toc127151545"/>
      <w:r/>
      <w:bookmarkStart w:id="466" w:name="_Toc151193933"/>
      <w:r/>
      <w:bookmarkStart w:id="467" w:name="_Toc226337241"/>
      <w:r/>
      <w:bookmarkStart w:id="468" w:name="_Toc151193715"/>
      <w:r/>
      <w:bookmarkStart w:id="469" w:name="_Toc142311047"/>
      <w:r/>
      <w:bookmarkStart w:id="470" w:name="_Toc151193787"/>
      <w:r/>
      <w:bookmarkStart w:id="471" w:name="_Toc150480783"/>
      <w:r/>
      <w:bookmarkStart w:id="472" w:name="_Toc264969235"/>
      <w:r/>
      <w:bookmarkStart w:id="473" w:name="_Toc150509296"/>
      <w:r/>
      <w:bookmarkStart w:id="474" w:name="_Toc151190172"/>
      <w:r/>
      <w:bookmarkStart w:id="475" w:name="_Toc150774750"/>
      <w:r/>
      <w:bookmarkStart w:id="476" w:name="_Toc151193643"/>
      <w:r/>
      <w:bookmarkStart w:id="477" w:name="_Toc305158813"/>
      <w:r/>
      <w:bookmarkStart w:id="478" w:name="_Toc195842910"/>
      <w:r/>
      <w:bookmarkStart w:id="479" w:name="_Toc150774645"/>
      <w:r/>
      <w:bookmarkStart w:id="480" w:name="_Toc265228383"/>
      <w:r>
        <w:rPr>
          <w:rFonts w:ascii="Times New Roman" w:hAnsi="Times New Roman" w:eastAsia="宋体"/>
          <w:color w:val="auto"/>
          <w:sz w:val="28"/>
        </w:rPr>
        <w:t xml:space="preserve">六   </w:t>
      </w:r>
      <w:bookmarkEnd w:id="457"/>
      <w:r>
        <w:rPr>
          <w:rFonts w:ascii="Times New Roman" w:hAnsi="Times New Roman" w:eastAsia="宋体"/>
          <w:color w:val="auto"/>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color w:val="auto"/>
          <w:sz w:val="28"/>
        </w:rPr>
        <w:t xml:space="preserve">成交</w:t>
      </w:r>
      <w:r/>
    </w:p>
    <w:p>
      <w:pPr>
        <w:numPr>
          <w:ilvl w:val="0"/>
          <w:numId w:val="8"/>
        </w:numPr>
        <w:ind w:left="357" w:hanging="357"/>
        <w:spacing w:line="360" w:lineRule="auto"/>
        <w:tabs>
          <w:tab w:val="left" w:pos="360" w:leader="none"/>
        </w:tabs>
        <w:rPr>
          <w:color w:val="auto"/>
          <w:sz w:val="24"/>
        </w:rPr>
        <w:outlineLvl w:val="1"/>
      </w:pPr>
      <w:r/>
      <w:bookmarkStart w:id="481" w:name="_Toc226965737"/>
      <w:r/>
      <w:bookmarkStart w:id="482" w:name="_Toc164608816"/>
      <w:r/>
      <w:bookmarkStart w:id="483" w:name="_Toc150480785"/>
      <w:r/>
      <w:bookmarkStart w:id="484" w:name="_Toc226309791"/>
      <w:r/>
      <w:bookmarkStart w:id="485" w:name="_Toc195842912"/>
      <w:r/>
      <w:bookmarkStart w:id="486" w:name="_Toc151190174"/>
      <w:r/>
      <w:bookmarkStart w:id="487" w:name="_Toc164608661"/>
      <w:r/>
      <w:bookmarkStart w:id="488" w:name="_Toc226337243"/>
      <w:r/>
      <w:bookmarkStart w:id="489" w:name="_Toc142311049"/>
      <w:r/>
      <w:bookmarkStart w:id="490" w:name="_Toc150509298"/>
      <w:r/>
      <w:bookmarkStart w:id="491" w:name="_Toc151193645"/>
      <w:r/>
      <w:bookmarkStart w:id="492" w:name="_Toc226965820"/>
      <w:r/>
      <w:bookmarkStart w:id="493" w:name="_Toc127151748"/>
      <w:r/>
      <w:bookmarkStart w:id="494" w:name="_Toc127161461"/>
      <w:r/>
      <w:bookmarkStart w:id="495" w:name="_Toc264969237"/>
      <w:r/>
      <w:bookmarkStart w:id="496" w:name="_Toc305158815"/>
      <w:r/>
      <w:bookmarkStart w:id="497" w:name="_Toc151193861"/>
      <w:r/>
      <w:bookmarkStart w:id="498" w:name="_Toc151193717"/>
      <w:r/>
      <w:bookmarkStart w:id="499" w:name="_Toc164229388"/>
      <w:r/>
      <w:bookmarkStart w:id="500" w:name="_Toc149720840"/>
      <w:r/>
      <w:bookmarkStart w:id="501" w:name="_Toc164229242"/>
      <w:r/>
      <w:bookmarkStart w:id="502" w:name="_Toc305158889"/>
      <w:r/>
      <w:bookmarkStart w:id="503" w:name="_Toc164351641"/>
      <w:r/>
      <w:bookmarkStart w:id="504" w:name="_Toc151193789"/>
      <w:r/>
      <w:bookmarkStart w:id="505" w:name="_Toc127151547"/>
      <w:r/>
      <w:bookmarkStart w:id="506" w:name="_Toc150774752"/>
      <w:r/>
      <w:bookmarkStart w:id="507" w:name="_Toc151193935"/>
      <w:r/>
      <w:bookmarkStart w:id="508" w:name="_Toc150774647"/>
      <w:r/>
      <w:bookmarkStart w:id="509" w:name="_Toc265228385"/>
      <w:r/>
      <w:bookmarkStart w:id="510" w:name="_Toc353825544"/>
      <w:r/>
      <w:bookmarkStart w:id="511" w:name="_Toc150480792"/>
      <w:r/>
      <w:bookmarkStart w:id="512" w:name="_Toc142311056"/>
      <w:r/>
      <w:bookmarkStart w:id="513" w:name="_Toc265228392"/>
      <w:r/>
      <w:bookmarkStart w:id="514" w:name="_Toc226337250"/>
      <w:r/>
      <w:bookmarkStart w:id="515" w:name="_Toc226965827"/>
      <w:r/>
      <w:bookmarkStart w:id="516" w:name="_Toc353873934"/>
      <w:r/>
      <w:bookmarkStart w:id="517" w:name="_Toc353873664"/>
      <w:r/>
      <w:bookmarkStart w:id="518" w:name="_Toc305158896"/>
      <w:r/>
      <w:bookmarkStart w:id="519" w:name="_Toc150774759"/>
      <w:r/>
      <w:bookmarkStart w:id="520" w:name="_Toc264969244"/>
      <w:r/>
      <w:bookmarkStart w:id="521" w:name="_Toc305158822"/>
      <w:r/>
      <w:bookmarkStart w:id="522" w:name="_Toc127151554"/>
      <w:r>
        <w:rPr>
          <w:color w:val="auto"/>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采购人将在收到评审报告后，从评审报告提出的成交候选供应商中，按照排序由高到低的原则确定成交供应商</w:t>
      </w:r>
      <w:r>
        <w:rPr>
          <w:rFonts w:hint="eastAsia"/>
          <w:color w:val="auto"/>
          <w:sz w:val="24"/>
        </w:rPr>
        <w:t xml:space="preserve">。</w:t>
      </w:r>
      <w:r>
        <w:rPr>
          <w:color w:val="auto"/>
          <w:sz w:val="24"/>
        </w:rPr>
        <w:t xml:space="preserve">成交候选人并列的，由采购人</w:t>
      </w:r>
      <w:r>
        <w:rPr>
          <w:rFonts w:hint="eastAsia"/>
          <w:color w:val="auto"/>
          <w:sz w:val="24"/>
        </w:rPr>
        <w:t xml:space="preserve">依法</w:t>
      </w:r>
      <w:r>
        <w:rPr>
          <w:color w:val="auto"/>
          <w:sz w:val="24"/>
        </w:rPr>
        <w:t xml:space="preserve">确定。</w:t>
      </w:r>
      <w:r/>
    </w:p>
    <w:p>
      <w:pPr>
        <w:numPr>
          <w:ilvl w:val="0"/>
          <w:numId w:val="8"/>
        </w:numPr>
        <w:ind w:left="357" w:hanging="357"/>
        <w:spacing w:line="360" w:lineRule="auto"/>
        <w:tabs>
          <w:tab w:val="left" w:pos="360" w:leader="none"/>
        </w:tabs>
        <w:rPr>
          <w:color w:val="auto"/>
          <w:sz w:val="24"/>
        </w:rPr>
        <w:outlineLvl w:val="1"/>
      </w:pPr>
      <w:r/>
      <w:bookmarkStart w:id="523" w:name="_Toc305158817"/>
      <w:r/>
      <w:bookmarkStart w:id="524" w:name="_Toc305158891"/>
      <w:r/>
      <w:bookmarkStart w:id="525" w:name="_Toc164608663"/>
      <w:r/>
      <w:bookmarkStart w:id="526" w:name="_Toc151193647"/>
      <w:r/>
      <w:bookmarkStart w:id="527" w:name="_Toc164351643"/>
      <w:r/>
      <w:bookmarkStart w:id="528" w:name="_Toc151190176"/>
      <w:r/>
      <w:bookmarkStart w:id="529" w:name="_Toc127151549"/>
      <w:r/>
      <w:bookmarkStart w:id="530" w:name="_Toc226965739"/>
      <w:r/>
      <w:bookmarkStart w:id="531" w:name="_Toc150774649"/>
      <w:r/>
      <w:bookmarkStart w:id="532" w:name="_Toc151193863"/>
      <w:r/>
      <w:bookmarkStart w:id="533" w:name="_Toc149720842"/>
      <w:r/>
      <w:bookmarkStart w:id="534" w:name="_Toc151193791"/>
      <w:r/>
      <w:bookmarkStart w:id="535" w:name="_Toc151193937"/>
      <w:r/>
      <w:bookmarkStart w:id="536" w:name="_Toc151193719"/>
      <w:r/>
      <w:bookmarkStart w:id="537" w:name="_Toc264969239"/>
      <w:r/>
      <w:bookmarkStart w:id="538" w:name="_Toc150774754"/>
      <w:r/>
      <w:bookmarkStart w:id="539" w:name="_Toc164608818"/>
      <w:r/>
      <w:bookmarkStart w:id="540" w:name="_Toc164229244"/>
      <w:r/>
      <w:bookmarkStart w:id="541" w:name="_Toc226337245"/>
      <w:r/>
      <w:bookmarkStart w:id="542" w:name="_Toc127161463"/>
      <w:r/>
      <w:bookmarkStart w:id="543" w:name="_Toc226965822"/>
      <w:r/>
      <w:bookmarkStart w:id="544" w:name="_Toc150509300"/>
      <w:r/>
      <w:bookmarkStart w:id="545" w:name="_Toc226309793"/>
      <w:r/>
      <w:bookmarkStart w:id="546" w:name="_Toc127151750"/>
      <w:r/>
      <w:bookmarkStart w:id="547" w:name="_Toc265228387"/>
      <w:r/>
      <w:bookmarkStart w:id="548" w:name="_Toc195842914"/>
      <w:r/>
      <w:bookmarkStart w:id="549" w:name="_Toc142311051"/>
      <w:r/>
      <w:bookmarkStart w:id="550" w:name="_Toc150480787"/>
      <w:r/>
      <w:bookmarkStart w:id="551" w:name="_Toc164229390"/>
      <w:r/>
      <w:bookmarkStart w:id="552" w:name="_Ref467307090"/>
      <w:r/>
      <w:bookmarkStart w:id="553" w:name="_Ref467306425"/>
      <w:r/>
      <w:bookmarkStart w:id="554" w:name="_Toc520356176"/>
      <w:r>
        <w:rPr>
          <w:color w:val="auto"/>
          <w:sz w:val="24"/>
        </w:rPr>
        <w:t xml:space="preserve">成交公告与成交通知书</w:t>
      </w:r>
      <w:bookmarkEnd w:id="523"/>
      <w:r/>
      <w:bookmarkEnd w:id="524"/>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采购人或采购代理机构将在成交供应商确定后2个工作日内，在</w:t>
      </w:r>
      <w:r>
        <w:rPr>
          <w:rFonts w:hint="eastAsia"/>
          <w:color w:val="auto"/>
          <w:sz w:val="24"/>
        </w:rPr>
        <w:t xml:space="preserve">常州市政府采购网</w:t>
      </w:r>
      <w:r>
        <w:rPr>
          <w:color w:val="auto"/>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rPr>
        <w:t xml:space="preserve">。</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终止</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rPr>
      </w:pPr>
      <w:r>
        <w:rPr>
          <w:color w:val="auto"/>
          <w:sz w:val="24"/>
        </w:rPr>
        <w:t xml:space="preserve">因情况变化，不再符合规定的竞争性磋商采购方式适用情形的；</w:t>
      </w:r>
      <w:r/>
    </w:p>
    <w:p>
      <w:pPr>
        <w:numPr>
          <w:ilvl w:val="2"/>
          <w:numId w:val="8"/>
        </w:numPr>
        <w:spacing w:line="360" w:lineRule="auto"/>
        <w:rPr>
          <w:color w:val="auto"/>
          <w:sz w:val="24"/>
        </w:rPr>
      </w:pPr>
      <w:r>
        <w:rPr>
          <w:color w:val="auto"/>
          <w:sz w:val="24"/>
        </w:rPr>
        <w:t xml:space="preserve">出现影响采购公正的违法、违规行为的；</w:t>
      </w:r>
      <w:r/>
    </w:p>
    <w:p>
      <w:pPr>
        <w:numPr>
          <w:ilvl w:val="2"/>
          <w:numId w:val="8"/>
        </w:numPr>
        <w:spacing w:line="360" w:lineRule="auto"/>
        <w:rPr>
          <w:rFonts w:hint="eastAsia"/>
          <w:color w:val="auto"/>
          <w:sz w:val="24"/>
        </w:rPr>
      </w:pPr>
      <w:r>
        <w:rPr>
          <w:color w:val="auto"/>
          <w:sz w:val="24"/>
          <w:szCs w:val="20"/>
        </w:rPr>
        <w:t xml:space="preserve">除了</w:t>
      </w:r>
      <w:r>
        <w:rPr>
          <w:rFonts w:hint="eastAsia"/>
          <w:color w:val="auto"/>
          <w:sz w:val="24"/>
          <w:szCs w:val="20"/>
        </w:rPr>
        <w:t xml:space="preserve">“</w:t>
      </w:r>
      <w:r>
        <w:rPr>
          <w:color w:val="auto"/>
          <w:sz w:val="24"/>
          <w:szCs w:val="20"/>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color w:val="auto"/>
          <w:sz w:val="24"/>
          <w:szCs w:val="20"/>
        </w:rPr>
        <w:t xml:space="preserve">”</w:t>
      </w:r>
      <w:r>
        <w:rPr>
          <w:color w:val="auto"/>
          <w:sz w:val="24"/>
          <w:szCs w:val="20"/>
        </w:rPr>
        <w:t xml:space="preserve">的情形外，在采购过程中符合要求的供应商或者报价未超过采购预算的供应商不足3家的。</w:t>
      </w:r>
      <w:r/>
    </w:p>
    <w:p>
      <w:pPr>
        <w:numPr>
          <w:ilvl w:val="2"/>
          <w:numId w:val="8"/>
        </w:numPr>
        <w:spacing w:line="360" w:lineRule="auto"/>
        <w:rPr>
          <w:color w:val="auto"/>
          <w:sz w:val="24"/>
        </w:rPr>
      </w:pPr>
      <w:r>
        <w:rPr>
          <w:rFonts w:hint="eastAsia" w:ascii="宋体" w:hAnsi="宋体"/>
          <w:color w:val="auto"/>
          <w:spacing w:val="2"/>
          <w:sz w:val="24"/>
        </w:rPr>
        <w:t xml:space="preserve">平台系统</w:t>
      </w:r>
      <w:r>
        <w:rPr>
          <w:rFonts w:ascii="宋体" w:hAnsi="宋体"/>
          <w:color w:val="auto"/>
          <w:sz w:val="24"/>
        </w:rPr>
        <w:t xml:space="preserve">出现</w:t>
      </w:r>
      <w:r>
        <w:rPr>
          <w:rFonts w:hint="eastAsia" w:ascii="宋体" w:hAnsi="宋体"/>
          <w:color w:val="auto"/>
          <w:sz w:val="24"/>
        </w:rPr>
        <w:t xml:space="preserve">序号17.7的所述</w:t>
      </w:r>
      <w:r>
        <w:rPr>
          <w:rFonts w:ascii="宋体" w:hAnsi="宋体"/>
          <w:color w:val="auto"/>
          <w:sz w:val="24"/>
        </w:rPr>
        <w:t xml:space="preserve">情形，</w:t>
      </w:r>
      <w:r>
        <w:rPr>
          <w:rFonts w:hint="eastAsia" w:ascii="宋体" w:hAnsi="宋体"/>
          <w:color w:val="auto"/>
          <w:sz w:val="24"/>
        </w:rPr>
        <w:t xml:space="preserve">情况严重且</w:t>
      </w:r>
      <w:r>
        <w:rPr>
          <w:rFonts w:ascii="宋体" w:hAnsi="宋体"/>
          <w:color w:val="auto"/>
          <w:sz w:val="24"/>
        </w:rPr>
        <w:t xml:space="preserve">影响采购</w:t>
      </w:r>
      <w:r>
        <w:rPr>
          <w:rFonts w:hint="eastAsia" w:ascii="宋体" w:hAnsi="宋体"/>
          <w:color w:val="auto"/>
          <w:sz w:val="24"/>
        </w:rPr>
        <w:t xml:space="preserve">活动</w:t>
      </w:r>
      <w:r>
        <w:rPr>
          <w:rFonts w:ascii="宋体" w:hAnsi="宋体"/>
          <w:color w:val="auto"/>
          <w:sz w:val="24"/>
        </w:rPr>
        <w:t xml:space="preserve">公平、公正性的</w:t>
      </w:r>
      <w:r>
        <w:rPr>
          <w:rFonts w:hint="eastAsia" w:ascii="宋体" w:hAnsi="宋体"/>
          <w:color w:val="auto"/>
          <w:sz w:val="24"/>
        </w:rPr>
        <w:t xml:space="preserve">。</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p>
    <w:p>
      <w:pPr>
        <w:numPr>
          <w:ilvl w:val="0"/>
          <w:numId w:val="8"/>
        </w:numPr>
        <w:ind w:left="357" w:hanging="357"/>
        <w:spacing w:line="360" w:lineRule="auto"/>
        <w:tabs>
          <w:tab w:val="left" w:pos="360" w:leader="none"/>
        </w:tabs>
        <w:rPr>
          <w:color w:val="auto"/>
          <w:sz w:val="24"/>
        </w:rPr>
        <w:outlineLvl w:val="1"/>
      </w:pPr>
      <w:r/>
      <w:bookmarkStart w:id="555" w:name="_Toc520356175"/>
      <w:r/>
      <w:bookmarkStart w:id="556" w:name="_Toc164351644"/>
      <w:r/>
      <w:bookmarkStart w:id="557" w:name="_Ref467306377"/>
      <w:r/>
      <w:bookmarkStart w:id="558" w:name="_Toc150774650"/>
      <w:r/>
      <w:bookmarkStart w:id="559" w:name="_Toc151193864"/>
      <w:r/>
      <w:bookmarkStart w:id="560" w:name="_Toc164608664"/>
      <w:r/>
      <w:bookmarkStart w:id="561" w:name="_Toc151193938"/>
      <w:r/>
      <w:bookmarkStart w:id="562" w:name="_Toc305158818"/>
      <w:r/>
      <w:bookmarkStart w:id="563" w:name="_Toc149720843"/>
      <w:r/>
      <w:bookmarkStart w:id="564" w:name="_Toc264969240"/>
      <w:r/>
      <w:bookmarkStart w:id="565" w:name="_Toc150774755"/>
      <w:r/>
      <w:bookmarkStart w:id="566" w:name="_Toc127161464"/>
      <w:r/>
      <w:bookmarkStart w:id="567" w:name="_Toc151193792"/>
      <w:r/>
      <w:bookmarkStart w:id="568" w:name="_Toc226309794"/>
      <w:r/>
      <w:bookmarkStart w:id="569" w:name="_Toc164229245"/>
      <w:r/>
      <w:bookmarkStart w:id="570" w:name="_Toc151190177"/>
      <w:r/>
      <w:bookmarkStart w:id="571" w:name="_Toc164229391"/>
      <w:r/>
      <w:bookmarkStart w:id="572" w:name="_Toc305158892"/>
      <w:r/>
      <w:bookmarkStart w:id="573" w:name="_Toc127151550"/>
      <w:r/>
      <w:bookmarkStart w:id="574" w:name="_Toc150480788"/>
      <w:r/>
      <w:bookmarkStart w:id="575" w:name="_Toc195842915"/>
      <w:r/>
      <w:bookmarkStart w:id="576" w:name="_Ref467306978"/>
      <w:r/>
      <w:bookmarkStart w:id="577" w:name="_Toc127151751"/>
      <w:r/>
      <w:bookmarkStart w:id="578" w:name="_Toc150509301"/>
      <w:r/>
      <w:bookmarkStart w:id="579" w:name="_Toc265228388"/>
      <w:r/>
      <w:bookmarkStart w:id="580" w:name="_Ref467307062"/>
      <w:r/>
      <w:bookmarkStart w:id="581" w:name="_Toc151193720"/>
      <w:r/>
      <w:bookmarkStart w:id="582" w:name="_Toc151193648"/>
      <w:r/>
      <w:bookmarkStart w:id="583" w:name="_Toc226965823"/>
      <w:r/>
      <w:bookmarkStart w:id="584" w:name="_Toc226965740"/>
      <w:r/>
      <w:bookmarkStart w:id="585" w:name="_Toc164608819"/>
      <w:r/>
      <w:bookmarkStart w:id="586" w:name="_Toc142311052"/>
      <w:r/>
      <w:bookmarkStart w:id="587" w:name="_Ref467307204"/>
      <w:r/>
      <w:bookmarkStart w:id="588" w:name="_Toc226337246"/>
      <w:r>
        <w:rPr>
          <w:color w:val="auto"/>
          <w:sz w:val="24"/>
        </w:rPr>
        <w:t xml:space="preserve">签订合同</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采购人允许采用分包方式履行合同的，成交供应商可以依法采取分包方式履行合同。本项目</w:t>
      </w:r>
      <w:r>
        <w:rPr>
          <w:rFonts w:hint="eastAsia"/>
          <w:color w:val="auto"/>
          <w:sz w:val="24"/>
        </w:rPr>
        <w:t xml:space="preserve">是</w:t>
      </w:r>
      <w:r>
        <w:rPr>
          <w:color w:val="auto"/>
          <w:sz w:val="24"/>
        </w:rPr>
        <w:t xml:space="preserve">否允许分包，见《供应商须知资料表》。政府采购合同分包履行的，应当在响应文件中载明分包承担主体，分包承担主体应当具备相应资质条件且不得再次分包，</w:t>
      </w:r>
      <w:r>
        <w:rPr>
          <w:b/>
          <w:color w:val="auto"/>
          <w:sz w:val="24"/>
        </w:rPr>
        <w:t xml:space="preserve">否则响应无效</w:t>
      </w:r>
      <w:r>
        <w:rPr>
          <w:color w:val="auto"/>
          <w:sz w:val="24"/>
        </w:rPr>
        <w:t xml:space="preserve">。成交供应商就采购项目和分包项目向采购人负责，分包供应商就分包项目承担责任。</w:t>
      </w:r>
      <w:bookmarkEnd w:id="552"/>
      <w:bookmarkEnd w:id="553"/>
      <w:bookmarkEnd w:id="554"/>
      <w:r/>
    </w:p>
    <w:p>
      <w:pPr>
        <w:numPr>
          <w:ilvl w:val="0"/>
          <w:numId w:val="8"/>
        </w:numPr>
        <w:ind w:left="357" w:hanging="357"/>
        <w:spacing w:line="360" w:lineRule="auto"/>
        <w:tabs>
          <w:tab w:val="left" w:pos="360" w:leader="none"/>
        </w:tabs>
        <w:rPr>
          <w:color w:val="auto"/>
          <w:sz w:val="24"/>
        </w:rPr>
        <w:outlineLvl w:val="1"/>
      </w:pPr>
      <w:r>
        <w:rPr>
          <w:color w:val="auto"/>
          <w:sz w:val="24"/>
        </w:rPr>
        <w:t xml:space="preserve">询问与质疑</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询问</w:t>
      </w:r>
      <w:r/>
    </w:p>
    <w:p>
      <w:pPr>
        <w:numPr>
          <w:ilvl w:val="2"/>
          <w:numId w:val="8"/>
        </w:numPr>
        <w:spacing w:line="360" w:lineRule="auto"/>
        <w:rPr>
          <w:color w:val="auto"/>
          <w:sz w:val="24"/>
        </w:rPr>
      </w:pPr>
      <w:r>
        <w:rPr>
          <w:color w:val="auto"/>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rPr>
      </w:pPr>
      <w:r>
        <w:rPr>
          <w:color w:val="auto"/>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质疑</w:t>
      </w:r>
      <w:r/>
    </w:p>
    <w:p>
      <w:pPr>
        <w:numPr>
          <w:ilvl w:val="2"/>
          <w:numId w:val="8"/>
        </w:numPr>
        <w:spacing w:line="360" w:lineRule="auto"/>
        <w:rPr>
          <w:color w:val="auto"/>
          <w:sz w:val="24"/>
        </w:rPr>
      </w:pPr>
      <w:r>
        <w:rPr>
          <w:color w:val="auto"/>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rPr>
      </w:pPr>
      <w:r>
        <w:rPr>
          <w:rFonts w:hint="eastAsia"/>
          <w:b/>
          <w:color w:val="auto"/>
          <w:sz w:val="24"/>
        </w:rPr>
        <w:t xml:space="preserve">磋商文件</w:t>
      </w:r>
      <w:r>
        <w:rPr>
          <w:rFonts w:hint="eastAsia" w:ascii="宋体" w:hAnsi="宋体"/>
          <w:b/>
          <w:color w:val="auto"/>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rPr>
      </w:pPr>
      <w:r>
        <w:rPr>
          <w:color w:val="auto"/>
          <w:sz w:val="24"/>
        </w:rPr>
        <w:t xml:space="preserve">质疑函须使用财政部制定的范本文件。</w:t>
      </w:r>
      <w:r>
        <w:rPr>
          <w:rFonts w:hint="eastAsia"/>
          <w:color w:val="auto"/>
          <w:sz w:val="24"/>
        </w:rPr>
        <w:t xml:space="preserve">（下载网址：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Style w:val="1149"/>
          <w:color w:val="auto"/>
        </w:rPr>
        <w:t xml:space="preserve">http://gk</w:t>
      </w:r>
      <w:bookmarkStart w:id="589" w:name="_Hlt100654014"/>
      <w:r>
        <w:rPr>
          <w:rStyle w:val="1149"/>
          <w:color w:val="auto"/>
        </w:rPr>
        <w:t xml:space="preserve">s</w:t>
      </w:r>
      <w:bookmarkEnd w:id="589"/>
      <w:r>
        <w:rPr>
          <w:rStyle w:val="1149"/>
          <w:color w:val="auto"/>
        </w:rPr>
        <w:t xml:space="preserve">.m</w:t>
      </w:r>
      <w:bookmarkStart w:id="590" w:name="_Hlt100653993"/>
      <w:r/>
      <w:bookmarkStart w:id="591" w:name="_Hlt100653994"/>
      <w:r>
        <w:rPr>
          <w:rStyle w:val="1149"/>
          <w:color w:val="auto"/>
        </w:rPr>
        <w:t xml:space="preserve">o</w:t>
      </w:r>
      <w:bookmarkEnd w:id="590"/>
      <w:r/>
      <w:bookmarkEnd w:id="591"/>
      <w:r/>
      <w:bookmarkStart w:id="592" w:name="_Hlt101169156"/>
      <w:r>
        <w:rPr>
          <w:rStyle w:val="1149"/>
          <w:color w:val="auto"/>
        </w:rPr>
        <w:t xml:space="preserve">f</w:t>
      </w:r>
      <w:bookmarkEnd w:id="592"/>
      <w:r>
        <w:rPr>
          <w:rStyle w:val="1149"/>
          <w:color w:val="auto"/>
        </w:rPr>
        <w:t xml:space="preserve">.gov.cn/ztztz/zhengfucaigouguanli/201802/t20180201_2804589.htm</w:t>
      </w:r>
      <w:r>
        <w:rPr>
          <w:color w:val="auto"/>
        </w:rPr>
        <w:fldChar w:fldCharType="end"/>
      </w:r>
      <w:r>
        <w:rPr>
          <w:rFonts w:hint="eastAsia"/>
          <w:color w:val="auto"/>
        </w:rPr>
        <w:t xml:space="preserve">）</w:t>
      </w:r>
      <w:r/>
    </w:p>
    <w:p>
      <w:pPr>
        <w:numPr>
          <w:ilvl w:val="2"/>
          <w:numId w:val="8"/>
        </w:numPr>
        <w:spacing w:line="360" w:lineRule="auto"/>
        <w:rPr>
          <w:color w:val="auto"/>
          <w:sz w:val="24"/>
        </w:rPr>
      </w:pPr>
      <w:r>
        <w:rPr>
          <w:color w:val="auto"/>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rPr>
      </w:pPr>
      <w:r>
        <w:rPr>
          <w:color w:val="auto"/>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接收询问和质疑的联系部门、联系电话和通讯地址见《供应商须知资料表》</w:t>
      </w:r>
      <w:r>
        <w:rPr>
          <w:rFonts w:hint="eastAsia"/>
          <w:color w:val="auto"/>
          <w:sz w:val="24"/>
        </w:rPr>
        <w:t xml:space="preserve">。</w:t>
      </w:r>
      <w:r/>
    </w:p>
    <w:p>
      <w:pPr>
        <w:jc w:val="center"/>
        <w:spacing w:line="360" w:lineRule="auto"/>
        <w:rPr>
          <w:b/>
          <w:color w:val="auto"/>
          <w:sz w:val="36"/>
          <w:szCs w:val="36"/>
        </w:rPr>
        <w:outlineLvl w:val="0"/>
      </w:pPr>
      <w:r/>
      <w:bookmarkStart w:id="593" w:name="_Toc120102176"/>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br w:type="page" w:clear="all"/>
      </w:r>
      <w:r>
        <w:rPr>
          <w:b/>
          <w:color w:val="auto"/>
          <w:sz w:val="36"/>
          <w:szCs w:val="36"/>
        </w:rPr>
        <w:t xml:space="preserve">第三章   </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b/>
          <w:color w:val="auto"/>
          <w:sz w:val="36"/>
          <w:szCs w:val="36"/>
        </w:rPr>
        <w:t xml:space="preserve">评审</w:t>
      </w:r>
      <w:r>
        <w:rPr>
          <w:rFonts w:hint="eastAsia"/>
          <w:b/>
          <w:color w:val="auto"/>
          <w:sz w:val="36"/>
          <w:szCs w:val="36"/>
        </w:rPr>
        <w:t xml:space="preserve">程序、评审</w:t>
      </w:r>
      <w:r>
        <w:rPr>
          <w:b/>
          <w:color w:val="auto"/>
          <w:sz w:val="36"/>
          <w:szCs w:val="36"/>
        </w:rPr>
        <w:t xml:space="preserve">方法和评审标准</w:t>
      </w:r>
      <w:bookmarkEnd w:id="593"/>
      <w:r/>
      <w:bookmarkStart w:id="594" w:name="_Toc487900382"/>
      <w:r/>
      <w:r/>
    </w:p>
    <w:p>
      <w:pPr>
        <w:pStyle w:val="1076"/>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一、</w:t>
      </w:r>
      <w:r>
        <w:rPr>
          <w:rFonts w:hint="eastAsia" w:ascii="Times New Roman" w:hAnsi="Times New Roman" w:eastAsia="宋体"/>
          <w:color w:val="auto"/>
          <w:sz w:val="24"/>
          <w:szCs w:val="24"/>
        </w:rPr>
        <w:t xml:space="preserve">评审</w:t>
      </w:r>
      <w:r>
        <w:rPr>
          <w:rFonts w:ascii="Times New Roman" w:hAnsi="Times New Roman" w:eastAsia="宋体"/>
          <w:color w:val="auto"/>
          <w:sz w:val="24"/>
          <w:szCs w:val="24"/>
        </w:rPr>
        <w:t xml:space="preserve">程序</w:t>
      </w:r>
      <w:r/>
    </w:p>
    <w:p>
      <w:pPr>
        <w:jc w:val="left"/>
        <w:tabs>
          <w:tab w:val="left" w:pos="1080" w:leader="none"/>
        </w:tabs>
        <w:rPr>
          <w:b/>
          <w:color w:val="auto"/>
          <w:sz w:val="24"/>
        </w:rPr>
      </w:pPr>
      <w:r>
        <w:rPr>
          <w:b/>
          <w:color w:val="auto"/>
          <w:sz w:val="24"/>
        </w:rPr>
        <w:tab/>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4"/>
      <w:r/>
    </w:p>
    <w:p>
      <w:pPr>
        <w:numPr>
          <w:ilvl w:val="0"/>
          <w:numId w:val="11"/>
        </w:numPr>
        <w:spacing w:line="360" w:lineRule="auto"/>
        <w:tabs>
          <w:tab w:val="left" w:pos="360" w:leader="none"/>
        </w:tabs>
        <w:rPr>
          <w:color w:val="auto"/>
          <w:sz w:val="24"/>
        </w:rPr>
        <w:outlineLvl w:val="1"/>
      </w:pPr>
      <w:r/>
      <w:bookmarkStart w:id="595" w:name="_Toc305158809"/>
      <w:r/>
      <w:bookmarkStart w:id="596" w:name="_Toc142311043"/>
      <w:r/>
      <w:bookmarkStart w:id="597" w:name="_Toc164608810"/>
      <w:r/>
      <w:bookmarkStart w:id="598" w:name="_Toc226337237"/>
      <w:r/>
      <w:bookmarkStart w:id="599" w:name="_Toc150774641"/>
      <w:r/>
      <w:bookmarkStart w:id="600" w:name="_Toc305158883"/>
      <w:r/>
      <w:bookmarkStart w:id="601" w:name="_Toc265228379"/>
      <w:r/>
      <w:bookmarkStart w:id="602" w:name="_Toc151193639"/>
      <w:r/>
      <w:bookmarkStart w:id="603" w:name="_Toc151190168"/>
      <w:r/>
      <w:bookmarkStart w:id="604" w:name="_Toc151193783"/>
      <w:r/>
      <w:bookmarkStart w:id="605" w:name="_Toc226965731"/>
      <w:r/>
      <w:bookmarkStart w:id="606" w:name="_Toc151193711"/>
      <w:r/>
      <w:bookmarkStart w:id="607" w:name="_Toc226965814"/>
      <w:r/>
      <w:bookmarkStart w:id="608" w:name="_Toc226309785"/>
      <w:r/>
      <w:bookmarkStart w:id="609" w:name="_Toc151193855"/>
      <w:r/>
      <w:bookmarkStart w:id="610" w:name="_Toc150480779"/>
      <w:r/>
      <w:bookmarkStart w:id="611" w:name="_Toc164608655"/>
      <w:r/>
      <w:bookmarkStart w:id="612" w:name="_Toc127151742"/>
      <w:r/>
      <w:bookmarkStart w:id="613" w:name="_Toc149720834"/>
      <w:r/>
      <w:bookmarkStart w:id="614" w:name="_Toc195842906"/>
      <w:r/>
      <w:bookmarkStart w:id="615" w:name="_Toc127151541"/>
      <w:r/>
      <w:bookmarkStart w:id="616" w:name="_Toc164229236"/>
      <w:r/>
      <w:bookmarkStart w:id="617" w:name="_Toc164351635"/>
      <w:r/>
      <w:bookmarkStart w:id="618" w:name="_Toc164229382"/>
      <w:r/>
      <w:bookmarkStart w:id="619" w:name="_Toc150509292"/>
      <w:r/>
      <w:bookmarkStart w:id="620" w:name="_Toc264969231"/>
      <w:r/>
      <w:bookmarkStart w:id="621" w:name="_Toc127161455"/>
      <w:r/>
      <w:bookmarkStart w:id="622" w:name="_Toc151193929"/>
      <w:r/>
      <w:bookmarkStart w:id="623" w:name="_Toc150774746"/>
      <w:r/>
      <w:bookmarkStart w:id="624" w:name="_Toc353825551"/>
      <w:r/>
      <w:bookmarkStart w:id="625" w:name="_Toc353873941"/>
      <w:r/>
      <w:bookmarkStart w:id="626" w:name="_Toc353873935"/>
      <w:r/>
      <w:bookmarkStart w:id="627" w:name="_Toc305158897"/>
      <w:r/>
      <w:bookmarkStart w:id="628" w:name="_Toc353873665"/>
      <w:r/>
      <w:bookmarkStart w:id="629" w:name="_Toc353825545"/>
      <w:r/>
      <w:bookmarkStart w:id="630" w:name="_Toc195842920"/>
      <w:r/>
      <w:bookmarkStart w:id="631" w:name="_Toc305158823"/>
      <w:r/>
      <w:bookmarkStart w:id="632" w:name="_Toc150480793"/>
      <w:r/>
      <w:bookmarkStart w:id="633" w:name="_Toc142311057"/>
      <w:r/>
      <w:bookmarkStart w:id="634" w:name="_Toc265228393"/>
      <w:r/>
      <w:bookmarkStart w:id="635" w:name="_Toc150774760"/>
      <w:r/>
      <w:bookmarkStart w:id="636" w:name="_Toc226965828"/>
      <w:r/>
      <w:bookmarkStart w:id="637" w:name="_Toc264969245"/>
      <w:r/>
      <w:bookmarkStart w:id="638" w:name="_Toc226337251"/>
      <w:r/>
      <w:bookmarkStart w:id="639" w:name="_Toc127151555"/>
      <w:r>
        <w:rPr>
          <w:color w:val="auto"/>
          <w:sz w:val="24"/>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color w:val="auto"/>
          <w:sz w:val="24"/>
        </w:rPr>
        <w:t xml:space="preserve">资格性检查和符合性审查</w:t>
      </w:r>
      <w:r/>
    </w:p>
    <w:p>
      <w:pPr>
        <w:numPr>
          <w:ilvl w:val="1"/>
          <w:numId w:val="11"/>
        </w:numPr>
        <w:ind w:left="1077" w:hanging="720"/>
        <w:spacing w:line="360" w:lineRule="auto"/>
        <w:tabs>
          <w:tab w:val="left" w:pos="1080" w:leader="none"/>
        </w:tabs>
        <w:rPr>
          <w:color w:val="auto"/>
          <w:sz w:val="24"/>
        </w:rPr>
      </w:pPr>
      <w:r>
        <w:rPr>
          <w:color w:val="auto"/>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rPr>
        <w:t xml:space="preserve">无效响应</w:t>
      </w:r>
      <w:r>
        <w:rPr>
          <w:color w:val="auto"/>
          <w:sz w:val="24"/>
        </w:rPr>
        <w:t xml:space="preserve">处理，磋商小组应当告知提交响应文件的供应商。</w:t>
      </w:r>
      <w:r/>
    </w:p>
    <w:p>
      <w:pPr>
        <w:numPr>
          <w:ilvl w:val="1"/>
          <w:numId w:val="11"/>
        </w:numPr>
        <w:ind w:left="1077" w:hanging="720"/>
        <w:spacing w:line="360" w:lineRule="auto"/>
        <w:tabs>
          <w:tab w:val="left" w:pos="1080" w:leader="none"/>
        </w:tabs>
        <w:rPr>
          <w:color w:val="auto"/>
          <w:sz w:val="24"/>
        </w:rPr>
      </w:pPr>
      <w:r>
        <w:rPr>
          <w:color w:val="auto"/>
          <w:sz w:val="24"/>
        </w:rPr>
        <w:t xml:space="preserve">《资格性检查要求》中对格式有要求的，除竞争性磋商文件另有规定外，均为</w:t>
      </w:r>
      <w:r>
        <w:rPr>
          <w:rFonts w:hint="eastAsia"/>
          <w:color w:val="auto"/>
          <w:sz w:val="24"/>
        </w:rPr>
        <w:t xml:space="preserve">“</w:t>
      </w:r>
      <w:r>
        <w:rPr>
          <w:color w:val="auto"/>
          <w:sz w:val="24"/>
        </w:rPr>
        <w:t xml:space="preserve">实质性格式</w:t>
      </w:r>
      <w:r>
        <w:rPr>
          <w:rFonts w:hint="eastAsia"/>
          <w:color w:val="auto"/>
          <w:sz w:val="24"/>
        </w:rPr>
        <w:t xml:space="preserve">”</w:t>
      </w:r>
      <w:r>
        <w:rPr>
          <w:color w:val="auto"/>
          <w:sz w:val="24"/>
        </w:rPr>
        <w:t xml:space="preserve">文件。</w:t>
      </w:r>
      <w:r/>
    </w:p>
    <w:p>
      <w:pPr>
        <w:numPr>
          <w:ilvl w:val="1"/>
          <w:numId w:val="11"/>
        </w:numPr>
        <w:ind w:left="1077" w:hanging="720"/>
        <w:spacing w:line="360" w:lineRule="auto"/>
        <w:tabs>
          <w:tab w:val="left" w:pos="1080" w:leader="none"/>
        </w:tabs>
        <w:rPr>
          <w:color w:val="auto"/>
          <w:sz w:val="24"/>
        </w:rPr>
      </w:pPr>
      <w:r>
        <w:rPr>
          <w:color w:val="auto"/>
          <w:sz w:val="24"/>
        </w:rPr>
        <w:t xml:space="preserve">《资格性检查要求》见下表：</w:t>
      </w:r>
      <w:r/>
    </w:p>
    <w:p>
      <w:pPr>
        <w:ind w:left="1077" w:firstLine="2650"/>
        <w:spacing w:line="360" w:lineRule="auto"/>
        <w:tabs>
          <w:tab w:val="left" w:pos="900" w:leader="none"/>
          <w:tab w:val="left" w:pos="1080" w:leader="none"/>
        </w:tabs>
        <w:rPr>
          <w:b/>
          <w:color w:val="auto"/>
          <w:sz w:val="24"/>
        </w:rPr>
      </w:pPr>
      <w:r>
        <w:rPr>
          <w:b/>
          <w:color w:val="auto"/>
          <w:sz w:val="24"/>
        </w:rPr>
        <w:t xml:space="preserve">资格性检查要求</w:t>
      </w:r>
      <w:r/>
    </w:p>
    <w:tbl>
      <w:tblPr>
        <w:tblStyle w:val="9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093"/>
        <w:gridCol w:w="5110"/>
        <w:gridCol w:w="1943"/>
      </w:tblGrid>
      <w:tr>
        <w:trPr>
          <w:cantSplit/>
          <w:trHeight w:val="20"/>
          <w:tblHeader/>
        </w:trPr>
        <w:tc>
          <w:tcPr>
            <w:tcW w:w="742" w:type="dxa"/>
            <w:vAlign w:val="center"/>
            <w:textDirection w:val="lrTb"/>
            <w:noWrap w:val="false"/>
          </w:tcPr>
          <w:p>
            <w:pPr>
              <w:jc w:val="center"/>
              <w:tabs>
                <w:tab w:val="left" w:pos="1080" w:leader="none"/>
              </w:tabs>
              <w:rPr>
                <w:b/>
                <w:color w:val="auto"/>
                <w:sz w:val="24"/>
              </w:rPr>
            </w:pPr>
            <w:r/>
            <w:bookmarkStart w:id="640" w:name="_Hlt487972895"/>
            <w:r/>
            <w:bookmarkEnd w:id="640"/>
            <w:r>
              <w:rPr>
                <w:b/>
                <w:color w:val="auto"/>
                <w:sz w:val="24"/>
              </w:rPr>
              <w:t xml:space="preserve">序号</w:t>
            </w:r>
            <w:r/>
          </w:p>
        </w:tc>
        <w:tc>
          <w:tcPr>
            <w:tcW w:w="2093" w:type="dxa"/>
            <w:vAlign w:val="center"/>
            <w:textDirection w:val="lrTb"/>
            <w:noWrap w:val="false"/>
          </w:tcPr>
          <w:p>
            <w:pPr>
              <w:jc w:val="center"/>
              <w:tabs>
                <w:tab w:val="left" w:pos="1080" w:leader="none"/>
              </w:tabs>
              <w:rPr>
                <w:b/>
                <w:color w:val="auto"/>
                <w:sz w:val="24"/>
              </w:rPr>
            </w:pPr>
            <w:r>
              <w:rPr>
                <w:b/>
                <w:color w:val="auto"/>
                <w:sz w:val="24"/>
              </w:rPr>
              <w:t xml:space="preserve">审查因素</w:t>
            </w:r>
            <w:r/>
          </w:p>
        </w:tc>
        <w:tc>
          <w:tcPr>
            <w:tcW w:w="5110" w:type="dxa"/>
            <w:vAlign w:val="center"/>
            <w:textDirection w:val="lrTb"/>
            <w:noWrap w:val="false"/>
          </w:tcPr>
          <w:p>
            <w:pPr>
              <w:jc w:val="center"/>
              <w:tabs>
                <w:tab w:val="left" w:pos="1080" w:leader="none"/>
              </w:tabs>
              <w:rPr>
                <w:b/>
                <w:color w:val="auto"/>
                <w:sz w:val="24"/>
              </w:rPr>
            </w:pPr>
            <w:r>
              <w:rPr>
                <w:b/>
                <w:color w:val="auto"/>
                <w:sz w:val="24"/>
              </w:rPr>
              <w:t xml:space="preserve">审查内容</w:t>
            </w:r>
            <w:r/>
          </w:p>
        </w:tc>
        <w:tc>
          <w:tcPr>
            <w:tcW w:w="1943" w:type="dxa"/>
            <w:vAlign w:val="center"/>
            <w:textDirection w:val="lrTb"/>
            <w:noWrap w:val="false"/>
          </w:tcPr>
          <w:p>
            <w:pPr>
              <w:jc w:val="center"/>
              <w:tabs>
                <w:tab w:val="left" w:pos="1080" w:leader="none"/>
              </w:tabs>
              <w:rPr>
                <w:b/>
                <w:color w:val="auto"/>
                <w:sz w:val="24"/>
              </w:rPr>
            </w:pPr>
            <w:r>
              <w:rPr>
                <w:b/>
                <w:color w:val="auto"/>
                <w:sz w:val="24"/>
              </w:rPr>
              <w:t xml:space="preserve">格式要求</w:t>
            </w:r>
            <w:r/>
          </w:p>
        </w:tc>
      </w:tr>
      <w:tr>
        <w:trPr>
          <w:cantSplit/>
          <w:trHeight w:val="20"/>
        </w:trPr>
        <w:tc>
          <w:tcPr>
            <w:tcW w:w="742" w:type="dxa"/>
            <w:vAlign w:val="center"/>
            <w:textDirection w:val="lrTb"/>
            <w:noWrap w:val="false"/>
          </w:tcPr>
          <w:p>
            <w:pPr>
              <w:jc w:val="center"/>
              <w:tabs>
                <w:tab w:val="left" w:pos="1080" w:leader="none"/>
              </w:tabs>
              <w:rPr>
                <w:color w:val="auto"/>
                <w:sz w:val="24"/>
              </w:rPr>
            </w:pPr>
            <w:r>
              <w:rPr>
                <w:color w:val="auto"/>
                <w:sz w:val="24"/>
              </w:rPr>
              <w:t xml:space="preserve">1</w:t>
            </w:r>
            <w:r/>
          </w:p>
        </w:tc>
        <w:tc>
          <w:tcPr>
            <w:tcW w:w="2093" w:type="dxa"/>
            <w:vAlign w:val="center"/>
            <w:textDirection w:val="lrTb"/>
            <w:noWrap w:val="false"/>
          </w:tcPr>
          <w:p>
            <w:pPr>
              <w:tabs>
                <w:tab w:val="left" w:pos="1080" w:leader="none"/>
              </w:tabs>
              <w:rPr>
                <w:color w:val="auto"/>
                <w:sz w:val="24"/>
              </w:rPr>
            </w:pPr>
            <w:r>
              <w:rPr>
                <w:color w:val="auto"/>
                <w:sz w:val="24"/>
              </w:rPr>
              <w:t xml:space="preserve">满足《中华人民共和国政府采购法》第二十二条规定及法律法规的其他规定</w:t>
            </w:r>
            <w:r/>
          </w:p>
        </w:tc>
        <w:tc>
          <w:tcPr>
            <w:tcW w:w="5110" w:type="dxa"/>
            <w:vAlign w:val="center"/>
            <w:textDirection w:val="lrTb"/>
            <w:noWrap w:val="false"/>
          </w:tcPr>
          <w:p>
            <w:pPr>
              <w:tabs>
                <w:tab w:val="left" w:pos="1080" w:leader="none"/>
              </w:tabs>
              <w:rPr>
                <w:color w:val="auto"/>
                <w:sz w:val="24"/>
              </w:rPr>
            </w:pPr>
            <w:r>
              <w:rPr>
                <w:color w:val="auto"/>
                <w:sz w:val="24"/>
              </w:rPr>
              <w:t xml:space="preserve">具体规定见第一章《竞争性磋商公告》</w:t>
            </w:r>
            <w:r/>
          </w:p>
        </w:tc>
        <w:tc>
          <w:tcPr>
            <w:tcW w:w="1943" w:type="dxa"/>
            <w:vAlign w:val="center"/>
            <w:textDirection w:val="lrTb"/>
            <w:noWrap w:val="false"/>
          </w:tcPr>
          <w:p>
            <w:pPr>
              <w:tabs>
                <w:tab w:val="left" w:pos="1080" w:leader="none"/>
              </w:tabs>
              <w:rPr>
                <w:color w:val="auto"/>
                <w:sz w:val="24"/>
              </w:rPr>
            </w:pPr>
            <w:r>
              <w:rPr>
                <w:color w:val="auto"/>
                <w:sz w:val="24"/>
              </w:rPr>
            </w:r>
            <w:r/>
          </w:p>
        </w:tc>
      </w:tr>
      <w:tr>
        <w:trPr>
          <w:cantSplit/>
          <w:trHeight w:val="468"/>
        </w:trPr>
        <w:tc>
          <w:tcPr>
            <w:tcW w:w="742" w:type="dxa"/>
            <w:vAlign w:val="center"/>
            <w:textDirection w:val="lrTb"/>
            <w:noWrap w:val="false"/>
          </w:tcPr>
          <w:p>
            <w:pPr>
              <w:jc w:val="center"/>
              <w:tabs>
                <w:tab w:val="left" w:pos="1080" w:leader="none"/>
              </w:tabs>
              <w:rPr>
                <w:color w:val="auto"/>
                <w:sz w:val="24"/>
              </w:rPr>
            </w:pPr>
            <w:r>
              <w:rPr>
                <w:color w:val="auto"/>
                <w:sz w:val="24"/>
              </w:rPr>
              <w:t xml:space="preserve">1-1</w:t>
            </w:r>
            <w:r/>
          </w:p>
        </w:tc>
        <w:tc>
          <w:tcPr>
            <w:tcW w:w="2093" w:type="dxa"/>
            <w:vAlign w:val="center"/>
            <w:textDirection w:val="lrTb"/>
            <w:noWrap w:val="false"/>
          </w:tcPr>
          <w:p>
            <w:pPr>
              <w:tabs>
                <w:tab w:val="left" w:pos="1080" w:leader="none"/>
              </w:tabs>
              <w:rPr>
                <w:color w:val="auto"/>
                <w:sz w:val="24"/>
              </w:rPr>
            </w:pPr>
            <w:r>
              <w:rPr>
                <w:rFonts w:hint="eastAsia"/>
                <w:color w:val="auto"/>
                <w:sz w:val="24"/>
              </w:rPr>
              <w:t xml:space="preserve">供应商资格声明函</w:t>
            </w:r>
            <w:r/>
          </w:p>
        </w:tc>
        <w:tc>
          <w:tcPr>
            <w:tcW w:w="5110" w:type="dxa"/>
            <w:vAlign w:val="center"/>
            <w:textDirection w:val="lrTb"/>
            <w:noWrap w:val="false"/>
          </w:tcPr>
          <w:p>
            <w:pPr>
              <w:tabs>
                <w:tab w:val="left" w:pos="1080" w:leader="none"/>
              </w:tabs>
              <w:rPr>
                <w:color w:val="auto"/>
                <w:sz w:val="24"/>
              </w:rPr>
            </w:pPr>
            <w:r>
              <w:rPr>
                <w:color w:val="auto"/>
                <w:sz w:val="24"/>
              </w:rPr>
              <w:t xml:space="preserve">提供了符合</w:t>
            </w:r>
            <w:r>
              <w:rPr>
                <w:rFonts w:hint="eastAsia"/>
                <w:color w:val="auto"/>
                <w:sz w:val="24"/>
              </w:rPr>
              <w:t xml:space="preserve">采购</w:t>
            </w:r>
            <w:r>
              <w:rPr>
                <w:color w:val="auto"/>
                <w:sz w:val="24"/>
              </w:rPr>
              <w:t xml:space="preserve">文件要求的《</w:t>
            </w:r>
            <w:r>
              <w:rPr>
                <w:rFonts w:hint="eastAsia"/>
                <w:color w:val="auto"/>
                <w:sz w:val="24"/>
              </w:rPr>
              <w:t xml:space="preserve">供应商资格声明函</w:t>
            </w:r>
            <w:r>
              <w:rPr>
                <w:color w:val="auto"/>
                <w:sz w:val="24"/>
              </w:rPr>
              <w:t xml:space="preserve">》。</w:t>
            </w:r>
            <w:r/>
          </w:p>
        </w:tc>
        <w:tc>
          <w:tcPr>
            <w:tcW w:w="1943" w:type="dxa"/>
            <w:vAlign w:val="center"/>
            <w:textDirection w:val="lrTb"/>
            <w:noWrap w:val="false"/>
          </w:tcPr>
          <w:p>
            <w:pPr>
              <w:tabs>
                <w:tab w:val="left" w:pos="1080" w:leader="none"/>
              </w:tabs>
              <w:rPr>
                <w:color w:val="auto"/>
                <w:sz w:val="24"/>
              </w:rPr>
            </w:pPr>
            <w:r>
              <w:rPr>
                <w:color w:val="auto"/>
                <w:sz w:val="24"/>
              </w:rPr>
              <w:t xml:space="preserve">格式见《</w:t>
            </w:r>
            <w:r>
              <w:rPr>
                <w:rFonts w:hint="eastAsia"/>
                <w:color w:val="auto"/>
                <w:sz w:val="24"/>
              </w:rPr>
              <w:t xml:space="preserve">响应</w:t>
            </w:r>
            <w:r>
              <w:rPr>
                <w:color w:val="auto"/>
                <w:sz w:val="24"/>
              </w:rPr>
              <w:t xml:space="preserve">文件格式》</w:t>
            </w:r>
            <w:r/>
          </w:p>
        </w:tc>
      </w:tr>
      <w:tr>
        <w:trPr>
          <w:cantSplit/>
          <w:trHeight w:val="20"/>
        </w:trPr>
        <w:tc>
          <w:tcPr>
            <w:tcW w:w="742" w:type="dxa"/>
            <w:vAlign w:val="center"/>
            <w:textDirection w:val="lrTb"/>
            <w:noWrap w:val="false"/>
          </w:tcPr>
          <w:p>
            <w:pPr>
              <w:jc w:val="center"/>
              <w:tabs>
                <w:tab w:val="left" w:pos="1080" w:leader="none"/>
              </w:tabs>
              <w:rPr>
                <w:color w:val="auto"/>
                <w:sz w:val="24"/>
              </w:rPr>
            </w:pPr>
            <w:r>
              <w:rPr>
                <w:rFonts w:hint="eastAsia"/>
                <w:color w:val="auto"/>
                <w:sz w:val="24"/>
              </w:rPr>
              <w:t xml:space="preserve">1</w:t>
            </w:r>
            <w:r>
              <w:rPr>
                <w:color w:val="auto"/>
                <w:sz w:val="24"/>
              </w:rPr>
              <w:t xml:space="preserve">-</w:t>
            </w:r>
            <w:r>
              <w:rPr>
                <w:rFonts w:hint="eastAsia"/>
                <w:color w:val="auto"/>
                <w:sz w:val="24"/>
              </w:rPr>
              <w:t xml:space="preserve">2</w:t>
            </w:r>
            <w:r/>
          </w:p>
        </w:tc>
        <w:tc>
          <w:tcPr>
            <w:tcW w:w="2093" w:type="dxa"/>
            <w:vAlign w:val="center"/>
            <w:textDirection w:val="lrTb"/>
            <w:noWrap w:val="false"/>
          </w:tcPr>
          <w:p>
            <w:pPr>
              <w:tabs>
                <w:tab w:val="left" w:pos="1080" w:leader="none"/>
              </w:tabs>
              <w:rPr>
                <w:color w:val="auto"/>
                <w:sz w:val="24"/>
              </w:rPr>
            </w:pPr>
            <w:r>
              <w:rPr>
                <w:color w:val="auto"/>
                <w:sz w:val="24"/>
              </w:rPr>
              <w:t xml:space="preserve">供应商信用记录</w:t>
            </w:r>
            <w:r/>
          </w:p>
        </w:tc>
        <w:tc>
          <w:tcPr>
            <w:tcW w:w="5110" w:type="dxa"/>
            <w:vAlign w:val="center"/>
            <w:textDirection w:val="lrTb"/>
            <w:noWrap w:val="false"/>
          </w:tcPr>
          <w:p>
            <w:pPr>
              <w:tabs>
                <w:tab w:val="left" w:pos="900" w:leader="none"/>
                <w:tab w:val="left" w:pos="1980" w:leader="none"/>
              </w:tabs>
              <w:rPr>
                <w:color w:val="auto"/>
                <w:sz w:val="24"/>
              </w:rPr>
            </w:pPr>
            <w:r>
              <w:rPr>
                <w:color w:val="auto"/>
                <w:sz w:val="24"/>
              </w:rPr>
              <w:t xml:space="preserve">查询渠道：信用中国网站和中国政府采购网（www.creditchina.gov.cn、www.ccgp.gov.cn）；</w:t>
            </w:r>
            <w:r/>
          </w:p>
          <w:p>
            <w:pPr>
              <w:tabs>
                <w:tab w:val="left" w:pos="900" w:leader="none"/>
                <w:tab w:val="left" w:pos="1980" w:leader="none"/>
              </w:tabs>
              <w:rPr>
                <w:color w:val="auto"/>
                <w:sz w:val="24"/>
              </w:rPr>
            </w:pPr>
            <w:r>
              <w:rPr>
                <w:color w:val="auto"/>
                <w:sz w:val="24"/>
              </w:rPr>
              <w:t xml:space="preserve">截止时点：提交响应文件截止时间以后、</w:t>
            </w:r>
            <w:r>
              <w:rPr>
                <w:rFonts w:hint="eastAsia"/>
                <w:color w:val="auto"/>
                <w:sz w:val="24"/>
              </w:rPr>
              <w:t xml:space="preserve">资格审查阶段采购人或采购代理机构</w:t>
            </w:r>
            <w:r>
              <w:rPr>
                <w:color w:val="auto"/>
                <w:sz w:val="24"/>
              </w:rPr>
              <w:t xml:space="preserve">的实际查询时间；</w:t>
            </w:r>
            <w:r/>
          </w:p>
          <w:p>
            <w:pPr>
              <w:tabs>
                <w:tab w:val="left" w:pos="900" w:leader="none"/>
                <w:tab w:val="left" w:pos="1980" w:leader="none"/>
              </w:tabs>
              <w:rPr>
                <w:color w:val="auto"/>
                <w:sz w:val="24"/>
              </w:rPr>
            </w:pPr>
            <w:r>
              <w:rPr>
                <w:color w:val="auto"/>
                <w:sz w:val="24"/>
              </w:rPr>
              <w:t xml:space="preserve">信用信息查询记录和证据留存具体方式：查询结果网页打印页作为查询记录和证据，与其他采购文件一并保存；</w:t>
            </w:r>
            <w:r/>
          </w:p>
          <w:p>
            <w:pPr>
              <w:tabs>
                <w:tab w:val="left" w:pos="1080" w:leader="none"/>
              </w:tabs>
              <w:rPr>
                <w:color w:val="auto"/>
                <w:sz w:val="24"/>
              </w:rPr>
            </w:pPr>
            <w:r>
              <w:rPr>
                <w:color w:val="auto"/>
                <w:sz w:val="24"/>
              </w:rPr>
              <w:t xml:space="preserve">信用信息的使用原则：经认定的被列入失信被执行人、重大税收违法案件当事人名单、政府采购严重违法失信行为记录名单的供应商，其</w:t>
            </w:r>
            <w:r>
              <w:rPr>
                <w:b/>
                <w:color w:val="auto"/>
                <w:sz w:val="24"/>
              </w:rPr>
              <w:t xml:space="preserve">响应无效</w:t>
            </w:r>
            <w:r/>
          </w:p>
        </w:tc>
        <w:tc>
          <w:tcPr>
            <w:tcW w:w="1943" w:type="dxa"/>
            <w:vAlign w:val="center"/>
            <w:textDirection w:val="lrTb"/>
            <w:noWrap w:val="false"/>
          </w:tcPr>
          <w:p>
            <w:pPr>
              <w:tabs>
                <w:tab w:val="left" w:pos="1080" w:leader="none"/>
              </w:tabs>
              <w:rPr>
                <w:color w:val="auto"/>
                <w:sz w:val="24"/>
              </w:rPr>
            </w:pPr>
            <w:r>
              <w:rPr>
                <w:color w:val="auto"/>
                <w:sz w:val="24"/>
              </w:rPr>
              <w:t xml:space="preserve">无须供应商提供，由采购人查询。</w:t>
            </w:r>
            <w:r/>
          </w:p>
        </w:tc>
      </w:tr>
      <w:tr>
        <w:trPr>
          <w:cantSplit/>
          <w:trHeight w:val="20"/>
        </w:trPr>
        <w:tc>
          <w:tcPr>
            <w:tcW w:w="742" w:type="dxa"/>
            <w:vAlign w:val="center"/>
            <w:textDirection w:val="lrTb"/>
            <w:noWrap w:val="false"/>
          </w:tcPr>
          <w:p>
            <w:pPr>
              <w:jc w:val="center"/>
              <w:tabs>
                <w:tab w:val="left" w:pos="1080" w:leader="none"/>
              </w:tabs>
              <w:rPr>
                <w:color w:val="auto"/>
                <w:sz w:val="24"/>
              </w:rPr>
            </w:pPr>
            <w:r>
              <w:rPr>
                <w:color w:val="auto"/>
                <w:sz w:val="24"/>
              </w:rPr>
              <w:t xml:space="preserve">2</w:t>
            </w:r>
            <w:r/>
          </w:p>
        </w:tc>
        <w:tc>
          <w:tcPr>
            <w:tcW w:w="2093" w:type="dxa"/>
            <w:vAlign w:val="center"/>
            <w:textDirection w:val="lrTb"/>
            <w:noWrap w:val="false"/>
          </w:tcPr>
          <w:p>
            <w:pPr>
              <w:tabs>
                <w:tab w:val="left" w:pos="1080" w:leader="none"/>
              </w:tabs>
              <w:rPr>
                <w:color w:val="auto"/>
                <w:sz w:val="24"/>
              </w:rPr>
            </w:pPr>
            <w:r>
              <w:rPr>
                <w:color w:val="auto"/>
                <w:sz w:val="24"/>
              </w:rPr>
              <w:t xml:space="preserve">落实政府采购政策需满足的资格要求</w:t>
            </w:r>
            <w:r/>
          </w:p>
        </w:tc>
        <w:tc>
          <w:tcPr>
            <w:tcW w:w="5110" w:type="dxa"/>
            <w:vAlign w:val="center"/>
            <w:textDirection w:val="lrTb"/>
            <w:noWrap w:val="false"/>
          </w:tcPr>
          <w:p>
            <w:pPr>
              <w:tabs>
                <w:tab w:val="left" w:pos="1080" w:leader="none"/>
              </w:tabs>
              <w:rPr>
                <w:color w:val="auto"/>
                <w:sz w:val="24"/>
              </w:rPr>
            </w:pPr>
            <w:r>
              <w:rPr>
                <w:color w:val="auto"/>
                <w:sz w:val="24"/>
              </w:rPr>
              <w:t xml:space="preserve">具体要求见第一章《竞争性磋商公告》</w:t>
            </w:r>
            <w:r/>
          </w:p>
        </w:tc>
        <w:tc>
          <w:tcPr>
            <w:tcW w:w="1943" w:type="dxa"/>
            <w:vAlign w:val="center"/>
            <w:textDirection w:val="lrTb"/>
            <w:noWrap w:val="false"/>
          </w:tcPr>
          <w:p>
            <w:pPr>
              <w:tabs>
                <w:tab w:val="left" w:pos="1080" w:leader="none"/>
              </w:tabs>
              <w:rPr>
                <w:color w:val="auto"/>
                <w:sz w:val="24"/>
              </w:rPr>
            </w:pPr>
            <w:r>
              <w:rPr>
                <w:color w:val="auto"/>
                <w:sz w:val="24"/>
              </w:rPr>
            </w:r>
            <w:r/>
          </w:p>
        </w:tc>
      </w:tr>
      <w:tr>
        <w:trPr>
          <w:cantSplit/>
          <w:trHeight w:val="20"/>
        </w:trPr>
        <w:tc>
          <w:tcPr>
            <w:tcW w:w="742" w:type="dxa"/>
            <w:vAlign w:val="center"/>
            <w:textDirection w:val="lrTb"/>
            <w:noWrap w:val="false"/>
          </w:tcPr>
          <w:p>
            <w:pPr>
              <w:jc w:val="center"/>
              <w:tabs>
                <w:tab w:val="left" w:pos="1080" w:leader="none"/>
              </w:tabs>
              <w:rPr>
                <w:color w:val="auto"/>
                <w:sz w:val="24"/>
              </w:rPr>
            </w:pPr>
            <w:r>
              <w:rPr>
                <w:color w:val="auto"/>
                <w:sz w:val="24"/>
              </w:rPr>
              <w:t xml:space="preserve">2-1</w:t>
            </w:r>
            <w:r/>
          </w:p>
        </w:tc>
        <w:tc>
          <w:tcPr>
            <w:tcW w:w="2093" w:type="dxa"/>
            <w:vAlign w:val="center"/>
            <w:textDirection w:val="lrTb"/>
            <w:noWrap w:val="false"/>
          </w:tcPr>
          <w:p>
            <w:pPr>
              <w:tabs>
                <w:tab w:val="left" w:pos="1080" w:leader="none"/>
              </w:tabs>
              <w:rPr>
                <w:color w:val="auto"/>
                <w:sz w:val="24"/>
              </w:rPr>
            </w:pPr>
            <w:r>
              <w:rPr>
                <w:color w:val="auto"/>
                <w:sz w:val="24"/>
              </w:rPr>
              <w:t xml:space="preserve">中小企业声明函</w:t>
            </w:r>
            <w:r/>
          </w:p>
        </w:tc>
        <w:tc>
          <w:tcPr>
            <w:tcW w:w="5110" w:type="dxa"/>
            <w:vAlign w:val="center"/>
            <w:textDirection w:val="lrTb"/>
            <w:noWrap w:val="false"/>
          </w:tcPr>
          <w:p>
            <w:pPr>
              <w:tabs>
                <w:tab w:val="left" w:pos="1080" w:leader="none"/>
              </w:tabs>
              <w:rPr>
                <w:bCs/>
                <w:color w:val="auto"/>
                <w:sz w:val="24"/>
              </w:rPr>
            </w:pPr>
            <w:r>
              <w:rPr>
                <w:rFonts w:hint="eastAsia"/>
                <w:bCs/>
                <w:color w:val="auto"/>
                <w:sz w:val="24"/>
              </w:rPr>
              <w:t xml:space="preserve">供应商应提供中小企业声明函；如为监狱企业或残疾人福利性单位，不必提供中小企业声明函，但须按注1或注2要求提供证明材料。</w:t>
            </w:r>
            <w:r/>
          </w:p>
          <w:p>
            <w:pPr>
              <w:tabs>
                <w:tab w:val="left" w:pos="1080" w:leader="none"/>
              </w:tabs>
              <w:rPr>
                <w:bCs/>
                <w:color w:val="auto"/>
                <w:sz w:val="24"/>
              </w:rPr>
            </w:pPr>
            <w:r>
              <w:rPr>
                <w:rFonts w:hint="eastAsia"/>
                <w:bCs/>
                <w:color w:val="auto"/>
                <w:sz w:val="24"/>
              </w:rPr>
              <w:t xml:space="preserve">注1：监狱企业须提供由省级以上监狱管理局（常州市含教育矫治局）、戒毒管理局（含新疆生产建设兵团）出具的属于监狱企业的证明文件。</w:t>
            </w:r>
            <w:r/>
          </w:p>
          <w:p>
            <w:pPr>
              <w:tabs>
                <w:tab w:val="left" w:pos="1080" w:leader="none"/>
              </w:tabs>
              <w:rPr>
                <w:b/>
                <w:color w:val="auto"/>
                <w:sz w:val="24"/>
              </w:rPr>
            </w:pPr>
            <w:r>
              <w:rPr>
                <w:rFonts w:hint="eastAsia"/>
                <w:bCs/>
                <w:color w:val="auto"/>
                <w:sz w:val="24"/>
              </w:rPr>
              <w:t xml:space="preserve">注2：残疾人福利性单位须按磋商文件要求提供《残疾人福利性单位声明函》。</w:t>
            </w:r>
            <w:r/>
          </w:p>
        </w:tc>
        <w:tc>
          <w:tcPr>
            <w:tcW w:w="1943" w:type="dxa"/>
            <w:vAlign w:val="center"/>
            <w:textDirection w:val="lrTb"/>
            <w:noWrap w:val="false"/>
          </w:tcPr>
          <w:p>
            <w:pPr>
              <w:tabs>
                <w:tab w:val="left" w:pos="1080" w:leader="none"/>
              </w:tabs>
              <w:rPr>
                <w:color w:val="auto"/>
                <w:sz w:val="24"/>
              </w:rPr>
            </w:pPr>
            <w:r>
              <w:rPr>
                <w:color w:val="auto"/>
                <w:sz w:val="24"/>
              </w:rPr>
              <w:t xml:space="preserve">格式见《响应文件格式》</w:t>
            </w:r>
            <w:r/>
          </w:p>
        </w:tc>
      </w:tr>
      <w:tr>
        <w:trPr>
          <w:cantSplit/>
          <w:trHeight w:val="20"/>
        </w:trPr>
        <w:tc>
          <w:tcPr>
            <w:tcW w:w="742" w:type="dxa"/>
            <w:vAlign w:val="center"/>
            <w:textDirection w:val="lrTb"/>
            <w:noWrap w:val="false"/>
          </w:tcPr>
          <w:p>
            <w:pPr>
              <w:jc w:val="center"/>
              <w:tabs>
                <w:tab w:val="left" w:pos="1080" w:leader="none"/>
              </w:tabs>
              <w:rPr>
                <w:color w:val="auto"/>
                <w:sz w:val="24"/>
              </w:rPr>
            </w:pPr>
            <w:r>
              <w:rPr>
                <w:color w:val="auto"/>
                <w:sz w:val="24"/>
              </w:rPr>
              <w:t xml:space="preserve">3</w:t>
            </w:r>
            <w:r/>
          </w:p>
        </w:tc>
        <w:tc>
          <w:tcPr>
            <w:tcW w:w="2093" w:type="dxa"/>
            <w:vAlign w:val="center"/>
            <w:textDirection w:val="lrTb"/>
            <w:noWrap w:val="false"/>
          </w:tcPr>
          <w:p>
            <w:pPr>
              <w:tabs>
                <w:tab w:val="left" w:pos="1080" w:leader="none"/>
              </w:tabs>
              <w:rPr>
                <w:color w:val="auto"/>
                <w:sz w:val="24"/>
              </w:rPr>
            </w:pPr>
            <w:r>
              <w:rPr>
                <w:color w:val="auto"/>
                <w:sz w:val="24"/>
              </w:rPr>
              <w:t xml:space="preserve">本项目的特定资格要求</w:t>
            </w:r>
            <w:r/>
          </w:p>
        </w:tc>
        <w:tc>
          <w:tcPr>
            <w:tcW w:w="5110" w:type="dxa"/>
            <w:vAlign w:val="center"/>
            <w:textDirection w:val="lrTb"/>
            <w:noWrap w:val="false"/>
          </w:tcPr>
          <w:p>
            <w:pPr>
              <w:tabs>
                <w:tab w:val="left" w:pos="1080" w:leader="none"/>
              </w:tabs>
              <w:rPr>
                <w:color w:val="auto"/>
                <w:sz w:val="24"/>
              </w:rPr>
            </w:pPr>
            <w:r>
              <w:rPr>
                <w:color w:val="auto"/>
                <w:sz w:val="24"/>
              </w:rPr>
              <w:t xml:space="preserve">如有，见第一章《竞争性磋商公告》</w:t>
            </w:r>
            <w:r/>
          </w:p>
        </w:tc>
        <w:tc>
          <w:tcPr>
            <w:tcW w:w="1943" w:type="dxa"/>
            <w:vAlign w:val="center"/>
            <w:textDirection w:val="lrTb"/>
            <w:noWrap w:val="false"/>
          </w:tcPr>
          <w:p>
            <w:pPr>
              <w:tabs>
                <w:tab w:val="left" w:pos="1080" w:leader="none"/>
              </w:tabs>
              <w:rPr>
                <w:color w:val="auto"/>
                <w:sz w:val="24"/>
              </w:rPr>
            </w:pPr>
            <w:r>
              <w:rPr>
                <w:color w:val="auto"/>
                <w:sz w:val="24"/>
              </w:rPr>
            </w:r>
            <w:r/>
          </w:p>
        </w:tc>
      </w:tr>
      <w:tr>
        <w:trPr>
          <w:cantSplit/>
          <w:trHeight w:val="20"/>
        </w:trPr>
        <w:tc>
          <w:tcPr>
            <w:tcW w:w="742" w:type="dxa"/>
            <w:vAlign w:val="center"/>
            <w:textDirection w:val="lrTb"/>
            <w:noWrap w:val="false"/>
          </w:tcPr>
          <w:p>
            <w:pPr>
              <w:jc w:val="center"/>
              <w:tabs>
                <w:tab w:val="left" w:pos="1080" w:leader="none"/>
              </w:tabs>
              <w:rPr>
                <w:color w:val="auto"/>
                <w:sz w:val="24"/>
              </w:rPr>
            </w:pPr>
            <w:r>
              <w:rPr>
                <w:color w:val="auto"/>
                <w:sz w:val="24"/>
              </w:rPr>
              <w:t xml:space="preserve">3-2</w:t>
            </w:r>
            <w:r/>
          </w:p>
        </w:tc>
        <w:tc>
          <w:tcPr>
            <w:tcW w:w="2093" w:type="dxa"/>
            <w:vAlign w:val="center"/>
            <w:textDirection w:val="lrTb"/>
            <w:noWrap w:val="false"/>
          </w:tcPr>
          <w:p>
            <w:pPr>
              <w:jc w:val="center"/>
              <w:tabs>
                <w:tab w:val="left" w:pos="1080" w:leader="none"/>
              </w:tabs>
              <w:rPr>
                <w:color w:val="auto"/>
                <w:sz w:val="24"/>
              </w:rPr>
            </w:pPr>
            <w:r>
              <w:rPr>
                <w:color w:val="auto"/>
                <w:sz w:val="24"/>
              </w:rPr>
              <w:t xml:space="preserve">其他特定资格要求</w:t>
            </w:r>
            <w:r/>
          </w:p>
        </w:tc>
        <w:tc>
          <w:tcPr>
            <w:tcW w:w="5110" w:type="dxa"/>
            <w:vAlign w:val="center"/>
            <w:textDirection w:val="lrTb"/>
            <w:noWrap w:val="false"/>
          </w:tcPr>
          <w:p>
            <w:pPr>
              <w:keepLines w:val="0"/>
              <w:keepNext w:val="0"/>
              <w:pageBreakBefore w:val="0"/>
              <w:spacing w:before="123" w:line="240" w:lineRule="auto"/>
              <w:rPr>
                <w:color w:val="auto"/>
                <w:sz w:val="24"/>
              </w:rPr>
            </w:pPr>
            <w:r>
              <w:rPr>
                <w:color w:val="auto"/>
                <w:sz w:val="24"/>
              </w:rPr>
              <w:t xml:space="preserve">1、营业执照（三证合一）或法人证书；（如为联合体，则为联合体各方）</w:t>
            </w:r>
            <w:r/>
          </w:p>
          <w:p>
            <w:pPr>
              <w:keepLines w:val="0"/>
              <w:keepNext w:val="0"/>
              <w:pageBreakBefore w:val="0"/>
              <w:spacing w:before="123" w:line="240" w:lineRule="auto"/>
              <w:rPr>
                <w:color w:val="auto"/>
                <w:sz w:val="24"/>
              </w:rPr>
            </w:pPr>
            <w:r>
              <w:rPr>
                <w:color w:val="auto"/>
                <w:sz w:val="24"/>
              </w:rPr>
              <w:t xml:space="preserve">2、企业资质证书；（如为联合体，则为联合体各方）</w:t>
            </w:r>
            <w:r/>
          </w:p>
          <w:p>
            <w:pPr>
              <w:keepLines w:val="0"/>
              <w:keepNext w:val="0"/>
              <w:pageBreakBefore w:val="0"/>
              <w:spacing w:before="123" w:line="240" w:lineRule="auto"/>
              <w:rPr>
                <w:color w:val="auto"/>
                <w:sz w:val="24"/>
              </w:rPr>
            </w:pPr>
            <w:r>
              <w:rPr>
                <w:color w:val="auto"/>
                <w:sz w:val="24"/>
              </w:rPr>
              <w:t xml:space="preserve">3、企业安全生产许可证；（如为联合体，则为联合体各方）</w:t>
            </w:r>
            <w:r/>
          </w:p>
          <w:p>
            <w:pPr>
              <w:keepLines w:val="0"/>
              <w:keepNext w:val="0"/>
              <w:pageBreakBefore w:val="0"/>
              <w:spacing w:before="123" w:line="240" w:lineRule="auto"/>
              <w:rPr>
                <w:color w:val="auto"/>
                <w:sz w:val="24"/>
              </w:rPr>
            </w:pPr>
            <w:r>
              <w:rPr>
                <w:color w:val="auto"/>
                <w:sz w:val="24"/>
              </w:rPr>
              <w:t xml:space="preserve">4、项目负责人资质证书及B证；</w:t>
            </w:r>
            <w:r>
              <w:rPr>
                <w:rFonts w:hint="eastAsia"/>
                <w:color w:val="auto"/>
                <w:sz w:val="24"/>
                <w:lang w:eastAsia="zh-CN"/>
              </w:rPr>
              <w:t xml:space="preserve">供应商</w:t>
            </w:r>
            <w:r>
              <w:rPr>
                <w:rFonts w:hint="eastAsia"/>
                <w:color w:val="auto"/>
                <w:sz w:val="24"/>
                <w:lang w:val="en-US" w:eastAsia="zh-CN"/>
              </w:rPr>
              <w:t xml:space="preserve">为其缴纳的近三个月（2026年4月-2026年6月）中任意一个月的社保缴费证明；</w:t>
            </w:r>
            <w:r>
              <w:rPr>
                <w:color w:val="auto"/>
                <w:sz w:val="24"/>
              </w:rPr>
              <w:t xml:space="preserve">（如为联合体，则为联合体主办方）</w:t>
            </w:r>
            <w:r/>
          </w:p>
          <w:p>
            <w:pPr>
              <w:spacing w:line="240" w:lineRule="auto"/>
              <w:tabs>
                <w:tab w:val="left" w:pos="1080" w:leader="none"/>
              </w:tabs>
              <w:rPr>
                <w:rFonts w:hint="eastAsia" w:eastAsia="宋体"/>
                <w:color w:val="auto"/>
                <w:sz w:val="24"/>
                <w:lang w:eastAsia="zh-CN"/>
              </w:rPr>
            </w:pPr>
            <w:r>
              <w:rPr>
                <w:color w:val="auto"/>
                <w:sz w:val="24"/>
              </w:rPr>
              <w:t xml:space="preserve">5、联合体协议书（如有）；</w:t>
            </w:r>
            <w:r/>
          </w:p>
        </w:tc>
        <w:tc>
          <w:tcPr>
            <w:tcW w:w="1943" w:type="dxa"/>
            <w:vAlign w:val="center"/>
            <w:textDirection w:val="lrTb"/>
            <w:noWrap w:val="false"/>
          </w:tcPr>
          <w:p>
            <w:pPr>
              <w:tabs>
                <w:tab w:val="left" w:pos="1080" w:leader="none"/>
              </w:tabs>
              <w:rPr>
                <w:color w:val="auto"/>
                <w:sz w:val="24"/>
              </w:rPr>
            </w:pPr>
            <w:r>
              <w:rPr>
                <w:rFonts w:hint="eastAsia"/>
                <w:color w:val="auto"/>
                <w:sz w:val="24"/>
                <w:lang w:val="en-US" w:eastAsia="zh-CN"/>
              </w:rPr>
              <w:t xml:space="preserve">须提供有限期内的上述电子件或电子证照</w:t>
            </w:r>
            <w:r/>
          </w:p>
        </w:tc>
      </w:tr>
    </w:tbl>
    <w:p>
      <w:pPr>
        <w:jc w:val="left"/>
        <w:widowControl/>
        <w:rPr>
          <w:color w:val="auto"/>
          <w:sz w:val="24"/>
        </w:rPr>
      </w:pPr>
      <w:r>
        <w:rPr>
          <w:color w:val="auto"/>
          <w:sz w:val="24"/>
        </w:rPr>
        <w:br w:type="page" w:clear="all"/>
      </w:r>
      <w:r/>
    </w:p>
    <w:p>
      <w:pPr>
        <w:numPr>
          <w:ilvl w:val="1"/>
          <w:numId w:val="11"/>
        </w:numPr>
        <w:ind w:left="1077" w:hanging="720"/>
        <w:spacing w:line="360" w:lineRule="auto"/>
        <w:tabs>
          <w:tab w:val="left" w:pos="1080" w:leader="none"/>
        </w:tabs>
        <w:rPr>
          <w:color w:val="auto"/>
          <w:sz w:val="24"/>
        </w:rPr>
      </w:pPr>
      <w:r>
        <w:rPr>
          <w:color w:val="auto"/>
          <w:sz w:val="24"/>
        </w:rPr>
        <w:t xml:space="preserve">《符合性审查要求》见下表：</w:t>
      </w:r>
      <w:r/>
    </w:p>
    <w:p>
      <w:pPr>
        <w:jc w:val="center"/>
        <w:spacing w:line="360" w:lineRule="auto"/>
        <w:widowControl/>
        <w:rPr>
          <w:rFonts w:hint="eastAsia"/>
          <w:b/>
          <w:color w:val="auto"/>
          <w:sz w:val="24"/>
        </w:rPr>
      </w:pPr>
      <w:r>
        <w:rPr>
          <w:b/>
          <w:color w:val="auto"/>
          <w:sz w:val="24"/>
        </w:rPr>
        <w:t xml:space="preserve">符合性审查要求</w:t>
      </w:r>
      <w:r/>
    </w:p>
    <w:tbl>
      <w:tblPr>
        <w:tblStyle w:val="90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906"/>
        <w:gridCol w:w="7089"/>
      </w:tblGrid>
      <w:tr>
        <w:trPr>
          <w:jc w:val="center"/>
          <w:trHeight w:val="300"/>
        </w:trPr>
        <w:tc>
          <w:tcPr>
            <w:tcW w:w="839" w:type="dxa"/>
            <w:vAlign w:val="center"/>
            <w:textDirection w:val="lrTb"/>
            <w:noWrap w:val="false"/>
          </w:tcPr>
          <w:p>
            <w:pPr>
              <w:jc w:val="center"/>
              <w:widowControl/>
              <w:rPr>
                <w:b/>
                <w:color w:val="auto"/>
                <w:sz w:val="24"/>
              </w:rPr>
            </w:pPr>
            <w:r>
              <w:rPr>
                <w:b/>
                <w:color w:val="auto"/>
                <w:sz w:val="24"/>
              </w:rPr>
              <w:t xml:space="preserve">序号</w:t>
            </w:r>
            <w:r/>
          </w:p>
        </w:tc>
        <w:tc>
          <w:tcPr>
            <w:tcW w:w="1790" w:type="dxa"/>
            <w:vAlign w:val="center"/>
            <w:textDirection w:val="lrTb"/>
            <w:noWrap w:val="false"/>
          </w:tcPr>
          <w:p>
            <w:pPr>
              <w:jc w:val="center"/>
              <w:widowControl/>
              <w:rPr>
                <w:b/>
                <w:color w:val="auto"/>
                <w:sz w:val="24"/>
              </w:rPr>
            </w:pPr>
            <w:r>
              <w:rPr>
                <w:b/>
                <w:color w:val="auto"/>
                <w:sz w:val="24"/>
              </w:rPr>
              <w:t xml:space="preserve">审查因素</w:t>
            </w:r>
            <w:r/>
          </w:p>
        </w:tc>
        <w:tc>
          <w:tcPr>
            <w:tcW w:w="6659" w:type="dxa"/>
            <w:vAlign w:val="center"/>
            <w:textDirection w:val="lrTb"/>
            <w:noWrap w:val="false"/>
          </w:tcPr>
          <w:p>
            <w:pPr>
              <w:jc w:val="center"/>
              <w:widowControl/>
              <w:rPr>
                <w:b/>
                <w:color w:val="auto"/>
                <w:sz w:val="24"/>
              </w:rPr>
            </w:pPr>
            <w:r>
              <w:rPr>
                <w:b/>
                <w:color w:val="auto"/>
                <w:sz w:val="24"/>
              </w:rPr>
              <w:t xml:space="preserve">审查内容</w:t>
            </w:r>
            <w:r/>
          </w:p>
        </w:tc>
      </w:tr>
      <w:tr>
        <w:trPr>
          <w:jc w:val="center"/>
          <w:trHeight w:val="685"/>
        </w:trPr>
        <w:tc>
          <w:tcPr>
            <w:tcW w:w="839" w:type="dxa"/>
            <w:vAlign w:val="center"/>
            <w:textDirection w:val="lrTb"/>
            <w:noWrap w:val="false"/>
          </w:tcPr>
          <w:p>
            <w:pPr>
              <w:jc w:val="center"/>
              <w:widowControl/>
              <w:rPr>
                <w:color w:val="auto"/>
                <w:sz w:val="24"/>
              </w:rPr>
            </w:pPr>
            <w:r>
              <w:rPr>
                <w:color w:val="auto"/>
                <w:sz w:val="24"/>
              </w:rPr>
              <w:t xml:space="preserve">1</w:t>
            </w:r>
            <w:r/>
          </w:p>
        </w:tc>
        <w:tc>
          <w:tcPr>
            <w:tcW w:w="1790" w:type="dxa"/>
            <w:vAlign w:val="center"/>
            <w:textDirection w:val="lrTb"/>
            <w:noWrap w:val="false"/>
          </w:tcPr>
          <w:p>
            <w:pPr>
              <w:jc w:val="left"/>
              <w:widowControl/>
              <w:rPr>
                <w:b w:val="0"/>
                <w:bCs w:val="0"/>
                <w:color w:val="auto"/>
                <w:sz w:val="24"/>
              </w:rPr>
            </w:pPr>
            <w:r>
              <w:rPr>
                <w:rFonts w:hint="eastAsia"/>
                <w:b w:val="0"/>
                <w:bCs w:val="0"/>
                <w:color w:val="auto"/>
                <w:sz w:val="24"/>
              </w:rPr>
              <w:t xml:space="preserve">响应函、法定代表人资格证明书和政府采购供应商信用承诺书</w:t>
            </w:r>
            <w:r/>
          </w:p>
        </w:tc>
        <w:tc>
          <w:tcPr>
            <w:tcW w:w="6659" w:type="dxa"/>
            <w:vAlign w:val="center"/>
            <w:textDirection w:val="lrTb"/>
            <w:noWrap w:val="false"/>
          </w:tcPr>
          <w:p>
            <w:pPr>
              <w:jc w:val="left"/>
              <w:widowControl/>
              <w:rPr>
                <w:color w:val="auto"/>
                <w:sz w:val="24"/>
              </w:rPr>
            </w:pPr>
            <w:r>
              <w:rPr>
                <w:color w:val="auto"/>
                <w:sz w:val="24"/>
              </w:rPr>
              <w:t xml:space="preserve">按磋商文件要求提供</w:t>
            </w:r>
            <w:r>
              <w:rPr>
                <w:rFonts w:hint="eastAsia"/>
                <w:color w:val="auto"/>
                <w:sz w:val="24"/>
              </w:rPr>
              <w:t xml:space="preserve">响应函、法定代表人资格证明书和政府采购供应商信用承诺书</w:t>
            </w:r>
            <w:r>
              <w:rPr>
                <w:color w:val="auto"/>
                <w:sz w:val="24"/>
              </w:rPr>
              <w:t xml:space="preserve">；</w:t>
            </w:r>
            <w:r/>
          </w:p>
        </w:tc>
      </w:tr>
      <w:tr>
        <w:trPr>
          <w:jc w:val="center"/>
          <w:trHeight w:val="685"/>
        </w:trPr>
        <w:tc>
          <w:tcPr>
            <w:tcW w:w="839" w:type="dxa"/>
            <w:vAlign w:val="center"/>
            <w:textDirection w:val="lrTb"/>
            <w:noWrap w:val="false"/>
          </w:tcPr>
          <w:p>
            <w:pPr>
              <w:jc w:val="center"/>
              <w:widowControl/>
              <w:rPr>
                <w:color w:val="auto"/>
                <w:sz w:val="24"/>
              </w:rPr>
            </w:pPr>
            <w:r>
              <w:rPr>
                <w:color w:val="auto"/>
                <w:sz w:val="24"/>
              </w:rPr>
              <w:t xml:space="preserve">2</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响应完整性</w:t>
            </w:r>
            <w:r/>
          </w:p>
        </w:tc>
        <w:tc>
          <w:tcPr>
            <w:tcW w:w="6659" w:type="dxa"/>
            <w:vAlign w:val="center"/>
            <w:textDirection w:val="lrTb"/>
            <w:noWrap w:val="false"/>
          </w:tcPr>
          <w:p>
            <w:pPr>
              <w:jc w:val="left"/>
              <w:widowControl/>
              <w:rPr>
                <w:color w:val="auto"/>
                <w:sz w:val="24"/>
              </w:rPr>
            </w:pPr>
            <w:r>
              <w:rPr>
                <w:rFonts w:hint="eastAsia"/>
                <w:color w:val="auto"/>
                <w:sz w:val="24"/>
              </w:rPr>
              <w:t xml:space="preserve">未</w:t>
            </w:r>
            <w:r>
              <w:rPr>
                <w:color w:val="auto"/>
                <w:sz w:val="24"/>
              </w:rPr>
              <w:t xml:space="preserve">将一个采购包中的内容拆开响应；</w:t>
            </w:r>
            <w:r/>
          </w:p>
        </w:tc>
      </w:tr>
      <w:tr>
        <w:trPr>
          <w:jc w:val="center"/>
          <w:trHeight w:val="685"/>
        </w:trPr>
        <w:tc>
          <w:tcPr>
            <w:tcW w:w="839" w:type="dxa"/>
            <w:vAlign w:val="center"/>
            <w:textDirection w:val="lrTb"/>
            <w:noWrap w:val="false"/>
          </w:tcPr>
          <w:p>
            <w:pPr>
              <w:jc w:val="center"/>
              <w:widowControl/>
              <w:rPr>
                <w:color w:val="auto"/>
                <w:sz w:val="24"/>
              </w:rPr>
            </w:pPr>
            <w:r>
              <w:rPr>
                <w:color w:val="auto"/>
                <w:sz w:val="24"/>
              </w:rPr>
              <w:t xml:space="preserve">3</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响应报价</w:t>
            </w:r>
            <w:r/>
          </w:p>
        </w:tc>
        <w:tc>
          <w:tcPr>
            <w:tcW w:w="6659" w:type="dxa"/>
            <w:vAlign w:val="center"/>
            <w:textDirection w:val="lrTb"/>
            <w:noWrap w:val="false"/>
          </w:tcPr>
          <w:p>
            <w:pPr>
              <w:jc w:val="left"/>
              <w:widowControl/>
              <w:rPr>
                <w:color w:val="auto"/>
                <w:sz w:val="24"/>
              </w:rPr>
            </w:pPr>
            <w:r>
              <w:rPr>
                <w:rFonts w:hint="eastAsia"/>
                <w:b/>
                <w:bCs/>
                <w:color w:val="auto"/>
                <w:sz w:val="24"/>
                <w:highlight w:val="none"/>
                <w:lang w:eastAsia="zh-CN"/>
              </w:rPr>
              <w:t xml:space="preserve">响应</w:t>
            </w:r>
            <w:r>
              <w:rPr>
                <w:b/>
                <w:bCs/>
                <w:color w:val="auto"/>
                <w:sz w:val="24"/>
                <w:highlight w:val="none"/>
              </w:rPr>
              <w:t xml:space="preserve">报价</w:t>
            </w:r>
            <w:r>
              <w:rPr>
                <w:rFonts w:hint="eastAsia"/>
                <w:b/>
                <w:bCs/>
                <w:color w:val="auto"/>
                <w:sz w:val="24"/>
                <w:highlight w:val="none"/>
              </w:rPr>
              <w:t xml:space="preserve">未</w:t>
            </w:r>
            <w:r>
              <w:rPr>
                <w:b/>
                <w:bCs/>
                <w:color w:val="auto"/>
                <w:sz w:val="24"/>
                <w:highlight w:val="none"/>
              </w:rPr>
              <w:t xml:space="preserve">超过</w:t>
            </w:r>
            <w:r>
              <w:rPr>
                <w:rFonts w:hint="eastAsia"/>
                <w:b/>
                <w:bCs/>
                <w:color w:val="auto"/>
                <w:sz w:val="24"/>
                <w:highlight w:val="none"/>
              </w:rPr>
              <w:t xml:space="preserve">采购文件</w:t>
            </w:r>
            <w:r>
              <w:rPr>
                <w:b/>
                <w:bCs/>
                <w:color w:val="auto"/>
                <w:sz w:val="24"/>
                <w:highlight w:val="none"/>
              </w:rPr>
              <w:t xml:space="preserve">中规定的项目预算金额</w:t>
            </w:r>
            <w:r>
              <w:rPr>
                <w:rFonts w:hint="eastAsia"/>
                <w:b/>
                <w:bCs/>
                <w:color w:val="auto"/>
                <w:sz w:val="24"/>
                <w:highlight w:val="none"/>
                <w:lang w:val="en-US" w:eastAsia="zh-CN"/>
              </w:rPr>
              <w:t xml:space="preserve">或最高限价</w:t>
            </w:r>
            <w:r>
              <w:rPr>
                <w:rFonts w:hint="eastAsia"/>
                <w:b/>
                <w:bCs/>
                <w:color w:val="auto"/>
                <w:sz w:val="24"/>
                <w:highlight w:val="none"/>
                <w:lang w:eastAsia="zh-CN"/>
              </w:rPr>
              <w:t xml:space="preserve">；</w:t>
            </w:r>
            <w:r>
              <w:rPr>
                <w:rFonts w:hint="eastAsia"/>
                <w:b/>
                <w:bCs/>
                <w:color w:val="auto"/>
                <w:sz w:val="24"/>
              </w:rPr>
              <w:t xml:space="preserve">未改变文件中明确列出的不可竞争费的名称</w:t>
            </w:r>
            <w:r>
              <w:rPr>
                <w:rFonts w:hint="eastAsia"/>
                <w:b/>
                <w:bCs/>
                <w:color w:val="auto"/>
                <w:sz w:val="24"/>
                <w:lang w:eastAsia="zh-CN"/>
              </w:rPr>
              <w:t xml:space="preserve">、</w:t>
            </w:r>
            <w:r>
              <w:rPr>
                <w:rFonts w:hint="eastAsia"/>
                <w:b/>
                <w:bCs/>
                <w:color w:val="auto"/>
                <w:sz w:val="24"/>
                <w:lang w:val="en-US" w:eastAsia="zh-CN"/>
              </w:rPr>
              <w:t xml:space="preserve">价格或</w:t>
            </w:r>
            <w:r>
              <w:rPr>
                <w:rFonts w:hint="eastAsia"/>
                <w:b/>
                <w:bCs/>
                <w:color w:val="auto"/>
                <w:sz w:val="24"/>
              </w:rPr>
              <w:t xml:space="preserve">费率</w:t>
            </w:r>
            <w:r>
              <w:rPr>
                <w:rFonts w:hint="eastAsia"/>
                <w:b/>
                <w:bCs/>
                <w:color w:val="auto"/>
                <w:sz w:val="24"/>
                <w:lang w:eastAsia="zh-CN"/>
              </w:rPr>
              <w:t xml:space="preserve">；</w:t>
            </w:r>
            <w:r/>
          </w:p>
        </w:tc>
      </w:tr>
      <w:tr>
        <w:trPr>
          <w:jc w:val="center"/>
          <w:trHeight w:val="685"/>
        </w:trPr>
        <w:tc>
          <w:tcPr>
            <w:tcW w:w="839" w:type="dxa"/>
            <w:vAlign w:val="center"/>
            <w:textDirection w:val="lrTb"/>
            <w:noWrap w:val="false"/>
          </w:tcPr>
          <w:p>
            <w:pPr>
              <w:jc w:val="center"/>
              <w:widowControl/>
              <w:rPr>
                <w:color w:val="auto"/>
                <w:sz w:val="24"/>
              </w:rPr>
            </w:pPr>
            <w:r>
              <w:rPr>
                <w:color w:val="auto"/>
                <w:sz w:val="24"/>
              </w:rPr>
              <w:t xml:space="preserve">4</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报价唯一性</w:t>
            </w:r>
            <w:r/>
          </w:p>
        </w:tc>
        <w:tc>
          <w:tcPr>
            <w:tcW w:w="6659" w:type="dxa"/>
            <w:vAlign w:val="center"/>
            <w:textDirection w:val="lrTb"/>
            <w:noWrap w:val="false"/>
          </w:tcPr>
          <w:p>
            <w:pPr>
              <w:jc w:val="left"/>
              <w:widowControl/>
              <w:rPr>
                <w:color w:val="auto"/>
                <w:sz w:val="24"/>
              </w:rPr>
            </w:pPr>
            <w:r>
              <w:rPr>
                <w:color w:val="auto"/>
                <w:sz w:val="24"/>
              </w:rPr>
              <w:t xml:space="preserve">响应文件</w:t>
            </w:r>
            <w:r>
              <w:rPr>
                <w:rFonts w:hint="eastAsia"/>
                <w:color w:val="auto"/>
                <w:sz w:val="24"/>
              </w:rPr>
              <w:t xml:space="preserve">未</w:t>
            </w:r>
            <w:r>
              <w:rPr>
                <w:rFonts w:hint="eastAsia"/>
                <w:color w:val="auto"/>
                <w:sz w:val="24"/>
              </w:rPr>
              <w:t xml:space="preserve">出现可选择性或可调整的报价（磋商文件另有规定的除外）</w:t>
            </w:r>
            <w:r>
              <w:rPr>
                <w:color w:val="auto"/>
                <w:sz w:val="24"/>
              </w:rPr>
              <w:t xml:space="preserve">；</w:t>
            </w:r>
            <w:r/>
          </w:p>
        </w:tc>
      </w:tr>
      <w:tr>
        <w:trPr>
          <w:jc w:val="center"/>
          <w:trHeight w:val="685"/>
        </w:trPr>
        <w:tc>
          <w:tcPr>
            <w:tcW w:w="839" w:type="dxa"/>
            <w:vAlign w:val="center"/>
            <w:textDirection w:val="lrTb"/>
            <w:noWrap w:val="false"/>
          </w:tcPr>
          <w:p>
            <w:pPr>
              <w:jc w:val="center"/>
              <w:widowControl/>
              <w:rPr>
                <w:color w:val="auto"/>
                <w:sz w:val="24"/>
              </w:rPr>
            </w:pPr>
            <w:r>
              <w:rPr>
                <w:color w:val="auto"/>
                <w:sz w:val="24"/>
              </w:rPr>
              <w:t xml:space="preserve">5</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响应有效期</w:t>
            </w:r>
            <w:r/>
          </w:p>
        </w:tc>
        <w:tc>
          <w:tcPr>
            <w:tcW w:w="6659" w:type="dxa"/>
            <w:vAlign w:val="center"/>
            <w:textDirection w:val="lrTb"/>
            <w:noWrap w:val="false"/>
          </w:tcPr>
          <w:p>
            <w:pPr>
              <w:jc w:val="left"/>
              <w:widowControl/>
              <w:rPr>
                <w:color w:val="auto"/>
                <w:sz w:val="24"/>
              </w:rPr>
            </w:pPr>
            <w:r>
              <w:rPr>
                <w:color w:val="auto"/>
                <w:sz w:val="24"/>
              </w:rPr>
              <w:t xml:space="preserve">响应文件中承诺的响应有效期</w:t>
            </w:r>
            <w:r>
              <w:rPr>
                <w:rFonts w:hint="eastAsia"/>
                <w:color w:val="auto"/>
                <w:sz w:val="24"/>
              </w:rPr>
              <w:t xml:space="preserve">满足</w:t>
            </w:r>
            <w:r>
              <w:rPr>
                <w:color w:val="auto"/>
                <w:sz w:val="24"/>
              </w:rPr>
              <w:t xml:space="preserve">磋商文件中载明的响应有效期的；</w:t>
            </w:r>
            <w:r/>
          </w:p>
        </w:tc>
      </w:tr>
      <w:tr>
        <w:trPr>
          <w:jc w:val="center"/>
          <w:trHeight w:val="685"/>
        </w:trPr>
        <w:tc>
          <w:tcPr>
            <w:tcW w:w="839" w:type="dxa"/>
            <w:vAlign w:val="center"/>
            <w:textDirection w:val="lrTb"/>
            <w:noWrap w:val="false"/>
          </w:tcPr>
          <w:p>
            <w:pPr>
              <w:jc w:val="center"/>
              <w:widowControl/>
              <w:rPr>
                <w:color w:val="auto"/>
                <w:sz w:val="24"/>
              </w:rPr>
            </w:pPr>
            <w:r>
              <w:rPr>
                <w:color w:val="auto"/>
                <w:sz w:val="24"/>
              </w:rPr>
              <w:t xml:space="preserve">6</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签署、加盖公章</w:t>
            </w:r>
            <w:r/>
          </w:p>
        </w:tc>
        <w:tc>
          <w:tcPr>
            <w:tcW w:w="6659" w:type="dxa"/>
            <w:vAlign w:val="center"/>
            <w:textDirection w:val="lrTb"/>
            <w:noWrap w:val="false"/>
          </w:tcPr>
          <w:p>
            <w:pPr>
              <w:jc w:val="left"/>
              <w:widowControl/>
              <w:rPr>
                <w:color w:val="auto"/>
                <w:sz w:val="24"/>
              </w:rPr>
            </w:pPr>
            <w:r>
              <w:rPr>
                <w:color w:val="auto"/>
                <w:sz w:val="24"/>
              </w:rPr>
              <w:t xml:space="preserve">按照磋商文件要求签署、加盖公章的；</w:t>
            </w:r>
            <w:r/>
          </w:p>
        </w:tc>
      </w:tr>
      <w:tr>
        <w:trPr>
          <w:jc w:val="center"/>
          <w:trHeight w:val="685"/>
        </w:trPr>
        <w:tc>
          <w:tcPr>
            <w:tcW w:w="839" w:type="dxa"/>
            <w:vAlign w:val="center"/>
            <w:textDirection w:val="lrTb"/>
            <w:noWrap w:val="false"/>
          </w:tcPr>
          <w:p>
            <w:pPr>
              <w:jc w:val="center"/>
              <w:widowControl/>
              <w:rPr>
                <w:color w:val="auto"/>
                <w:sz w:val="24"/>
              </w:rPr>
            </w:pPr>
            <w:r>
              <w:rPr>
                <w:rFonts w:hint="eastAsia"/>
                <w:color w:val="auto"/>
                <w:sz w:val="24"/>
              </w:rPr>
              <w:t xml:space="preserve">7</w:t>
            </w:r>
            <w:r/>
          </w:p>
        </w:tc>
        <w:tc>
          <w:tcPr>
            <w:tcW w:w="1790" w:type="dxa"/>
            <w:vAlign w:val="center"/>
            <w:textDirection w:val="lrTb"/>
            <w:noWrap w:val="false"/>
          </w:tcPr>
          <w:p>
            <w:pPr>
              <w:jc w:val="left"/>
              <w:widowControl/>
              <w:rPr>
                <w:b w:val="0"/>
                <w:bCs w:val="0"/>
                <w:color w:val="auto"/>
                <w:sz w:val="24"/>
              </w:rPr>
            </w:pPr>
            <w:r>
              <w:rPr>
                <w:rFonts w:hint="eastAsia"/>
                <w:b w:val="0"/>
                <w:bCs w:val="0"/>
                <w:color w:val="auto"/>
                <w:sz w:val="24"/>
              </w:rPr>
              <w:t xml:space="preserve">实质性格式</w:t>
            </w:r>
            <w:r/>
          </w:p>
        </w:tc>
        <w:tc>
          <w:tcPr>
            <w:tcW w:w="6659" w:type="dxa"/>
            <w:vAlign w:val="center"/>
            <w:textDirection w:val="lrTb"/>
            <w:noWrap w:val="false"/>
          </w:tcPr>
          <w:p>
            <w:pPr>
              <w:jc w:val="left"/>
              <w:widowControl/>
              <w:rPr>
                <w:color w:val="auto"/>
                <w:sz w:val="24"/>
              </w:rPr>
            </w:pPr>
            <w:r>
              <w:rPr>
                <w:rFonts w:hint="eastAsia"/>
                <w:color w:val="auto"/>
                <w:sz w:val="24"/>
              </w:rPr>
              <w:t xml:space="preserve">标记为“</w:t>
            </w:r>
            <w:r>
              <w:rPr>
                <w:color w:val="auto"/>
                <w:sz w:val="24"/>
              </w:rPr>
              <w:t xml:space="preserve">实质性格式</w:t>
            </w:r>
            <w:r>
              <w:rPr>
                <w:rFonts w:hint="eastAsia"/>
                <w:color w:val="auto"/>
                <w:sz w:val="24"/>
              </w:rPr>
              <w:t xml:space="preserve">”</w:t>
            </w:r>
            <w:r>
              <w:rPr>
                <w:color w:val="auto"/>
                <w:sz w:val="24"/>
              </w:rPr>
              <w:t xml:space="preserve">的</w:t>
            </w:r>
            <w:r>
              <w:rPr>
                <w:rFonts w:hint="eastAsia"/>
                <w:color w:val="auto"/>
                <w:sz w:val="24"/>
              </w:rPr>
              <w:t xml:space="preserve">文件均按</w:t>
            </w:r>
            <w:r>
              <w:rPr>
                <w:color w:val="auto"/>
                <w:sz w:val="24"/>
              </w:rPr>
              <w:t xml:space="preserve">磋商文件</w:t>
            </w:r>
            <w:r>
              <w:rPr>
                <w:rFonts w:hint="eastAsia"/>
                <w:color w:val="auto"/>
                <w:sz w:val="24"/>
              </w:rPr>
              <w:t xml:space="preserve">要求提供；</w:t>
            </w:r>
            <w:r/>
          </w:p>
        </w:tc>
      </w:tr>
      <w:tr>
        <w:trPr>
          <w:jc w:val="center"/>
          <w:trHeight w:val="685"/>
        </w:trPr>
        <w:tc>
          <w:tcPr>
            <w:tcW w:w="839" w:type="dxa"/>
            <w:vAlign w:val="center"/>
            <w:textDirection w:val="lrTb"/>
            <w:noWrap w:val="false"/>
          </w:tcPr>
          <w:p>
            <w:pPr>
              <w:jc w:val="center"/>
              <w:widowControl/>
              <w:rPr>
                <w:rFonts w:hint="eastAsia"/>
                <w:color w:val="auto"/>
                <w:sz w:val="24"/>
              </w:rPr>
            </w:pPr>
            <w:r>
              <w:rPr>
                <w:color w:val="auto"/>
                <w:sz w:val="24"/>
                <w:highlight w:val="none"/>
              </w:rPr>
              <w:t xml:space="preserve">8</w:t>
            </w:r>
            <w:r/>
          </w:p>
        </w:tc>
        <w:tc>
          <w:tcPr>
            <w:tcW w:w="1790" w:type="dxa"/>
            <w:vAlign w:val="center"/>
            <w:textDirection w:val="lrTb"/>
            <w:noWrap w:val="false"/>
          </w:tcPr>
          <w:p>
            <w:pPr>
              <w:jc w:val="left"/>
              <w:widowControl/>
              <w:rPr>
                <w:rFonts w:hint="eastAsia"/>
                <w:b w:val="0"/>
                <w:bCs w:val="0"/>
                <w:color w:val="auto"/>
                <w:sz w:val="24"/>
              </w:rPr>
            </w:pPr>
            <w:r>
              <w:rPr>
                <w:rFonts w:ascii="Segoe UI Symbol" w:hAnsi="Segoe UI Symbol" w:cs="Segoe UI Symbol"/>
                <w:b/>
                <w:bCs/>
                <w:color w:val="auto"/>
                <w:sz w:val="24"/>
                <w:highlight w:val="none"/>
              </w:rPr>
              <w:t xml:space="preserve">★</w:t>
            </w:r>
            <w:r>
              <w:rPr>
                <w:b/>
                <w:bCs/>
                <w:color w:val="auto"/>
                <w:sz w:val="24"/>
                <w:highlight w:val="none"/>
              </w:rPr>
              <w:t xml:space="preserve">号条款响应</w:t>
            </w:r>
            <w:r/>
          </w:p>
        </w:tc>
        <w:tc>
          <w:tcPr>
            <w:tcW w:w="6659" w:type="dxa"/>
            <w:vAlign w:val="center"/>
            <w:textDirection w:val="lrTb"/>
            <w:noWrap w:val="false"/>
          </w:tcPr>
          <w:p>
            <w:pPr>
              <w:jc w:val="left"/>
              <w:widowControl/>
              <w:rPr>
                <w:rFonts w:hint="eastAsia"/>
                <w:color w:val="auto"/>
                <w:sz w:val="24"/>
              </w:rPr>
            </w:pPr>
            <w:r>
              <w:rPr>
                <w:rFonts w:hint="eastAsia"/>
                <w:b/>
                <w:bCs/>
                <w:color w:val="auto"/>
                <w:sz w:val="24"/>
                <w:highlight w:val="none"/>
                <w:lang w:eastAsia="zh-CN"/>
              </w:rPr>
              <w:t xml:space="preserve">响应</w:t>
            </w:r>
            <w:r>
              <w:rPr>
                <w:b/>
                <w:bCs/>
                <w:color w:val="auto"/>
                <w:sz w:val="24"/>
                <w:highlight w:val="none"/>
              </w:rPr>
              <w:t xml:space="preserve">文件满足</w:t>
            </w:r>
            <w:r>
              <w:rPr>
                <w:rFonts w:hint="eastAsia"/>
                <w:b/>
                <w:bCs/>
                <w:color w:val="auto"/>
                <w:sz w:val="24"/>
                <w:highlight w:val="none"/>
                <w:lang w:eastAsia="zh-CN"/>
              </w:rPr>
              <w:t xml:space="preserve">磋商</w:t>
            </w:r>
            <w:r>
              <w:rPr>
                <w:rFonts w:hint="eastAsia"/>
                <w:b/>
                <w:bCs/>
                <w:color w:val="auto"/>
                <w:sz w:val="24"/>
                <w:highlight w:val="none"/>
              </w:rPr>
              <w:t xml:space="preserve">文件</w:t>
            </w:r>
            <w:r>
              <w:rPr>
                <w:b/>
                <w:bCs/>
                <w:color w:val="auto"/>
                <w:sz w:val="24"/>
                <w:highlight w:val="none"/>
              </w:rPr>
              <w:t xml:space="preserve">第</w:t>
            </w:r>
            <w:r>
              <w:rPr>
                <w:rFonts w:hint="eastAsia"/>
                <w:b/>
                <w:bCs/>
                <w:color w:val="auto"/>
                <w:sz w:val="24"/>
                <w:highlight w:val="none"/>
                <w:lang w:eastAsia="zh-CN"/>
              </w:rPr>
              <w:t xml:space="preserve">四</w:t>
            </w:r>
            <w:r>
              <w:rPr>
                <w:b/>
                <w:bCs/>
                <w:color w:val="auto"/>
                <w:sz w:val="24"/>
                <w:highlight w:val="none"/>
              </w:rPr>
              <w:t xml:space="preserve">章《采购需求》中</w:t>
            </w:r>
            <w:r>
              <w:rPr>
                <w:rFonts w:ascii="Segoe UI Symbol" w:hAnsi="Segoe UI Symbol" w:cs="Segoe UI Symbol"/>
                <w:b/>
                <w:bCs/>
                <w:color w:val="auto"/>
                <w:sz w:val="24"/>
                <w:highlight w:val="none"/>
              </w:rPr>
              <w:t xml:space="preserve">★</w:t>
            </w:r>
            <w:r>
              <w:rPr>
                <w:b/>
                <w:bCs/>
                <w:color w:val="auto"/>
                <w:sz w:val="24"/>
                <w:highlight w:val="none"/>
              </w:rPr>
              <w:t xml:space="preserve">号条款要求的；</w:t>
            </w:r>
            <w:r/>
          </w:p>
        </w:tc>
      </w:tr>
      <w:tr>
        <w:trPr>
          <w:jc w:val="center"/>
          <w:trHeight w:val="1073"/>
        </w:trPr>
        <w:tc>
          <w:tcPr>
            <w:tcW w:w="839" w:type="dxa"/>
            <w:vAlign w:val="center"/>
            <w:textDirection w:val="lrTb"/>
            <w:noWrap w:val="false"/>
          </w:tcPr>
          <w:p>
            <w:pPr>
              <w:jc w:val="center"/>
              <w:widowControl/>
              <w:rPr>
                <w:rFonts w:hint="eastAsia" w:eastAsia="宋体"/>
                <w:color w:val="auto"/>
                <w:sz w:val="24"/>
                <w:szCs w:val="24"/>
                <w:lang w:val="en-US" w:eastAsia="zh-CN" w:bidi="ar-SA"/>
              </w:rPr>
            </w:pPr>
            <w:r>
              <w:rPr>
                <w:rFonts w:hint="eastAsia"/>
                <w:color w:val="auto"/>
                <w:sz w:val="24"/>
                <w:lang w:val="en-US" w:eastAsia="zh-CN"/>
              </w:rPr>
              <w:t xml:space="preserve">9</w:t>
            </w:r>
            <w:r/>
          </w:p>
        </w:tc>
        <w:tc>
          <w:tcPr>
            <w:tcW w:w="1790" w:type="dxa"/>
            <w:vAlign w:val="center"/>
            <w:textDirection w:val="lrTb"/>
            <w:noWrap w:val="false"/>
          </w:tcPr>
          <w:p>
            <w:pPr>
              <w:jc w:val="left"/>
              <w:widowControl/>
              <w:rPr>
                <w:rFonts w:hint="eastAsia"/>
                <w:b w:val="0"/>
                <w:bCs w:val="0"/>
                <w:color w:val="auto"/>
                <w:sz w:val="24"/>
              </w:rPr>
            </w:pPr>
            <w:r>
              <w:rPr>
                <w:b w:val="0"/>
                <w:bCs w:val="0"/>
                <w:color w:val="auto"/>
                <w:sz w:val="24"/>
              </w:rPr>
              <w:t xml:space="preserve">报价合理性</w:t>
            </w:r>
            <w:r/>
          </w:p>
        </w:tc>
        <w:tc>
          <w:tcPr>
            <w:tcW w:w="6659" w:type="dxa"/>
            <w:vAlign w:val="center"/>
            <w:textDirection w:val="lrTb"/>
            <w:noWrap w:val="false"/>
          </w:tcPr>
          <w:p>
            <w:pPr>
              <w:jc w:val="left"/>
              <w:widowControl/>
              <w:rPr>
                <w:rFonts w:hint="eastAsia"/>
                <w:color w:val="auto"/>
                <w:sz w:val="24"/>
              </w:rPr>
            </w:pPr>
            <w:r>
              <w:rPr>
                <w:color w:val="auto"/>
                <w:sz w:val="24"/>
              </w:rPr>
              <w:t xml:space="preserve">报价合理，或</w:t>
            </w:r>
            <w:r>
              <w:rPr>
                <w:rFonts w:hint="eastAsia"/>
                <w:color w:val="auto"/>
                <w:sz w:val="24"/>
              </w:rPr>
              <w:t xml:space="preserve">供应商的报价明显低于其他通过符合性审查供应商的报价，</w:t>
            </w:r>
            <w:r>
              <w:rPr>
                <w:color w:val="auto"/>
                <w:sz w:val="24"/>
              </w:rPr>
              <w:t xml:space="preserve">有可能影响</w:t>
            </w:r>
            <w:r>
              <w:rPr>
                <w:rFonts w:hint="eastAsia"/>
                <w:color w:val="auto"/>
                <w:sz w:val="24"/>
              </w:rPr>
              <w:t xml:space="preserve">服务</w:t>
            </w:r>
            <w:r>
              <w:rPr>
                <w:color w:val="auto"/>
                <w:sz w:val="24"/>
              </w:rPr>
              <w:t xml:space="preserve">质量或者不能诚信履约的</w:t>
            </w:r>
            <w:r>
              <w:rPr>
                <w:rFonts w:hint="eastAsia"/>
                <w:color w:val="auto"/>
                <w:sz w:val="24"/>
              </w:rPr>
              <w:t xml:space="preserve">，能够应磋商小组要求在规定时间内证明其报价合理性的</w:t>
            </w:r>
            <w:r>
              <w:rPr>
                <w:color w:val="auto"/>
                <w:sz w:val="24"/>
              </w:rPr>
              <w:t xml:space="preserve">；</w:t>
            </w:r>
            <w:r/>
          </w:p>
        </w:tc>
      </w:tr>
      <w:tr>
        <w:trPr>
          <w:jc w:val="center"/>
          <w:trHeight w:val="825"/>
        </w:trPr>
        <w:tc>
          <w:tcPr>
            <w:tcW w:w="839"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10</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报价的修正</w:t>
            </w:r>
            <w:r/>
          </w:p>
        </w:tc>
        <w:tc>
          <w:tcPr>
            <w:tcW w:w="6659" w:type="dxa"/>
            <w:vAlign w:val="center"/>
            <w:textDirection w:val="lrTb"/>
            <w:noWrap w:val="false"/>
          </w:tcPr>
          <w:p>
            <w:pPr>
              <w:jc w:val="left"/>
              <w:widowControl/>
              <w:rPr>
                <w:rFonts w:hint="eastAsia"/>
                <w:color w:val="auto"/>
                <w:sz w:val="24"/>
              </w:rPr>
            </w:pPr>
            <w:r>
              <w:rPr>
                <w:rFonts w:hint="eastAsia"/>
                <w:color w:val="auto"/>
                <w:sz w:val="24"/>
              </w:rPr>
              <w:t xml:space="preserve">不涉及报价修正</w:t>
            </w:r>
            <w:r>
              <w:rPr>
                <w:color w:val="auto"/>
                <w:sz w:val="24"/>
              </w:rPr>
              <w:t xml:space="preserve">，或响应文件报价出现前后不一致</w:t>
            </w:r>
            <w:r>
              <w:rPr>
                <w:rFonts w:hint="eastAsia"/>
                <w:color w:val="auto"/>
                <w:sz w:val="24"/>
              </w:rPr>
              <w:t xml:space="preserve">时</w:t>
            </w:r>
            <w:r>
              <w:rPr>
                <w:color w:val="auto"/>
                <w:sz w:val="24"/>
              </w:rPr>
              <w:t xml:space="preserve">，供应商对修正后的报价予</w:t>
            </w:r>
            <w:r>
              <w:rPr>
                <w:rFonts w:hint="eastAsia"/>
                <w:color w:val="auto"/>
                <w:sz w:val="24"/>
              </w:rPr>
              <w:t xml:space="preserve">以</w:t>
            </w:r>
            <w:r>
              <w:rPr>
                <w:color w:val="auto"/>
                <w:sz w:val="24"/>
              </w:rPr>
              <w:t xml:space="preserve">确认；</w:t>
            </w:r>
            <w:r/>
          </w:p>
        </w:tc>
      </w:tr>
      <w:tr>
        <w:trPr>
          <w:jc w:val="center"/>
          <w:trHeight w:val="1048"/>
        </w:trPr>
        <w:tc>
          <w:tcPr>
            <w:tcW w:w="839"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11</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公平竞争</w:t>
            </w:r>
            <w:r/>
          </w:p>
        </w:tc>
        <w:tc>
          <w:tcPr>
            <w:tcW w:w="6659" w:type="dxa"/>
            <w:vAlign w:val="center"/>
            <w:textDirection w:val="lrTb"/>
            <w:noWrap w:val="false"/>
          </w:tcPr>
          <w:p>
            <w:pPr>
              <w:jc w:val="left"/>
              <w:widowControl/>
              <w:rPr>
                <w:color w:val="auto"/>
                <w:sz w:val="24"/>
              </w:rPr>
            </w:pPr>
            <w:r>
              <w:rPr>
                <w:color w:val="auto"/>
                <w:sz w:val="24"/>
              </w:rPr>
              <w:t xml:space="preserve">供应商遵循公平竞争的原则，不存在恶意串通，妨碍其他供应商的竞争行为，不存在损害采购人或者其他供应商的合法权益情形的；</w:t>
            </w:r>
            <w:r/>
          </w:p>
        </w:tc>
      </w:tr>
      <w:tr>
        <w:trPr>
          <w:jc w:val="center"/>
          <w:trHeight w:val="3214"/>
        </w:trPr>
        <w:tc>
          <w:tcPr>
            <w:tcW w:w="839"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12</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串通响应</w:t>
            </w:r>
            <w:r/>
          </w:p>
        </w:tc>
        <w:tc>
          <w:tcPr>
            <w:tcW w:w="6659" w:type="dxa"/>
            <w:vAlign w:val="center"/>
            <w:textDirection w:val="lrTb"/>
            <w:noWrap w:val="false"/>
          </w:tcPr>
          <w:p>
            <w:pPr>
              <w:jc w:val="left"/>
              <w:widowControl/>
              <w:rPr>
                <w:color w:val="auto"/>
                <w:sz w:val="24"/>
              </w:rPr>
            </w:pPr>
            <w:r>
              <w:rPr>
                <w:rFonts w:hint="eastAsia"/>
                <w:color w:val="auto"/>
                <w:sz w:val="24"/>
              </w:rPr>
              <w:t xml:space="preserve">不存在《政府采购货物和服务招标响应管理办法》视为供应商串通响应的情形：（一）不同供应商的响应文件由同一单位或者个人编制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；（二）不同供应商委托同一单位或者个人办理响应事宜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rPr>
              <w:t xml:space="preserve">；</w:t>
            </w:r>
            <w:r/>
          </w:p>
        </w:tc>
      </w:tr>
      <w:tr>
        <w:trPr>
          <w:jc w:val="center"/>
          <w:trHeight w:val="578"/>
        </w:trPr>
        <w:tc>
          <w:tcPr>
            <w:tcW w:w="839" w:type="dxa"/>
            <w:vAlign w:val="center"/>
            <w:textDirection w:val="lrTb"/>
            <w:noWrap w:val="false"/>
          </w:tcPr>
          <w:p>
            <w:pPr>
              <w:jc w:val="center"/>
              <w:spacing w:line="360" w:lineRule="auto"/>
              <w:widowControl/>
              <w:rPr>
                <w:rFonts w:hint="default"/>
                <w:color w:val="auto"/>
                <w:sz w:val="24"/>
                <w:lang w:val="en-US" w:eastAsia="zh-CN"/>
              </w:rPr>
            </w:pPr>
            <w:r>
              <w:rPr>
                <w:rFonts w:hint="eastAsia"/>
                <w:color w:val="auto"/>
                <w:sz w:val="24"/>
                <w:lang w:val="en-US" w:eastAsia="zh-CN"/>
              </w:rPr>
              <w:t xml:space="preserve">13</w:t>
            </w:r>
            <w:r/>
          </w:p>
        </w:tc>
        <w:tc>
          <w:tcPr>
            <w:tcW w:w="1790" w:type="dxa"/>
            <w:vAlign w:val="center"/>
            <w:textDirection w:val="lrTb"/>
            <w:noWrap w:val="false"/>
          </w:tcPr>
          <w:p>
            <w:pPr>
              <w:jc w:val="both"/>
              <w:spacing w:line="360" w:lineRule="auto"/>
              <w:widowControl/>
              <w:rPr>
                <w:b w:val="0"/>
                <w:bCs w:val="0"/>
                <w:color w:val="auto"/>
                <w:sz w:val="24"/>
              </w:rPr>
            </w:pPr>
            <w:r>
              <w:rPr>
                <w:rFonts w:hint="eastAsia" w:ascii="宋体" w:hAnsi="宋体" w:cs="宋体"/>
                <w:b/>
                <w:color w:val="auto"/>
                <w:sz w:val="24"/>
              </w:rPr>
              <w:t xml:space="preserve">清单</w:t>
            </w:r>
            <w:r/>
          </w:p>
        </w:tc>
        <w:tc>
          <w:tcPr>
            <w:tcW w:w="6659" w:type="dxa"/>
            <w:vAlign w:val="center"/>
            <w:textDirection w:val="lrTb"/>
            <w:noWrap w:val="false"/>
          </w:tcPr>
          <w:p>
            <w:pPr>
              <w:jc w:val="both"/>
              <w:spacing w:line="360" w:lineRule="auto"/>
              <w:widowControl/>
              <w:rPr>
                <w:rFonts w:hint="eastAsia"/>
                <w:color w:val="auto"/>
                <w:sz w:val="24"/>
              </w:rPr>
            </w:pPr>
            <w:r>
              <w:rPr>
                <w:rFonts w:hint="eastAsia" w:ascii="宋体" w:hAnsi="宋体" w:cs="宋体"/>
                <w:b/>
                <w:color w:val="auto"/>
                <w:sz w:val="24"/>
              </w:rPr>
              <w:t xml:space="preserve">投标清单不存在缺项、漏项或改变清单数量等情况的；</w:t>
            </w:r>
            <w:r/>
          </w:p>
        </w:tc>
      </w:tr>
      <w:tr>
        <w:trPr>
          <w:jc w:val="center"/>
          <w:trHeight w:val="612"/>
        </w:trPr>
        <w:tc>
          <w:tcPr>
            <w:tcW w:w="839"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14</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附加条件</w:t>
            </w:r>
            <w:r/>
          </w:p>
        </w:tc>
        <w:tc>
          <w:tcPr>
            <w:tcW w:w="6659" w:type="dxa"/>
            <w:vAlign w:val="center"/>
            <w:textDirection w:val="lrTb"/>
            <w:noWrap w:val="false"/>
          </w:tcPr>
          <w:p>
            <w:pPr>
              <w:jc w:val="left"/>
              <w:widowControl/>
              <w:rPr>
                <w:color w:val="auto"/>
                <w:sz w:val="24"/>
              </w:rPr>
            </w:pPr>
            <w:r>
              <w:rPr>
                <w:color w:val="auto"/>
                <w:sz w:val="24"/>
              </w:rPr>
              <w:t xml:space="preserve">响应文件</w:t>
            </w:r>
            <w:r>
              <w:rPr>
                <w:rFonts w:hint="eastAsia"/>
                <w:color w:val="auto"/>
                <w:sz w:val="24"/>
              </w:rPr>
              <w:t xml:space="preserve">未</w:t>
            </w:r>
            <w:r>
              <w:rPr>
                <w:color w:val="auto"/>
                <w:sz w:val="24"/>
              </w:rPr>
              <w:t xml:space="preserve">含有采购人不能接受的附加条件的；</w:t>
            </w:r>
            <w:r/>
          </w:p>
        </w:tc>
      </w:tr>
      <w:tr>
        <w:trPr>
          <w:jc w:val="center"/>
          <w:trHeight w:val="775"/>
        </w:trPr>
        <w:tc>
          <w:tcPr>
            <w:tcW w:w="839"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15</w:t>
            </w:r>
            <w:r/>
          </w:p>
        </w:tc>
        <w:tc>
          <w:tcPr>
            <w:tcW w:w="1790" w:type="dxa"/>
            <w:vAlign w:val="center"/>
            <w:textDirection w:val="lrTb"/>
            <w:noWrap w:val="false"/>
          </w:tcPr>
          <w:p>
            <w:pPr>
              <w:jc w:val="left"/>
              <w:widowControl/>
              <w:rPr>
                <w:b w:val="0"/>
                <w:bCs w:val="0"/>
                <w:color w:val="auto"/>
                <w:sz w:val="24"/>
              </w:rPr>
            </w:pPr>
            <w:r>
              <w:rPr>
                <w:b w:val="0"/>
                <w:bCs w:val="0"/>
                <w:color w:val="auto"/>
                <w:sz w:val="24"/>
              </w:rPr>
              <w:t xml:space="preserve">其他无效情形</w:t>
            </w:r>
            <w:r/>
          </w:p>
        </w:tc>
        <w:tc>
          <w:tcPr>
            <w:tcW w:w="6659" w:type="dxa"/>
            <w:vAlign w:val="center"/>
            <w:textDirection w:val="lrTb"/>
            <w:noWrap w:val="false"/>
          </w:tcPr>
          <w:p>
            <w:pPr>
              <w:jc w:val="left"/>
              <w:widowControl/>
              <w:rPr>
                <w:color w:val="auto"/>
                <w:sz w:val="24"/>
              </w:rPr>
            </w:pPr>
            <w:r>
              <w:rPr>
                <w:color w:val="auto"/>
                <w:sz w:val="24"/>
              </w:rPr>
              <w:t xml:space="preserve">供应商、响应文件</w:t>
            </w:r>
            <w:r>
              <w:rPr>
                <w:rFonts w:hint="eastAsia"/>
                <w:color w:val="auto"/>
                <w:sz w:val="24"/>
              </w:rPr>
              <w:t xml:space="preserve">不存在</w:t>
            </w:r>
            <w:r>
              <w:rPr>
                <w:color w:val="auto"/>
                <w:sz w:val="24"/>
              </w:rPr>
              <w:t xml:space="preserve">不符合法律、法规和磋商文件规定的其他无效情形。</w:t>
            </w:r>
            <w:r/>
          </w:p>
        </w:tc>
      </w:tr>
      <w:tr>
        <w:trPr>
          <w:jc w:val="center"/>
          <w:trHeight w:val="685"/>
        </w:trPr>
        <w:tc>
          <w:tcPr>
            <w:tcW w:w="839" w:type="dxa"/>
            <w:vAlign w:val="center"/>
            <w:textDirection w:val="lrTb"/>
            <w:noWrap w:val="false"/>
          </w:tcPr>
          <w:p>
            <w:pPr>
              <w:jc w:val="center"/>
              <w:widowControl/>
              <w:rPr>
                <w:rFonts w:hint="default" w:eastAsia="宋体"/>
                <w:color w:val="auto"/>
                <w:sz w:val="24"/>
                <w:lang w:val="en-US" w:eastAsia="zh-CN"/>
              </w:rPr>
            </w:pPr>
            <w:r>
              <w:rPr>
                <w:rFonts w:hint="eastAsia"/>
                <w:color w:val="auto"/>
                <w:sz w:val="24"/>
                <w:lang w:val="en-US" w:eastAsia="zh-CN"/>
              </w:rPr>
              <w:t xml:space="preserve">16</w:t>
            </w:r>
            <w:r/>
          </w:p>
        </w:tc>
        <w:tc>
          <w:tcPr>
            <w:tcW w:w="1790" w:type="dxa"/>
            <w:vAlign w:val="center"/>
            <w:textDirection w:val="lrTb"/>
            <w:noWrap w:val="false"/>
          </w:tcPr>
          <w:p>
            <w:pPr>
              <w:jc w:val="left"/>
              <w:widowControl/>
              <w:rPr>
                <w:color w:val="auto"/>
                <w:sz w:val="24"/>
              </w:rPr>
            </w:pPr>
            <w:r>
              <w:rPr>
                <w:rFonts w:hint="eastAsia"/>
                <w:color w:val="auto"/>
                <w:sz w:val="24"/>
              </w:rPr>
              <w:t xml:space="preserve">最终报价</w:t>
            </w:r>
            <w:r/>
          </w:p>
        </w:tc>
        <w:tc>
          <w:tcPr>
            <w:tcW w:w="6659" w:type="dxa"/>
            <w:vAlign w:val="center"/>
            <w:textDirection w:val="lrTb"/>
            <w:noWrap w:val="false"/>
          </w:tcPr>
          <w:p>
            <w:pPr>
              <w:jc w:val="left"/>
              <w:widowControl/>
              <w:rPr>
                <w:rFonts w:hint="eastAsia"/>
                <w:color w:val="auto"/>
                <w:sz w:val="24"/>
              </w:rPr>
            </w:pPr>
            <w:r>
              <w:rPr>
                <w:rFonts w:hint="eastAsia"/>
                <w:color w:val="auto"/>
                <w:sz w:val="24"/>
              </w:rPr>
              <w:t xml:space="preserve">供应商最终报价未高于首次报价的。</w:t>
            </w:r>
            <w:r/>
          </w:p>
        </w:tc>
      </w:tr>
    </w:tbl>
    <w:p>
      <w:pPr>
        <w:jc w:val="center"/>
        <w:spacing w:line="360" w:lineRule="auto"/>
        <w:widowControl/>
        <w:rPr>
          <w:b/>
          <w:color w:val="auto"/>
          <w:sz w:val="24"/>
        </w:rPr>
      </w:pPr>
      <w:r>
        <w:rPr>
          <w:b/>
          <w:color w:val="auto"/>
          <w:sz w:val="24"/>
        </w:rPr>
      </w:r>
      <w:bookmarkEnd w:id="624"/>
      <w:bookmarkEnd w:id="625"/>
      <w:r/>
    </w:p>
    <w:p>
      <w:pPr>
        <w:numPr>
          <w:ilvl w:val="0"/>
          <w:numId w:val="11"/>
        </w:numPr>
        <w:spacing w:line="360" w:lineRule="auto"/>
        <w:tabs>
          <w:tab w:val="left" w:pos="360" w:leader="none"/>
        </w:tabs>
        <w:rPr>
          <w:color w:val="auto"/>
          <w:sz w:val="24"/>
        </w:rPr>
        <w:outlineLvl w:val="1"/>
      </w:pPr>
      <w:r>
        <w:rPr>
          <w:color w:val="auto"/>
          <w:sz w:val="24"/>
        </w:rPr>
        <w:t xml:space="preserve">磋商、响应文件有关事项的澄清、说明或者更正和最终报价</w:t>
      </w:r>
      <w:r/>
    </w:p>
    <w:p>
      <w:pPr>
        <w:numPr>
          <w:ilvl w:val="1"/>
          <w:numId w:val="11"/>
        </w:numPr>
        <w:ind w:left="1077" w:hanging="720"/>
        <w:pageBreakBefore w:val="0"/>
        <w:spacing w:line="360" w:lineRule="auto"/>
        <w:widowControl w:val="off"/>
        <w:tabs>
          <w:tab w:val="left" w:pos="10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磋商小组所有成员应当集中与单一供应商分别进行磋商，并给予所有参加磋商的供应商平等的磋商机会。</w:t>
      </w:r>
      <w:r/>
    </w:p>
    <w:p>
      <w:pPr>
        <w:numPr>
          <w:ilvl w:val="1"/>
          <w:numId w:val="11"/>
        </w:numPr>
        <w:ind w:left="1077" w:hanging="720"/>
        <w:pageBreakBefore w:val="0"/>
        <w:spacing w:line="360" w:lineRule="auto"/>
        <w:widowControl w:val="off"/>
        <w:tabs>
          <w:tab w:val="left" w:pos="1080" w:leader="none"/>
        </w:tabs>
        <w:rPr>
          <w:rFonts w:hint="eastAsia" w:ascii="Times New Roman" w:hAnsi="Times New Roman" w:eastAsia="宋体" w:cs="Times New Roman"/>
          <w:b w:val="0"/>
          <w:bCs/>
          <w:color w:val="auto"/>
          <w:sz w:val="24"/>
          <w:szCs w:val="24"/>
        </w:rPr>
      </w:pPr>
      <w:r>
        <w:rPr>
          <w:rFonts w:hint="eastAsia" w:ascii="Times New Roman" w:hAnsi="Times New Roman" w:eastAsia="宋体" w:cs="Times New Roman"/>
          <w:color w:val="auto"/>
          <w:sz w:val="24"/>
          <w:highlight w:val="white"/>
        </w:rPr>
        <w:t xml:space="preserve">磋商小组</w:t>
      </w:r>
      <w:r>
        <w:rPr>
          <w:rFonts w:hint="eastAsia" w:ascii="宋体" w:hAnsi="宋体" w:eastAsia="宋体" w:cs="宋体"/>
          <w:color w:val="auto"/>
          <w:sz w:val="24"/>
          <w:szCs w:val="24"/>
          <w:lang w:val="en-US" w:eastAsia="zh-CN"/>
        </w:rPr>
        <w:t xml:space="preserve">启动异常低价投标审查的情形和具体要求，包括：</w:t>
      </w:r>
      <w:r/>
    </w:p>
    <w:p>
      <w:pPr>
        <w:pStyle w:val="921"/>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评审中出现下列情形之一的，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应当启动异常低价响应审查程序： </w:t>
      </w:r>
      <w:r/>
    </w:p>
    <w:p>
      <w:pPr>
        <w:pStyle w:val="921"/>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  2.2.1.1</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响应报价低于全部通过符合性审查供应商响应报价平均值</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%的，即响应报价&lt;全部通过符合性审查供应商响应报价平均值×</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921"/>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rPr>
        <w:t xml:space="preserve">2.</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2.1.2</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响应报价低于通过符合性审查的次低报价供应商响应报价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%的，即响应报价&lt;通过符合性审查的次低报价供应商响应报价×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921"/>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2.1.3</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响应报价低于采购项目最高限价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%的，即响应报价&lt;采购项目最高限价×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921"/>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2.2.1.4磋商小组</w:t>
      </w:r>
      <w:r>
        <w:rPr>
          <w:rFonts w:hint="eastAsia" w:ascii="宋体" w:hAnsi="宋体" w:eastAsia="宋体" w:cs="宋体"/>
          <w:i w:val="0"/>
          <w:iCs w:val="0"/>
          <w:caps w:val="0"/>
          <w:color w:val="auto"/>
          <w:spacing w:val="0"/>
          <w:sz w:val="24"/>
          <w:szCs w:val="24"/>
          <w:highlight w:val="none"/>
          <w:shd w:val="clear" w:color="auto" w:fill="ffffff"/>
        </w:rPr>
        <w:t xml:space="preserve">基于专业判断，认为供应商报价过低，有可能影响</w:t>
      </w:r>
      <w:r>
        <w:rPr>
          <w:rFonts w:hint="eastAsia" w:ascii="宋体" w:hAnsi="宋体" w:cs="宋体"/>
          <w:i w:val="0"/>
          <w:iCs w:val="0"/>
          <w:caps w:val="0"/>
          <w:color w:val="auto"/>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auto"/>
          <w:spacing w:val="0"/>
          <w:sz w:val="24"/>
          <w:szCs w:val="24"/>
          <w:highlight w:val="none"/>
          <w:shd w:val="clear" w:color="auto" w:fill="ffffff"/>
        </w:rPr>
        <w:t xml:space="preserve">质量或者不能诚信履约的其他情形。 </w:t>
      </w:r>
      <w:r/>
    </w:p>
    <w:p>
      <w:pPr>
        <w:pStyle w:val="921"/>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2.2.2磋商小组</w:t>
      </w:r>
      <w:r>
        <w:rPr>
          <w:rFonts w:hint="eastAsia" w:ascii="宋体" w:hAnsi="宋体" w:eastAsia="宋体" w:cs="宋体"/>
          <w:i w:val="0"/>
          <w:iCs w:val="0"/>
          <w:caps w:val="0"/>
          <w:color w:val="auto"/>
          <w:spacing w:val="0"/>
          <w:sz w:val="24"/>
          <w:szCs w:val="24"/>
          <w:highlight w:val="none"/>
          <w:shd w:val="clear" w:color="auto" w:fill="ffffff"/>
        </w:rPr>
        <w:t xml:space="preserve">启动异常低价响应审查后，属于前述第</w:t>
      </w:r>
      <w:r>
        <w:rPr>
          <w:rFonts w:hint="eastAsia" w:ascii="宋体" w:hAnsi="宋体" w:cs="宋体"/>
          <w:i w:val="0"/>
          <w:iCs w:val="0"/>
          <w:caps w:val="0"/>
          <w:color w:val="auto"/>
          <w:spacing w:val="0"/>
          <w:sz w:val="24"/>
          <w:szCs w:val="24"/>
          <w:highlight w:val="none"/>
          <w:shd w:val="clear" w:color="auto" w:fill="ffffff"/>
          <w:lang w:val="en-US" w:eastAsia="zh-CN"/>
        </w:rPr>
        <w:t xml:space="preserve">2.2.1.1</w:t>
      </w:r>
      <w:r>
        <w:rPr>
          <w:rFonts w:hint="eastAsia" w:ascii="宋体" w:hAnsi="宋体" w:eastAsia="宋体" w:cs="宋体"/>
          <w:i w:val="0"/>
          <w:iCs w:val="0"/>
          <w:caps w:val="0"/>
          <w:color w:val="auto"/>
          <w:spacing w:val="0"/>
          <w:sz w:val="24"/>
          <w:szCs w:val="24"/>
          <w:highlight w:val="none"/>
          <w:shd w:val="clear" w:color="auto" w:fill="ffffff"/>
        </w:rPr>
        <w:t xml:space="preserve">项至第　</w:t>
      </w:r>
      <w:r>
        <w:rPr>
          <w:rFonts w:hint="eastAsia" w:ascii="宋体" w:hAnsi="宋体" w:cs="宋体"/>
          <w:i w:val="0"/>
          <w:iCs w:val="0"/>
          <w:caps w:val="0"/>
          <w:color w:val="auto"/>
          <w:spacing w:val="0"/>
          <w:sz w:val="24"/>
          <w:szCs w:val="24"/>
          <w:highlight w:val="none"/>
          <w:shd w:val="clear" w:color="auto" w:fill="ffffff"/>
          <w:lang w:val="en-US" w:eastAsia="zh-CN"/>
        </w:rPr>
        <w:t xml:space="preserve">2.2.1.4</w:t>
      </w:r>
      <w:r>
        <w:rPr>
          <w:rFonts w:hint="eastAsia" w:ascii="宋体" w:hAnsi="宋体" w:eastAsia="宋体" w:cs="宋体"/>
          <w:i w:val="0"/>
          <w:iCs w:val="0"/>
          <w:caps w:val="0"/>
          <w:color w:val="auto"/>
          <w:spacing w:val="0"/>
          <w:sz w:val="24"/>
          <w:szCs w:val="24"/>
          <w:highlight w:val="none"/>
          <w:shd w:val="clear" w:color="auto" w:fill="ffffff"/>
        </w:rPr>
        <w:t xml:space="preserve">项情形的，应当要求相关供应商在评审现场</w:t>
      </w:r>
      <w:r>
        <w:rPr>
          <w:rFonts w:hint="eastAsia" w:ascii="宋体" w:hAnsi="宋体" w:cs="宋体"/>
          <w:i w:val="0"/>
          <w:iCs w:val="0"/>
          <w:caps w:val="0"/>
          <w:color w:val="auto"/>
          <w:spacing w:val="0"/>
          <w:sz w:val="24"/>
          <w:szCs w:val="24"/>
          <w:highlight w:val="none"/>
          <w:shd w:val="clear" w:color="auto" w:fill="ffffff"/>
          <w:lang w:val="en-US" w:eastAsia="zh-CN"/>
        </w:rPr>
        <w:t xml:space="preserve">30分钟</w:t>
      </w:r>
      <w:r>
        <w:rPr>
          <w:rFonts w:hint="eastAsia" w:ascii="宋体" w:hAnsi="宋体" w:eastAsia="宋体" w:cs="宋体"/>
          <w:i w:val="0"/>
          <w:iCs w:val="0"/>
          <w:caps w:val="0"/>
          <w:color w:val="auto"/>
          <w:spacing w:val="0"/>
          <w:sz w:val="24"/>
          <w:szCs w:val="24"/>
          <w:highlight w:val="none"/>
          <w:shd w:val="clear" w:color="auto" w:fill="ffffff"/>
        </w:rPr>
        <w:t xml:space="preserve">内对响应价格作出解释，提供项目具体成本测算等与报价合理性相关的书面说明及必要的证明材料，包括但不限于人工成本费用等。其中，属于第</w:t>
      </w:r>
      <w:r>
        <w:rPr>
          <w:rFonts w:hint="eastAsia" w:ascii="宋体" w:hAnsi="宋体" w:cs="宋体"/>
          <w:i w:val="0"/>
          <w:iCs w:val="0"/>
          <w:caps w:val="0"/>
          <w:color w:val="auto"/>
          <w:spacing w:val="0"/>
          <w:sz w:val="24"/>
          <w:szCs w:val="24"/>
          <w:highlight w:val="none"/>
          <w:shd w:val="clear" w:color="auto" w:fill="ffffff"/>
          <w:lang w:val="en-US" w:eastAsia="zh-CN"/>
        </w:rPr>
        <w:t xml:space="preserve">2.2.1.3</w:t>
      </w:r>
      <w:r>
        <w:rPr>
          <w:rFonts w:hint="eastAsia" w:ascii="宋体" w:hAnsi="宋体" w:eastAsia="宋体" w:cs="宋体"/>
          <w:i w:val="0"/>
          <w:iCs w:val="0"/>
          <w:caps w:val="0"/>
          <w:color w:val="auto"/>
          <w:spacing w:val="0"/>
          <w:sz w:val="24"/>
          <w:szCs w:val="24"/>
          <w:highlight w:val="none"/>
          <w:shd w:val="clear" w:color="auto" w:fill="ffffff"/>
        </w:rPr>
        <w:t xml:space="preserve">项情形，供应商已随响应文件一并提交相关书面说明及必要的证明材料的，在评审现场可不再重复提交。 </w:t>
      </w:r>
      <w:r/>
    </w:p>
    <w:p>
      <w:pPr>
        <w:pStyle w:val="921"/>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2.2.3磋商小组</w:t>
      </w:r>
      <w:r>
        <w:rPr>
          <w:rFonts w:hint="eastAsia" w:ascii="宋体" w:hAnsi="宋体" w:eastAsia="宋体" w:cs="宋体"/>
          <w:i w:val="0"/>
          <w:iCs w:val="0"/>
          <w:caps w:val="0"/>
          <w:color w:val="auto"/>
          <w:spacing w:val="0"/>
          <w:sz w:val="24"/>
          <w:szCs w:val="24"/>
          <w:highlight w:val="none"/>
          <w:shd w:val="clear" w:color="auto" w:fill="ffffff"/>
        </w:rPr>
        <w:t xml:space="preserve">依据专业经验，参考同类项目中标（成交）</w:t>
      </w:r>
      <w:r>
        <w:rPr>
          <w:rFonts w:hint="eastAsia" w:ascii="宋体" w:hAnsi="宋体" w:cs="宋体"/>
          <w:i w:val="0"/>
          <w:iCs w:val="0"/>
          <w:caps w:val="0"/>
          <w:color w:val="auto"/>
          <w:spacing w:val="0"/>
          <w:sz w:val="24"/>
          <w:szCs w:val="24"/>
          <w:highlight w:val="none"/>
          <w:shd w:val="clear" w:color="auto" w:fill="ffffff"/>
          <w:lang w:val="en-US" w:eastAsia="zh-CN"/>
        </w:rPr>
        <w:t xml:space="preserve">价格</w:t>
      </w:r>
      <w:r>
        <w:rPr>
          <w:rFonts w:hint="eastAsia" w:ascii="宋体" w:hAnsi="宋体" w:eastAsia="宋体" w:cs="宋体"/>
          <w:i w:val="0"/>
          <w:iCs w:val="0"/>
          <w:caps w:val="0"/>
          <w:color w:val="auto"/>
          <w:spacing w:val="0"/>
          <w:sz w:val="24"/>
          <w:szCs w:val="24"/>
          <w:highlight w:val="none"/>
          <w:shd w:val="clear" w:color="auto" w:fill="ffffff"/>
        </w:rPr>
        <w:t xml:space="preserve">、行业人工费用标准、国家有关部门指导行业协会发布的行业平均成本等情况，对报价合理性进行判断。响应供应商不能</w:t>
      </w:r>
      <w:r>
        <w:rPr>
          <w:rFonts w:hint="eastAsia" w:ascii="宋体" w:hAnsi="宋体" w:cs="宋体"/>
          <w:i w:val="0"/>
          <w:iCs w:val="0"/>
          <w:caps w:val="0"/>
          <w:color w:val="auto"/>
          <w:spacing w:val="0"/>
          <w:sz w:val="24"/>
          <w:szCs w:val="24"/>
          <w:highlight w:val="none"/>
          <w:shd w:val="clear" w:color="auto" w:fill="ffffff"/>
          <w:lang w:val="en-US" w:eastAsia="zh-CN"/>
        </w:rPr>
        <w:t xml:space="preserve">在规定时间内</w:t>
      </w:r>
      <w:r>
        <w:rPr>
          <w:rFonts w:hint="eastAsia" w:ascii="宋体" w:hAnsi="宋体" w:eastAsia="宋体" w:cs="宋体"/>
          <w:i w:val="0"/>
          <w:iCs w:val="0"/>
          <w:caps w:val="0"/>
          <w:color w:val="auto"/>
          <w:spacing w:val="0"/>
          <w:sz w:val="24"/>
          <w:szCs w:val="24"/>
          <w:highlight w:val="none"/>
          <w:shd w:val="clear" w:color="auto" w:fill="ffffff"/>
        </w:rPr>
        <w:t xml:space="preserve">提供书面说明、证明材料，或者提供的书面说明、证明材料不能证明其报价合理性的，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应当将其作为无效响应处理。 </w:t>
      </w:r>
      <w:r/>
    </w:p>
    <w:p>
      <w:pPr>
        <w:pStyle w:val="921"/>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2.2.4</w:t>
      </w:r>
      <w:r>
        <w:rPr>
          <w:rFonts w:hint="eastAsia" w:ascii="宋体" w:hAnsi="宋体" w:eastAsia="宋体" w:cs="宋体"/>
          <w:i w:val="0"/>
          <w:iCs w:val="0"/>
          <w:caps w:val="0"/>
          <w:color w:val="auto"/>
          <w:spacing w:val="0"/>
          <w:sz w:val="24"/>
          <w:szCs w:val="24"/>
          <w:highlight w:val="none"/>
          <w:shd w:val="clear" w:color="auto" w:fill="ffffff"/>
        </w:rPr>
        <w:t xml:space="preserve">采购人、采购代理机构应当为</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在评审现场及时获取同类项目中标（成交）价格、行业人工费用标准、国家有关部门指导行业协会发布的行业平均成本等相关信息资料提供便利。</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借助互联网等渠道查询相关信息的，应当严格遵守评审工作纪律，不得实施影响评审公正的行为。 </w:t>
      </w:r>
      <w:r/>
    </w:p>
    <w:p>
      <w:pPr>
        <w:pStyle w:val="921"/>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2.2.5</w:t>
      </w:r>
      <w:r>
        <w:rPr>
          <w:rFonts w:hint="eastAsia" w:ascii="宋体" w:hAnsi="宋体" w:eastAsia="宋体" w:cs="宋体"/>
          <w:i w:val="0"/>
          <w:iCs w:val="0"/>
          <w:caps w:val="0"/>
          <w:color w:val="auto"/>
          <w:spacing w:val="0"/>
          <w:sz w:val="24"/>
          <w:szCs w:val="24"/>
          <w:highlight w:val="none"/>
          <w:shd w:val="clear" w:color="auto" w:fill="ffffff"/>
        </w:rPr>
        <w:t xml:space="preserve">异常低价响应审查的启动原因、审查意见和审查结果应当在评审报告中记录，并随供应商提供的相关书面说明及证明材料，以及</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有关互联网浏览、查询历史一并归档。 </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对磋商文件作出的实质性变动是磋商文件的有效组成部分，磋商小组应当及时</w:t>
      </w:r>
      <w:r>
        <w:rPr>
          <w:rFonts w:hint="eastAsia"/>
          <w:color w:val="auto"/>
          <w:sz w:val="24"/>
        </w:rPr>
        <w:t xml:space="preserve">通过“苏采云”系统</w:t>
      </w:r>
      <w:r>
        <w:rPr>
          <w:color w:val="auto"/>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响应文件的澄清、说明或者更正</w:t>
      </w:r>
      <w:r>
        <w:rPr>
          <w:rFonts w:hint="eastAsia"/>
          <w:color w:val="auto"/>
          <w:sz w:val="24"/>
        </w:rPr>
        <w:t xml:space="preserve">：</w:t>
      </w:r>
      <w:r/>
    </w:p>
    <w:p>
      <w:pPr>
        <w:ind w:left="1080"/>
        <w:spacing w:line="360" w:lineRule="auto"/>
        <w:tabs>
          <w:tab w:val="left" w:pos="1980" w:leader="none"/>
        </w:tabs>
        <w:rPr>
          <w:color w:val="auto"/>
          <w:sz w:val="24"/>
        </w:rPr>
      </w:pPr>
      <w:r>
        <w:rPr>
          <w:rFonts w:hint="eastAsia"/>
          <w:color w:val="auto"/>
          <w:sz w:val="24"/>
        </w:rPr>
        <w:t xml:space="preserve">评审</w:t>
      </w:r>
      <w:r>
        <w:rPr>
          <w:color w:val="auto"/>
          <w:sz w:val="24"/>
        </w:rPr>
        <w:t xml:space="preserve">过程中，</w:t>
      </w:r>
      <w:r>
        <w:rPr>
          <w:rFonts w:hint="eastAsia"/>
          <w:color w:val="auto"/>
          <w:sz w:val="24"/>
        </w:rPr>
        <w:t xml:space="preserve">磋商小组</w:t>
      </w:r>
      <w:r>
        <w:rPr>
          <w:color w:val="auto"/>
          <w:sz w:val="24"/>
        </w:rPr>
        <w:t xml:space="preserve">会将</w:t>
      </w:r>
      <w:r>
        <w:rPr>
          <w:rFonts w:hint="eastAsia"/>
          <w:color w:val="auto"/>
          <w:sz w:val="24"/>
        </w:rPr>
        <w:t xml:space="preserve">通过“苏采云”系统</w:t>
      </w:r>
      <w:r>
        <w:rPr>
          <w:color w:val="auto"/>
          <w:sz w:val="24"/>
        </w:rPr>
        <w:t xml:space="preserve">以书面形式要求</w:t>
      </w:r>
      <w:r>
        <w:rPr>
          <w:rFonts w:hint="eastAsia"/>
          <w:color w:val="auto"/>
          <w:sz w:val="24"/>
        </w:rPr>
        <w:t xml:space="preserve">供应商</w:t>
      </w:r>
      <w:r>
        <w:rPr>
          <w:color w:val="auto"/>
          <w:sz w:val="24"/>
        </w:rPr>
        <w:t xml:space="preserve">对其</w:t>
      </w:r>
      <w:r>
        <w:rPr>
          <w:rFonts w:hint="eastAsia"/>
          <w:color w:val="auto"/>
          <w:sz w:val="24"/>
        </w:rPr>
        <w:t xml:space="preserve">响应</w:t>
      </w:r>
      <w:r>
        <w:rPr>
          <w:color w:val="auto"/>
          <w:sz w:val="24"/>
        </w:rPr>
        <w:t xml:space="preserve">文件中含义不明确、同类问题表述不一致或者有明显文字和计算错误的内容，作出必要的澄清、说明或者补正。</w:t>
      </w:r>
      <w:r>
        <w:rPr>
          <w:rFonts w:hint="eastAsia"/>
          <w:color w:val="auto"/>
          <w:sz w:val="24"/>
        </w:rPr>
        <w:t xml:space="preserve">供应商</w:t>
      </w:r>
      <w:r>
        <w:rPr>
          <w:color w:val="auto"/>
          <w:sz w:val="24"/>
        </w:rPr>
        <w:t xml:space="preserve">的澄清、说明或者补正应当采用书面形式，并加盖</w:t>
      </w:r>
      <w:r>
        <w:rPr>
          <w:rFonts w:hint="eastAsia"/>
          <w:color w:val="auto"/>
          <w:sz w:val="24"/>
        </w:rPr>
        <w:t xml:space="preserve">电子</w:t>
      </w:r>
      <w:r>
        <w:rPr>
          <w:color w:val="auto"/>
          <w:sz w:val="24"/>
        </w:rPr>
        <w:t xml:space="preserve">公章。</w:t>
      </w:r>
      <w:r>
        <w:rPr>
          <w:rFonts w:hint="eastAsia"/>
          <w:color w:val="auto"/>
          <w:sz w:val="24"/>
        </w:rPr>
        <w:t xml:space="preserve">供应商</w:t>
      </w:r>
      <w:r>
        <w:rPr>
          <w:color w:val="auto"/>
          <w:sz w:val="24"/>
        </w:rPr>
        <w:t xml:space="preserve">的澄清、说明或者补正不得超出</w:t>
      </w:r>
      <w:r>
        <w:rPr>
          <w:rFonts w:hint="eastAsia"/>
          <w:color w:val="auto"/>
          <w:sz w:val="24"/>
        </w:rPr>
        <w:t xml:space="preserve">响应</w:t>
      </w:r>
      <w:r>
        <w:rPr>
          <w:color w:val="auto"/>
          <w:sz w:val="24"/>
        </w:rPr>
        <w:t xml:space="preserve">文件的范围或者改变</w:t>
      </w:r>
      <w:r>
        <w:rPr>
          <w:rFonts w:hint="eastAsia"/>
          <w:color w:val="auto"/>
          <w:sz w:val="24"/>
        </w:rPr>
        <w:t xml:space="preserve">响应</w:t>
      </w:r>
      <w:r>
        <w:rPr>
          <w:color w:val="auto"/>
          <w:sz w:val="24"/>
        </w:rPr>
        <w:t xml:space="preserve">文件的实质性内容。澄清文件将作为</w:t>
      </w:r>
      <w:r>
        <w:rPr>
          <w:rFonts w:hint="eastAsia"/>
          <w:color w:val="auto"/>
          <w:sz w:val="24"/>
        </w:rPr>
        <w:t xml:space="preserve">响应</w:t>
      </w:r>
      <w:r>
        <w:rPr>
          <w:color w:val="auto"/>
          <w:sz w:val="24"/>
        </w:rPr>
        <w:t xml:space="preserve">文件内容的一部分。</w:t>
      </w:r>
      <w:r/>
    </w:p>
    <w:p>
      <w:pPr>
        <w:numPr>
          <w:ilvl w:val="1"/>
          <w:numId w:val="11"/>
        </w:numPr>
        <w:ind w:left="1077" w:hanging="720"/>
        <w:spacing w:line="360" w:lineRule="auto"/>
        <w:tabs>
          <w:tab w:val="left" w:pos="1080" w:leader="none"/>
          <w:tab w:val="left" w:pos="1872" w:leader="none"/>
        </w:tabs>
        <w:rPr>
          <w:b/>
          <w:color w:val="auto"/>
          <w:sz w:val="24"/>
        </w:rPr>
      </w:pPr>
      <w:r>
        <w:rPr>
          <w:b/>
          <w:color w:val="auto"/>
          <w:sz w:val="24"/>
        </w:rPr>
        <w:t xml:space="preserve">磋商结束后，磋商小组将要求所有实质性响应的供应商在规定时间内</w:t>
      </w:r>
      <w:r>
        <w:rPr>
          <w:rFonts w:hint="eastAsia"/>
          <w:b/>
          <w:color w:val="auto"/>
          <w:sz w:val="24"/>
        </w:rPr>
        <w:t xml:space="preserve">通过“苏采云”系统</w:t>
      </w:r>
      <w:r>
        <w:rPr>
          <w:b/>
          <w:color w:val="auto"/>
          <w:sz w:val="24"/>
        </w:rPr>
        <w:t xml:space="preserve">提交最</w:t>
      </w:r>
      <w:r>
        <w:rPr>
          <w:rFonts w:hint="eastAsia"/>
          <w:b/>
          <w:color w:val="auto"/>
          <w:sz w:val="24"/>
        </w:rPr>
        <w:t xml:space="preserve">终</w:t>
      </w:r>
      <w:r>
        <w:rPr>
          <w:b/>
          <w:color w:val="auto"/>
          <w:sz w:val="24"/>
        </w:rPr>
        <w:t xml:space="preserve">报价</w:t>
      </w:r>
      <w:r>
        <w:rPr>
          <w:rFonts w:hint="eastAsia"/>
          <w:b/>
          <w:color w:val="auto"/>
          <w:sz w:val="24"/>
        </w:rPr>
        <w:t xml:space="preserve">（本项目至少二次报价，响应文件中的报价为首次报价，最终报价不得高于首次报价，否则作无效标处理），最终报价作为评分依据。</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磋商文件能够详细列明采购标的的技术、服务要求的，磋商结束后，磋商小组应当要求所有实质</w:t>
      </w:r>
      <w:r>
        <w:rPr>
          <w:color w:val="auto"/>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已提交响应文件的供应商，在提交最终报价之前，可以根据磋商情况退出磋商。</w:t>
      </w:r>
      <w:r/>
    </w:p>
    <w:p>
      <w:pPr>
        <w:numPr>
          <w:ilvl w:val="0"/>
          <w:numId w:val="11"/>
        </w:numPr>
        <w:spacing w:line="360" w:lineRule="auto"/>
        <w:tabs>
          <w:tab w:val="left" w:pos="360" w:leader="none"/>
        </w:tabs>
        <w:rPr>
          <w:color w:val="auto"/>
          <w:sz w:val="24"/>
        </w:rPr>
        <w:outlineLvl w:val="1"/>
      </w:pPr>
      <w:r>
        <w:rPr>
          <w:color w:val="auto"/>
          <w:sz w:val="24"/>
        </w:rPr>
        <w:t xml:space="preserve">最终报价的算术修正及政策调整</w:t>
      </w:r>
      <w:r/>
    </w:p>
    <w:p>
      <w:pPr>
        <w:numPr>
          <w:ilvl w:val="1"/>
          <w:numId w:val="11"/>
        </w:numPr>
        <w:ind w:left="1077" w:hanging="720"/>
        <w:spacing w:line="360" w:lineRule="auto"/>
        <w:tabs>
          <w:tab w:val="left" w:pos="1080" w:leader="none"/>
        </w:tabs>
        <w:rPr>
          <w:color w:val="auto"/>
          <w:sz w:val="24"/>
        </w:rPr>
      </w:pPr>
      <w:r>
        <w:rPr>
          <w:color w:val="auto"/>
          <w:sz w:val="24"/>
        </w:rPr>
        <w:t xml:space="preserve">最终报价须包含竞争性磋商文件全部内容，如</w:t>
      </w:r>
      <w:r>
        <w:rPr>
          <w:rFonts w:hint="eastAsia"/>
          <w:color w:val="auto"/>
          <w:sz w:val="24"/>
        </w:rPr>
        <w:t xml:space="preserve">最后</w:t>
      </w:r>
      <w:r>
        <w:rPr>
          <w:color w:val="auto"/>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rPr>
        <w:t xml:space="preserve">响应无效</w:t>
      </w:r>
      <w:r>
        <w:rPr>
          <w:color w:val="auto"/>
          <w:sz w:val="24"/>
        </w:rPr>
        <w:t xml:space="preserve">。</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rPr>
      </w:pPr>
      <w:r>
        <w:rPr>
          <w:color w:val="auto"/>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u w:val="single"/>
        </w:rPr>
      </w:pPr>
      <w:r>
        <w:rPr>
          <w:color w:val="auto"/>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rPr>
      </w:pPr>
      <w:r>
        <w:rPr>
          <w:b/>
          <w:color w:val="auto"/>
          <w:sz w:val="24"/>
        </w:rPr>
        <w:t xml:space="preserve">■</w:t>
      </w:r>
      <w:r>
        <w:rPr>
          <w:color w:val="auto"/>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auto"/>
          <w:sz w:val="24"/>
        </w:rPr>
      </w:pPr>
      <w:r>
        <w:rPr>
          <w:color w:val="auto"/>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auto"/>
          <w:sz w:val="24"/>
        </w:rPr>
      </w:pPr>
      <w:r>
        <w:rPr>
          <w:color w:val="auto"/>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auto"/>
          <w:sz w:val="24"/>
        </w:rPr>
      </w:pPr>
      <w:r>
        <w:rPr>
          <w:color w:val="auto"/>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rPr>
      </w:pPr>
      <w:r>
        <w:rPr>
          <w:color w:val="auto"/>
          <w:sz w:val="24"/>
        </w:rPr>
        <w:t xml:space="preserve">同时出现两种以上不一致的，按照前款规定的顺序修正。修正后的报价经供应商书面确认后产生约束力，供应商不确认的，</w:t>
      </w:r>
      <w:r>
        <w:rPr>
          <w:b/>
          <w:color w:val="auto"/>
          <w:sz w:val="24"/>
        </w:rPr>
        <w:t xml:space="preserve">其响应无效</w:t>
      </w:r>
      <w:r>
        <w:rPr>
          <w:color w:val="auto"/>
          <w:sz w:val="24"/>
        </w:rPr>
        <w:t xml:space="preserve">。</w:t>
      </w:r>
      <w:r/>
    </w:p>
    <w:p>
      <w:pPr>
        <w:numPr>
          <w:ilvl w:val="2"/>
          <w:numId w:val="11"/>
        </w:numPr>
        <w:ind w:left="2035"/>
        <w:spacing w:line="360" w:lineRule="auto"/>
        <w:tabs>
          <w:tab w:val="left" w:pos="1080" w:leader="none"/>
          <w:tab w:val="left" w:pos="1589" w:leader="none"/>
          <w:tab w:val="left" w:pos="2014" w:leader="none"/>
        </w:tabs>
        <w:rPr>
          <w:color w:val="auto"/>
          <w:sz w:val="24"/>
        </w:rPr>
      </w:pPr>
      <w:r>
        <w:rPr>
          <w:color w:val="auto"/>
          <w:sz w:val="24"/>
        </w:rPr>
        <w:t xml:space="preserve">落实政府采购政策的价格调整：</w:t>
      </w:r>
      <w:r>
        <w:rPr>
          <w:rFonts w:hint="eastAsia"/>
          <w:b/>
          <w:bCs/>
          <w:color w:val="auto"/>
          <w:sz w:val="24"/>
          <w:lang w:eastAsia="zh-CN"/>
        </w:rPr>
        <w:t xml:space="preserve">本项目专门面向中小企业采购，故不再执行价格优惠政策。</w:t>
      </w:r>
      <w:r/>
    </w:p>
    <w:p>
      <w:pPr>
        <w:numPr>
          <w:ilvl w:val="0"/>
          <w:numId w:val="11"/>
        </w:numPr>
        <w:spacing w:line="360" w:lineRule="auto"/>
        <w:tabs>
          <w:tab w:val="left" w:pos="360" w:leader="none"/>
        </w:tabs>
        <w:rPr>
          <w:color w:val="auto"/>
          <w:sz w:val="24"/>
        </w:rPr>
        <w:outlineLvl w:val="1"/>
      </w:pPr>
      <w:r>
        <w:rPr>
          <w:color w:val="auto"/>
          <w:sz w:val="24"/>
        </w:rPr>
        <w:t xml:space="preserve">磋商环节及提交最终报价后如出现以下情况的，供应商的</w:t>
      </w:r>
      <w:r>
        <w:rPr>
          <w:b/>
          <w:color w:val="auto"/>
          <w:sz w:val="24"/>
        </w:rPr>
        <w:t xml:space="preserve">响应文件无效</w:t>
      </w:r>
      <w:r>
        <w:rPr>
          <w:color w:val="auto"/>
          <w:sz w:val="24"/>
        </w:rPr>
        <w:t xml:space="preserve">：</w:t>
      </w:r>
      <w:r/>
    </w:p>
    <w:p>
      <w:pPr>
        <w:numPr>
          <w:ilvl w:val="1"/>
          <w:numId w:val="11"/>
        </w:numPr>
        <w:ind w:left="1077" w:hanging="720"/>
        <w:spacing w:line="360" w:lineRule="auto"/>
        <w:tabs>
          <w:tab w:val="left" w:pos="1080" w:leader="none"/>
        </w:tabs>
        <w:rPr>
          <w:color w:val="auto"/>
          <w:sz w:val="24"/>
        </w:rPr>
      </w:pPr>
      <w:r>
        <w:rPr>
          <w:color w:val="auto"/>
          <w:sz w:val="24"/>
        </w:rPr>
        <w:t xml:space="preserve">供应商对实质性变动不予确认的；</w:t>
      </w:r>
      <w:r/>
    </w:p>
    <w:p>
      <w:pPr>
        <w:numPr>
          <w:ilvl w:val="1"/>
          <w:numId w:val="11"/>
        </w:numPr>
        <w:ind w:left="1077" w:hanging="720"/>
        <w:spacing w:line="360" w:lineRule="auto"/>
        <w:tabs>
          <w:tab w:val="left" w:pos="1080" w:leader="none"/>
        </w:tabs>
        <w:rPr>
          <w:color w:val="auto"/>
          <w:sz w:val="24"/>
        </w:rPr>
      </w:pPr>
      <w:r>
        <w:rPr>
          <w:color w:val="auto"/>
          <w:sz w:val="24"/>
        </w:rPr>
        <w:t xml:space="preserve">不满足磋商文件</w:t>
      </w:r>
      <w:r>
        <w:rPr>
          <w:rFonts w:ascii="Segoe UI Symbol" w:hAnsi="Segoe UI Symbol" w:cs="Segoe UI Symbol"/>
          <w:color w:val="auto"/>
          <w:sz w:val="24"/>
        </w:rPr>
        <w:t xml:space="preserve">★</w:t>
      </w:r>
      <w:r>
        <w:rPr>
          <w:color w:val="auto"/>
          <w:sz w:val="24"/>
        </w:rPr>
        <w:t xml:space="preserve">号条款或磋商文件技术指标超出磋商文件</w:t>
      </w:r>
      <w:r>
        <w:rPr>
          <w:rFonts w:hint="eastAsia"/>
          <w:color w:val="auto"/>
          <w:sz w:val="24"/>
        </w:rPr>
        <w:t xml:space="preserve">《</w:t>
      </w:r>
      <w:r>
        <w:rPr>
          <w:color w:val="auto"/>
          <w:sz w:val="24"/>
        </w:rPr>
        <w:t xml:space="preserve">采购需求</w:t>
      </w:r>
      <w:r>
        <w:rPr>
          <w:rFonts w:hint="eastAsia"/>
          <w:color w:val="auto"/>
          <w:sz w:val="24"/>
        </w:rPr>
        <w:t xml:space="preserve">》</w:t>
      </w:r>
      <w:r>
        <w:rPr>
          <w:color w:val="auto"/>
          <w:sz w:val="24"/>
        </w:rPr>
        <w:t xml:space="preserve">中主要技术参数允许偏差的最大范围的（如有）；</w:t>
      </w:r>
      <w:r/>
    </w:p>
    <w:p>
      <w:pPr>
        <w:numPr>
          <w:ilvl w:val="1"/>
          <w:numId w:val="11"/>
        </w:numPr>
        <w:ind w:left="1077" w:hanging="720"/>
        <w:spacing w:line="360" w:lineRule="auto"/>
        <w:tabs>
          <w:tab w:val="left" w:pos="1080" w:leader="none"/>
        </w:tabs>
        <w:rPr>
          <w:color w:val="auto"/>
          <w:sz w:val="24"/>
        </w:rPr>
      </w:pPr>
      <w:r>
        <w:rPr>
          <w:color w:val="auto"/>
          <w:sz w:val="24"/>
        </w:rPr>
        <w:t xml:space="preserve">未按照磋商小组规定的时间、逾期提交最终报价的；</w:t>
      </w:r>
      <w:r/>
    </w:p>
    <w:p>
      <w:pPr>
        <w:numPr>
          <w:ilvl w:val="1"/>
          <w:numId w:val="11"/>
        </w:numPr>
        <w:ind w:left="1077" w:hanging="720"/>
        <w:spacing w:line="360" w:lineRule="auto"/>
        <w:tabs>
          <w:tab w:val="left" w:pos="1080" w:leader="none"/>
        </w:tabs>
        <w:rPr>
          <w:color w:val="auto"/>
          <w:sz w:val="24"/>
        </w:rPr>
      </w:pPr>
      <w:r>
        <w:rPr>
          <w:color w:val="auto"/>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color w:val="auto"/>
          <w:sz w:val="24"/>
        </w:rPr>
      </w:pPr>
      <w:r>
        <w:rPr>
          <w:color w:val="auto"/>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auto"/>
          <w:sz w:val="24"/>
        </w:rPr>
      </w:pPr>
      <w:r>
        <w:rPr>
          <w:color w:val="auto"/>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color w:val="auto"/>
          <w:sz w:val="24"/>
        </w:rPr>
      </w:pPr>
      <w:r>
        <w:rPr>
          <w:color w:val="auto"/>
          <w:sz w:val="24"/>
        </w:rPr>
        <w:t xml:space="preserve">其他：</w:t>
      </w:r>
      <w:r>
        <w:rPr>
          <w:rFonts w:hint="eastAsia"/>
          <w:color w:val="auto"/>
          <w:sz w:val="24"/>
          <w:u w:val="single"/>
        </w:rPr>
        <w:t xml:space="preserve"> </w:t>
      </w:r>
      <w:r>
        <w:rPr>
          <w:rFonts w:hint="eastAsia"/>
          <w:b/>
          <w:bCs/>
          <w:color w:val="auto"/>
          <w:sz w:val="24"/>
          <w:u w:val="single"/>
        </w:rPr>
        <w:t xml:space="preserve"> 最终报价高于首次报价的 </w:t>
      </w:r>
      <w:r>
        <w:rPr>
          <w:color w:val="auto"/>
          <w:sz w:val="24"/>
        </w:rPr>
        <w:t xml:space="preserve">。</w:t>
      </w:r>
      <w:r/>
    </w:p>
    <w:p>
      <w:pPr>
        <w:numPr>
          <w:ilvl w:val="0"/>
          <w:numId w:val="11"/>
        </w:numPr>
        <w:spacing w:line="360" w:lineRule="auto"/>
        <w:tabs>
          <w:tab w:val="left" w:pos="360" w:leader="none"/>
        </w:tabs>
        <w:rPr>
          <w:color w:val="auto"/>
          <w:sz w:val="24"/>
        </w:rPr>
        <w:outlineLvl w:val="1"/>
      </w:pPr>
      <w:r>
        <w:rPr>
          <w:color w:val="auto"/>
          <w:sz w:val="24"/>
        </w:rPr>
        <w:t xml:space="preserve">评审方法和评审标准</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竞争性磋商文件中没有规定的评审标准不得作为评审依据。</w:t>
      </w:r>
      <w:r/>
    </w:p>
    <w:p>
      <w:pPr>
        <w:numPr>
          <w:ilvl w:val="0"/>
          <w:numId w:val="11"/>
        </w:numPr>
        <w:spacing w:line="360" w:lineRule="auto"/>
        <w:tabs>
          <w:tab w:val="left" w:pos="360" w:leader="none"/>
        </w:tabs>
        <w:rPr>
          <w:color w:val="auto"/>
          <w:sz w:val="24"/>
        </w:rPr>
        <w:outlineLvl w:val="1"/>
      </w:pPr>
      <w:r>
        <w:rPr>
          <w:color w:val="auto"/>
          <w:sz w:val="24"/>
        </w:rPr>
        <w:t xml:space="preserve">确定</w:t>
      </w:r>
      <w:bookmarkStart w:id="641" w:name="_Toc164229241"/>
      <w:r/>
      <w:bookmarkStart w:id="642" w:name="_Toc127151747"/>
      <w:r/>
      <w:bookmarkStart w:id="643" w:name="_Toc264969236"/>
      <w:r/>
      <w:bookmarkStart w:id="644" w:name="_Toc150774646"/>
      <w:r/>
      <w:bookmarkStart w:id="645" w:name="_Toc151193716"/>
      <w:r/>
      <w:bookmarkStart w:id="646" w:name="_Toc151193934"/>
      <w:r/>
      <w:bookmarkStart w:id="647" w:name="_Toc164608660"/>
      <w:r/>
      <w:bookmarkStart w:id="648" w:name="_Toc305158814"/>
      <w:r/>
      <w:bookmarkStart w:id="649" w:name="_Ref467307010"/>
      <w:r/>
      <w:bookmarkStart w:id="650" w:name="_Toc164351640"/>
      <w:r/>
      <w:bookmarkStart w:id="651" w:name="_Toc164608815"/>
      <w:r/>
      <w:bookmarkStart w:id="652" w:name="_Toc151193788"/>
      <w:r/>
      <w:bookmarkStart w:id="653" w:name="_Toc520356170"/>
      <w:r/>
      <w:bookmarkStart w:id="654" w:name="_Toc226965736"/>
      <w:r/>
      <w:bookmarkStart w:id="655" w:name="_Toc164229387"/>
      <w:r/>
      <w:bookmarkStart w:id="656" w:name="_Toc149720839"/>
      <w:r/>
      <w:bookmarkStart w:id="657" w:name="_Toc150509297"/>
      <w:r/>
      <w:bookmarkStart w:id="658" w:name="_Toc226309790"/>
      <w:r/>
      <w:bookmarkStart w:id="659" w:name="_Toc195842911"/>
      <w:r/>
      <w:bookmarkStart w:id="660" w:name="_Toc127161460"/>
      <w:r/>
      <w:bookmarkStart w:id="661" w:name="_Toc305158888"/>
      <w:r/>
      <w:bookmarkStart w:id="662" w:name="_Toc127151546"/>
      <w:r/>
      <w:bookmarkStart w:id="663" w:name="_Toc142311048"/>
      <w:r/>
      <w:bookmarkStart w:id="664" w:name="_Toc226965819"/>
      <w:r/>
      <w:bookmarkStart w:id="665" w:name="_Toc151190173"/>
      <w:r/>
      <w:bookmarkStart w:id="666" w:name="_Toc265228384"/>
      <w:r/>
      <w:bookmarkStart w:id="667" w:name="_Toc151193644"/>
      <w:r/>
      <w:bookmarkStart w:id="668" w:name="_Toc151193860"/>
      <w:r/>
      <w:bookmarkStart w:id="669" w:name="_Toc150480784"/>
      <w:r/>
      <w:bookmarkStart w:id="670" w:name="_Toc150774751"/>
      <w:r/>
      <w:bookmarkStart w:id="671" w:name="_Toc226337242"/>
      <w:r>
        <w:rPr>
          <w:color w:val="auto"/>
          <w:sz w:val="24"/>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auto"/>
          <w:sz w:val="24"/>
        </w:rPr>
      </w:pPr>
      <w:r>
        <w:rPr>
          <w:color w:val="auto"/>
          <w:sz w:val="24"/>
          <w:szCs w:val="20"/>
        </w:rPr>
        <w:t xml:space="preserve">磋商小组根据上述供应商排序，依次推荐排序前</w:t>
      </w:r>
      <w:r>
        <w:rPr>
          <w:rFonts w:hint="eastAsia"/>
          <w:color w:val="auto"/>
          <w:sz w:val="24"/>
        </w:rPr>
        <w:t xml:space="preserve">3</w:t>
      </w:r>
      <w:r>
        <w:rPr>
          <w:color w:val="auto"/>
          <w:sz w:val="24"/>
        </w:rPr>
        <w:t xml:space="preserve">名</w:t>
      </w:r>
      <w:r>
        <w:rPr>
          <w:color w:val="auto"/>
          <w:sz w:val="24"/>
          <w:szCs w:val="20"/>
        </w:rPr>
        <w:t xml:space="preserve">的供应商为</w:t>
      </w:r>
      <w:r>
        <w:rPr>
          <w:color w:val="auto"/>
          <w:sz w:val="24"/>
          <w:szCs w:val="21"/>
        </w:rPr>
        <w:t xml:space="preserve">成交候选供应商</w:t>
      </w:r>
      <w:r>
        <w:rPr>
          <w:color w:val="auto"/>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auto"/>
          <w:sz w:val="24"/>
        </w:rPr>
        <w:outlineLvl w:val="1"/>
      </w:pPr>
      <w:r>
        <w:rPr>
          <w:color w:val="auto"/>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color w:val="auto"/>
          <w:sz w:val="24"/>
        </w:rPr>
      </w:pPr>
      <w:r>
        <w:rPr>
          <w:color w:val="auto"/>
          <w:sz w:val="24"/>
        </w:rPr>
        <w:t xml:space="preserve">磋商小组在评审过程中发现供应商有行贿、提供虚假材料或者串通等违法行为时</w:t>
      </w:r>
      <w:r>
        <w:rPr>
          <w:rFonts w:hint="eastAsia"/>
          <w:color w:val="auto"/>
          <w:sz w:val="24"/>
          <w:lang w:eastAsia="zh-CN"/>
        </w:rPr>
        <w:t xml:space="preserve">，</w:t>
      </w:r>
      <w:r>
        <w:rPr>
          <w:color w:val="auto"/>
          <w:sz w:val="24"/>
        </w:rPr>
        <w:t xml:space="preserve">有向采购人、采购代理机构或者有关部门报告的职责。</w:t>
      </w:r>
      <w:r/>
    </w:p>
    <w:p>
      <w:pPr>
        <w:pStyle w:val="1076"/>
        <w:numPr>
          <w:ilvl w:val="0"/>
          <w:numId w:val="12"/>
        </w:numPr>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br w:type="page" w:clear="all"/>
      </w:r>
      <w:r>
        <w:rPr>
          <w:rFonts w:ascii="Times New Roman" w:hAnsi="Times New Roman" w:eastAsia="宋体"/>
          <w:color w:val="auto"/>
          <w:sz w:val="24"/>
          <w:szCs w:val="24"/>
        </w:rPr>
        <w:t xml:space="preserve">评</w:t>
      </w:r>
      <w:r>
        <w:rPr>
          <w:rFonts w:hint="eastAsia" w:ascii="Times New Roman" w:hAnsi="Times New Roman" w:eastAsia="宋体"/>
          <w:color w:val="auto"/>
          <w:sz w:val="24"/>
          <w:szCs w:val="24"/>
        </w:rPr>
        <w:t xml:space="preserve">审</w:t>
      </w:r>
      <w:r>
        <w:rPr>
          <w:rFonts w:ascii="Times New Roman" w:hAnsi="Times New Roman" w:eastAsia="宋体"/>
          <w:color w:val="auto"/>
          <w:sz w:val="24"/>
          <w:szCs w:val="24"/>
        </w:rPr>
        <w:t xml:space="preserve">标准</w:t>
      </w:r>
      <w:r/>
    </w:p>
    <w:p>
      <w:pPr>
        <w:pStyle w:val="1077"/>
        <w:numPr>
          <w:ilvl w:val="0"/>
          <w:numId w:val="0"/>
        </w:numPr>
        <w:rPr>
          <w:color w:val="auto"/>
        </w:rPr>
      </w:pPr>
      <w:r>
        <w:rPr>
          <w:color w:val="auto"/>
        </w:rPr>
      </w:r>
      <w:r/>
    </w:p>
    <w:tbl>
      <w:tblPr>
        <w:tblStyle w:val="903"/>
        <w:tblW w:w="9867"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3"/>
        <w:gridCol w:w="734"/>
        <w:gridCol w:w="7250"/>
      </w:tblGrid>
      <w:tr>
        <w:trPr>
          <w:trHeight w:val="581"/>
        </w:trPr>
        <w:tc>
          <w:tcPr>
            <w:tcW w:w="1883" w:type="dxa"/>
            <w:vAlign w:val="center"/>
            <w:textDirection w:val="lrTb"/>
            <w:noWrap w:val="false"/>
          </w:tcPr>
          <w:p>
            <w:pPr>
              <w:ind w:firstLine="28"/>
              <w:jc w:val="center"/>
              <w:rPr>
                <w:b/>
                <w:color w:val="auto"/>
                <w:sz w:val="24"/>
              </w:rPr>
            </w:pPr>
            <w:r/>
            <w:bookmarkStart w:id="672" w:name="_Toc120102177"/>
            <w:r>
              <w:rPr>
                <w:b/>
                <w:color w:val="auto"/>
                <w:sz w:val="24"/>
              </w:rPr>
              <w:t xml:space="preserve">评分因素</w:t>
            </w:r>
            <w:r/>
          </w:p>
        </w:tc>
        <w:tc>
          <w:tcPr>
            <w:tcW w:w="734" w:type="dxa"/>
            <w:vAlign w:val="center"/>
            <w:textDirection w:val="lrTb"/>
            <w:noWrap w:val="false"/>
          </w:tcPr>
          <w:p>
            <w:pPr>
              <w:ind w:firstLine="28"/>
              <w:jc w:val="center"/>
              <w:rPr>
                <w:b/>
                <w:color w:val="auto"/>
                <w:sz w:val="24"/>
              </w:rPr>
            </w:pPr>
            <w:r>
              <w:rPr>
                <w:b/>
                <w:color w:val="auto"/>
                <w:sz w:val="24"/>
              </w:rPr>
              <w:t xml:space="preserve">分值</w:t>
            </w:r>
            <w:r/>
          </w:p>
        </w:tc>
        <w:tc>
          <w:tcPr>
            <w:tcW w:w="7250" w:type="dxa"/>
            <w:vAlign w:val="center"/>
            <w:textDirection w:val="lrTb"/>
            <w:noWrap w:val="false"/>
          </w:tcPr>
          <w:p>
            <w:pPr>
              <w:ind w:firstLine="28"/>
              <w:jc w:val="center"/>
              <w:rPr>
                <w:b/>
                <w:color w:val="auto"/>
                <w:sz w:val="24"/>
              </w:rPr>
            </w:pPr>
            <w:r>
              <w:rPr>
                <w:b/>
                <w:color w:val="auto"/>
                <w:sz w:val="24"/>
              </w:rPr>
              <w:t xml:space="preserve">评分标准</w:t>
            </w:r>
            <w:r/>
          </w:p>
        </w:tc>
      </w:tr>
      <w:tr>
        <w:trPr>
          <w:trHeight w:val="631"/>
        </w:trPr>
        <w:tc>
          <w:tcPr>
            <w:tcW w:w="1883" w:type="dxa"/>
            <w:vAlign w:val="center"/>
            <w:textDirection w:val="lrTb"/>
            <w:noWrap w:val="false"/>
          </w:tcPr>
          <w:p>
            <w:pPr>
              <w:ind w:firstLine="28"/>
              <w:jc w:val="center"/>
              <w:spacing w:line="240" w:lineRule="auto"/>
              <w:rPr>
                <w:color w:val="auto"/>
                <w:sz w:val="24"/>
                <w:highlight w:val="none"/>
              </w:rPr>
            </w:pPr>
            <w:r>
              <w:rPr>
                <w:rFonts w:hint="eastAsia"/>
                <w:color w:val="auto"/>
                <w:sz w:val="24"/>
                <w:highlight w:val="none"/>
              </w:rPr>
              <w:t xml:space="preserve">价格分</w:t>
            </w:r>
            <w:r/>
          </w:p>
        </w:tc>
        <w:tc>
          <w:tcPr>
            <w:tcW w:w="734" w:type="dxa"/>
            <w:vAlign w:val="center"/>
            <w:textDirection w:val="lrTb"/>
            <w:noWrap w:val="false"/>
          </w:tcPr>
          <w:p>
            <w:pPr>
              <w:ind w:firstLine="28"/>
              <w:jc w:val="center"/>
              <w:spacing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7250" w:type="dxa"/>
            <w:vAlign w:val="center"/>
            <w:textDirection w:val="lrTb"/>
            <w:noWrap w:val="false"/>
          </w:tcPr>
          <w:p>
            <w:pP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满足磋商文件要求且</w:t>
            </w:r>
            <w:r>
              <w:rPr>
                <w:rFonts w:hint="eastAsia" w:ascii="Times New Roman" w:hAnsi="Times New Roman" w:eastAsia="宋体" w:cs="Times New Roman"/>
                <w:color w:val="auto"/>
                <w:sz w:val="24"/>
                <w:highlight w:val="none"/>
              </w:rPr>
              <w:t xml:space="preserve">最终报价</w:t>
            </w:r>
            <w:r>
              <w:rPr>
                <w:rFonts w:ascii="Times New Roman" w:hAnsi="Times New Roman" w:eastAsia="宋体" w:cs="Times New Roman"/>
                <w:color w:val="auto"/>
                <w:sz w:val="24"/>
                <w:highlight w:val="none"/>
              </w:rPr>
              <w:t xml:space="preserve">最低的报价为评标基准价，其价格分为满分。其他供应商的价格分统一按照下列公式计算：</w:t>
            </w:r>
            <w:r/>
          </w:p>
          <w:p>
            <w:pPr>
              <w:spacing w:line="240" w:lineRule="auto"/>
              <w:rPr>
                <w:color w:val="auto"/>
                <w:sz w:val="24"/>
                <w:highlight w:val="none"/>
              </w:rPr>
            </w:pPr>
            <w:r>
              <w:rPr>
                <w:rFonts w:hint="eastAsia" w:ascii="Times New Roman" w:hAnsi="Times New Roman" w:eastAsia="宋体" w:cs="Times New Roman"/>
                <w:color w:val="auto"/>
                <w:sz w:val="24"/>
                <w:highlight w:val="none"/>
              </w:rPr>
              <w:t xml:space="preserve">价格分</w:t>
            </w:r>
            <w:r>
              <w:rPr>
                <w:rFonts w:ascii="Times New Roman" w:hAnsi="Times New Roman" w:eastAsia="宋体" w:cs="Times New Roman"/>
                <w:color w:val="auto"/>
                <w:sz w:val="24"/>
                <w:highlight w:val="none"/>
              </w:rPr>
              <w:t xml:space="preserve">得分＝（评标基准价/</w:t>
            </w:r>
            <w:r>
              <w:rPr>
                <w:rFonts w:hint="eastAsia" w:ascii="Times New Roman" w:hAnsi="Times New Roman" w:eastAsia="宋体" w:cs="Times New Roman"/>
                <w:color w:val="auto"/>
                <w:sz w:val="24"/>
                <w:highlight w:val="none"/>
              </w:rPr>
              <w:t xml:space="preserve">最终报价</w:t>
            </w:r>
            <w:r>
              <w:rPr>
                <w:rFonts w:ascii="Times New Roman" w:hAnsi="Times New Roman" w:eastAsia="宋体" w:cs="Times New Roman"/>
                <w:color w:val="auto"/>
                <w:sz w:val="24"/>
                <w:highlight w:val="none"/>
              </w:rPr>
              <w:t xml:space="preserve">）×分值。</w:t>
            </w:r>
            <w:r/>
          </w:p>
        </w:tc>
      </w:tr>
      <w:tr>
        <w:trPr>
          <w:trHeight w:val="571"/>
        </w:trPr>
        <w:tc>
          <w:tcPr>
            <w:tcW w:w="1883" w:type="dxa"/>
            <w:vAlign w:val="center"/>
            <w:textDirection w:val="lrTb"/>
            <w:noWrap w:val="false"/>
          </w:tcPr>
          <w:p>
            <w:pPr>
              <w:ind w:firstLine="28"/>
              <w:jc w:val="center"/>
              <w:spacing w:line="240" w:lineRule="auto"/>
              <w:rPr>
                <w:b/>
                <w:bCs/>
                <w:color w:val="auto"/>
                <w:sz w:val="24"/>
                <w:highlight w:val="none"/>
              </w:rPr>
            </w:pPr>
            <w:r>
              <w:rPr>
                <w:rFonts w:hint="eastAsia"/>
                <w:b/>
                <w:bCs/>
                <w:color w:val="auto"/>
                <w:sz w:val="24"/>
                <w:highlight w:val="none"/>
              </w:rPr>
              <w:t xml:space="preserve">主观分</w:t>
            </w:r>
            <w:r/>
          </w:p>
        </w:tc>
        <w:tc>
          <w:tcPr>
            <w:tcW w:w="734" w:type="dxa"/>
            <w:vAlign w:val="center"/>
            <w:textDirection w:val="lrTb"/>
            <w:noWrap w:val="false"/>
          </w:tcPr>
          <w:p>
            <w:pPr>
              <w:ind w:firstLine="28"/>
              <w:jc w:val="center"/>
              <w:spacing w:line="24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58</w:t>
            </w:r>
            <w:r/>
          </w:p>
        </w:tc>
        <w:tc>
          <w:tcPr>
            <w:tcW w:w="7250" w:type="dxa"/>
            <w:vAlign w:val="center"/>
            <w:textDirection w:val="lrTb"/>
            <w:noWrap w:val="false"/>
          </w:tcPr>
          <w:p>
            <w:pPr>
              <w:spacing w:line="240" w:lineRule="auto"/>
              <w:rPr>
                <w:color w:val="auto"/>
                <w:sz w:val="24"/>
                <w:highlight w:val="none"/>
              </w:rPr>
            </w:pPr>
            <w:r>
              <w:rPr>
                <w:color w:val="auto"/>
                <w:sz w:val="24"/>
                <w:highlight w:val="none"/>
              </w:rPr>
            </w:r>
            <w:r/>
          </w:p>
        </w:tc>
      </w:tr>
      <w:tr>
        <w:trPr>
          <w:trHeight w:val="386"/>
        </w:trPr>
        <w:tc>
          <w:tcPr>
            <w:tcW w:w="1883" w:type="dxa"/>
            <w:vAlign w:val="center"/>
            <w:textDirection w:val="lrTb"/>
            <w:noWrap w:val="false"/>
          </w:tcPr>
          <w:p>
            <w:pPr>
              <w:pStyle w:val="1326"/>
              <w:ind w:left="75"/>
              <w:jc w:val="center"/>
              <w:spacing w:before="78" w:line="240" w:lineRule="auto"/>
              <w:rPr>
                <w:rFonts w:hint="eastAsia" w:ascii="宋体" w:hAnsi="宋体" w:eastAsia="宋体" w:cs="宋体"/>
                <w:color w:val="auto"/>
                <w:spacing w:val="-2"/>
              </w:rPr>
            </w:pPr>
            <w:r>
              <w:rPr>
                <w:rFonts w:ascii="宋体" w:hAnsi="宋体" w:eastAsia="宋体" w:cs="宋体"/>
                <w:color w:val="auto"/>
                <w:spacing w:val="-2"/>
              </w:rPr>
              <w:t xml:space="preserve">养护保养方案</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lang w:val="en-US" w:eastAsia="zh-CN"/>
              </w:rPr>
            </w:pPr>
            <w:r>
              <w:rPr>
                <w:rFonts w:hint="eastAsia" w:cs="宋体"/>
                <w:color w:val="auto"/>
                <w:sz w:val="24"/>
                <w:lang w:val="en-US" w:eastAsia="zh-CN"/>
              </w:rPr>
              <w:t xml:space="preserve">10</w:t>
            </w:r>
            <w:r/>
          </w:p>
        </w:tc>
        <w:tc>
          <w:tcPr>
            <w:tcW w:w="7250" w:type="dxa"/>
            <w:vAlign w:val="top"/>
            <w:textDirection w:val="lrTb"/>
            <w:noWrap w:val="false"/>
          </w:tcPr>
          <w:p>
            <w:pPr>
              <w:pStyle w:val="1326"/>
              <w:ind w:left="21" w:right="15"/>
              <w:spacing w:before="131" w:line="240" w:lineRule="auto"/>
              <w:rPr>
                <w:rFonts w:hint="eastAsia" w:ascii="宋体" w:hAnsi="宋体" w:eastAsia="宋体" w:cs="宋体"/>
                <w:color w:val="auto"/>
                <w:sz w:val="24"/>
                <w:lang w:val="en-US" w:eastAsia="zh-CN"/>
              </w:rPr>
            </w:pPr>
            <w:r>
              <w:rPr>
                <w:color w:val="auto"/>
                <w:spacing w:val="-3"/>
              </w:rPr>
              <w:t xml:space="preserve">养护维保方案主要是指日常巡视、检查、检测、检修、</w:t>
            </w:r>
            <w:r>
              <w:rPr>
                <w:color w:val="auto"/>
                <w:spacing w:val="-51"/>
              </w:rPr>
              <w:t xml:space="preserve"> </w:t>
            </w:r>
            <w:r>
              <w:rPr>
                <w:color w:val="auto"/>
                <w:spacing w:val="-3"/>
              </w:rPr>
              <w:t xml:space="preserve">日常配</w:t>
            </w:r>
            <w:r>
              <w:rPr>
                <w:color w:val="auto"/>
                <w:spacing w:val="-14"/>
              </w:rPr>
              <w:t xml:space="preserve">合等各方面，考虑周全、概述详细、科学合理、可行性强的得</w:t>
            </w:r>
            <w:r>
              <w:rPr>
                <w:rFonts w:hint="eastAsia"/>
                <w:color w:val="auto"/>
                <w:spacing w:val="-14"/>
                <w:lang w:val="en-US" w:eastAsia="zh-CN"/>
              </w:rPr>
              <w:t xml:space="preserve">10</w:t>
            </w:r>
            <w:r>
              <w:rPr>
                <w:color w:val="auto"/>
                <w:spacing w:val="-1"/>
              </w:rPr>
              <w:t xml:space="preserve">分；概述较为详细，安排较为科学，方案能满足项目要求的得</w:t>
            </w:r>
            <w:r>
              <w:rPr>
                <w:rFonts w:hint="eastAsia"/>
                <w:color w:val="auto"/>
                <w:spacing w:val="-1"/>
                <w:lang w:val="en-US" w:eastAsia="zh-CN"/>
              </w:rPr>
              <w:t xml:space="preserve">7</w:t>
            </w:r>
            <w:r>
              <w:rPr>
                <w:color w:val="auto"/>
                <w:spacing w:val="-3"/>
              </w:rPr>
              <w:t xml:space="preserve">分；概述方案基本完整的得</w:t>
            </w:r>
            <w:r>
              <w:rPr>
                <w:rFonts w:hint="eastAsia"/>
                <w:color w:val="auto"/>
                <w:spacing w:val="-3"/>
                <w:lang w:val="en-US" w:eastAsia="zh-CN"/>
              </w:rPr>
              <w:t xml:space="preserve">4</w:t>
            </w:r>
            <w:r>
              <w:rPr>
                <w:color w:val="auto"/>
                <w:spacing w:val="-3"/>
              </w:rPr>
              <w:t xml:space="preserve">分；概述方案粗略的得</w:t>
            </w:r>
            <w:r>
              <w:rPr>
                <w:color w:val="auto"/>
                <w:spacing w:val="-33"/>
              </w:rPr>
              <w:t xml:space="preserve"> </w:t>
            </w:r>
            <w:r>
              <w:rPr>
                <w:rFonts w:hint="eastAsia"/>
                <w:color w:val="auto"/>
                <w:spacing w:val="-33"/>
                <w:lang w:val="en-US" w:eastAsia="zh-CN"/>
              </w:rPr>
              <w:t xml:space="preserve">1</w:t>
            </w:r>
            <w:r>
              <w:rPr>
                <w:color w:val="auto"/>
                <w:spacing w:val="-3"/>
              </w:rPr>
              <w:t xml:space="preserve">分；</w:t>
            </w:r>
            <w:r>
              <w:rPr>
                <w:color w:val="auto"/>
                <w:spacing w:val="-2"/>
              </w:rPr>
              <w:t xml:space="preserve">未提供此项的不得分</w:t>
            </w:r>
            <w:r>
              <w:rPr>
                <w:rFonts w:hint="eastAsia"/>
                <w:color w:val="auto"/>
                <w:spacing w:val="-2"/>
                <w:lang w:val="en-US" w:eastAsia="zh-CN"/>
              </w:rPr>
              <w:t xml:space="preserve">。</w:t>
            </w:r>
            <w:r/>
          </w:p>
        </w:tc>
      </w:tr>
      <w:tr>
        <w:trPr/>
        <w:tc>
          <w:tcPr>
            <w:tcW w:w="1883" w:type="dxa"/>
            <w:vAlign w:val="center"/>
            <w:textDirection w:val="lrTb"/>
            <w:noWrap w:val="false"/>
          </w:tcPr>
          <w:p>
            <w:pPr>
              <w:pStyle w:val="1326"/>
              <w:ind w:left="75"/>
              <w:jc w:val="center"/>
              <w:spacing w:before="78" w:line="240" w:lineRule="auto"/>
              <w:rPr>
                <w:rFonts w:hint="eastAsia" w:ascii="宋体" w:hAnsi="宋体" w:eastAsia="宋体" w:cs="宋体"/>
                <w:color w:val="auto"/>
                <w:spacing w:val="-2"/>
              </w:rPr>
            </w:pPr>
            <w:r>
              <w:rPr>
                <w:rFonts w:ascii="宋体" w:hAnsi="宋体" w:eastAsia="宋体" w:cs="宋体"/>
                <w:color w:val="auto"/>
                <w:spacing w:val="-2"/>
              </w:rPr>
              <w:t xml:space="preserve">事故处理抢修方案</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lang w:val="en-US" w:eastAsia="zh-CN"/>
              </w:rPr>
            </w:pPr>
            <w:r>
              <w:rPr>
                <w:rFonts w:hint="eastAsia" w:cs="宋体"/>
                <w:color w:val="auto"/>
                <w:sz w:val="24"/>
                <w:lang w:val="en-US" w:eastAsia="zh-CN"/>
              </w:rPr>
              <w:t xml:space="preserve">10</w:t>
            </w:r>
            <w:r/>
          </w:p>
        </w:tc>
        <w:tc>
          <w:tcPr>
            <w:tcW w:w="7250" w:type="dxa"/>
            <w:vAlign w:val="top"/>
            <w:textDirection w:val="lrTb"/>
            <w:noWrap w:val="false"/>
          </w:tcPr>
          <w:p>
            <w:pPr>
              <w:pStyle w:val="1326"/>
              <w:ind w:left="21" w:right="15"/>
              <w:spacing w:before="131" w:line="240" w:lineRule="auto"/>
              <w:rPr>
                <w:rFonts w:hint="eastAsia" w:ascii="宋体" w:hAnsi="宋体" w:cs="宋体"/>
                <w:color w:val="auto"/>
                <w:sz w:val="24"/>
              </w:rPr>
            </w:pPr>
            <w:r>
              <w:rPr>
                <w:rFonts w:ascii="宋体" w:hAnsi="宋体" w:eastAsia="宋体" w:cs="宋体"/>
                <w:color w:val="auto"/>
                <w:spacing w:val="-3"/>
              </w:rPr>
              <w:t xml:space="preserve">主要是指交通事故应急抢修处理方案，包括接到通知后的响应时间、处理流程、人员安排等。抢修处理方案详尽、科学合理、可行性强的得 </w:t>
            </w:r>
            <w:r>
              <w:rPr>
                <w:rFonts w:hint="eastAsia" w:cs="宋体"/>
                <w:color w:val="auto"/>
                <w:spacing w:val="-3"/>
                <w:lang w:val="en-US" w:eastAsia="zh-CN"/>
              </w:rPr>
              <w:t xml:space="preserve">10</w:t>
            </w:r>
            <w:r>
              <w:rPr>
                <w:rFonts w:ascii="宋体" w:hAnsi="宋体" w:eastAsia="宋体" w:cs="宋体"/>
                <w:color w:val="auto"/>
                <w:spacing w:val="-3"/>
              </w:rPr>
              <w:t xml:space="preserve">分；抢修处理方案较完善、可行性较强的得 </w:t>
            </w:r>
            <w:r>
              <w:rPr>
                <w:rFonts w:hint="eastAsia" w:cs="宋体"/>
                <w:color w:val="auto"/>
                <w:spacing w:val="-3"/>
                <w:lang w:val="en-US" w:eastAsia="zh-CN"/>
              </w:rPr>
              <w:t xml:space="preserve">7</w:t>
            </w:r>
            <w:r>
              <w:rPr>
                <w:rFonts w:ascii="宋体" w:hAnsi="宋体" w:eastAsia="宋体" w:cs="宋体"/>
                <w:color w:val="auto"/>
                <w:spacing w:val="-3"/>
              </w:rPr>
              <w:t xml:space="preserve">分；抢修处理方案基本全面的得 </w:t>
            </w:r>
            <w:r>
              <w:rPr>
                <w:rFonts w:hint="eastAsia" w:cs="宋体"/>
                <w:color w:val="auto"/>
                <w:spacing w:val="-3"/>
                <w:lang w:val="en-US" w:eastAsia="zh-CN"/>
              </w:rPr>
              <w:t xml:space="preserve">4</w:t>
            </w:r>
            <w:r>
              <w:rPr>
                <w:rFonts w:ascii="宋体" w:hAnsi="宋体" w:eastAsia="宋体" w:cs="宋体"/>
                <w:color w:val="auto"/>
                <w:spacing w:val="-3"/>
              </w:rPr>
              <w:t xml:space="preserve">分；抢修处理方案粗略的得</w:t>
            </w:r>
            <w:r>
              <w:rPr>
                <w:rFonts w:hint="eastAsia" w:cs="宋体"/>
                <w:color w:val="auto"/>
                <w:spacing w:val="-3"/>
                <w:lang w:val="en-US" w:eastAsia="zh-CN"/>
              </w:rPr>
              <w:t xml:space="preserve">1</w:t>
            </w:r>
            <w:r>
              <w:rPr>
                <w:rFonts w:ascii="宋体" w:hAnsi="宋体" w:eastAsia="宋体" w:cs="宋体"/>
                <w:color w:val="auto"/>
                <w:spacing w:val="-3"/>
              </w:rPr>
              <w:t xml:space="preserve"> 分；未提供此项的不得分。</w:t>
            </w:r>
            <w:r/>
          </w:p>
        </w:tc>
      </w:tr>
      <w:tr>
        <w:trPr/>
        <w:tc>
          <w:tcPr>
            <w:tcW w:w="1883" w:type="dxa"/>
            <w:vAlign w:val="center"/>
            <w:textDirection w:val="lrTb"/>
            <w:noWrap w:val="false"/>
          </w:tcPr>
          <w:p>
            <w:pPr>
              <w:pStyle w:val="1326"/>
              <w:ind w:left="79"/>
              <w:jc w:val="center"/>
              <w:spacing w:before="78" w:line="240" w:lineRule="auto"/>
              <w:rPr>
                <w:rFonts w:hint="eastAsia" w:ascii="宋体" w:hAnsi="宋体" w:cs="宋体"/>
                <w:color w:val="auto"/>
                <w:sz w:val="24"/>
              </w:rPr>
            </w:pPr>
            <w:r>
              <w:rPr>
                <w:color w:val="auto"/>
                <w:spacing w:val="-3"/>
              </w:rPr>
              <w:t xml:space="preserve">安全管理方案</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lang w:val="en-US" w:eastAsia="zh-CN"/>
              </w:rPr>
            </w:pPr>
            <w:r>
              <w:rPr>
                <w:rFonts w:hint="eastAsia" w:cs="宋体"/>
                <w:color w:val="auto"/>
                <w:sz w:val="24"/>
                <w:lang w:val="en-US" w:eastAsia="zh-CN"/>
              </w:rPr>
              <w:t xml:space="preserve">8</w:t>
            </w:r>
            <w:r/>
          </w:p>
        </w:tc>
        <w:tc>
          <w:tcPr>
            <w:tcW w:w="7250" w:type="dxa"/>
            <w:vAlign w:val="top"/>
            <w:textDirection w:val="lrTb"/>
            <w:noWrap w:val="false"/>
          </w:tcPr>
          <w:p>
            <w:pPr>
              <w:pStyle w:val="1326"/>
              <w:ind w:left="21" w:right="15"/>
              <w:spacing w:before="131" w:line="240" w:lineRule="auto"/>
              <w:rPr>
                <w:rFonts w:hint="eastAsia" w:ascii="宋体" w:hAnsi="宋体" w:eastAsia="宋体" w:cs="宋体"/>
                <w:color w:val="auto"/>
                <w:spacing w:val="-3"/>
              </w:rPr>
            </w:pPr>
            <w:r>
              <w:rPr>
                <w:rFonts w:ascii="宋体" w:hAnsi="宋体" w:eastAsia="宋体" w:cs="宋体"/>
                <w:color w:val="auto"/>
                <w:spacing w:val="-3"/>
              </w:rPr>
              <w:t xml:space="preserve">主要包括正常维护作业时和发生事故时的交通组织和安全防护措施，以及各项紧急预案。方案考虑全面，包括正常养护作业时和发生事故时的交通组织和安全防护措施，以及各项紧急预 案且可实施性强的得 </w:t>
            </w:r>
            <w:r>
              <w:rPr>
                <w:rFonts w:hint="eastAsia" w:cs="宋体"/>
                <w:color w:val="auto"/>
                <w:spacing w:val="-3"/>
                <w:lang w:val="en-US" w:eastAsia="zh-CN"/>
              </w:rPr>
              <w:t xml:space="preserve">8</w:t>
            </w:r>
            <w:r>
              <w:rPr>
                <w:rFonts w:ascii="宋体" w:hAnsi="宋体" w:eastAsia="宋体" w:cs="宋体"/>
                <w:color w:val="auto"/>
                <w:spacing w:val="-3"/>
              </w:rPr>
              <w:t xml:space="preserve"> 分；方案考虑较为全面，各项措施较为科学合理的得 </w:t>
            </w:r>
            <w:r>
              <w:rPr>
                <w:rFonts w:hint="eastAsia" w:cs="宋体"/>
                <w:color w:val="auto"/>
                <w:spacing w:val="-3"/>
                <w:lang w:val="en-US" w:eastAsia="zh-CN"/>
              </w:rPr>
              <w:t xml:space="preserve">6</w:t>
            </w:r>
            <w:r>
              <w:rPr>
                <w:rFonts w:ascii="宋体" w:hAnsi="宋体" w:eastAsia="宋体" w:cs="宋体"/>
                <w:color w:val="auto"/>
                <w:spacing w:val="-3"/>
              </w:rPr>
              <w:t xml:space="preserve"> 分；方案及各项措施简单基本完整的得 </w:t>
            </w:r>
            <w:r>
              <w:rPr>
                <w:rFonts w:hint="eastAsia" w:cs="宋体"/>
                <w:color w:val="auto"/>
                <w:spacing w:val="-3"/>
                <w:lang w:val="en-US" w:eastAsia="zh-CN"/>
              </w:rPr>
              <w:t xml:space="preserve">4</w:t>
            </w:r>
            <w:r>
              <w:rPr>
                <w:rFonts w:ascii="宋体" w:hAnsi="宋体" w:eastAsia="宋体" w:cs="宋体"/>
                <w:color w:val="auto"/>
                <w:spacing w:val="-3"/>
              </w:rPr>
              <w:t xml:space="preserve"> 分；安全管理方案粗略的得 </w:t>
            </w:r>
            <w:r>
              <w:rPr>
                <w:rFonts w:hint="eastAsia" w:cs="宋体"/>
                <w:color w:val="auto"/>
                <w:spacing w:val="-3"/>
                <w:lang w:val="en-US" w:eastAsia="zh-CN"/>
              </w:rPr>
              <w:t xml:space="preserve">2</w:t>
            </w:r>
            <w:r>
              <w:rPr>
                <w:rFonts w:ascii="宋体" w:hAnsi="宋体" w:eastAsia="宋体" w:cs="宋体"/>
                <w:color w:val="auto"/>
                <w:spacing w:val="-3"/>
              </w:rPr>
              <w:t xml:space="preserve"> 分；未提供此项的不得分。</w:t>
            </w:r>
            <w:r/>
          </w:p>
        </w:tc>
      </w:tr>
      <w:tr>
        <w:trPr>
          <w:trHeight w:val="90"/>
        </w:trPr>
        <w:tc>
          <w:tcPr>
            <w:tcW w:w="1883" w:type="dxa"/>
            <w:vAlign w:val="center"/>
            <w:textDirection w:val="lrTb"/>
            <w:noWrap w:val="false"/>
          </w:tcPr>
          <w:p>
            <w:pPr>
              <w:pStyle w:val="1326"/>
              <w:ind w:left="77"/>
              <w:jc w:val="center"/>
              <w:spacing w:before="78" w:line="240" w:lineRule="auto"/>
              <w:rPr>
                <w:rFonts w:hint="eastAsia" w:ascii="宋体" w:hAnsi="宋体" w:cs="宋体"/>
                <w:color w:val="auto"/>
                <w:sz w:val="24"/>
              </w:rPr>
            </w:pPr>
            <w:r>
              <w:rPr>
                <w:color w:val="auto"/>
                <w:spacing w:val="-3"/>
              </w:rPr>
              <w:t xml:space="preserve">工具使用方案</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lang w:val="en-US" w:eastAsia="zh-CN"/>
              </w:rPr>
            </w:pPr>
            <w:r>
              <w:rPr>
                <w:rFonts w:hint="eastAsia" w:cs="宋体"/>
                <w:color w:val="auto"/>
                <w:sz w:val="24"/>
                <w:lang w:val="en-US" w:eastAsia="zh-CN"/>
              </w:rPr>
              <w:t xml:space="preserve">8</w:t>
            </w:r>
            <w:r/>
          </w:p>
        </w:tc>
        <w:tc>
          <w:tcPr>
            <w:tcW w:w="7250" w:type="dxa"/>
            <w:vAlign w:val="top"/>
            <w:textDirection w:val="lrTb"/>
            <w:noWrap w:val="false"/>
          </w:tcPr>
          <w:p>
            <w:pPr>
              <w:pStyle w:val="1326"/>
              <w:ind w:left="21" w:right="15"/>
              <w:spacing w:before="131" w:line="240" w:lineRule="auto"/>
              <w:rPr>
                <w:rFonts w:ascii="宋体" w:hAnsi="宋体" w:eastAsia="宋体" w:cs="宋体"/>
                <w:color w:val="auto"/>
                <w:spacing w:val="-3"/>
              </w:rPr>
            </w:pPr>
            <w:r>
              <w:rPr>
                <w:rFonts w:ascii="宋体" w:hAnsi="宋体" w:eastAsia="宋体" w:cs="宋体"/>
                <w:color w:val="auto"/>
                <w:spacing w:val="-3"/>
              </w:rPr>
              <w:t xml:space="preserve">维修保养使用方案详尽且切实可行的得 </w:t>
            </w:r>
            <w:r>
              <w:rPr>
                <w:rFonts w:hint="eastAsia" w:cs="宋体"/>
                <w:color w:val="auto"/>
                <w:spacing w:val="-3"/>
                <w:lang w:val="en-US" w:eastAsia="zh-CN"/>
              </w:rPr>
              <w:t xml:space="preserve">8</w:t>
            </w:r>
            <w:r>
              <w:rPr>
                <w:rFonts w:ascii="宋体" w:hAnsi="宋体" w:eastAsia="宋体" w:cs="宋体"/>
                <w:color w:val="auto"/>
                <w:spacing w:val="-3"/>
              </w:rPr>
              <w:t xml:space="preserve"> 分；维修保养使用方案比较清楚的得 </w:t>
            </w:r>
            <w:r>
              <w:rPr>
                <w:rFonts w:hint="eastAsia" w:cs="宋体"/>
                <w:color w:val="auto"/>
                <w:spacing w:val="-3"/>
                <w:lang w:val="en-US" w:eastAsia="zh-CN"/>
              </w:rPr>
              <w:t xml:space="preserve">6</w:t>
            </w:r>
            <w:r>
              <w:rPr>
                <w:rFonts w:ascii="宋体" w:hAnsi="宋体" w:eastAsia="宋体" w:cs="宋体"/>
                <w:color w:val="auto"/>
                <w:spacing w:val="-3"/>
              </w:rPr>
              <w:t xml:space="preserve">分；管理制度、维修保养使用方案基本完整的得 </w:t>
            </w:r>
            <w:r>
              <w:rPr>
                <w:rFonts w:hint="eastAsia" w:cs="宋体"/>
                <w:color w:val="auto"/>
                <w:spacing w:val="-3"/>
                <w:lang w:val="en-US" w:eastAsia="zh-CN"/>
              </w:rPr>
              <w:t xml:space="preserve">4 </w:t>
            </w:r>
            <w:r>
              <w:rPr>
                <w:rFonts w:ascii="宋体" w:hAnsi="宋体" w:eastAsia="宋体" w:cs="宋体"/>
                <w:color w:val="auto"/>
                <w:spacing w:val="-3"/>
              </w:rPr>
              <w:t xml:space="preserve">分；维修保养方案粗略的得 </w:t>
            </w:r>
            <w:r>
              <w:rPr>
                <w:rFonts w:hint="eastAsia" w:cs="宋体"/>
                <w:color w:val="auto"/>
                <w:spacing w:val="-3"/>
                <w:lang w:val="en-US" w:eastAsia="zh-CN"/>
              </w:rPr>
              <w:t xml:space="preserve">2</w:t>
            </w:r>
            <w:r>
              <w:rPr>
                <w:rFonts w:ascii="宋体" w:hAnsi="宋体" w:eastAsia="宋体" w:cs="宋体"/>
                <w:color w:val="auto"/>
                <w:spacing w:val="-3"/>
              </w:rPr>
              <w:t xml:space="preserve"> 分；未提供此项的不得分。</w:t>
            </w:r>
            <w:r/>
          </w:p>
        </w:tc>
      </w:tr>
      <w:tr>
        <w:trPr/>
        <w:tc>
          <w:tcPr>
            <w:tcW w:w="1883" w:type="dxa"/>
            <w:vAlign w:val="center"/>
            <w:textDirection w:val="lrTb"/>
            <w:noWrap w:val="false"/>
          </w:tcPr>
          <w:p>
            <w:pPr>
              <w:pStyle w:val="1326"/>
              <w:ind w:left="75"/>
              <w:jc w:val="center"/>
              <w:spacing w:before="78" w:line="240" w:lineRule="auto"/>
              <w:rPr>
                <w:rFonts w:hint="eastAsia" w:ascii="宋体" w:hAnsi="宋体" w:eastAsia="宋体" w:cs="宋体"/>
                <w:color w:val="auto"/>
                <w:sz w:val="24"/>
                <w:szCs w:val="24"/>
                <w:lang w:val="en-US" w:eastAsia="en-US" w:bidi="ar-SA"/>
              </w:rPr>
            </w:pPr>
            <w:r>
              <w:rPr>
                <w:rFonts w:ascii="宋体" w:hAnsi="宋体" w:eastAsia="宋体" w:cs="宋体"/>
                <w:color w:val="auto"/>
                <w:spacing w:val="-2"/>
                <w:position w:val="17"/>
              </w:rPr>
              <w:t xml:space="preserve">养护期间重点难点分析</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szCs w:val="24"/>
                <w:lang w:val="en-US" w:eastAsia="zh-CN" w:bidi="ar-SA"/>
              </w:rPr>
            </w:pPr>
            <w:r>
              <w:rPr>
                <w:rFonts w:hint="eastAsia" w:cs="宋体"/>
                <w:color w:val="auto"/>
                <w:sz w:val="24"/>
                <w:szCs w:val="24"/>
                <w:lang w:val="en-US" w:eastAsia="zh-CN" w:bidi="ar-SA"/>
              </w:rPr>
              <w:t xml:space="preserve">7</w:t>
            </w:r>
            <w:r/>
          </w:p>
        </w:tc>
        <w:tc>
          <w:tcPr>
            <w:tcW w:w="7250" w:type="dxa"/>
            <w:vAlign w:val="top"/>
            <w:textDirection w:val="lrTb"/>
            <w:noWrap w:val="false"/>
          </w:tcPr>
          <w:p>
            <w:pPr>
              <w:pStyle w:val="1326"/>
              <w:ind w:left="21" w:right="15"/>
              <w:spacing w:before="131" w:line="240" w:lineRule="auto"/>
              <w:rPr>
                <w:rFonts w:hint="eastAsia" w:ascii="宋体" w:hAnsi="宋体" w:eastAsia="宋体" w:cs="宋体"/>
                <w:color w:val="auto"/>
                <w:spacing w:val="-3"/>
                <w:lang w:val="en-US" w:eastAsia="en-US"/>
              </w:rPr>
            </w:pPr>
            <w:r>
              <w:rPr>
                <w:rFonts w:ascii="宋体" w:hAnsi="宋体" w:eastAsia="宋体" w:cs="宋体"/>
                <w:color w:val="auto"/>
                <w:spacing w:val="-3"/>
              </w:rPr>
              <w:t xml:space="preserve">重点难点分析全面、完整、清晰的得</w:t>
            </w:r>
            <w:r>
              <w:rPr>
                <w:rFonts w:hint="eastAsia" w:cs="宋体"/>
                <w:color w:val="auto"/>
                <w:spacing w:val="-3"/>
                <w:lang w:val="en-US" w:eastAsia="zh-CN"/>
              </w:rPr>
              <w:t xml:space="preserve">7</w:t>
            </w:r>
            <w:r>
              <w:rPr>
                <w:rFonts w:ascii="宋体" w:hAnsi="宋体" w:eastAsia="宋体" w:cs="宋体"/>
                <w:color w:val="auto"/>
                <w:spacing w:val="-3"/>
              </w:rPr>
              <w:t xml:space="preserve">分；重点难点分析较全面、较完整、较清晰的得 </w:t>
            </w:r>
            <w:r>
              <w:rPr>
                <w:rFonts w:hint="eastAsia" w:cs="宋体"/>
                <w:color w:val="auto"/>
                <w:spacing w:val="-3"/>
                <w:lang w:val="en-US" w:eastAsia="zh-CN"/>
              </w:rPr>
              <w:t xml:space="preserve">4</w:t>
            </w:r>
            <w:r>
              <w:rPr>
                <w:rFonts w:ascii="宋体" w:hAnsi="宋体" w:eastAsia="宋体" w:cs="宋体"/>
                <w:color w:val="auto"/>
                <w:spacing w:val="-3"/>
              </w:rPr>
              <w:t xml:space="preserve">分；重点难点分析基本完整的得 </w:t>
            </w:r>
            <w:r>
              <w:rPr>
                <w:rFonts w:hint="eastAsia" w:cs="宋体"/>
                <w:color w:val="auto"/>
                <w:spacing w:val="-3"/>
                <w:lang w:val="en-US" w:eastAsia="zh-CN"/>
              </w:rPr>
              <w:t xml:space="preserve">1</w:t>
            </w:r>
            <w:r>
              <w:rPr>
                <w:rFonts w:ascii="宋体" w:hAnsi="宋体" w:eastAsia="宋体" w:cs="宋体"/>
                <w:color w:val="auto"/>
                <w:spacing w:val="-3"/>
              </w:rPr>
              <w:t xml:space="preserve">分；未提供此项的不得分。</w:t>
            </w:r>
            <w:r/>
          </w:p>
        </w:tc>
      </w:tr>
      <w:tr>
        <w:trPr/>
        <w:tc>
          <w:tcPr>
            <w:tcW w:w="1883" w:type="dxa"/>
            <w:vAlign w:val="center"/>
            <w:textDirection w:val="lrTb"/>
            <w:noWrap w:val="false"/>
          </w:tcPr>
          <w:p>
            <w:pPr>
              <w:pStyle w:val="1326"/>
              <w:ind w:left="75"/>
              <w:jc w:val="center"/>
              <w:spacing w:before="78" w:line="240" w:lineRule="auto"/>
              <w:rPr>
                <w:rFonts w:hint="eastAsia" w:ascii="宋体" w:hAnsi="宋体" w:eastAsia="宋体" w:cs="宋体"/>
                <w:color w:val="auto"/>
                <w:spacing w:val="-2"/>
                <w:position w:val="17"/>
                <w:lang w:val="en-US" w:eastAsia="en-US"/>
              </w:rPr>
            </w:pPr>
            <w:r>
              <w:rPr>
                <w:rFonts w:ascii="宋体" w:hAnsi="宋体" w:eastAsia="宋体" w:cs="宋体"/>
                <w:color w:val="auto"/>
                <w:spacing w:val="-2"/>
                <w:position w:val="17"/>
              </w:rPr>
              <w:t xml:space="preserve">内部管理方案</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szCs w:val="24"/>
                <w:lang w:val="en-US" w:eastAsia="zh-CN" w:bidi="ar-SA"/>
              </w:rPr>
            </w:pPr>
            <w:r>
              <w:rPr>
                <w:rFonts w:hint="eastAsia" w:cs="宋体"/>
                <w:color w:val="auto"/>
                <w:sz w:val="24"/>
                <w:szCs w:val="24"/>
                <w:lang w:val="en-US" w:eastAsia="zh-CN" w:bidi="ar-SA"/>
              </w:rPr>
              <w:t xml:space="preserve">5</w:t>
            </w:r>
            <w:r/>
          </w:p>
        </w:tc>
        <w:tc>
          <w:tcPr>
            <w:tcW w:w="7250" w:type="dxa"/>
            <w:vAlign w:val="top"/>
            <w:textDirection w:val="lrTb"/>
            <w:noWrap w:val="false"/>
          </w:tcPr>
          <w:p>
            <w:pPr>
              <w:pStyle w:val="1326"/>
              <w:ind w:left="21" w:right="15"/>
              <w:spacing w:before="131" w:line="240" w:lineRule="auto"/>
              <w:rPr>
                <w:rFonts w:hint="eastAsia" w:ascii="宋体" w:hAnsi="宋体" w:eastAsia="宋体" w:cs="宋体"/>
                <w:color w:val="auto"/>
                <w:spacing w:val="-3"/>
                <w:lang w:val="en-US" w:eastAsia="en-US"/>
              </w:rPr>
            </w:pPr>
            <w:r>
              <w:rPr>
                <w:rFonts w:ascii="宋体" w:hAnsi="宋体" w:eastAsia="宋体" w:cs="宋体"/>
                <w:color w:val="auto"/>
                <w:spacing w:val="-3"/>
              </w:rPr>
              <w:t xml:space="preserve">主要包括企业内部各项制度（接管移交管理、员工管理、档案管理、财务管理、考核奖惩管理等）；概述详细，方案考虑周全且内容全面得</w:t>
            </w:r>
            <w:r>
              <w:rPr>
                <w:rFonts w:hint="eastAsia" w:cs="宋体"/>
                <w:color w:val="auto"/>
                <w:spacing w:val="-3"/>
                <w:lang w:val="en-US" w:eastAsia="zh-CN"/>
              </w:rPr>
              <w:t xml:space="preserve">5</w:t>
            </w:r>
            <w:r>
              <w:rPr>
                <w:rFonts w:ascii="宋体" w:hAnsi="宋体" w:eastAsia="宋体" w:cs="宋体"/>
                <w:color w:val="auto"/>
                <w:spacing w:val="-3"/>
              </w:rPr>
              <w:t xml:space="preserve"> 分；概述较为详细，方案考虑比较细致，能满足项目实施需要的得 </w:t>
            </w:r>
            <w:r>
              <w:rPr>
                <w:rFonts w:hint="eastAsia" w:cs="宋体"/>
                <w:color w:val="auto"/>
                <w:spacing w:val="-3"/>
                <w:lang w:val="en-US" w:eastAsia="zh-CN"/>
              </w:rPr>
              <w:t xml:space="preserve">3</w:t>
            </w:r>
            <w:r>
              <w:rPr>
                <w:rFonts w:ascii="宋体" w:hAnsi="宋体" w:eastAsia="宋体" w:cs="宋体"/>
                <w:color w:val="auto"/>
                <w:spacing w:val="-3"/>
              </w:rPr>
              <w:t xml:space="preserve">分；概述简单，基本能满足项目实施需要的得 </w:t>
            </w:r>
            <w:r>
              <w:rPr>
                <w:rFonts w:hint="eastAsia" w:cs="宋体"/>
                <w:color w:val="auto"/>
                <w:spacing w:val="-3"/>
                <w:lang w:val="en-US" w:eastAsia="zh-CN"/>
              </w:rPr>
              <w:t xml:space="preserve">1</w:t>
            </w:r>
            <w:r>
              <w:rPr>
                <w:rFonts w:ascii="宋体" w:hAnsi="宋体" w:eastAsia="宋体" w:cs="宋体"/>
                <w:color w:val="auto"/>
                <w:spacing w:val="-3"/>
              </w:rPr>
              <w:t xml:space="preserve"> 分；不提供不得分。</w:t>
            </w:r>
            <w:r/>
          </w:p>
        </w:tc>
      </w:tr>
      <w:tr>
        <w:trPr>
          <w:trHeight w:val="1153"/>
        </w:trPr>
        <w:tc>
          <w:tcPr>
            <w:tcW w:w="1883" w:type="dxa"/>
            <w:vAlign w:val="center"/>
            <w:textDirection w:val="lrTb"/>
            <w:noWrap w:val="false"/>
          </w:tcPr>
          <w:p>
            <w:pPr>
              <w:pStyle w:val="1326"/>
              <w:ind w:left="75"/>
              <w:jc w:val="center"/>
              <w:spacing w:before="78" w:line="240" w:lineRule="auto"/>
              <w:rPr>
                <w:rFonts w:hint="eastAsia" w:ascii="宋体" w:hAnsi="宋体" w:eastAsia="宋体" w:cs="宋体"/>
                <w:color w:val="auto"/>
                <w:spacing w:val="-2"/>
                <w:position w:val="17"/>
                <w:lang w:val="en-US" w:eastAsia="en-US"/>
              </w:rPr>
            </w:pPr>
            <w:r>
              <w:rPr>
                <w:rFonts w:ascii="宋体" w:hAnsi="宋体" w:eastAsia="宋体" w:cs="宋体"/>
                <w:color w:val="auto"/>
                <w:spacing w:val="-2"/>
                <w:position w:val="17"/>
              </w:rPr>
              <w:t xml:space="preserve">与其他单位、部门的综合协调方案</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szCs w:val="24"/>
                <w:lang w:val="en-US" w:eastAsia="zh-CN" w:bidi="ar-SA"/>
              </w:rPr>
            </w:pPr>
            <w:r>
              <w:rPr>
                <w:rFonts w:hint="eastAsia" w:cs="宋体"/>
                <w:color w:val="auto"/>
                <w:sz w:val="24"/>
                <w:szCs w:val="24"/>
                <w:lang w:val="en-US" w:eastAsia="zh-CN" w:bidi="ar-SA"/>
              </w:rPr>
              <w:t xml:space="preserve">5</w:t>
            </w:r>
            <w:r/>
          </w:p>
        </w:tc>
        <w:tc>
          <w:tcPr>
            <w:tcW w:w="7250" w:type="dxa"/>
            <w:vAlign w:val="center"/>
            <w:textDirection w:val="lrTb"/>
            <w:noWrap w:val="false"/>
          </w:tcPr>
          <w:p>
            <w:pPr>
              <w:pStyle w:val="1326"/>
              <w:ind w:left="21" w:right="15"/>
              <w:jc w:val="both"/>
              <w:spacing w:before="131" w:line="240" w:lineRule="auto"/>
              <w:rPr>
                <w:rFonts w:hint="eastAsia" w:ascii="宋体" w:hAnsi="宋体" w:eastAsia="宋体" w:cs="宋体"/>
                <w:color w:val="auto"/>
                <w:spacing w:val="-3"/>
                <w:lang w:val="en-US" w:eastAsia="en-US"/>
              </w:rPr>
            </w:pPr>
            <w:r>
              <w:rPr>
                <w:rFonts w:ascii="宋体" w:hAnsi="宋体" w:eastAsia="宋体" w:cs="宋体"/>
                <w:color w:val="auto"/>
                <w:spacing w:val="-3"/>
              </w:rPr>
              <w:t xml:space="preserve">协调方案科学合理，考虑全面，可实施性强的得 </w:t>
            </w:r>
            <w:r>
              <w:rPr>
                <w:rFonts w:hint="eastAsia" w:cs="宋体"/>
                <w:color w:val="auto"/>
                <w:spacing w:val="-3"/>
                <w:lang w:val="en-US" w:eastAsia="zh-CN"/>
              </w:rPr>
              <w:t xml:space="preserve">5</w:t>
            </w:r>
            <w:r>
              <w:rPr>
                <w:rFonts w:ascii="宋体" w:hAnsi="宋体" w:eastAsia="宋体" w:cs="宋体"/>
                <w:color w:val="auto"/>
                <w:spacing w:val="-3"/>
              </w:rPr>
              <w:t xml:space="preserve"> 分；协调方案较合理，考虑基本全面的的得 </w:t>
            </w:r>
            <w:r>
              <w:rPr>
                <w:rFonts w:hint="eastAsia" w:cs="宋体"/>
                <w:color w:val="auto"/>
                <w:spacing w:val="-3"/>
                <w:lang w:val="en-US" w:eastAsia="zh-CN"/>
              </w:rPr>
              <w:t xml:space="preserve">3</w:t>
            </w:r>
            <w:r>
              <w:rPr>
                <w:rFonts w:ascii="宋体" w:hAnsi="宋体" w:eastAsia="宋体" w:cs="宋体"/>
                <w:color w:val="auto"/>
                <w:spacing w:val="-3"/>
              </w:rPr>
              <w:t xml:space="preserve">分；协调方案基本完整的得 1 分，未提供此项的不得分。</w:t>
            </w:r>
            <w:r/>
          </w:p>
        </w:tc>
      </w:tr>
      <w:tr>
        <w:trPr>
          <w:trHeight w:val="1153"/>
        </w:trPr>
        <w:tc>
          <w:tcPr>
            <w:tcW w:w="1883" w:type="dxa"/>
            <w:vAlign w:val="center"/>
            <w:textDirection w:val="lrTb"/>
            <w:noWrap w:val="false"/>
          </w:tcPr>
          <w:p>
            <w:pPr>
              <w:pStyle w:val="1326"/>
              <w:ind w:left="75"/>
              <w:jc w:val="center"/>
              <w:spacing w:before="78" w:line="240" w:lineRule="auto"/>
              <w:rPr>
                <w:rFonts w:ascii="宋体" w:hAnsi="宋体" w:eastAsia="宋体" w:cs="宋体"/>
                <w:color w:val="auto"/>
                <w:spacing w:val="-2"/>
                <w:position w:val="17"/>
              </w:rPr>
            </w:pPr>
            <w:r>
              <w:rPr>
                <w:rFonts w:hint="default" w:ascii="宋体" w:hAnsi="宋体" w:eastAsia="宋体" w:cs="宋体"/>
                <w:color w:val="auto"/>
                <w:spacing w:val="-3"/>
                <w:lang w:val="en-US" w:eastAsia="zh-CN"/>
              </w:rPr>
              <w:t xml:space="preserve">项目运营方案 </w:t>
            </w:r>
            <w:r/>
          </w:p>
        </w:tc>
        <w:tc>
          <w:tcPr>
            <w:tcW w:w="734" w:type="dxa"/>
            <w:vAlign w:val="center"/>
            <w:textDirection w:val="lrTb"/>
            <w:noWrap w:val="false"/>
          </w:tcPr>
          <w:p>
            <w:pPr>
              <w:pStyle w:val="1326"/>
              <w:jc w:val="center"/>
              <w:spacing w:before="78" w:line="240" w:lineRule="auto"/>
              <w:rPr>
                <w:rFonts w:hint="eastAsia" w:ascii="宋体" w:hAnsi="宋体" w:eastAsia="宋体" w:cs="宋体"/>
                <w:color w:val="auto"/>
                <w:lang w:val="en-US" w:eastAsia="zh-CN"/>
              </w:rPr>
            </w:pPr>
            <w:r>
              <w:rPr>
                <w:rFonts w:hint="eastAsia" w:cs="宋体"/>
                <w:color w:val="auto"/>
                <w:lang w:val="en-US" w:eastAsia="zh-CN"/>
              </w:rPr>
              <w:t xml:space="preserve">5</w:t>
            </w:r>
            <w:r/>
          </w:p>
        </w:tc>
        <w:tc>
          <w:tcPr>
            <w:tcW w:w="7250" w:type="dxa"/>
            <w:vAlign w:val="center"/>
            <w:textDirection w:val="lrTb"/>
            <w:noWrap w:val="false"/>
          </w:tcPr>
          <w:p>
            <w:pPr>
              <w:pStyle w:val="1326"/>
              <w:ind w:left="21" w:right="15"/>
              <w:jc w:val="both"/>
              <w:spacing w:before="131" w:line="240" w:lineRule="auto"/>
              <w:rPr>
                <w:rFonts w:hint="eastAsia" w:ascii="宋体" w:hAnsi="宋体" w:eastAsia="宋体" w:cs="宋体"/>
                <w:color w:val="auto"/>
                <w:spacing w:val="-3"/>
                <w:lang w:val="en-US" w:eastAsia="zh-CN"/>
              </w:rPr>
            </w:pPr>
            <w:r>
              <w:rPr>
                <w:rFonts w:hint="default" w:ascii="宋体" w:hAnsi="宋体" w:eastAsia="宋体" w:cs="宋体"/>
                <w:color w:val="auto"/>
                <w:spacing w:val="-3"/>
                <w:lang w:val="en-US" w:eastAsia="zh-CN"/>
              </w:rPr>
              <w:t xml:space="preserve">项目运营方案要求：根据以上7项结合商务部分人员机械配备，编写维护运营方案，包括但不限于相关流程、流程说明、表格、实际运营方案、流程闭环管理等，相应方案中应考虑建设单位、监理单位、设计单位、审计单位等。</w:t>
            </w:r>
            <w:r>
              <w:rPr>
                <w:rFonts w:hint="eastAsia" w:ascii="宋体" w:hAnsi="宋体" w:eastAsia="宋体" w:cs="宋体"/>
                <w:color w:val="auto"/>
                <w:spacing w:val="-3"/>
                <w:lang w:val="en-US" w:eastAsia="zh-CN"/>
              </w:rPr>
              <w:t xml:space="preserve">方案思路清晰，定位准确，表格</w:t>
            </w:r>
            <w:r>
              <w:rPr>
                <w:rFonts w:hint="default" w:ascii="宋体" w:hAnsi="宋体" w:eastAsia="宋体" w:cs="宋体"/>
                <w:color w:val="auto"/>
                <w:spacing w:val="-3"/>
                <w:lang w:val="en-US" w:eastAsia="zh-CN"/>
              </w:rPr>
              <w:t xml:space="preserve">详细</w:t>
            </w:r>
            <w:r>
              <w:rPr>
                <w:rFonts w:hint="eastAsia" w:ascii="宋体" w:hAnsi="宋体" w:eastAsia="宋体" w:cs="宋体"/>
                <w:color w:val="auto"/>
                <w:spacing w:val="-3"/>
                <w:lang w:val="en-US" w:eastAsia="zh-CN"/>
              </w:rPr>
              <w:t xml:space="preserve">、流程设计具有针对性得5分；方案思路较清晰，定位较准确，表格较</w:t>
            </w:r>
            <w:r>
              <w:rPr>
                <w:rFonts w:hint="default" w:ascii="宋体" w:hAnsi="宋体" w:eastAsia="宋体" w:cs="宋体"/>
                <w:color w:val="auto"/>
                <w:spacing w:val="-3"/>
                <w:lang w:val="en-US" w:eastAsia="zh-CN"/>
              </w:rPr>
              <w:t xml:space="preserve">详细</w:t>
            </w:r>
            <w:r>
              <w:rPr>
                <w:rFonts w:hint="eastAsia" w:ascii="宋体" w:hAnsi="宋体" w:eastAsia="宋体" w:cs="宋体"/>
                <w:color w:val="auto"/>
                <w:spacing w:val="-3"/>
                <w:lang w:val="en-US" w:eastAsia="zh-CN"/>
              </w:rPr>
              <w:t xml:space="preserve">、流程设计针对性较明确的得3分；有计划思路，针对性不强或无表格设计的得1分；未提供不得分。</w:t>
            </w:r>
            <w:r/>
          </w:p>
        </w:tc>
      </w:tr>
      <w:tr>
        <w:trPr>
          <w:trHeight w:val="561"/>
        </w:trPr>
        <w:tc>
          <w:tcPr>
            <w:tcW w:w="1883" w:type="dxa"/>
            <w:vAlign w:val="center"/>
            <w:textDirection w:val="lrTb"/>
            <w:noWrap w:val="false"/>
          </w:tcPr>
          <w:p>
            <w:pPr>
              <w:ind w:firstLine="28"/>
              <w:jc w:val="center"/>
              <w:spacing w:line="240" w:lineRule="auto"/>
              <w:rPr>
                <w:b/>
                <w:bCs/>
                <w:color w:val="auto"/>
                <w:sz w:val="24"/>
                <w:highlight w:val="none"/>
              </w:rPr>
            </w:pPr>
            <w:r>
              <w:rPr>
                <w:rFonts w:hint="eastAsia"/>
                <w:b/>
                <w:bCs/>
                <w:color w:val="auto"/>
                <w:sz w:val="24"/>
                <w:highlight w:val="none"/>
              </w:rPr>
              <w:t xml:space="preserve">客观分</w:t>
            </w:r>
            <w:r/>
          </w:p>
        </w:tc>
        <w:tc>
          <w:tcPr>
            <w:tcW w:w="734" w:type="dxa"/>
            <w:vAlign w:val="center"/>
            <w:textDirection w:val="lrTb"/>
            <w:noWrap w:val="false"/>
          </w:tcPr>
          <w:p>
            <w:pPr>
              <w:ind w:firstLine="28"/>
              <w:jc w:val="center"/>
              <w:spacing w:line="24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32</w:t>
            </w:r>
            <w:r/>
          </w:p>
        </w:tc>
        <w:tc>
          <w:tcPr>
            <w:tcW w:w="7250" w:type="dxa"/>
            <w:vAlign w:val="center"/>
            <w:textDirection w:val="lrTb"/>
            <w:noWrap w:val="false"/>
          </w:tcPr>
          <w:p>
            <w:pPr>
              <w:spacing w:line="240" w:lineRule="auto"/>
              <w:rPr>
                <w:color w:val="auto"/>
                <w:sz w:val="24"/>
                <w:highlight w:val="none"/>
              </w:rPr>
            </w:pPr>
            <w:r>
              <w:rPr>
                <w:color w:val="auto"/>
                <w:sz w:val="24"/>
                <w:highlight w:val="none"/>
              </w:rPr>
            </w:r>
            <w:r/>
          </w:p>
        </w:tc>
      </w:tr>
      <w:tr>
        <w:trPr>
          <w:cantSplit/>
          <w:trHeight w:val="1710"/>
        </w:trPr>
        <w:tc>
          <w:tcPr>
            <w:tcW w:w="1883" w:type="dxa"/>
            <w:vAlign w:val="center"/>
            <w:textDirection w:val="lrTb"/>
            <w:noWrap w:val="false"/>
          </w:tcPr>
          <w:p>
            <w:pPr>
              <w:pStyle w:val="1326"/>
              <w:ind w:left="75"/>
              <w:jc w:val="center"/>
              <w:spacing w:before="78" w:line="240" w:lineRule="auto"/>
              <w:rPr>
                <w:rFonts w:hint="eastAsia" w:ascii="宋体" w:hAnsi="宋体" w:eastAsia="宋体" w:cs="宋体"/>
                <w:color w:val="auto"/>
                <w:spacing w:val="-3"/>
                <w:highlight w:val="none"/>
                <w:lang w:val="en-US" w:eastAsia="zh-CN"/>
              </w:rPr>
            </w:pPr>
            <w:r>
              <w:rPr>
                <w:rFonts w:hint="default" w:ascii="宋体" w:hAnsi="宋体" w:eastAsia="宋体" w:cs="宋体"/>
                <w:color w:val="auto"/>
                <w:spacing w:val="-3"/>
                <w:highlight w:val="none"/>
                <w:lang w:val="en-US" w:eastAsia="zh-CN"/>
              </w:rPr>
              <w:t xml:space="preserve">人员配备</w:t>
            </w:r>
            <w:r/>
          </w:p>
        </w:tc>
        <w:tc>
          <w:tcPr>
            <w:tcW w:w="734" w:type="dxa"/>
            <w:vAlign w:val="center"/>
            <w:textDirection w:val="lrTb"/>
            <w:noWrap w:val="false"/>
          </w:tcPr>
          <w:p>
            <w:pPr>
              <w:pStyle w:val="1326"/>
              <w:jc w:val="center"/>
              <w:spacing w:before="78" w:line="240" w:lineRule="auto"/>
              <w:rPr>
                <w:rFonts w:hint="default"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14</w:t>
            </w:r>
            <w:r/>
          </w:p>
        </w:tc>
        <w:tc>
          <w:tcPr>
            <w:tcW w:w="7250" w:type="dxa"/>
            <w:vAlign w:val="top"/>
            <w:textDirection w:val="lrTb"/>
            <w:noWrap w:val="false"/>
          </w:tcPr>
          <w:p>
            <w:pPr>
              <w:pStyle w:val="1326"/>
              <w:numPr>
                <w:ilvl w:val="0"/>
                <w:numId w:val="0"/>
              </w:numPr>
              <w:ind w:right="15"/>
              <w:spacing w:before="131" w:line="240" w:lineRule="auto"/>
              <w:rPr>
                <w:rFonts w:hint="eastAsia"/>
                <w:color w:val="auto"/>
                <w:spacing w:val="-2"/>
                <w:highlight w:val="none"/>
                <w:lang w:val="en-US" w:eastAsia="zh-CN"/>
              </w:rPr>
            </w:pPr>
            <w:r>
              <w:rPr>
                <w:rFonts w:hint="eastAsia"/>
                <w:color w:val="auto"/>
                <w:spacing w:val="-2"/>
                <w:highlight w:val="none"/>
                <w:lang w:val="en-US" w:eastAsia="zh-CN"/>
              </w:rPr>
              <w:t xml:space="preserve">1、除项目负责人外，</w:t>
            </w:r>
            <w:r>
              <w:rPr>
                <w:color w:val="auto"/>
                <w:spacing w:val="-2"/>
                <w:highlight w:val="none"/>
              </w:rPr>
              <w:t xml:space="preserve">拟派人员中</w:t>
            </w:r>
            <w:r>
              <w:rPr>
                <w:rFonts w:hint="eastAsia"/>
                <w:color w:val="auto"/>
                <w:spacing w:val="-2"/>
                <w:highlight w:val="none"/>
                <w:lang w:val="en-US" w:eastAsia="zh-CN"/>
              </w:rPr>
              <w:t xml:space="preserve">具备公路工程专业建造师证书的，有一个得1份，最高得3分。</w:t>
            </w:r>
            <w:r/>
          </w:p>
          <w:p>
            <w:pPr>
              <w:pStyle w:val="1326"/>
              <w:numPr>
                <w:ilvl w:val="0"/>
                <w:numId w:val="0"/>
              </w:numPr>
              <w:ind w:right="15"/>
              <w:spacing w:before="131" w:line="240" w:lineRule="auto"/>
              <w:rPr>
                <w:rFonts w:hint="default"/>
                <w:color w:val="auto"/>
                <w:spacing w:val="-2"/>
                <w:highlight w:val="none"/>
                <w:lang w:val="en-US" w:eastAsia="zh-CN"/>
              </w:rPr>
            </w:pPr>
            <w:r>
              <w:rPr>
                <w:rFonts w:hint="eastAsia"/>
                <w:color w:val="auto"/>
                <w:spacing w:val="-2"/>
                <w:highlight w:val="none"/>
                <w:lang w:val="en-US" w:eastAsia="zh-CN"/>
              </w:rPr>
              <w:t xml:space="preserve">2、除项目负责人外，</w:t>
            </w:r>
            <w:r>
              <w:rPr>
                <w:color w:val="auto"/>
                <w:spacing w:val="-2"/>
                <w:highlight w:val="none"/>
              </w:rPr>
              <w:t xml:space="preserve">拟派人员中</w:t>
            </w:r>
            <w:r>
              <w:rPr>
                <w:rFonts w:hint="eastAsia"/>
                <w:color w:val="auto"/>
                <w:spacing w:val="-2"/>
                <w:highlight w:val="none"/>
                <w:lang w:val="en-US" w:eastAsia="zh-CN"/>
              </w:rPr>
              <w:t xml:space="preserve">具备</w:t>
            </w:r>
            <w:r>
              <w:rPr>
                <w:rFonts w:hint="eastAsia" w:ascii="宋体" w:hAnsi="宋体" w:eastAsia="宋体" w:cs="宋体"/>
                <w:color w:val="auto"/>
                <w:spacing w:val="-3"/>
                <w:highlight w:val="none"/>
                <w:lang w:val="en-US" w:eastAsia="zh-CN"/>
              </w:rPr>
              <w:t xml:space="preserve">交通工程</w:t>
            </w:r>
            <w:r>
              <w:rPr>
                <w:rFonts w:hint="eastAsia" w:ascii="宋体" w:hAnsi="宋体" w:eastAsia="宋体" w:cs="宋体"/>
                <w:color w:val="auto"/>
                <w:spacing w:val="-3"/>
                <w:highlight w:val="none"/>
                <w:lang w:eastAsia="zh-CN"/>
              </w:rPr>
              <w:t xml:space="preserve">类</w:t>
            </w:r>
            <w:r>
              <w:rPr>
                <w:rFonts w:hint="eastAsia" w:ascii="宋体" w:hAnsi="宋体" w:eastAsia="宋体" w:cs="宋体"/>
                <w:color w:val="auto"/>
                <w:spacing w:val="-3"/>
                <w:highlight w:val="none"/>
                <w:lang w:val="en-US" w:eastAsia="zh-CN"/>
              </w:rPr>
              <w:t xml:space="preserve">中级职称</w:t>
            </w:r>
            <w:r>
              <w:rPr>
                <w:rFonts w:ascii="宋体" w:hAnsi="宋体" w:eastAsia="宋体" w:cs="宋体"/>
                <w:color w:val="auto"/>
                <w:spacing w:val="-3"/>
                <w:highlight w:val="none"/>
              </w:rPr>
              <w:t xml:space="preserve">（含）以上证书的</w:t>
            </w:r>
            <w:r>
              <w:rPr>
                <w:rFonts w:hint="eastAsia"/>
                <w:color w:val="auto"/>
                <w:spacing w:val="-2"/>
                <w:highlight w:val="none"/>
                <w:lang w:val="en-US" w:eastAsia="zh-CN"/>
              </w:rPr>
              <w:t xml:space="preserve">，得1分。</w:t>
            </w:r>
            <w:r/>
          </w:p>
          <w:p>
            <w:pPr>
              <w:pStyle w:val="1326"/>
              <w:numPr>
                <w:ilvl w:val="0"/>
                <w:numId w:val="0"/>
              </w:numPr>
              <w:ind w:right="15"/>
              <w:spacing w:before="131" w:line="240" w:lineRule="auto"/>
              <w:rPr>
                <w:rFonts w:hint="eastAsia"/>
                <w:color w:val="auto"/>
                <w:spacing w:val="-2"/>
                <w:highlight w:val="none"/>
                <w:lang w:val="en-US" w:eastAsia="zh-CN"/>
              </w:rPr>
            </w:pPr>
            <w:r>
              <w:rPr>
                <w:rFonts w:hint="eastAsia"/>
                <w:color w:val="auto"/>
                <w:spacing w:val="-2"/>
                <w:highlight w:val="none"/>
                <w:lang w:val="en-US" w:eastAsia="zh-CN"/>
              </w:rPr>
              <w:t xml:space="preserve">3、除项目负责人外，</w:t>
            </w:r>
            <w:r>
              <w:rPr>
                <w:color w:val="auto"/>
                <w:spacing w:val="-2"/>
                <w:highlight w:val="none"/>
              </w:rPr>
              <w:t xml:space="preserve">拟派人员中具有高空作业证的</w:t>
            </w:r>
            <w:r>
              <w:rPr>
                <w:rFonts w:hint="eastAsia"/>
                <w:color w:val="auto"/>
                <w:spacing w:val="-2"/>
                <w:highlight w:val="none"/>
                <w:lang w:eastAsia="zh-CN"/>
              </w:rPr>
              <w:t xml:space="preserve">，</w:t>
            </w:r>
            <w:r>
              <w:rPr>
                <w:rFonts w:hint="eastAsia" w:ascii="宋体" w:hAnsi="宋体" w:eastAsia="宋体" w:cs="宋体"/>
                <w:color w:val="auto"/>
                <w:spacing w:val="-3"/>
                <w:highlight w:val="none"/>
                <w:lang w:val="en-US" w:eastAsia="zh-CN"/>
              </w:rPr>
              <w:t xml:space="preserve">有1个得</w:t>
            </w:r>
            <w:r>
              <w:rPr>
                <w:rFonts w:hint="eastAsia" w:cs="宋体"/>
                <w:color w:val="auto"/>
                <w:spacing w:val="-3"/>
                <w:highlight w:val="none"/>
                <w:lang w:val="en-US" w:eastAsia="zh-CN"/>
              </w:rPr>
              <w:t xml:space="preserve">1</w:t>
            </w:r>
            <w:r>
              <w:rPr>
                <w:rFonts w:hint="eastAsia" w:ascii="宋体" w:hAnsi="宋体" w:eastAsia="宋体" w:cs="宋体"/>
                <w:color w:val="auto"/>
                <w:spacing w:val="-3"/>
                <w:highlight w:val="none"/>
                <w:lang w:val="en-US" w:eastAsia="zh-CN"/>
              </w:rPr>
              <w:t xml:space="preserve">分，最高</w:t>
            </w:r>
            <w:r>
              <w:rPr>
                <w:color w:val="auto"/>
                <w:spacing w:val="-2"/>
                <w:highlight w:val="none"/>
              </w:rPr>
              <w:t xml:space="preserve">得</w:t>
            </w:r>
            <w:r>
              <w:rPr>
                <w:rFonts w:hint="eastAsia"/>
                <w:color w:val="auto"/>
                <w:spacing w:val="-2"/>
                <w:highlight w:val="none"/>
                <w:lang w:val="en-US" w:eastAsia="zh-CN"/>
              </w:rPr>
              <w:t xml:space="preserve">4</w:t>
            </w:r>
            <w:r>
              <w:rPr>
                <w:color w:val="auto"/>
                <w:spacing w:val="-2"/>
                <w:highlight w:val="none"/>
              </w:rPr>
              <w:t xml:space="preserve">分。</w:t>
            </w:r>
            <w:r/>
          </w:p>
          <w:p>
            <w:pPr>
              <w:pStyle w:val="1326"/>
              <w:ind w:left="21" w:right="15"/>
              <w:spacing w:before="131" w:line="240" w:lineRule="auto"/>
              <w:rPr>
                <w:rFonts w:ascii="宋体" w:hAnsi="宋体" w:eastAsia="宋体" w:cs="宋体"/>
                <w:color w:val="auto"/>
                <w:spacing w:val="-3"/>
                <w:highlight w:val="none"/>
              </w:rPr>
            </w:pPr>
            <w:r>
              <w:rPr>
                <w:rFonts w:hint="eastAsia" w:cs="宋体"/>
                <w:color w:val="auto"/>
                <w:spacing w:val="-3"/>
                <w:highlight w:val="none"/>
                <w:lang w:val="en-US" w:eastAsia="zh-CN"/>
              </w:rPr>
              <w:t xml:space="preserve">4、</w:t>
            </w:r>
            <w:r>
              <w:rPr>
                <w:rFonts w:hint="eastAsia"/>
                <w:color w:val="auto"/>
                <w:spacing w:val="-2"/>
                <w:highlight w:val="none"/>
                <w:lang w:val="en-US" w:eastAsia="zh-CN"/>
              </w:rPr>
              <w:t xml:space="preserve">除项目负责人外，</w:t>
            </w:r>
            <w:r>
              <w:rPr>
                <w:rFonts w:ascii="宋体" w:hAnsi="宋体" w:eastAsia="宋体" w:cs="宋体"/>
                <w:color w:val="auto"/>
                <w:spacing w:val="-3"/>
                <w:highlight w:val="none"/>
              </w:rPr>
              <w:t xml:space="preserve">拟派人员中具有</w:t>
            </w:r>
            <w:r>
              <w:rPr>
                <w:rFonts w:hint="eastAsia" w:cs="宋体"/>
                <w:color w:val="auto"/>
                <w:spacing w:val="-3"/>
                <w:highlight w:val="none"/>
                <w:lang w:val="en-US" w:eastAsia="zh-CN"/>
              </w:rPr>
              <w:t xml:space="preserve">高（低）压电工操作证</w:t>
            </w:r>
            <w:r>
              <w:rPr>
                <w:rFonts w:ascii="宋体" w:hAnsi="宋体" w:eastAsia="宋体" w:cs="宋体"/>
                <w:color w:val="auto"/>
                <w:spacing w:val="-3"/>
                <w:highlight w:val="none"/>
              </w:rPr>
              <w:t xml:space="preserve">的</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3"/>
                <w:highlight w:val="none"/>
                <w:lang w:val="en-US" w:eastAsia="zh-CN"/>
              </w:rPr>
              <w:t xml:space="preserve">有1个得</w:t>
            </w:r>
            <w:r>
              <w:rPr>
                <w:rFonts w:hint="eastAsia" w:cs="宋体"/>
                <w:color w:val="auto"/>
                <w:spacing w:val="-3"/>
                <w:highlight w:val="none"/>
                <w:lang w:val="en-US" w:eastAsia="zh-CN"/>
              </w:rPr>
              <w:t xml:space="preserve">1</w:t>
            </w:r>
            <w:r>
              <w:rPr>
                <w:rFonts w:hint="eastAsia" w:ascii="宋体" w:hAnsi="宋体" w:eastAsia="宋体" w:cs="宋体"/>
                <w:color w:val="auto"/>
                <w:spacing w:val="-3"/>
                <w:highlight w:val="none"/>
                <w:lang w:val="en-US" w:eastAsia="zh-CN"/>
              </w:rPr>
              <w:t xml:space="preserve">分，最高</w:t>
            </w:r>
            <w:r>
              <w:rPr>
                <w:rFonts w:ascii="宋体" w:hAnsi="宋体" w:eastAsia="宋体" w:cs="宋体"/>
                <w:color w:val="auto"/>
                <w:spacing w:val="-3"/>
                <w:highlight w:val="none"/>
              </w:rPr>
              <w:t xml:space="preserve">得</w:t>
            </w:r>
            <w:r>
              <w:rPr>
                <w:rFonts w:hint="eastAsia" w:cs="宋体"/>
                <w:color w:val="auto"/>
                <w:spacing w:val="-3"/>
                <w:highlight w:val="none"/>
                <w:lang w:val="en-US" w:eastAsia="zh-CN"/>
              </w:rPr>
              <w:t xml:space="preserve">4</w:t>
            </w:r>
            <w:r>
              <w:rPr>
                <w:rFonts w:ascii="宋体" w:hAnsi="宋体" w:eastAsia="宋体" w:cs="宋体"/>
                <w:color w:val="auto"/>
                <w:spacing w:val="-3"/>
                <w:highlight w:val="none"/>
              </w:rPr>
              <w:t xml:space="preserve">分。</w:t>
            </w:r>
            <w:r/>
          </w:p>
          <w:p>
            <w:pPr>
              <w:pStyle w:val="1326"/>
              <w:ind w:left="21" w:right="15"/>
              <w:spacing w:before="131" w:line="240" w:lineRule="auto"/>
              <w:rPr>
                <w:rFonts w:ascii="宋体" w:hAnsi="宋体" w:eastAsia="宋体" w:cs="宋体"/>
                <w:color w:val="auto"/>
                <w:spacing w:val="-3"/>
                <w:highlight w:val="none"/>
              </w:rPr>
            </w:pPr>
            <w:r>
              <w:rPr>
                <w:rFonts w:hint="eastAsia" w:cs="宋体"/>
                <w:color w:val="auto"/>
                <w:spacing w:val="-3"/>
                <w:highlight w:val="none"/>
                <w:lang w:val="en-US" w:eastAsia="zh-CN"/>
              </w:rPr>
              <w:t xml:space="preserve">5、</w:t>
            </w:r>
            <w:r>
              <w:rPr>
                <w:rFonts w:hint="eastAsia"/>
                <w:color w:val="auto"/>
                <w:spacing w:val="-2"/>
                <w:highlight w:val="none"/>
                <w:lang w:val="en-US" w:eastAsia="zh-CN"/>
              </w:rPr>
              <w:t xml:space="preserve">除项目负责人外，</w:t>
            </w:r>
            <w:r>
              <w:rPr>
                <w:rFonts w:ascii="宋体" w:hAnsi="宋体" w:eastAsia="宋体" w:cs="宋体"/>
                <w:color w:val="auto"/>
                <w:spacing w:val="-3"/>
                <w:highlight w:val="none"/>
              </w:rPr>
              <w:t xml:space="preserve">拟派人员中具有安全员证书的</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3"/>
                <w:highlight w:val="none"/>
                <w:lang w:val="en-US" w:eastAsia="zh-CN"/>
              </w:rPr>
              <w:t xml:space="preserve">有1个得</w:t>
            </w:r>
            <w:r>
              <w:rPr>
                <w:rFonts w:hint="eastAsia" w:cs="宋体"/>
                <w:color w:val="auto"/>
                <w:spacing w:val="-3"/>
                <w:highlight w:val="none"/>
                <w:lang w:val="en-US" w:eastAsia="zh-CN"/>
              </w:rPr>
              <w:t xml:space="preserve">1</w:t>
            </w:r>
            <w:r>
              <w:rPr>
                <w:rFonts w:hint="eastAsia" w:ascii="宋体" w:hAnsi="宋体" w:eastAsia="宋体" w:cs="宋体"/>
                <w:color w:val="auto"/>
                <w:spacing w:val="-3"/>
                <w:highlight w:val="none"/>
                <w:lang w:val="en-US" w:eastAsia="zh-CN"/>
              </w:rPr>
              <w:t xml:space="preserve">分，最高</w:t>
            </w:r>
            <w:r>
              <w:rPr>
                <w:rFonts w:ascii="宋体" w:hAnsi="宋体" w:eastAsia="宋体" w:cs="宋体"/>
                <w:color w:val="auto"/>
                <w:spacing w:val="-3"/>
                <w:highlight w:val="none"/>
              </w:rPr>
              <w:t xml:space="preserve">得 </w:t>
            </w:r>
            <w:r>
              <w:rPr>
                <w:rFonts w:hint="eastAsia" w:cs="宋体"/>
                <w:color w:val="auto"/>
                <w:spacing w:val="-3"/>
                <w:highlight w:val="none"/>
                <w:lang w:val="en-US" w:eastAsia="zh-CN"/>
              </w:rPr>
              <w:t xml:space="preserve">2</w:t>
            </w:r>
            <w:r>
              <w:rPr>
                <w:rFonts w:ascii="宋体" w:hAnsi="宋体" w:eastAsia="宋体" w:cs="宋体"/>
                <w:color w:val="auto"/>
                <w:spacing w:val="-3"/>
                <w:highlight w:val="none"/>
              </w:rPr>
              <w:t xml:space="preserve">分。</w:t>
            </w:r>
            <w:r/>
          </w:p>
          <w:p>
            <w:pPr>
              <w:pStyle w:val="1326"/>
              <w:ind w:left="21" w:right="15"/>
              <w:spacing w:before="131" w:line="240" w:lineRule="auto"/>
              <w:rPr>
                <w:rFonts w:hint="eastAsia" w:ascii="宋体" w:hAnsi="宋体" w:eastAsia="宋体" w:cs="宋体"/>
                <w:color w:val="auto"/>
                <w:spacing w:val="-3"/>
                <w:highlight w:val="none"/>
                <w:lang w:val="en-US" w:eastAsia="zh-CN"/>
              </w:rPr>
            </w:pPr>
            <w:r>
              <w:rPr>
                <w:rFonts w:ascii="宋体" w:hAnsi="宋体" w:eastAsia="宋体" w:cs="宋体"/>
                <w:b/>
                <w:bCs/>
                <w:strike w:val="0"/>
                <w:color w:val="auto"/>
                <w:spacing w:val="-3"/>
                <w:highlight w:val="none"/>
              </w:rPr>
              <w:t xml:space="preserve">注：</w:t>
            </w:r>
            <w:r>
              <w:rPr>
                <w:rFonts w:hint="eastAsia" w:cs="宋体"/>
                <w:b/>
                <w:bCs/>
                <w:strike w:val="0"/>
                <w:color w:val="auto"/>
                <w:spacing w:val="-3"/>
                <w:highlight w:val="none"/>
                <w:lang w:val="en-US" w:eastAsia="zh-CN"/>
              </w:rPr>
              <w:t xml:space="preserve">须</w:t>
            </w:r>
            <w:r>
              <w:rPr>
                <w:rFonts w:hint="eastAsia" w:ascii="宋体" w:hAnsi="宋体" w:eastAsia="宋体" w:cs="宋体"/>
                <w:b/>
                <w:bCs/>
                <w:strike w:val="0"/>
                <w:color w:val="auto"/>
                <w:spacing w:val="-3"/>
                <w:highlight w:val="none"/>
                <w:lang w:val="en-US" w:eastAsia="zh-CN"/>
              </w:rPr>
              <w:t xml:space="preserve">提供</w:t>
            </w:r>
            <w:r>
              <w:rPr>
                <w:rFonts w:hint="eastAsia" w:cs="宋体"/>
                <w:b/>
                <w:bCs/>
                <w:strike w:val="0"/>
                <w:color w:val="auto"/>
                <w:spacing w:val="-3"/>
                <w:highlight w:val="none"/>
                <w:lang w:val="en-US" w:eastAsia="zh-CN"/>
              </w:rPr>
              <w:t xml:space="preserve">有效期内的</w:t>
            </w:r>
            <w:r>
              <w:rPr>
                <w:rFonts w:hint="eastAsia" w:ascii="宋体" w:hAnsi="宋体" w:eastAsia="宋体" w:cs="宋体"/>
                <w:b/>
                <w:bCs/>
                <w:strike w:val="0"/>
                <w:color w:val="auto"/>
                <w:spacing w:val="-3"/>
                <w:highlight w:val="none"/>
                <w:lang w:val="en-US" w:eastAsia="zh-CN"/>
              </w:rPr>
              <w:t xml:space="preserve">证书扫描件</w:t>
            </w:r>
            <w:r>
              <w:rPr>
                <w:rFonts w:hint="eastAsia" w:cs="宋体"/>
                <w:b/>
                <w:bCs/>
                <w:strike w:val="0"/>
                <w:color w:val="auto"/>
                <w:spacing w:val="-3"/>
                <w:highlight w:val="none"/>
                <w:lang w:val="en-US" w:eastAsia="zh-CN"/>
              </w:rPr>
              <w:t xml:space="preserve">及供应商</w:t>
            </w:r>
            <w:r>
              <w:rPr>
                <w:rFonts w:hint="eastAsia" w:hAnsi="宋体" w:cs="宋体"/>
                <w:b/>
                <w:bCs/>
                <w:color w:val="auto"/>
                <w:highlight w:val="none"/>
                <w:lang w:val="en-US" w:eastAsia="zh-CN"/>
              </w:rPr>
              <w:t xml:space="preserve">为其缴纳的近三个月（2026年</w:t>
            </w:r>
            <w:r>
              <w:rPr>
                <w:rFonts w:hint="eastAsia" w:cs="宋体"/>
                <w:b/>
                <w:bCs/>
                <w:color w:val="auto"/>
                <w:highlight w:val="none"/>
                <w:lang w:val="en-US" w:eastAsia="zh-CN"/>
              </w:rPr>
              <w:t xml:space="preserve">4</w:t>
            </w:r>
            <w:r>
              <w:rPr>
                <w:rFonts w:hint="eastAsia" w:hAnsi="宋体" w:cs="宋体"/>
                <w:b/>
                <w:bCs/>
                <w:color w:val="auto"/>
                <w:highlight w:val="none"/>
                <w:lang w:val="en-US" w:eastAsia="zh-CN"/>
              </w:rPr>
              <w:t xml:space="preserve">月-2026年</w:t>
            </w:r>
            <w:r>
              <w:rPr>
                <w:rFonts w:hint="eastAsia" w:cs="宋体"/>
                <w:b/>
                <w:bCs/>
                <w:color w:val="auto"/>
                <w:highlight w:val="none"/>
                <w:lang w:val="en-US" w:eastAsia="zh-CN"/>
              </w:rPr>
              <w:t xml:space="preserve">6</w:t>
            </w:r>
            <w:r>
              <w:rPr>
                <w:rFonts w:hint="eastAsia" w:hAnsi="宋体" w:cs="宋体"/>
                <w:b/>
                <w:bCs/>
                <w:color w:val="auto"/>
                <w:highlight w:val="none"/>
                <w:lang w:val="en-US" w:eastAsia="zh-CN"/>
              </w:rPr>
              <w:t xml:space="preserve">月）中任意一个月的社保缴费证明</w:t>
            </w:r>
            <w:r>
              <w:rPr>
                <w:rFonts w:hint="eastAsia" w:ascii="宋体" w:hAnsi="宋体" w:cs="宋体"/>
                <w:b/>
                <w:bCs/>
                <w:color w:val="auto"/>
                <w:sz w:val="24"/>
                <w:szCs w:val="24"/>
                <w:highlight w:val="none"/>
                <w:lang w:val="en-US" w:eastAsia="zh-CN"/>
              </w:rPr>
              <w:t xml:space="preserve">（如为退休人员，须提供退休证明及聘用合同），不提供不得分。</w:t>
            </w:r>
            <w:r/>
          </w:p>
        </w:tc>
      </w:tr>
      <w:tr>
        <w:trPr>
          <w:trHeight w:val="989"/>
        </w:trPr>
        <w:tc>
          <w:tcPr>
            <w:tcW w:w="1883" w:type="dxa"/>
            <w:vAlign w:val="center"/>
            <w:textDirection w:val="lrTb"/>
            <w:noWrap w:val="false"/>
          </w:tcPr>
          <w:p>
            <w:pPr>
              <w:pStyle w:val="1326"/>
              <w:ind w:left="75"/>
              <w:jc w:val="center"/>
              <w:spacing w:before="78" w:line="240" w:lineRule="auto"/>
              <w:rPr>
                <w:rFonts w:hint="default" w:ascii="宋体" w:hAnsi="宋体" w:eastAsia="宋体" w:cs="宋体"/>
                <w:color w:val="auto"/>
                <w:spacing w:val="-3"/>
                <w:highlight w:val="none"/>
                <w:lang w:val="en-US" w:eastAsia="en-US"/>
              </w:rPr>
            </w:pPr>
            <w:r>
              <w:rPr>
                <w:rFonts w:hint="default" w:ascii="宋体" w:hAnsi="宋体" w:eastAsia="宋体" w:cs="宋体"/>
                <w:color w:val="auto"/>
                <w:spacing w:val="-3"/>
                <w:highlight w:val="none"/>
                <w:lang w:val="en-US" w:eastAsia="en-US"/>
              </w:rPr>
              <w:t xml:space="preserve">类似业绩</w:t>
            </w:r>
            <w:r/>
          </w:p>
        </w:tc>
        <w:tc>
          <w:tcPr>
            <w:tcW w:w="734" w:type="dxa"/>
            <w:vAlign w:val="center"/>
            <w:textDirection w:val="lrTb"/>
            <w:noWrap w:val="false"/>
          </w:tcPr>
          <w:p>
            <w:pPr>
              <w:pStyle w:val="1326"/>
              <w:jc w:val="center"/>
              <w:spacing w:before="78" w:line="240" w:lineRule="auto"/>
              <w:rPr>
                <w:rFonts w:hint="default"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18</w:t>
            </w:r>
            <w:r/>
          </w:p>
        </w:tc>
        <w:tc>
          <w:tcPr>
            <w:tcW w:w="7250" w:type="dxa"/>
            <w:vAlign w:val="top"/>
            <w:textDirection w:val="lrTb"/>
            <w:noWrap w:val="false"/>
          </w:tcPr>
          <w:p>
            <w:pPr>
              <w:pStyle w:val="1326"/>
              <w:ind w:left="21" w:right="15"/>
              <w:spacing w:before="131" w:line="240" w:lineRule="auto"/>
              <w:rPr>
                <w:rFonts w:hint="eastAsia"/>
                <w:color w:val="auto"/>
                <w:sz w:val="24"/>
                <w:highlight w:val="none"/>
                <w:lang w:val="en-US" w:eastAsia="en-US"/>
              </w:rPr>
            </w:pPr>
            <w:r>
              <w:rPr>
                <w:rFonts w:hint="eastAsia"/>
                <w:color w:val="auto"/>
                <w:sz w:val="24"/>
                <w:highlight w:val="none"/>
                <w:lang w:val="en-US" w:eastAsia="zh-CN"/>
              </w:rPr>
              <w:t xml:space="preserve">1、供应商</w:t>
            </w:r>
            <w:r>
              <w:rPr>
                <w:rFonts w:hint="eastAsia"/>
                <w:color w:val="auto"/>
                <w:sz w:val="24"/>
                <w:highlight w:val="none"/>
                <w:lang w:val="en-US" w:eastAsia="en-US"/>
              </w:rPr>
              <w:t xml:space="preserve">承担过类似</w:t>
            </w:r>
            <w:r>
              <w:rPr>
                <w:rFonts w:hint="eastAsia"/>
                <w:color w:val="auto"/>
                <w:sz w:val="24"/>
                <w:highlight w:val="none"/>
                <w:lang w:eastAsia="zh-CN"/>
              </w:rPr>
              <w:t xml:space="preserve">公路安全设施</w:t>
            </w:r>
            <w:r>
              <w:rPr>
                <w:rFonts w:hint="eastAsia"/>
                <w:color w:val="auto"/>
                <w:sz w:val="24"/>
                <w:highlight w:val="none"/>
                <w:lang w:val="en-US" w:eastAsia="zh-CN"/>
              </w:rPr>
              <w:t xml:space="preserve">项</w:t>
            </w:r>
            <w:r>
              <w:rPr>
                <w:rFonts w:hint="eastAsia"/>
                <w:color w:val="auto"/>
                <w:sz w:val="24"/>
                <w:highlight w:val="none"/>
                <w:lang w:val="en-US" w:eastAsia="en-US"/>
              </w:rPr>
              <w:t xml:space="preserve">目业绩的，有 1 个得</w:t>
            </w:r>
            <w:r>
              <w:rPr>
                <w:rFonts w:hint="eastAsia"/>
                <w:color w:val="auto"/>
                <w:sz w:val="24"/>
                <w:highlight w:val="none"/>
                <w:lang w:val="en-US" w:eastAsia="zh-CN"/>
              </w:rPr>
              <w:t xml:space="preserve">3</w:t>
            </w:r>
            <w:r>
              <w:rPr>
                <w:rFonts w:hint="eastAsia"/>
                <w:color w:val="auto"/>
                <w:sz w:val="24"/>
                <w:highlight w:val="none"/>
                <w:lang w:val="en-US" w:eastAsia="en-US"/>
              </w:rPr>
              <w:t xml:space="preserve">分，最高</w:t>
            </w:r>
            <w:r>
              <w:rPr>
                <w:rFonts w:hint="eastAsia"/>
                <w:color w:val="auto"/>
                <w:sz w:val="24"/>
                <w:highlight w:val="none"/>
                <w:lang w:val="en-US" w:eastAsia="zh-CN"/>
              </w:rPr>
              <w:t xml:space="preserve">9</w:t>
            </w:r>
            <w:r>
              <w:rPr>
                <w:rFonts w:hint="eastAsia"/>
                <w:color w:val="auto"/>
                <w:sz w:val="24"/>
                <w:highlight w:val="none"/>
                <w:lang w:val="en-US" w:eastAsia="en-US"/>
              </w:rPr>
              <w:t xml:space="preserve"> 分。</w:t>
            </w:r>
            <w:r/>
          </w:p>
          <w:p>
            <w:pPr>
              <w:pStyle w:val="1326"/>
              <w:ind w:left="21" w:right="15"/>
              <w:spacing w:before="131" w:line="240" w:lineRule="auto"/>
              <w:rPr>
                <w:rFonts w:hint="default" w:eastAsia="宋体" w:cs="宋体"/>
                <w:color w:val="auto"/>
                <w:spacing w:val="-3"/>
                <w:highlight w:val="none"/>
                <w:lang w:val="en-US" w:eastAsia="zh-CN"/>
              </w:rPr>
            </w:pPr>
            <w:r>
              <w:rPr>
                <w:rFonts w:hint="eastAsia"/>
                <w:color w:val="auto"/>
                <w:sz w:val="24"/>
                <w:highlight w:val="none"/>
                <w:lang w:val="en-US" w:eastAsia="zh-CN"/>
              </w:rPr>
              <w:t xml:space="preserve">2、供应商</w:t>
            </w:r>
            <w:r>
              <w:rPr>
                <w:rFonts w:hint="eastAsia"/>
                <w:color w:val="auto"/>
                <w:sz w:val="24"/>
                <w:highlight w:val="none"/>
                <w:lang w:val="en-US" w:eastAsia="en-US"/>
              </w:rPr>
              <w:t xml:space="preserve">承担过类似</w:t>
            </w:r>
            <w:r>
              <w:rPr>
                <w:rFonts w:hint="eastAsia"/>
                <w:color w:val="auto"/>
                <w:sz w:val="24"/>
                <w:highlight w:val="none"/>
                <w:lang w:eastAsia="zh-CN"/>
              </w:rPr>
              <w:t xml:space="preserve">公路机电工程</w:t>
            </w:r>
            <w:r>
              <w:rPr>
                <w:rFonts w:hint="eastAsia"/>
                <w:color w:val="auto"/>
                <w:sz w:val="24"/>
                <w:highlight w:val="none"/>
                <w:lang w:val="en-US" w:eastAsia="en-US"/>
              </w:rPr>
              <w:t xml:space="preserve">项目业绩的有 1 个得</w:t>
            </w:r>
            <w:r>
              <w:rPr>
                <w:rFonts w:hint="eastAsia"/>
                <w:color w:val="auto"/>
                <w:sz w:val="24"/>
                <w:highlight w:val="none"/>
                <w:lang w:val="en-US" w:eastAsia="zh-CN"/>
              </w:rPr>
              <w:t xml:space="preserve">3</w:t>
            </w:r>
            <w:r>
              <w:rPr>
                <w:rFonts w:hint="eastAsia"/>
                <w:color w:val="auto"/>
                <w:sz w:val="24"/>
                <w:highlight w:val="none"/>
                <w:lang w:val="en-US" w:eastAsia="en-US"/>
              </w:rPr>
              <w:t xml:space="preserve">分，最高</w:t>
            </w:r>
            <w:r>
              <w:rPr>
                <w:rFonts w:hint="eastAsia"/>
                <w:color w:val="auto"/>
                <w:sz w:val="24"/>
                <w:highlight w:val="none"/>
                <w:lang w:val="en-US" w:eastAsia="zh-CN"/>
              </w:rPr>
              <w:t xml:space="preserve">9</w:t>
            </w:r>
            <w:r>
              <w:rPr>
                <w:rFonts w:hint="eastAsia"/>
                <w:color w:val="auto"/>
                <w:sz w:val="24"/>
                <w:highlight w:val="none"/>
                <w:lang w:val="en-US" w:eastAsia="en-US"/>
              </w:rPr>
              <w:t xml:space="preserve"> 分。</w:t>
            </w:r>
            <w:r/>
          </w:p>
          <w:p>
            <w:pPr>
              <w:pStyle w:val="1326"/>
              <w:ind w:right="15"/>
              <w:spacing w:before="131" w:line="240" w:lineRule="auto"/>
              <w:rPr>
                <w:rFonts w:hint="eastAsia" w:ascii="宋体" w:hAnsi="宋体" w:eastAsia="宋体" w:cs="宋体"/>
                <w:b/>
                <w:bCs/>
                <w:color w:val="auto"/>
                <w:spacing w:val="-3"/>
                <w:highlight w:val="none"/>
                <w:lang w:val="en-US" w:eastAsia="en-US"/>
              </w:rPr>
            </w:pPr>
            <w:r>
              <w:rPr>
                <w:rFonts w:hint="eastAsia" w:ascii="宋体" w:hAnsi="宋体" w:eastAsia="宋体" w:cs="宋体"/>
                <w:b/>
                <w:bCs/>
                <w:color w:val="auto"/>
                <w:spacing w:val="-3"/>
                <w:highlight w:val="none"/>
                <w:lang w:val="en-US" w:eastAsia="en-US"/>
              </w:rPr>
              <w:t xml:space="preserve">注：须提供项目合同</w:t>
            </w:r>
            <w:r>
              <w:rPr>
                <w:rFonts w:hint="eastAsia" w:ascii="宋体" w:hAnsi="宋体" w:eastAsia="宋体" w:cs="宋体"/>
                <w:b/>
                <w:bCs/>
                <w:color w:val="auto"/>
                <w:spacing w:val="-3"/>
                <w:highlight w:val="none"/>
                <w:lang w:val="en-US" w:eastAsia="zh-CN"/>
              </w:rPr>
              <w:t xml:space="preserve">扫描件</w:t>
            </w:r>
            <w:r>
              <w:rPr>
                <w:rFonts w:hint="eastAsia" w:cs="宋体"/>
                <w:b/>
                <w:bCs/>
                <w:color w:val="auto"/>
                <w:spacing w:val="-3"/>
                <w:highlight w:val="none"/>
                <w:lang w:val="en-US" w:eastAsia="zh-CN"/>
              </w:rPr>
              <w:t xml:space="preserve">，不提供不得分</w:t>
            </w:r>
            <w:r>
              <w:rPr>
                <w:rFonts w:hint="eastAsia" w:ascii="宋体" w:hAnsi="宋体" w:eastAsia="宋体" w:cs="宋体"/>
                <w:b/>
                <w:bCs/>
                <w:color w:val="auto"/>
                <w:spacing w:val="-3"/>
                <w:highlight w:val="none"/>
                <w:lang w:val="en-US" w:eastAsia="en-US"/>
              </w:rPr>
              <w:t xml:space="preserve">。</w:t>
            </w:r>
            <w:r/>
          </w:p>
        </w:tc>
      </w:tr>
    </w:tbl>
    <w:p>
      <w:pPr>
        <w:jc w:val="left"/>
        <w:widowControl/>
        <w:rPr>
          <w:rFonts w:hint="eastAsia"/>
          <w:b/>
          <w:color w:val="auto"/>
          <w:sz w:val="24"/>
          <w:highlight w:val="none"/>
        </w:rPr>
      </w:pPr>
      <w:r>
        <w:rPr>
          <w:rFonts w:hint="eastAsia"/>
          <w:b/>
          <w:color w:val="auto"/>
          <w:sz w:val="24"/>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注</w:t>
      </w:r>
      <w:r>
        <w:rPr>
          <w:rFonts w:hint="eastAsia" w:ascii="宋体" w:hAnsi="宋体"/>
          <w:b/>
          <w:bCs/>
          <w:color w:val="auto"/>
          <w:sz w:val="24"/>
          <w:highlight w:val="none"/>
        </w:rPr>
        <w:t xml:space="preserve">：1、证明材料由投标供应商自行提供，磋商小组根据投标供应商提供的相关证明材料进行评审，相关证明材料的全面性、有效性、完整性、真实性由投标供应商自行负责。</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2、以上所需资料均应真实、有效，如发现投标供应商涉嫌资料造假等，采购人将有权取消其成交资格，并保留进一步追究其法律责任的权利。</w:t>
      </w:r>
      <w:r/>
    </w:p>
    <w:p>
      <w:pPr>
        <w:ind w:firstLine="708"/>
        <w:jc w:val="center"/>
        <w:spacing w:line="360" w:lineRule="auto"/>
        <w:rPr>
          <w:b/>
          <w:color w:val="auto"/>
          <w:sz w:val="36"/>
          <w:szCs w:val="36"/>
        </w:rPr>
        <w:outlineLvl w:val="0"/>
      </w:pPr>
      <w:r>
        <w:rPr>
          <w:b/>
          <w:color w:val="auto"/>
          <w:sz w:val="36"/>
          <w:szCs w:val="36"/>
        </w:rPr>
        <w:br w:type="page" w:clear="all"/>
      </w:r>
      <w:r>
        <w:rPr>
          <w:b/>
          <w:color w:val="auto"/>
          <w:sz w:val="36"/>
          <w:szCs w:val="36"/>
        </w:rPr>
        <w:t xml:space="preserve">第四章  采购需求</w:t>
      </w:r>
      <w:bookmarkEnd w:id="672"/>
      <w:r/>
      <w:r/>
    </w:p>
    <w:p>
      <w:pPr>
        <w:pStyle w:val="1253"/>
        <w:numPr>
          <w:ilvl w:val="0"/>
          <w:numId w:val="0"/>
        </w:numPr>
        <w:contextualSpacing/>
        <w:ind w:left="500" w:hanging="500"/>
        <w:spacing w:line="360" w:lineRule="auto"/>
        <w:rPr>
          <w:rFonts w:ascii="Times New Roman" w:hAnsi="Times New Roman"/>
          <w:b/>
          <w:color w:val="auto"/>
          <w:sz w:val="24"/>
          <w:szCs w:val="24"/>
          <w:highlight w:val="none"/>
        </w:rPr>
      </w:pPr>
      <w:r/>
      <w:bookmarkStart w:id="673" w:name="_Toc120102178"/>
      <w:r>
        <w:rPr>
          <w:rFonts w:ascii="Times New Roman" w:hAnsi="Times New Roman" w:eastAsia="宋体" w:cs="Times New Roman"/>
          <w:b/>
          <w:color w:val="auto"/>
          <w:sz w:val="24"/>
          <w:szCs w:val="24"/>
          <w:highlight w:val="none"/>
          <w:lang w:val="en-US" w:eastAsia="zh-CN" w:bidi="ar-SA"/>
        </w:rPr>
        <w:t xml:space="preserve">一、</w:t>
      </w:r>
      <w:r>
        <w:rPr>
          <w:rFonts w:ascii="Times New Roman" w:hAnsi="Times New Roman"/>
          <w:b/>
          <w:color w:val="auto"/>
          <w:sz w:val="24"/>
          <w:szCs w:val="24"/>
          <w:highlight w:val="none"/>
        </w:rPr>
        <w:t xml:space="preserve">采购标的</w:t>
      </w:r>
      <w:r/>
    </w:p>
    <w:tbl>
      <w:tblPr>
        <w:tblStyle w:val="923"/>
        <w:tblpPr w:horzAnchor="page" w:tblpX="1404" w:vertAnchor="text" w:tblpY="44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500"/>
        <w:gridCol w:w="1178"/>
        <w:gridCol w:w="3422"/>
        <w:gridCol w:w="733"/>
        <w:gridCol w:w="883"/>
        <w:gridCol w:w="1134"/>
        <w:gridCol w:w="966"/>
      </w:tblGrid>
      <w:tr>
        <w:trPr>
          <w:trHeight w:val="440"/>
        </w:trPr>
        <w:tc>
          <w:tcPr>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类别</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序号</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名称</w:t>
            </w:r>
            <w:r/>
          </w:p>
        </w:tc>
        <w:tc>
          <w:tcPr>
            <w:tcMar>
              <w:left w:w="108" w:type="dxa"/>
              <w:top w:w="0" w:type="dxa"/>
              <w:right w:w="108" w:type="dxa"/>
              <w:bottom w:w="0" w:type="dxa"/>
            </w:tcMar>
            <w:tcW w:w="3422"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规格参数</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单位</w:t>
            </w:r>
            <w:r/>
          </w:p>
        </w:tc>
        <w:tc>
          <w:tcPr>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数量</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eastAsia="zh-CN"/>
              </w:rPr>
              <w:t xml:space="preserve">控制</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单价</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（元）</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备注</w:t>
            </w:r>
            <w:r/>
          </w:p>
        </w:tc>
      </w:tr>
      <w:tr>
        <w:trPr>
          <w:trHeight w:val="305"/>
        </w:trPr>
        <w:tc>
          <w:tcPr>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标线</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系列</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按需设置，相关参数符合GB/T16311-2009规定。</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19200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42</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导向箭头</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各类车道导向箭头规格4.5m、6m，相关参数符合GB/T16311-2009规定。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540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热熔标线停车位</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不大于2.5 米*6米，相关参数符合GB/T16311-2009规定。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499</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震荡标线</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按需设置，相关参数符合GB/T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高压水除线</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废弃标线清洗和回收，相关参数符合GB/T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导向箭头</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热熔标线，3m规格，相关参数符合GB/T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90"/>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停车位内小箭头</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热熔标线，长1.2m，相关参数符合GB/T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非机动车标志</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热熔标线，按需设置，相关参数符合GB/T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异型标线（让行、菱形、中心圆）</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热熔标线，按指定要求，相关参数符合GB/T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90"/>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标线字</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50cm*80cm，相关参数符合GB/T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礼让</w:t>
            </w:r>
            <w:r/>
          </w:p>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行人</w:t>
            </w:r>
            <w:r/>
          </w:p>
        </w:tc>
      </w:tr>
      <w:tr>
        <w:trPr>
          <w:trHeight w:val="90"/>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标线字</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1*2.5m，公交车，</w:t>
            </w:r>
            <w:r>
              <w:rPr>
                <w:rFonts w:ascii="宋体" w:hAnsi="宋体" w:eastAsia="宋体" w:cs="宋体"/>
                <w:color w:val="auto"/>
                <w:sz w:val="24"/>
              </w:rPr>
              <w:t xml:space="preserve">相关参数符合GB/T 16311-2009规定。</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val="en-US" w:eastAsia="zh-CN"/>
              </w:rPr>
              <w:t xml:space="preserve">公交车</w:t>
            </w:r>
            <w:r/>
          </w:p>
        </w:tc>
      </w:tr>
      <w:tr>
        <w:trPr>
          <w:trHeight w:val="90"/>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Theme="minorHAnsi" w:hAnsiTheme="minorHAnsi" w:eastAsiaTheme="minorEastAsia"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冷喷划线</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Theme="minorHAnsi" w:hAnsiTheme="minorHAnsi" w:eastAsiaTheme="minorEastAsia"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按指定要求，相关参数符合GB/T16311-2009规定。</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Theme="minorHAnsi" w:hAnsiTheme="minorHAnsi" w:eastAsiaTheme="minorEastAsia"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3</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冷喷划停车位</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不大于2.5米*6米，相关参数符合GB/T 16311-2009规定。</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冷喷划箭头</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各类箭头，相关参数符合GB/T 16311-2009规定。</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w:t>
            </w:r>
            <w:r>
              <w:rPr>
                <w:rFonts w:hint="eastAsia" w:ascii="宋体" w:hAnsi="宋体" w:eastAsia="宋体" w:cs="宋体"/>
                <w:color w:val="auto"/>
                <w:sz w:val="24"/>
                <w:lang w:val="en-US" w:eastAsia="zh-CN"/>
              </w:rPr>
              <w:t xml:space="preserve">路面改色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废弃标线机械除线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含沥青黄沙涂层，相关参数符合GB/T 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420"/>
              <w:jc w:val="both"/>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35</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彩色</w:t>
            </w:r>
            <w:r>
              <w:rPr>
                <w:rFonts w:hint="eastAsia" w:ascii="宋体" w:hAnsi="宋体" w:eastAsia="宋体" w:cs="宋体"/>
                <w:color w:val="auto"/>
                <w:sz w:val="24"/>
                <w:lang w:val="en-US" w:eastAsia="zh-CN"/>
              </w:rPr>
              <w:t xml:space="preserve">颗粒</w:t>
            </w:r>
            <w:r>
              <w:rPr>
                <w:rFonts w:ascii="宋体" w:hAnsi="宋体" w:eastAsia="宋体" w:cs="宋体"/>
                <w:color w:val="auto"/>
                <w:sz w:val="24"/>
              </w:rPr>
              <w:t xml:space="preserve">路面</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按需设置，相关参数符合GB/T16311-2009规定。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雨夜”热熔标线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特种热熔，相关参数符合GB/T16311-2009规定。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85</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含施工</w:t>
            </w:r>
            <w:r/>
          </w:p>
        </w:tc>
      </w:tr>
      <w:tr>
        <w:trPr>
          <w:trHeight w:val="461"/>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反光标线贴</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15cm宽,钻石级，相关参数符合GB/T16311-2009规定。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90"/>
        </w:trPr>
        <w:tc>
          <w:tcPr>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隔离</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护栏</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系列</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钢制隔离护栏</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高</w:t>
            </w:r>
            <w:r>
              <w:rPr>
                <w:rFonts w:ascii="宋体" w:hAnsi="宋体" w:eastAsia="宋体" w:cs="宋体"/>
                <w:color w:val="auto"/>
                <w:sz w:val="24"/>
              </w:rPr>
              <w:t xml:space="preserve">100cm*长300cm*厚2.0mm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130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钢制隔离护栏立柱</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80*80*2.5㎜（配套橡胶底座，大号反光标）</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95</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含地钉、安装</w:t>
            </w:r>
            <w:r/>
          </w:p>
        </w:tc>
      </w:tr>
      <w:tr>
        <w:trPr>
          <w:trHeight w:val="67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警示板</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新款太阳能发光</w:t>
            </w:r>
            <w:r>
              <w:rPr>
                <w:rFonts w:hint="eastAsia" w:ascii="宋体" w:hAnsi="宋体" w:eastAsia="宋体" w:cs="宋体"/>
                <w:color w:val="auto"/>
                <w:sz w:val="24"/>
                <w:lang w:val="en-US" w:eastAsia="zh-CN"/>
              </w:rPr>
              <w:t xml:space="preserve">式</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护栏端部警示板</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高75cm或95cm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人行道板护栏（绿色）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高125cm*长300cm*厚2.0mm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190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人行道板护栏立柱（绿色）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入地式</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城市新款护栏（灰色）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高120cm*长300cm*厚2.0mm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530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190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城市新款护栏立柱（灰色）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1200</w:t>
            </w:r>
            <w:r>
              <w:rPr>
                <w:rFonts w:ascii="宋体" w:hAnsi="宋体" w:eastAsia="宋体" w:cs="宋体"/>
                <w:color w:val="auto"/>
                <w:sz w:val="24"/>
              </w:rPr>
              <w:t xml:space="preserve">㎜（配套</w:t>
            </w:r>
            <w:r>
              <w:rPr>
                <w:rFonts w:hint="eastAsia" w:ascii="宋体" w:hAnsi="宋体" w:eastAsia="宋体" w:cs="宋体"/>
                <w:color w:val="auto"/>
                <w:sz w:val="24"/>
                <w:lang w:eastAsia="zh-CN"/>
              </w:rPr>
              <w:t xml:space="preserve">水泥</w:t>
            </w:r>
            <w:r>
              <w:rPr>
                <w:rFonts w:ascii="宋体" w:hAnsi="宋体" w:eastAsia="宋体" w:cs="宋体"/>
                <w:color w:val="auto"/>
                <w:sz w:val="24"/>
              </w:rPr>
              <w:t xml:space="preserve">底座，大号反光标）</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城市新款护栏（灰色）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w:t>
            </w:r>
            <w:r>
              <w:rPr>
                <w:rFonts w:hint="eastAsia" w:ascii="宋体" w:hAnsi="宋体" w:eastAsia="宋体" w:cs="宋体"/>
                <w:color w:val="auto"/>
                <w:sz w:val="24"/>
                <w:lang w:val="en-US" w:eastAsia="zh-CN"/>
              </w:rPr>
              <w:t xml:space="preserve">85</w:t>
            </w:r>
            <w:r>
              <w:rPr>
                <w:rFonts w:ascii="宋体" w:hAnsi="宋体" w:eastAsia="宋体" w:cs="宋体"/>
                <w:color w:val="auto"/>
                <w:sz w:val="24"/>
              </w:rPr>
              <w:t xml:space="preserve">cm*长300cm*厚2.0mm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城市新款护栏立柱（灰色）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850</w:t>
            </w:r>
            <w:r>
              <w:rPr>
                <w:rFonts w:ascii="宋体" w:hAnsi="宋体" w:eastAsia="宋体" w:cs="宋体"/>
                <w:color w:val="auto"/>
                <w:sz w:val="24"/>
              </w:rPr>
              <w:t xml:space="preserve">㎜（配套</w:t>
            </w:r>
            <w:r>
              <w:rPr>
                <w:rFonts w:hint="eastAsia" w:ascii="宋体" w:hAnsi="宋体" w:eastAsia="宋体" w:cs="宋体"/>
                <w:color w:val="auto"/>
                <w:sz w:val="24"/>
                <w:lang w:eastAsia="zh-CN"/>
              </w:rPr>
              <w:t xml:space="preserve">水泥</w:t>
            </w:r>
            <w:r>
              <w:rPr>
                <w:rFonts w:ascii="宋体" w:hAnsi="宋体" w:eastAsia="宋体" w:cs="宋体"/>
                <w:color w:val="auto"/>
                <w:sz w:val="24"/>
              </w:rPr>
              <w:t xml:space="preserve">底座，大号反光标）</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w:t>
            </w:r>
            <w:r>
              <w:rPr>
                <w:rFonts w:hint="eastAsia" w:ascii="宋体" w:hAnsi="宋体" w:eastAsia="宋体" w:cs="宋体"/>
                <w:color w:val="auto"/>
                <w:sz w:val="24"/>
                <w:lang w:val="en-US" w:eastAsia="zh-CN"/>
              </w:rPr>
              <w:t xml:space="preserve">斜片（灰色）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w:t>
            </w:r>
            <w:r>
              <w:rPr>
                <w:rFonts w:hint="eastAsia" w:ascii="宋体" w:hAnsi="宋体" w:eastAsia="宋体" w:cs="宋体"/>
                <w:color w:val="auto"/>
                <w:sz w:val="24"/>
                <w:lang w:val="en-US" w:eastAsia="zh-CN"/>
              </w:rPr>
              <w:t xml:space="preserve">85-120</w:t>
            </w:r>
            <w:r>
              <w:rPr>
                <w:rFonts w:ascii="宋体" w:hAnsi="宋体" w:eastAsia="宋体" w:cs="宋体"/>
                <w:color w:val="auto"/>
                <w:sz w:val="24"/>
              </w:rPr>
              <w:t xml:space="preserve">cm*长300cm*厚2.0mm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170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钢制小护栏、绿化护栏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高70/90cm*长300cm*厚2.0mm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110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钢制护栏立柱</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80*80*2.5㎜（配套橡胶底座，大号反光标）</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420"/>
              <w:jc w:val="both"/>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rHeight w:val="417"/>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护栏贴膜</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道*20cm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铁质警示桩（地面80cm）橡胶盖</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￠114㎜*1200*2.5</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170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铁质警示桩（地面60cm）橡胶盖</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￠114㎜*90</w:t>
            </w:r>
            <w:r>
              <w:rPr>
                <w:rFonts w:hint="eastAsia" w:ascii="宋体" w:hAnsi="宋体" w:eastAsia="宋体" w:cs="宋体"/>
                <w:color w:val="auto"/>
                <w:sz w:val="24"/>
                <w:lang w:val="en-US" w:eastAsia="zh-CN"/>
              </w:rPr>
              <w:t xml:space="preserve">0</w:t>
            </w:r>
            <w:r>
              <w:rPr>
                <w:rFonts w:ascii="宋体" w:hAnsi="宋体" w:eastAsia="宋体" w:cs="宋体"/>
                <w:color w:val="auto"/>
                <w:sz w:val="24"/>
              </w:rPr>
              <w:t xml:space="preserve">*2.5</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140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铁质跨马式警示桩</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￠114㎜*900*2.5</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400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防撞桶（大）</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￠580*600mm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46</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含1/3 沙</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防撞桶（小）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￠380*600mm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含1/3 沙</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橡胶减速带</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高度3.5cm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非机动车橡胶减速带</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高度2.5cm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防撞条</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防撞条，反光橡胶护角条</w:t>
            </w:r>
            <w:r>
              <w:rPr>
                <w:rFonts w:hint="eastAsia" w:ascii="宋体" w:hAnsi="宋体" w:eastAsia="宋体" w:cs="宋体"/>
                <w:color w:val="auto"/>
                <w:sz w:val="24"/>
                <w:lang w:val="en-US" w:eastAsia="zh-CN"/>
              </w:rPr>
              <w:t xml:space="preserve"> 各类款式</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铸铁减速带</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高度3.5cm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挡车杆（圆头、三脚）</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铁质，200cm*￠7.6cm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451"/>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京式护栏</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高120cm*长300cm*厚3.0mm</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t xml:space="preserve">190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rHeight w:val="479"/>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京式立柱</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高120cm*厚3.0mm</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t xml:space="preserve">120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移动式护栏1</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高110cm*长3000*厚2.0mm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130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移动式护栏2</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高80cm*长3000*厚2.0mm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110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护栏轮廓标</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各类款式</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805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护栏桩底座</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橡胶底座</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600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网片护栏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如喷塑绿色、网片尺寸宽</w:t>
            </w:r>
            <w:r>
              <w:rPr>
                <w:rFonts w:hint="eastAsia" w:ascii="宋体" w:hAnsi="宋体" w:eastAsia="宋体" w:cs="宋体"/>
                <w:color w:val="auto"/>
                <w:sz w:val="24"/>
                <w:lang w:val="en-US" w:eastAsia="zh-CN"/>
              </w:rPr>
              <w:t xml:space="preserve">1920mm、高1650mm（含边框30*30*1.2mm）、立柱与网片间隔50mm、连接管30*30*1.5mm（U型卡）固定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230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网片护栏立柱</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如喷塑绿色、方管尺寸</w:t>
            </w:r>
            <w:r>
              <w:rPr>
                <w:rFonts w:hint="eastAsia" w:ascii="宋体" w:hAnsi="宋体" w:eastAsia="宋体" w:cs="宋体"/>
                <w:color w:val="auto"/>
                <w:sz w:val="24"/>
                <w:lang w:val="en-US" w:eastAsia="zh-CN"/>
              </w:rPr>
              <w:t xml:space="preserve">60*60*2*2000mm、预埋深度20cm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160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含安装，不含基础</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跨马护栏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w:t>
            </w:r>
            <w:r>
              <w:rPr>
                <w:rFonts w:ascii="宋体" w:hAnsi="宋体" w:eastAsia="宋体" w:cs="宋体"/>
                <w:color w:val="auto"/>
                <w:sz w:val="24"/>
              </w:rPr>
              <w:t xml:space="preserve">￠114</w:t>
            </w:r>
            <w:r>
              <w:rPr>
                <w:rFonts w:hint="eastAsia" w:ascii="宋体" w:hAnsi="宋体" w:eastAsia="宋体" w:cs="宋体"/>
                <w:color w:val="auto"/>
                <w:sz w:val="24"/>
                <w:lang w:val="en-US" w:eastAsia="zh-CN"/>
              </w:rPr>
              <w:t xml:space="preserve">mm镀锌圆管、喷塑、红色、管身贴白色反光膜、高800mm，上宽420mm、下宽500mm、底部法兰膨胀螺栓固定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3mm</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Gr-B-4E</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190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(3mm）</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Gr-B-2E</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波形护栏立柱</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w:t>
            </w:r>
            <w:r>
              <w:rPr>
                <w:rFonts w:hint="eastAsia" w:ascii="宋体" w:hAnsi="宋体" w:eastAsia="宋体" w:cs="宋体"/>
                <w:color w:val="auto"/>
                <w:sz w:val="24"/>
                <w:lang w:val="en-US" w:eastAsia="zh-CN"/>
              </w:rPr>
              <w:t xml:space="preserve">2100</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.5</w:t>
            </w:r>
            <w:r>
              <w:rPr>
                <w:rFonts w:hint="eastAsia" w:ascii="宋体" w:hAnsi="宋体" w:eastAsia="宋体" w:cs="宋体"/>
                <w:color w:val="auto"/>
                <w:sz w:val="24"/>
                <w:lang w:eastAsia="zh-CN"/>
              </w:rPr>
              <w:t xml:space="preserve">（含配套小件）</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4mm</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Gr-A-4E（二波）</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260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(4mm）</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Gr-A-2E（二波）</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波形护栏立柱</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40</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1950</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.5</w:t>
            </w:r>
            <w:r>
              <w:rPr>
                <w:rFonts w:hint="eastAsia" w:ascii="宋体" w:hAnsi="宋体" w:eastAsia="宋体" w:cs="宋体"/>
                <w:color w:val="auto"/>
                <w:sz w:val="24"/>
                <w:lang w:eastAsia="zh-CN"/>
              </w:rPr>
              <w:t xml:space="preserve">（含配套小件）</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rHeight w:val="58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40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护栏端头</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w:t>
            </w:r>
            <w:r>
              <w:rPr>
                <w:rFonts w:hint="eastAsia" w:ascii="宋体" w:hAnsi="宋体" w:eastAsia="宋体" w:cs="宋体"/>
                <w:color w:val="auto"/>
                <w:sz w:val="24"/>
                <w:lang w:val="en-US" w:eastAsia="zh-CN"/>
              </w:rPr>
              <w:t xml:space="preserve">D-I型、</w:t>
            </w:r>
            <w:r>
              <w:rPr>
                <w:rFonts w:hint="eastAsia" w:ascii="宋体" w:hAnsi="宋体" w:eastAsia="宋体" w:cs="宋体"/>
                <w:color w:val="auto"/>
                <w:sz w:val="24"/>
                <w:lang w:eastAsia="zh-CN"/>
              </w:rPr>
              <w:t xml:space="preserve">含端头贴膜</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Mar>
              <w:left w:w="108" w:type="dxa"/>
              <w:top w:w="0" w:type="dxa"/>
              <w:right w:w="108" w:type="dxa"/>
              <w:bottom w:w="0" w:type="dxa"/>
            </w:tcMar>
            <w:tcW w:w="1017" w:type="dxa"/>
            <w:vAlign w:val="center"/>
            <w:vMerge w:val="restart"/>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交通标志</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交通标牌</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3M二级膜，铝板厚度2mm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248</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含安装，不含杆件、基础</w:t>
            </w:r>
            <w:r/>
          </w:p>
        </w:tc>
      </w:tr>
      <w:tr>
        <w:trPr>
          <w:trHeight w:val="651"/>
        </w:trPr>
        <w:tc>
          <w:tcPr>
            <w:tcMar>
              <w:left w:w="108" w:type="dxa"/>
              <w:top w:w="0" w:type="dxa"/>
              <w:right w:w="108" w:type="dxa"/>
              <w:bottom w:w="0" w:type="dxa"/>
            </w:tcMar>
            <w:tcW w:w="1017" w:type="dxa"/>
            <w:vAlign w:val="center"/>
            <w:vMerge w:val="continue"/>
            <w:textDirection w:val="lrTb"/>
            <w:noWrap w:val="false"/>
          </w:tcPr>
          <w:p>
            <w:pPr>
              <w:ind w:left="0" w:right="0" w:firstLine="0"/>
              <w:jc w:val="center"/>
              <w:spacing w:before="0" w:after="0" w:line="24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交通标志</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折叠式不锈钢</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副</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230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c>
          <w:tcPr>
            <w:tcMar>
              <w:left w:w="108" w:type="dxa"/>
              <w:top w:w="0" w:type="dxa"/>
              <w:right w:w="108" w:type="dxa"/>
              <w:bottom w:w="0" w:type="dxa"/>
            </w:tcMar>
            <w:tcW w:w="1017" w:type="dxa"/>
            <w:vAlign w:val="center"/>
            <w:vMerge w:val="continue"/>
            <w:textDirection w:val="lrTb"/>
            <w:noWrap w:val="false"/>
          </w:tcPr>
          <w:p>
            <w:pPr>
              <w:ind w:left="0" w:right="0" w:firstLine="0"/>
              <w:jc w:val="center"/>
              <w:spacing w:before="0" w:after="0" w:line="24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交通标志</w:t>
            </w:r>
            <w:r/>
          </w:p>
        </w:tc>
        <w:tc>
          <w:tcPr>
            <w:tcMar>
              <w:left w:w="108" w:type="dxa"/>
              <w:top w:w="0" w:type="dxa"/>
              <w:right w:w="108" w:type="dxa"/>
              <w:bottom w:w="0" w:type="dxa"/>
            </w:tcMar>
            <w:tcW w:w="342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带有角钢支架的折叠式</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1.2*1.6m</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副</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1920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c>
          <w:tcPr>
            <w:tcMar>
              <w:left w:w="108" w:type="dxa"/>
              <w:top w:w="0" w:type="dxa"/>
              <w:right w:w="108" w:type="dxa"/>
              <w:bottom w:w="0" w:type="dxa"/>
            </w:tcMar>
            <w:tcW w:w="1017" w:type="dxa"/>
            <w:vAlign w:val="center"/>
            <w:vMerge w:val="continue"/>
            <w:textDirection w:val="lrTb"/>
            <w:noWrap w:val="false"/>
          </w:tcPr>
          <w:p>
            <w:pPr>
              <w:ind w:left="0" w:right="0" w:firstLine="0"/>
              <w:jc w:val="center"/>
              <w:spacing w:before="0" w:after="0" w:line="24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4</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交通标志</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带有角钢支架的折叠式</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0.8*1.2m</w:t>
            </w:r>
            <w:r>
              <w:rPr>
                <w:rFonts w:hint="eastAsia" w:ascii="宋体" w:hAnsi="宋体" w:eastAsia="宋体" w:cs="宋体"/>
                <w:color w:val="auto"/>
                <w:sz w:val="24"/>
                <w:lang w:eastAsia="zh-CN"/>
              </w:rPr>
              <w:t xml:space="preserve">）</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副</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15</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rHeight w:val="631"/>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标志贴膜</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各类颜色</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反光道钉</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3M，10*10cm，黄色双面、白色单面</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信号</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灯系</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列</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机动车信号灯组总成（含三联三色）</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2100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机动车信号灯盘总成（红黄绿三色）</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人行信号灯组总成（含主灯、倒计时）</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不含基础、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杆件</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人行信号灯盘总成（主灯、倒计时）</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非机动车信号灯灯盘总成（红黄绿三色）</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非机动车信号灯灯组总成</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1750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人行信号灯总成（复合不带LED 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4600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人行信号灯总成（单面不带LED 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3800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机动车信号灯总成（一体式）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辅助信号灯总成（双灯一体式）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7500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左弯待转区提示灯</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3200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信号灯组总成（红黄绿三色一体式）</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13</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太阳能警示桩爆闪</w:t>
            </w:r>
            <w:r>
              <w:rPr>
                <w:rFonts w:hint="eastAsia" w:ascii="宋体" w:hAnsi="宋体" w:eastAsia="宋体" w:cs="宋体"/>
                <w:color w:val="auto"/>
                <w:sz w:val="24"/>
                <w:highlight w:val="none"/>
                <w:lang w:eastAsia="zh-CN"/>
              </w:rPr>
              <w:t xml:space="preserve">灯</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警示桩专用、</w:t>
            </w:r>
            <w:r>
              <w:rPr>
                <w:rFonts w:hint="eastAsia" w:ascii="宋体" w:hAnsi="宋体" w:eastAsia="宋体" w:cs="宋体"/>
                <w:color w:val="auto"/>
                <w:sz w:val="24"/>
                <w:highlight w:val="none"/>
                <w:lang w:eastAsia="zh-CN"/>
              </w:rPr>
              <w:t xml:space="preserve">警闪</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lang w:eastAsia="zh-CN"/>
              </w:rPr>
              <w:t xml:space="preserve">黄闪，</w:t>
            </w:r>
            <w:r>
              <w:rPr>
                <w:rFonts w:ascii="宋体" w:hAnsi="宋体" w:eastAsia="宋体" w:cs="宋体"/>
                <w:color w:val="auto"/>
                <w:sz w:val="24"/>
                <w:highlight w:val="none"/>
              </w:rPr>
              <w:t xml:space="preserve">￠114㎜</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rPr>
                <w:rFonts w:hint="eastAsia" w:cs="Times New Roman"/>
                <w:color w:val="auto"/>
                <w:lang w:val="en-US" w:eastAsia="zh-CN"/>
              </w:rPr>
              <w:t xml:space="preserve">6</w:t>
            </w:r>
            <w:r>
              <w:rPr>
                <w:rFonts w:hint="eastAsia" w:ascii="Times New Roman" w:hAnsi="Times New Roman" w:eastAsia="宋体" w:cs="Times New Roman"/>
                <w:color w:val="auto"/>
                <w:lang w:val="en-US" w:eastAsia="zh-CN"/>
              </w:rPr>
              <w:t xml:space="preserve">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lang w:val="en-US" w:eastAsia="zh-CN"/>
              </w:rPr>
              <w:t xml:space="preserve">200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rHeight w:val="485"/>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电源线1</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ZR-RVVP3*4</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w:t>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多股铜芯甲控乙购含施工</w:t>
            </w:r>
            <w:r/>
          </w:p>
        </w:tc>
      </w:tr>
      <w:tr>
        <w:trPr>
          <w:trHeight w:val="518"/>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电源线2</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ZR-RVVP3*6</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w:t>
            </w:r>
            <w:r/>
          </w:p>
        </w:tc>
        <w:tc>
          <w:tcPr>
            <w:tcW w:w="966" w:type="dxa"/>
            <w:vMerge w:val="continue"/>
            <w:textDirection w:val="lrTb"/>
            <w:noWrap w:val="false"/>
          </w:tcPr>
          <w:p>
            <w:pPr>
              <w:spacing w:after="0" w:line="240" w:lineRule="auto"/>
              <w:rPr>
                <w:color w:val="auto"/>
              </w:rPr>
            </w:pPr>
            <w:r>
              <w:rPr>
                <w:color w:val="auto"/>
              </w:rPr>
            </w:r>
            <w:r/>
          </w:p>
        </w:tc>
      </w:tr>
      <w:tr>
        <w:trPr>
          <w:trHeight w:val="484"/>
        </w:trPr>
        <w:tc>
          <w:tcPr>
            <w:tcW w:w="1017" w:type="dxa"/>
            <w:vMerge w:val="continue"/>
            <w:textDirection w:val="lrTb"/>
            <w:noWrap w:val="false"/>
          </w:tcPr>
          <w:p>
            <w:pPr>
              <w:spacing w:after="0" w:line="240" w:lineRule="auto"/>
              <w:rPr>
                <w:rFonts w:hint="eastAsia" w:eastAsia="宋体"/>
                <w:color w:val="auto"/>
                <w:lang w:eastAsia="zh-CN"/>
              </w:rPr>
            </w:pPr>
            <w:r>
              <w:rPr>
                <w:rFonts w:hint="eastAsia" w:eastAsia="宋体"/>
                <w:color w:val="auto"/>
                <w:lang w:eastAsia="zh-CN"/>
              </w:rPr>
              <w:t xml:space="preserve"> </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电源线3</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ZR-RVVP3*10</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80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32</w:t>
            </w:r>
            <w:r/>
          </w:p>
        </w:tc>
        <w:tc>
          <w:tcPr>
            <w:tcW w:w="966" w:type="dxa"/>
            <w:vMerge w:val="continue"/>
            <w:textDirection w:val="lrTb"/>
            <w:noWrap w:val="false"/>
          </w:tcPr>
          <w:p>
            <w:pPr>
              <w:spacing w:after="0" w:line="240" w:lineRule="auto"/>
              <w:rPr>
                <w:color w:val="auto"/>
              </w:rPr>
            </w:pPr>
            <w:r>
              <w:rPr>
                <w:color w:val="auto"/>
              </w:rPr>
            </w:r>
            <w:r/>
          </w:p>
        </w:tc>
      </w:tr>
      <w:tr>
        <w:trPr>
          <w:trHeight w:val="601"/>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电源线4</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ZR-RVVP5*1.5</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80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ZR-RVVP4*1.5</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13</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ZR-RVVP7*1.5</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18</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ZR-RVVP10*1.5</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28</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增强过路管</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电工套管重型￠50</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w:t>
            </w:r>
            <w:r/>
          </w:p>
        </w:tc>
        <w:tc>
          <w:tcPr>
            <w:tcW w:w="966" w:type="dxa"/>
            <w:vMerge w:val="continue"/>
            <w:textDirection w:val="lrTb"/>
            <w:noWrap w:val="false"/>
          </w:tcPr>
          <w:p>
            <w:pPr>
              <w:spacing w:after="0" w:line="240" w:lineRule="auto"/>
              <w:rPr>
                <w:color w:val="auto"/>
              </w:rPr>
            </w:pPr>
            <w:r>
              <w:rPr>
                <w:color w:val="auto"/>
              </w:rPr>
            </w:r>
            <w:r/>
          </w:p>
        </w:tc>
      </w:tr>
      <w:tr>
        <w:trPr>
          <w:trHeight w:val="581"/>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硅芯管</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￠40</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信号机控制柜（不锈钢外壳、厚度1.5mm）</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950*600*450mm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1300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太阳能黄闪灯</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双面型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1200</w:t>
            </w:r>
            <w:r/>
          </w:p>
        </w:tc>
        <w:tc>
          <w:tcPr>
            <w:tcMar>
              <w:left w:w="108" w:type="dxa"/>
              <w:top w:w="0" w:type="dxa"/>
              <w:right w:w="108" w:type="dxa"/>
              <w:bottom w:w="0" w:type="dxa"/>
            </w:tcMar>
            <w:tcW w:w="966" w:type="dxa"/>
            <w:vAlign w:val="center"/>
            <w:vMerge w:val="restart"/>
            <w:textDirection w:val="lrTb"/>
            <w:noWrap w:val="false"/>
          </w:tcPr>
          <w:p>
            <w:pPr>
              <w:ind w:right="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含安装、不含杆件、基础</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太阳能爆闪灯</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单立柱6头</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1600</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普通信号机</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 路分时控制机</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台</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3000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协调式联网信号机总成</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33000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含基础安装、调试</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协调式信号机主控板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6500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协调式信号机灯控板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协调式信号机电源板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协调式信号机控制机柜（含内部元器件）</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含照明、220V 电源插座、接线柱、手动控制门、配套门锁钥匙等</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532"/>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协调式联网信号机总成</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36000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协调式信号机主控板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90"/>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协调式信号机灯控板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6</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协调式信号机电源板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6</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2800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w:t>
            </w:r>
            <w:r>
              <w:rPr>
                <w:rFonts w:hint="eastAsia" w:ascii="宋体" w:hAnsi="宋体" w:eastAsia="宋体" w:cs="宋体"/>
                <w:color w:val="auto"/>
                <w:sz w:val="24"/>
                <w:lang w:eastAsia="zh-CN"/>
              </w:rPr>
              <w:t xml:space="preserve">控制柜</w:t>
            </w:r>
            <w:r>
              <w:rPr>
                <w:rFonts w:ascii="宋体" w:hAnsi="宋体" w:eastAsia="宋体" w:cs="宋体"/>
                <w:color w:val="auto"/>
                <w:sz w:val="24"/>
              </w:rPr>
              <w:t xml:space="preserve">（含内部元器件）</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w:t>
            </w:r>
            <w:r>
              <w:rPr>
                <w:rFonts w:hint="eastAsia" w:ascii="宋体" w:hAnsi="宋体" w:eastAsia="宋体" w:cs="宋体"/>
                <w:color w:val="auto"/>
                <w:sz w:val="24"/>
                <w:lang w:eastAsia="zh-CN"/>
              </w:rPr>
              <w:t xml:space="preserve">基础</w:t>
            </w:r>
            <w:r>
              <w:rPr>
                <w:rFonts w:ascii="宋体" w:hAnsi="宋体" w:eastAsia="宋体" w:cs="宋体"/>
                <w:color w:val="auto"/>
                <w:sz w:val="24"/>
              </w:rPr>
              <w:t xml:space="preserve">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光纤/网线</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六芯光纤、超六类网线</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千兆以太网交换机</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端口数量：8个自适应RJ45端口；传输速率：10/100/100M自适应。</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360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千兆多模双纤光纤收发器</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技术参数：波长850nm、产品接口SC、缓存1Mbit</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熔纤</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对网络光纤进行熔接</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处</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27</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15"/>
        </w:trPr>
        <w:tc>
          <w:tcPr>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杆件</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基础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配套</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系列</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广角镜</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￠800 亚克力</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280</w:t>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含安装、不含杆件基础</w:t>
            </w:r>
            <w:r/>
          </w:p>
        </w:tc>
      </w:tr>
      <w:tr>
        <w:trPr>
          <w:trHeight w:val="279"/>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￠114*3000*4mm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W w:w="966" w:type="dxa"/>
            <w:vMerge w:val="continue"/>
            <w:textDirection w:val="lrTb"/>
            <w:noWrap w:val="false"/>
          </w:tcPr>
          <w:p>
            <w:pPr>
              <w:spacing w:after="0" w:line="240" w:lineRule="auto"/>
              <w:rPr>
                <w:color w:val="auto"/>
              </w:rPr>
            </w:pPr>
            <w:r>
              <w:rPr>
                <w:color w:val="auto"/>
              </w:rPr>
            </w:r>
            <w:r/>
          </w:p>
        </w:tc>
      </w:tr>
      <w:tr>
        <w:trPr>
          <w:trHeight w:val="279"/>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rPr>
                <w:rFonts w:hint="eastAsia" w:ascii="宋体" w:hAnsi="宋体" w:eastAsia="宋体" w:cs="宋体"/>
                <w:color w:val="auto"/>
                <w:sz w:val="24"/>
                <w:lang w:eastAsia="zh-CN"/>
              </w:rPr>
              <w:t xml:space="preserve">法兰式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￠114*3000*4mm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180</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￠89*3000*4mm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80</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rPr>
                <w:rFonts w:hint="eastAsia" w:ascii="宋体" w:hAnsi="宋体" w:eastAsia="宋体" w:cs="宋体"/>
                <w:color w:val="auto"/>
                <w:sz w:val="24"/>
                <w:lang w:eastAsia="zh-CN"/>
              </w:rPr>
              <w:t xml:space="preserve">法兰式</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￠89*3000*4mm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140</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标志牌杆件1</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￠159*6000mm，杆件喷塑</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4200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标志牌杆件2</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￠219*7500mm，杆件喷塑</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7500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标志牌杆件3</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￠273*7800mm，杆件喷塑</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8800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标志牌杆件4</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￠299*7800mm，杆件喷塑</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标志牌杆件5</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￠325*7800mm，杆件喷塑</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14000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信号灯杆件1</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八角喷塑杆件，下1.5m 蓝上白，横臂7 米</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8000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信号灯杆件3</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八角喷塑杆件，下1.5m 蓝上白，横臂9 米</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8800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信号灯杆件2</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八角喷塑杆件，下1.5m 蓝上白，横臂12 米</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11000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直埋式基础</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0.4*0.4*0.6m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w:t>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含开挖、浇筑</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预埋式基础</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0.4*0.4*0.6m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w:t>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含预埋件、开挖、浇筑</w:t>
            </w:r>
            <w:r/>
          </w:p>
        </w:tc>
      </w:tr>
      <w:tr>
        <w:trPr>
          <w:trHeight w:val="607"/>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基础1</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0.8*0.8*1m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500</w:t>
            </w:r>
            <w:r/>
          </w:p>
        </w:tc>
        <w:tc>
          <w:tcPr>
            <w:tcW w:w="966" w:type="dxa"/>
            <w:vMerge w:val="continue"/>
            <w:textDirection w:val="lrTb"/>
            <w:noWrap w:val="false"/>
          </w:tcPr>
          <w:p>
            <w:pPr>
              <w:spacing w:after="0" w:line="240" w:lineRule="auto"/>
              <w:rPr>
                <w:color w:val="auto"/>
              </w:rPr>
            </w:pPr>
            <w:r>
              <w:rPr>
                <w:color w:val="auto"/>
              </w:rPr>
            </w:r>
            <w:r/>
          </w:p>
        </w:tc>
      </w:tr>
      <w:tr>
        <w:trPr>
          <w:trHeight w:val="591"/>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基础2</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1.2*1.2*1.5m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1500</w:t>
            </w:r>
            <w:r/>
          </w:p>
        </w:tc>
        <w:tc>
          <w:tcPr>
            <w:tcW w:w="966" w:type="dxa"/>
            <w:vMerge w:val="continue"/>
            <w:textDirection w:val="lrTb"/>
            <w:noWrap w:val="false"/>
          </w:tcPr>
          <w:p>
            <w:pPr>
              <w:spacing w:after="0" w:line="240" w:lineRule="auto"/>
              <w:rPr>
                <w:color w:val="auto"/>
              </w:rPr>
            </w:pPr>
            <w:r>
              <w:rPr>
                <w:color w:val="auto"/>
              </w:rPr>
            </w:r>
            <w:r/>
          </w:p>
        </w:tc>
      </w:tr>
      <w:tr>
        <w:trPr>
          <w:trHeight w:val="524"/>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基础3</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1.5*1.5*1.6m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2500</w:t>
            </w:r>
            <w:r/>
          </w:p>
        </w:tc>
        <w:tc>
          <w:tcPr>
            <w:tcW w:w="966" w:type="dxa"/>
            <w:vMerge w:val="continue"/>
            <w:textDirection w:val="lrTb"/>
            <w:noWrap w:val="false"/>
          </w:tcPr>
          <w:p>
            <w:pPr>
              <w:spacing w:after="0" w:line="240" w:lineRule="auto"/>
              <w:rPr>
                <w:color w:val="auto"/>
              </w:rPr>
            </w:pPr>
            <w:r>
              <w:rPr>
                <w:color w:val="auto"/>
              </w:rPr>
            </w:r>
            <w:r/>
          </w:p>
        </w:tc>
      </w:tr>
      <w:tr>
        <w:trPr>
          <w:trHeight w:val="551"/>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基础4</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1.8*1.8*1.8</w:t>
            </w:r>
            <w:r>
              <w:rPr>
                <w:rFonts w:hint="eastAsia" w:ascii="宋体" w:hAnsi="宋体" w:eastAsia="宋体" w:cs="宋体"/>
                <w:color w:val="auto"/>
                <w:sz w:val="24"/>
                <w:lang w:val="en-US" w:eastAsia="zh-CN"/>
              </w:rPr>
              <w:t xml:space="preserve">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4500</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窨井总成1</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0.5*0.5m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含施工</w:t>
            </w:r>
            <w:r/>
          </w:p>
        </w:tc>
      </w:tr>
      <w:tr>
        <w:trPr>
          <w:trHeight w:val="574"/>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吊车台班</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8T</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21"/>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卡车台班</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＞6.8米</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rHeight w:val="608"/>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3</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拖车台班</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对</w:t>
            </w:r>
            <w:r>
              <w:rPr>
                <w:rFonts w:hint="eastAsia" w:ascii="宋体" w:hAnsi="宋体" w:eastAsia="宋体" w:cs="宋体"/>
                <w:color w:val="auto"/>
                <w:sz w:val="24"/>
                <w:lang w:val="en-US" w:eastAsia="zh-CN"/>
              </w:rPr>
              <w:t xml:space="preserve">小型</w:t>
            </w:r>
            <w:r>
              <w:rPr>
                <w:rFonts w:hint="eastAsia" w:ascii="宋体" w:hAnsi="宋体" w:cs="宋体"/>
                <w:color w:val="auto"/>
                <w:sz w:val="24"/>
                <w:lang w:val="en-US" w:eastAsia="zh-CN"/>
              </w:rPr>
              <w:t xml:space="preserve">车辆实施拖离</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380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rHeight w:val="580"/>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4</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拖车台班</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对大</w:t>
            </w:r>
            <w:r>
              <w:rPr>
                <w:rFonts w:hint="eastAsia" w:ascii="宋体" w:hAnsi="宋体" w:eastAsia="宋体" w:cs="宋体"/>
                <w:color w:val="auto"/>
                <w:sz w:val="24"/>
                <w:lang w:val="en-US" w:eastAsia="zh-CN"/>
              </w:rPr>
              <w:t xml:space="preserve">型</w:t>
            </w:r>
            <w:r>
              <w:rPr>
                <w:rFonts w:hint="eastAsia" w:ascii="宋体" w:hAnsi="宋体" w:cs="宋体"/>
                <w:color w:val="auto"/>
                <w:sz w:val="24"/>
                <w:lang w:val="en-US" w:eastAsia="zh-CN"/>
              </w:rPr>
              <w:t xml:space="preserve">车辆实施拖离</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牵引、顶管</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 根￠40管）</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含工作协调</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道路、道板开挖、恢复</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深度40cm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200</w:t>
            </w:r>
            <w:r/>
          </w:p>
        </w:tc>
        <w:tc>
          <w:tcPr>
            <w:tcW w:w="966" w:type="dxa"/>
            <w:vMerge w:val="continue"/>
            <w:textDirection w:val="lrTb"/>
            <w:noWrap w:val="false"/>
          </w:tcPr>
          <w:p>
            <w:pPr>
              <w:spacing w:after="0" w:line="240" w:lineRule="auto"/>
              <w:rPr>
                <w:color w:val="auto"/>
              </w:rPr>
            </w:pPr>
            <w:r>
              <w:rPr>
                <w:color w:val="auto"/>
              </w:rPr>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绿化开挖、恢复</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深度40cm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80</w:t>
            </w:r>
            <w:r/>
          </w:p>
        </w:tc>
        <w:tc>
          <w:tcPr>
            <w:tcW w:w="966" w:type="dxa"/>
            <w:vMerge w:val="continue"/>
            <w:textDirection w:val="lrTb"/>
            <w:noWrap w:val="false"/>
          </w:tcPr>
          <w:p>
            <w:pPr>
              <w:spacing w:after="0" w:line="240" w:lineRule="auto"/>
              <w:rPr>
                <w:color w:val="auto"/>
              </w:rPr>
            </w:pPr>
            <w:r>
              <w:rPr>
                <w:color w:val="auto"/>
              </w:rPr>
            </w:r>
            <w:r/>
          </w:p>
        </w:tc>
      </w:tr>
      <w:tr>
        <w:trPr/>
        <w:tc>
          <w:tcPr>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(六)</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其他设施</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弹力警示桩（45cm)</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PU 材质，高45cm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弹力警示桩(75cm)</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PU 材质，高75cm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警示锥筒</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高70cm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cs="Times New Roman"/>
                <w:color w:val="auto"/>
                <w:lang w:val="en-US" w:eastAsia="zh-CN"/>
              </w:rPr>
              <w:t xml:space="preserve">1000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22.5</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警示锥筒链条</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红白相间</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val="en-US" w:eastAsia="zh-CN"/>
              </w:rPr>
              <w:t xml:space="preserve">5</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太阳能</w:t>
            </w:r>
            <w:r>
              <w:rPr>
                <w:rFonts w:hint="eastAsia" w:ascii="宋体" w:hAnsi="宋体" w:eastAsia="宋体" w:cs="宋体"/>
                <w:color w:val="auto"/>
                <w:sz w:val="24"/>
                <w:lang w:val="en-US" w:eastAsia="zh-CN"/>
              </w:rPr>
              <w:t xml:space="preserve">无线</w:t>
            </w:r>
            <w:r>
              <w:rPr>
                <w:rFonts w:hint="eastAsia" w:ascii="宋体" w:hAnsi="宋体" w:eastAsia="宋体" w:cs="宋体"/>
                <w:color w:val="auto"/>
                <w:sz w:val="24"/>
                <w:lang w:eastAsia="zh-CN"/>
              </w:rPr>
              <w:t xml:space="preserve">球机</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HK-T1S4M-GL/C03S08/LN</w:t>
            </w:r>
            <w:r/>
          </w:p>
          <w:p>
            <w:pPr>
              <w:ind w:left="0" w:right="0" w:firstLine="0"/>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太阳能套装、7天以上续航、配内存卡</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太阳能</w:t>
            </w:r>
            <w:r>
              <w:rPr>
                <w:rFonts w:hint="eastAsia" w:ascii="宋体" w:hAnsi="宋体" w:eastAsia="宋体" w:cs="宋体"/>
                <w:color w:val="auto"/>
                <w:sz w:val="24"/>
                <w:lang w:val="en-US" w:eastAsia="zh-CN"/>
              </w:rPr>
              <w:t xml:space="preserve">无线</w:t>
            </w:r>
            <w:r>
              <w:rPr>
                <w:rFonts w:hint="eastAsia" w:ascii="宋体" w:hAnsi="宋体" w:eastAsia="宋体" w:cs="宋体"/>
                <w:color w:val="auto"/>
                <w:sz w:val="24"/>
                <w:lang w:eastAsia="zh-CN"/>
              </w:rPr>
              <w:t xml:space="preserve">球机</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HK-T1S8DM-GL//L/C08S20</w:t>
            </w:r>
            <w:r/>
          </w:p>
          <w:p>
            <w:pPr>
              <w:ind w:left="0" w:right="0" w:firstLine="0"/>
              <w:spacing w:before="0" w:after="0" w:line="240" w:lineRule="auto"/>
              <w:rPr>
                <w:rFonts w:hint="default"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AOV太阳能套装、7天以上续航、配内存卡</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1800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电表</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单相电子式电能表、</w:t>
            </w:r>
            <w:r>
              <w:rPr>
                <w:rFonts w:hint="eastAsia" w:ascii="宋体" w:hAnsi="宋体" w:eastAsia="宋体" w:cs="宋体"/>
                <w:color w:val="auto"/>
                <w:sz w:val="24"/>
                <w:lang w:val="en-US" w:eastAsia="zh-CN"/>
              </w:rPr>
              <w:t xml:space="preserve">ABS阻燃材质</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rHeight w:val="574"/>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电表箱</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w:t>
            </w:r>
            <w:r>
              <w:rPr>
                <w:rFonts w:hint="eastAsia" w:ascii="宋体" w:hAnsi="宋体" w:eastAsia="宋体" w:cs="宋体"/>
                <w:color w:val="auto"/>
                <w:sz w:val="24"/>
                <w:lang w:val="en-US" w:eastAsia="zh-CN"/>
              </w:rPr>
              <w:t xml:space="preserve">500*600*180mm尺寸</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时控开关</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定时控制、智能芯片、大功率负载、断电记忆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空气（漏电）开关</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过载保护、欠压保护、漏电保护、上进下出、抗寒抗热、性能稳定</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热塑管套</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快速收缩、绝缘性好、紧密贴合、防水性强、任意弯折、耐磨耐用</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测速警示1（市电款）</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外框尺寸：130*60cm；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显示尺寸：37*45cm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13</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测速警示2（太阳能款）</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太阳能供电（100w太阳能板，40AH电池）</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外框尺寸：130*60cm；</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显示尺寸：37*45cm</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7600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14</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人行横道安全警示系统</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40000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15</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“哨兵”声光电安全警示系统</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28000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1994"/>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智能“哨兵”系统1</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1.产品规格：雷达触发 + 语音播报 + 360爆闪灯（单台配置）；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.供电方式：标准DC12V±10%太阳能供电模式或AC220V±20%市电供电 ；</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智能“哨兵”系统2</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主路预警LED屏+ 语音模块+ 无线远距模块 + 两路RS485  + 360爆闪灯（单台配置带屏幕）；</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6800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601"/>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智能“哨兵”系统3</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LED屏 + 无线远距模块 + 语音警示模块 + 360爆闪灯（单横屏2字）；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2.通信方式：weihuaLoRa通信，带路由功能；；</w:t>
            </w:r>
            <w:r/>
          </w:p>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3.无线组网：在300米距离范围内可实现主机间任意组网协同智能订阅雷达数据；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12000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智能“哨兵”系统4</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LED屏 + 无线远距模块 + 360爆闪灯（单竖屏4字）；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2.通信方式：LoRa通信，带路由功能；</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3.无线组网：在300米距离范围内可实现主机间任意组网协同智能订阅雷达数据；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17000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20</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智能“哨兵”系统5</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主路哨兵设备参数：</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主路LED预警大屏 + 无线远距模块 + 超速预警模块；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w:t>
            </w:r>
            <w:r>
              <w:rPr>
                <w:rFonts w:ascii="宋体" w:hAnsi="宋体" w:eastAsia="宋体" w:cs="宋体"/>
                <w:color w:val="auto"/>
                <w:sz w:val="24"/>
              </w:rPr>
              <w:t xml:space="preserve">.供电方式：标准DC12V±10%太阳能供电模式或AC220V±20%市电供电；</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支路哨兵设备参数：</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LED屏 + 无线远距模块 + 语音警示模块；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2.通信方式：LoRa通信，带路由功能；</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3.无线组网：在300米距离范围内可实现主机间任意组网协同智能订阅雷达数据；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21000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90"/>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交通执勤岗亭A款</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配置：含警用红蓝LED爆闪灯、置物架、空调、配电箱、照明、插座等，参照2023年城区在用新款岗亭设计标准。</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规格：长6米*宽3米</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座</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88000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1574"/>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22</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交通执勤岗亭B款</w:t>
            </w:r>
            <w:r/>
          </w:p>
        </w:tc>
        <w:tc>
          <w:tcPr>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配置：含警用红蓝LED爆闪灯、置物架、空调、配电箱、照明、插座等，参照2023年城区在用新款岗亭设计标准。</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规格：长3.38米*宽2.38米</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座</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58000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23</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交通执勤岗亭C款</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配置：含警用红蓝LED爆闪灯、置物架、空调、配电箱、照明、插座等，参照2023年城区在用新款岗亭设计标准。</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规格：长2.2米*宽1.6米</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座</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39000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24</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防疲劳预警激光</w:t>
            </w:r>
            <w:r>
              <w:rPr>
                <w:rFonts w:hint="eastAsia" w:ascii="宋体" w:hAnsi="宋体" w:eastAsia="宋体" w:cs="宋体"/>
                <w:color w:val="auto"/>
                <w:sz w:val="24"/>
                <w:highlight w:val="none"/>
                <w:lang w:val="en-US" w:eastAsia="zh-CN"/>
              </w:rPr>
              <w:t xml:space="preserve">警示系统（市电款）</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输出波段：绿色可见光</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波长：525（±5）nm</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光功率：1500mW</w:t>
            </w:r>
            <w:r/>
          </w:p>
          <w:p>
            <w:pPr>
              <w:ind w:left="0" w:right="0" w:firstLine="0"/>
              <w:jc w:val="both"/>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工作模式：常亮、频闪等</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t xml:space="preserve">6500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25</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防疲劳预警激光</w:t>
            </w:r>
            <w:r>
              <w:rPr>
                <w:rFonts w:hint="eastAsia" w:asciiTheme="minorEastAsia" w:hAnsiTheme="minorEastAsia" w:eastAsiaTheme="minorEastAsia" w:cstheme="minorEastAsia"/>
                <w:color w:val="auto"/>
                <w:sz w:val="24"/>
                <w:szCs w:val="24"/>
                <w:highlight w:val="none"/>
                <w:lang w:val="en-US" w:eastAsia="zh-CN"/>
              </w:rPr>
              <w:t xml:space="preserve">警示系统（太阳能款）</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输出波段：绿色可见光</w:t>
            </w:r>
            <w:r/>
          </w:p>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波长：525（±5）nm</w:t>
            </w:r>
            <w:r/>
          </w:p>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光功率：1500mW</w:t>
            </w:r>
            <w:r/>
          </w:p>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工作模式：常亮、频闪等</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t xml:space="preserve">7200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c>
          <w:tcPr>
            <w:tcW w:w="1017"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路缘警示灯</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铸铝材质；IP68防护等级；可承重20T；可视距离不小于500米；可用时长40小时；闪烁频率50次/分钟</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t xml:space="preserve">115</w:t>
            </w:r>
            <w:r>
              <w:rPr>
                <w:rFonts w:hint="eastAsia"/>
                <w:color w:val="auto"/>
                <w:highlight w:val="none"/>
                <w:lang w:val="en-US" w:eastAsia="zh-CN"/>
              </w:rPr>
              <w:t xml:space="preserve">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rHeight w:val="1475"/>
        </w:trPr>
        <w:tc>
          <w:tcPr>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维修工次费</w:t>
            </w:r>
            <w:r/>
          </w:p>
        </w:tc>
        <w:tc>
          <w:tcPr>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维修工次费</w:t>
            </w:r>
            <w:r/>
          </w:p>
        </w:tc>
        <w:tc>
          <w:tcPr>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暂按15万元计入投标报价，按实际结算。投标人报价时不得改变“维修工次费”费用，否则作无效投标处理。</w:t>
            </w:r>
            <w:r/>
          </w:p>
        </w:tc>
        <w:tc>
          <w:tcPr>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150000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本项为不可竞争费</w:t>
            </w:r>
            <w:r/>
          </w:p>
        </w:tc>
      </w:tr>
      <w:tr>
        <w:trPr>
          <w:trHeight w:val="1501"/>
        </w:trPr>
        <w:tc>
          <w:tcPr>
            <w:shd w:val="clear" w:color="auto" w:fill="auto"/>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rPr>
                <w:rFonts w:hint="default" w:ascii="宋体" w:hAnsi="宋体" w:eastAsia="宋体" w:cs="宋体"/>
                <w:b/>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（八）信号优化调控工次费</w:t>
            </w:r>
            <w:r/>
          </w:p>
        </w:tc>
        <w:tc>
          <w:tcPr>
            <w:shd w:val="clear" w:color="auto" w:fill="auto"/>
            <w:tcMar>
              <w:left w:w="108" w:type="dxa"/>
              <w:top w:w="0" w:type="dxa"/>
              <w:right w:w="108" w:type="dxa"/>
              <w:bottom w:w="0" w:type="dxa"/>
            </w:tcMar>
            <w:tcW w:w="5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p>
        </w:tc>
        <w:tc>
          <w:tcPr>
            <w:shd w:val="clear" w:color="auto" w:fill="auto"/>
            <w:tcMar>
              <w:left w:w="108" w:type="dxa"/>
              <w:top w:w="0" w:type="dxa"/>
              <w:right w:w="108" w:type="dxa"/>
              <w:bottom w:w="0" w:type="dxa"/>
            </w:tcMar>
            <w:tcW w:w="1178" w:type="dxa"/>
            <w:vAlign w:val="center"/>
            <w:textDirection w:val="lrTb"/>
            <w:noWrap w:val="false"/>
          </w:tcPr>
          <w:p>
            <w:pPr>
              <w:ind w:left="0" w:right="0" w:firstLine="0"/>
              <w:jc w:val="both"/>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信号优化调控工次费</w:t>
            </w:r>
            <w:r/>
          </w:p>
        </w:tc>
        <w:tc>
          <w:tcPr>
            <w:shd w:val="clear" w:color="auto" w:fill="auto"/>
            <w:tcMar>
              <w:left w:w="108" w:type="dxa"/>
              <w:top w:w="0" w:type="dxa"/>
              <w:right w:w="108" w:type="dxa"/>
              <w:bottom w:w="0" w:type="dxa"/>
            </w:tcMar>
            <w:tcW w:w="3422" w:type="dxa"/>
            <w:vAlign w:val="center"/>
            <w:textDirection w:val="lrTb"/>
            <w:noWrap w:val="false"/>
          </w:tcPr>
          <w:p>
            <w:pPr>
              <w:ind w:left="0" w:right="0" w:firstLine="0"/>
              <w:spacing w:before="0" w:after="0" w:line="240" w:lineRule="auto"/>
              <w:rPr>
                <w:rFonts w:hint="default"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暂按15万元计入投标报价</w:t>
            </w:r>
            <w:r>
              <w:rPr>
                <w:rFonts w:ascii="宋体" w:hAnsi="宋体" w:eastAsia="宋体" w:cs="宋体"/>
                <w:b/>
                <w:color w:val="auto"/>
                <w:sz w:val="24"/>
              </w:rPr>
              <w:t xml:space="preserve">，按实际结算。投标人报价时不得改变“</w:t>
            </w:r>
            <w:r>
              <w:rPr>
                <w:rFonts w:hint="eastAsia" w:ascii="宋体" w:hAnsi="宋体" w:eastAsia="宋体" w:cs="宋体"/>
                <w:b/>
                <w:color w:val="auto"/>
                <w:sz w:val="24"/>
                <w:highlight w:val="none"/>
                <w:lang w:val="en-US" w:eastAsia="zh-CN"/>
              </w:rPr>
              <w:t xml:space="preserve">信号优化调控工次费</w:t>
            </w:r>
            <w:r>
              <w:rPr>
                <w:rFonts w:ascii="宋体" w:hAnsi="宋体" w:eastAsia="宋体" w:cs="宋体"/>
                <w:b/>
                <w:color w:val="auto"/>
                <w:sz w:val="24"/>
              </w:rPr>
              <w:t xml:space="preserve">”费用，否则作无效投标处理。</w:t>
            </w:r>
            <w:r/>
          </w:p>
        </w:tc>
        <w:tc>
          <w:tcPr>
            <w:shd w:val="clear" w:color="auto" w:fill="auto"/>
            <w:tcMar>
              <w:left w:w="108" w:type="dxa"/>
              <w:top w:w="0" w:type="dxa"/>
              <w:right w:w="108" w:type="dxa"/>
              <w:bottom w:w="0" w:type="dxa"/>
            </w:tcMar>
            <w:tcW w:w="73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t xml:space="preserve">150000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本项为不可竞争费</w:t>
            </w:r>
            <w:r/>
          </w:p>
        </w:tc>
      </w:tr>
    </w:tbl>
    <w:p>
      <w:pPr>
        <w:ind w:firstLine="241"/>
        <w:jc w:val="left"/>
        <w:keepLines w:val="0"/>
        <w:keepNext w:val="0"/>
        <w:pageBreakBefore w:val="0"/>
        <w:spacing w:line="384"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 </w:t>
      </w:r>
      <w:r/>
    </w:p>
    <w:p>
      <w:pPr>
        <w:numPr>
          <w:ilvl w:val="0"/>
          <w:numId w:val="13"/>
        </w:numPr>
        <w:jc w:val="left"/>
        <w:spacing w:line="22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交通设施维护维修工次结算标准</w:t>
      </w:r>
      <w:r/>
    </w:p>
    <w:p>
      <w:pPr>
        <w:numPr>
          <w:ilvl w:val="0"/>
          <w:numId w:val="0"/>
        </w:numPr>
        <w:jc w:val="left"/>
        <w:spacing w:line="22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bl>
      <w:tblPr>
        <w:tblStyle w:val="923"/>
        <w:tblW w:w="9834" w:type="dxa"/>
        <w:tblInd w:w="2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266"/>
        <w:gridCol w:w="1084"/>
        <w:gridCol w:w="5650"/>
      </w:tblGrid>
      <w:tr>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2266"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维修内容</w:t>
            </w:r>
            <w:r/>
          </w:p>
        </w:tc>
        <w:tc>
          <w:tcPr>
            <w:tcW w:w="108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工次</w:t>
            </w:r>
            <w:r/>
          </w:p>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56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W w:w="2266"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护栏拆、装及维修</w:t>
            </w:r>
            <w:r/>
          </w:p>
        </w:tc>
        <w:tc>
          <w:tcPr>
            <w:tcW w:w="10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5650"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1.近距离5 片（含）为计量单位；</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2.护栏近距离维修包括收钉、脱落、补横杠等。</w:t>
            </w:r>
            <w:r/>
          </w:p>
        </w:tc>
      </w:tr>
      <w:tr>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c>
          <w:tcPr>
            <w:tcW w:w="2266"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杆件标志牌维护、拆除及移位</w:t>
            </w:r>
            <w:r/>
          </w:p>
        </w:tc>
        <w:tc>
          <w:tcPr>
            <w:tcW w:w="10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5650"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1.单立杆及标志牌拆除为1 工次，移位计2 工次</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2.F杆、电警、信号灯杆件拆除计2 工次，移位计4工次</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3.涉及吊车台班另行核定</w:t>
            </w:r>
            <w:r/>
          </w:p>
        </w:tc>
      </w:tr>
      <w:tr>
        <w:trPr>
          <w:trHeight w:val="493"/>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p>
        </w:tc>
        <w:tc>
          <w:tcPr>
            <w:tcW w:w="2266"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减速带拆除</w:t>
            </w:r>
            <w:r/>
          </w:p>
        </w:tc>
        <w:tc>
          <w:tcPr>
            <w:tcW w:w="10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5650"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近距离内，3 米为计量单位，不足2 米按2 米计</w:t>
            </w:r>
            <w:r/>
          </w:p>
        </w:tc>
      </w:tr>
      <w:tr>
        <w:trPr>
          <w:trHeight w:val="401"/>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r/>
          </w:p>
        </w:tc>
        <w:tc>
          <w:tcPr>
            <w:tcW w:w="2266"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警示桩拆除</w:t>
            </w:r>
            <w:r/>
          </w:p>
        </w:tc>
        <w:tc>
          <w:tcPr>
            <w:tcW w:w="10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5650"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近距离内，5 根为计量单位，不足5 根按5 根计</w:t>
            </w:r>
            <w:r/>
          </w:p>
        </w:tc>
      </w:tr>
      <w:tr>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w:t>
            </w:r>
            <w:r/>
          </w:p>
        </w:tc>
        <w:tc>
          <w:tcPr>
            <w:tcW w:w="2266"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监控、信号灯维护、维修</w:t>
            </w:r>
            <w:r/>
          </w:p>
        </w:tc>
        <w:tc>
          <w:tcPr>
            <w:tcW w:w="10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5650"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1.监控、信号灯因掉线、缺电等原因排除故障</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2.监控、信号灯杆件补盖板</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3.监控、信号灯线路整理</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4.信号灯组整理</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5.监控、协调信号机重启后正常的，计1 工次</w:t>
            </w:r>
            <w:r/>
          </w:p>
        </w:tc>
      </w:tr>
      <w:tr>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w:t>
            </w:r>
            <w:r/>
          </w:p>
        </w:tc>
        <w:tc>
          <w:tcPr>
            <w:tcW w:w="2266"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现场查勘（放空）</w:t>
            </w:r>
            <w:r/>
          </w:p>
        </w:tc>
        <w:tc>
          <w:tcPr>
            <w:tcW w:w="10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5650"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1.赶赴现场后确认停电导致不工作</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2.恶劣天气导致维修不便，延时维修</w:t>
            </w:r>
            <w:r/>
          </w:p>
        </w:tc>
      </w:tr>
      <w:tr>
        <w:trPr>
          <w:trHeight w:val="481"/>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w:t>
            </w:r>
            <w:r/>
          </w:p>
        </w:tc>
        <w:tc>
          <w:tcPr>
            <w:tcW w:w="2266"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管线查勘</w:t>
            </w:r>
            <w:r/>
          </w:p>
        </w:tc>
        <w:tc>
          <w:tcPr>
            <w:tcW w:w="10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5650"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查勘管线，特殊情况另行报备计量</w:t>
            </w:r>
            <w:r/>
          </w:p>
        </w:tc>
      </w:tr>
      <w:tr>
        <w:trPr>
          <w:trHeight w:val="481"/>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8</w:t>
            </w:r>
            <w:r/>
          </w:p>
        </w:tc>
        <w:tc>
          <w:tcPr>
            <w:tcW w:w="2266" w:type="dxa"/>
            <w:vAlign w:val="center"/>
            <w:textDirection w:val="lrTb"/>
            <w:noWrap w:val="false"/>
          </w:tcPr>
          <w:p>
            <w:pPr>
              <w:jc w:val="left"/>
              <w:spacing w:after="0"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城区范围：（溧城、昆仑、古县）</w:t>
            </w:r>
            <w:r/>
          </w:p>
        </w:tc>
        <w:tc>
          <w:tcPr>
            <w:tcW w:w="1084"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5650"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零星点工</w:t>
            </w:r>
            <w:r/>
          </w:p>
        </w:tc>
      </w:tr>
      <w:tr>
        <w:trPr>
          <w:trHeight w:val="481"/>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9</w:t>
            </w:r>
            <w:r/>
          </w:p>
        </w:tc>
        <w:tc>
          <w:tcPr>
            <w:tcW w:w="2266"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天目湖、埭头、南渡、戴埠中队</w:t>
            </w:r>
            <w:r/>
          </w:p>
        </w:tc>
        <w:tc>
          <w:tcPr>
            <w:tcW w:w="1084"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1.5</w:t>
            </w:r>
            <w:r/>
          </w:p>
        </w:tc>
        <w:tc>
          <w:tcPr>
            <w:tcW w:w="5650"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零星点工</w:t>
            </w:r>
            <w:r/>
          </w:p>
        </w:tc>
      </w:tr>
      <w:tr>
        <w:trPr>
          <w:trHeight w:val="90"/>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10</w:t>
            </w:r>
            <w:r/>
          </w:p>
        </w:tc>
        <w:tc>
          <w:tcPr>
            <w:tcW w:w="2266"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上兴、社渚、别桥、竹箦中队</w:t>
            </w:r>
            <w:r/>
          </w:p>
        </w:tc>
        <w:tc>
          <w:tcPr>
            <w:tcW w:w="1084"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5650"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零星点工</w:t>
            </w:r>
            <w:r/>
          </w:p>
        </w:tc>
      </w:tr>
      <w:tr>
        <w:trPr>
          <w:trHeight w:val="481"/>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w:t>
            </w:r>
            <w:r/>
          </w:p>
        </w:tc>
        <w:tc>
          <w:tcPr>
            <w:tcW w:w="2266"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简易信号灯安放</w:t>
            </w:r>
            <w:r/>
          </w:p>
        </w:tc>
        <w:tc>
          <w:tcPr>
            <w:tcW w:w="1084"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5</w:t>
            </w:r>
            <w:r/>
          </w:p>
        </w:tc>
        <w:tc>
          <w:tcPr>
            <w:tcW w:w="5650"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3天以内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3天以上另计</w:t>
            </w:r>
            <w:r/>
          </w:p>
        </w:tc>
      </w:tr>
      <w:tr>
        <w:trPr>
          <w:trHeight w:val="481"/>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12</w:t>
            </w:r>
            <w:r/>
          </w:p>
        </w:tc>
        <w:tc>
          <w:tcPr>
            <w:tcW w:w="2266"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发电机安放</w:t>
            </w:r>
            <w:r/>
          </w:p>
        </w:tc>
        <w:tc>
          <w:tcPr>
            <w:tcW w:w="1084"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5</w:t>
            </w:r>
            <w:r/>
          </w:p>
        </w:tc>
        <w:tc>
          <w:tcPr>
            <w:tcW w:w="5650"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5小时为一次</w:t>
            </w:r>
            <w:r/>
          </w:p>
        </w:tc>
      </w:tr>
      <w:tr>
        <w:trPr>
          <w:trHeight w:val="481"/>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13</w:t>
            </w:r>
            <w:r/>
          </w:p>
        </w:tc>
        <w:tc>
          <w:tcPr>
            <w:tcW w:w="2266"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交通隔离护栏清洗</w:t>
            </w:r>
            <w:r/>
          </w:p>
        </w:tc>
        <w:tc>
          <w:tcPr>
            <w:tcW w:w="1084"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5650" w:type="dxa"/>
            <w:vAlign w:val="center"/>
            <w:textDirection w:val="lrTb"/>
            <w:noWrap w:val="false"/>
          </w:tcPr>
          <w:p>
            <w:pPr>
              <w:jc w:val="left"/>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零星点工</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1.8</w:t>
            </w:r>
            <w:r>
              <w:rPr>
                <w:rFonts w:hint="eastAsia" w:ascii="宋体" w:hAnsi="宋体" w:eastAsia="宋体" w:cs="宋体"/>
                <w:b w:val="0"/>
                <w:bCs w:val="0"/>
                <w:color w:val="auto"/>
                <w:sz w:val="24"/>
                <w:szCs w:val="24"/>
                <w:lang w:val="en-US" w:eastAsia="zh-CN"/>
              </w:rPr>
              <w:t xml:space="preserve">元/m</w:t>
            </w:r>
            <w:r/>
          </w:p>
        </w:tc>
      </w:tr>
      <w:tr>
        <w:trPr>
          <w:trHeight w:val="1350"/>
        </w:trPr>
        <w:tc>
          <w:tcPr>
            <w:tcW w:w="834"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c>
          <w:tcPr>
            <w:gridSpan w:val="3"/>
            <w:tcW w:w="9000"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 本标准的结算为不发生材料费用。涉及更换主材及配件的，不计工次。</w:t>
            </w:r>
            <w:r>
              <w:rPr>
                <w:rFonts w:hint="eastAsia" w:ascii="宋体" w:hAnsi="宋体" w:eastAsia="宋体" w:cs="宋体"/>
                <w:color w:val="auto"/>
                <w:sz w:val="24"/>
                <w:szCs w:val="24"/>
                <w:lang w:val="en-US" w:eastAsia="zh-CN"/>
              </w:rPr>
              <w:t xml:space="preserve">按120元/工次计算。</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近距离内指相邻交通设施派单距离概约在200米范围内。</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交通设施维修后一周天内发生同类非人为故障，不计再次维修工次。</w:t>
            </w:r>
            <w:r/>
          </w:p>
        </w:tc>
      </w:tr>
    </w:tbl>
    <w:p>
      <w:pPr>
        <w:spacing w:line="202" w:lineRule="exact"/>
        <w:rPr>
          <w:color w:val="auto"/>
          <w:sz w:val="17"/>
          <w:szCs w:val="17"/>
        </w:rPr>
      </w:pPr>
      <w:r>
        <w:rPr>
          <w:color w:val="auto"/>
          <w:sz w:val="17"/>
          <w:szCs w:val="17"/>
        </w:rPr>
      </w:r>
      <w:r/>
    </w:p>
    <w:p>
      <w:pPr>
        <w:ind w:firstLine="241"/>
        <w:jc w:val="left"/>
        <w:keepLines w:val="0"/>
        <w:keepNext w:val="0"/>
        <w:pageBreakBefore w:val="0"/>
        <w:spacing w:line="384" w:lineRule="auto"/>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三、</w:t>
      </w:r>
      <w:r>
        <w:rPr>
          <w:rFonts w:hint="eastAsia" w:ascii="宋体" w:hAnsi="宋体" w:eastAsia="宋体" w:cs="宋体"/>
          <w:b/>
          <w:bCs/>
          <w:i w:val="0"/>
          <w:iCs w:val="0"/>
          <w:color w:val="auto"/>
          <w:sz w:val="24"/>
          <w:szCs w:val="24"/>
          <w:u w:val="none"/>
          <w:lang w:val="en-US" w:eastAsia="zh-CN" w:bidi="ar"/>
        </w:rPr>
        <w:t xml:space="preserve">技术服务管理要求</w:t>
      </w:r>
      <w:r/>
    </w:p>
    <w:p>
      <w:pPr>
        <w:ind w:firstLine="422"/>
        <w:jc w:val="left"/>
        <w:keepLines w:val="0"/>
        <w:keepNext w:val="0"/>
        <w:pageBreakBefore w:val="0"/>
        <w:spacing w:line="384" w:lineRule="auto"/>
        <w:widowControl/>
        <w:rPr>
          <w:rFonts w:hint="eastAsia" w:ascii="宋体" w:hAnsi="宋体" w:eastAsia="宋体" w:cs="宋体"/>
          <w:b/>
          <w:bCs/>
          <w:i w:val="0"/>
          <w:iCs w:val="0"/>
          <w:color w:val="auto"/>
          <w:sz w:val="24"/>
          <w:szCs w:val="24"/>
          <w:u w:val="none"/>
          <w:lang w:val="en-US" w:eastAsia="zh-CN" w:bidi="ar"/>
        </w:rPr>
        <w:suppressLineNumbers w:val="0"/>
      </w:pPr>
      <w:r>
        <w:rPr>
          <w:rFonts w:ascii="Segoe UI Symbol" w:hAnsi="Segoe UI Symbol" w:cs="Segoe UI Symbol"/>
          <w:b/>
          <w:bCs/>
          <w:color w:val="auto"/>
          <w:highlight w:val="white"/>
        </w:rPr>
        <w:t xml:space="preserve">★</w:t>
      </w:r>
      <w:r>
        <w:rPr>
          <w:rFonts w:hint="eastAsia" w:ascii="宋体" w:hAnsi="宋体" w:eastAsia="宋体" w:cs="宋体"/>
          <w:b/>
          <w:bCs/>
          <w:i w:val="0"/>
          <w:iCs w:val="0"/>
          <w:color w:val="auto"/>
          <w:sz w:val="24"/>
          <w:szCs w:val="24"/>
          <w:u w:val="none"/>
          <w:lang w:val="en-US" w:eastAsia="zh-CN" w:bidi="ar"/>
        </w:rPr>
        <w:t xml:space="preserve">1、人员配备要求</w:t>
      </w:r>
      <w:r/>
    </w:p>
    <w:p>
      <w:pPr>
        <w:ind w:firstLine="482"/>
        <w:jc w:val="left"/>
        <w:keepLines w:val="0"/>
        <w:keepNext w:val="0"/>
        <w:pageBreakBefore w:val="0"/>
        <w:spacing w:line="384" w:lineRule="auto"/>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成交供应商必须为本项目配作业人员不应少于 10 人，且应具备相应的上岗作业资格，持证作业。</w:t>
      </w:r>
      <w:r>
        <w:rPr>
          <w:rFonts w:hint="eastAsia" w:ascii="宋体" w:hAnsi="宋体" w:eastAsia="宋体" w:cs="宋体"/>
          <w:b/>
          <w:bCs/>
          <w:i w:val="0"/>
          <w:iCs w:val="0"/>
          <w:color w:val="auto"/>
          <w:sz w:val="24"/>
          <w:szCs w:val="24"/>
          <w:u w:val="none"/>
          <w:lang w:val="en-US" w:eastAsia="zh-CN" w:bidi="ar"/>
        </w:rPr>
        <w:t xml:space="preserve">（须提供承诺函，格式自拟。）</w:t>
      </w:r>
      <w:r/>
    </w:p>
    <w:p>
      <w:pPr>
        <w:ind w:firstLine="422"/>
        <w:jc w:val="left"/>
        <w:keepLines w:val="0"/>
        <w:keepNext w:val="0"/>
        <w:pageBreakBefore w:val="0"/>
        <w:spacing w:line="384" w:lineRule="auto"/>
        <w:widowControl/>
        <w:rPr>
          <w:rFonts w:hint="eastAsia" w:ascii="宋体" w:hAnsi="宋体" w:eastAsia="宋体" w:cs="宋体"/>
          <w:b/>
          <w:bCs/>
          <w:i w:val="0"/>
          <w:iCs w:val="0"/>
          <w:color w:val="auto"/>
          <w:sz w:val="24"/>
          <w:szCs w:val="24"/>
          <w:u w:val="none"/>
          <w:lang w:val="en-US" w:eastAsia="zh-CN" w:bidi="ar"/>
        </w:rPr>
        <w:suppressLineNumbers w:val="0"/>
      </w:pPr>
      <w:r>
        <w:rPr>
          <w:rFonts w:ascii="Segoe UI Symbol" w:hAnsi="Segoe UI Symbol" w:cs="Segoe UI Symbol"/>
          <w:b/>
          <w:bCs/>
          <w:color w:val="auto"/>
          <w:highlight w:val="white"/>
        </w:rPr>
        <w:t xml:space="preserve">★</w:t>
      </w:r>
      <w:r>
        <w:rPr>
          <w:rFonts w:hint="eastAsia" w:ascii="宋体" w:hAnsi="宋体" w:eastAsia="宋体" w:cs="宋体"/>
          <w:b/>
          <w:bCs/>
          <w:i w:val="0"/>
          <w:iCs w:val="0"/>
          <w:color w:val="auto"/>
          <w:sz w:val="24"/>
          <w:szCs w:val="24"/>
          <w:u w:val="none"/>
          <w:lang w:val="en-US" w:eastAsia="zh-CN" w:bidi="ar"/>
        </w:rPr>
        <w:t xml:space="preserve">2、交通工具</w:t>
      </w:r>
      <w:r/>
    </w:p>
    <w:p>
      <w:pPr>
        <w:ind w:firstLine="482"/>
        <w:jc w:val="left"/>
        <w:keepLines w:val="0"/>
        <w:keepNext w:val="0"/>
        <w:pageBreakBefore w:val="0"/>
        <w:spacing w:line="384"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成交供应商必须为本项目配备常规交安设施施工的各类施工</w:t>
      </w:r>
      <w:r>
        <w:rPr>
          <w:rFonts w:hint="eastAsia" w:ascii="宋体" w:hAnsi="宋体" w:cs="宋体"/>
          <w:b/>
          <w:bCs/>
          <w:i w:val="0"/>
          <w:iCs w:val="0"/>
          <w:color w:val="auto"/>
          <w:sz w:val="24"/>
          <w:szCs w:val="24"/>
          <w:u w:val="none"/>
          <w:lang w:val="en-US" w:eastAsia="zh-CN" w:bidi="ar"/>
        </w:rPr>
        <w:t xml:space="preserve">机具</w:t>
      </w:r>
      <w:r>
        <w:rPr>
          <w:rFonts w:hint="eastAsia" w:ascii="宋体" w:hAnsi="宋体" w:eastAsia="宋体" w:cs="宋体"/>
          <w:b/>
          <w:bCs/>
          <w:i w:val="0"/>
          <w:iCs w:val="0"/>
          <w:color w:val="auto"/>
          <w:sz w:val="24"/>
          <w:szCs w:val="24"/>
          <w:u w:val="none"/>
          <w:lang w:val="en-US" w:eastAsia="zh-CN" w:bidi="ar"/>
        </w:rPr>
        <w:t xml:space="preserve">设备及车辆（其中特种高空作业车、巡视车各不少于3辆</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升降机不少于1台，发电</w:t>
      </w:r>
      <w:r>
        <w:rPr>
          <w:rFonts w:hint="eastAsia" w:ascii="宋体" w:hAnsi="宋体" w:cs="宋体"/>
          <w:b/>
          <w:bCs/>
          <w:color w:val="auto"/>
          <w:sz w:val="24"/>
          <w:szCs w:val="24"/>
          <w:lang w:val="en-US" w:eastAsia="zh-CN"/>
        </w:rPr>
        <w:t xml:space="preserve">机组</w:t>
      </w:r>
      <w:r>
        <w:rPr>
          <w:rFonts w:hint="eastAsia" w:ascii="宋体" w:hAnsi="宋体" w:eastAsia="宋体" w:cs="宋体"/>
          <w:b/>
          <w:bCs/>
          <w:color w:val="auto"/>
          <w:sz w:val="24"/>
          <w:szCs w:val="24"/>
          <w:lang w:val="en-US" w:eastAsia="zh-CN"/>
        </w:rPr>
        <w:t xml:space="preserve">保障设备不少于5组，</w:t>
      </w:r>
      <w:r>
        <w:rPr>
          <w:rFonts w:hint="eastAsia" w:ascii="宋体" w:hAnsi="宋体" w:cs="宋体"/>
          <w:b/>
          <w:bCs/>
          <w:color w:val="auto"/>
          <w:sz w:val="24"/>
          <w:szCs w:val="24"/>
          <w:lang w:val="en-US" w:eastAsia="zh-CN"/>
        </w:rPr>
        <w:t xml:space="preserve">简易</w:t>
      </w:r>
      <w:r>
        <w:rPr>
          <w:rFonts w:hint="eastAsia" w:ascii="宋体" w:hAnsi="宋体" w:eastAsia="宋体" w:cs="宋体"/>
          <w:b/>
          <w:bCs/>
          <w:color w:val="auto"/>
          <w:sz w:val="24"/>
          <w:szCs w:val="24"/>
          <w:lang w:val="en-US" w:eastAsia="zh-CN"/>
        </w:rPr>
        <w:t xml:space="preserve">可移动信号灯不少于3套</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（须提供承诺函，格式自拟。）</w:t>
      </w:r>
      <w:r/>
    </w:p>
    <w:p>
      <w:pPr>
        <w:ind w:firstLine="422"/>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pPr>
      <w:r>
        <w:rPr>
          <w:rFonts w:ascii="Segoe UI Symbol" w:hAnsi="Segoe UI Symbol" w:cs="Segoe UI Symbol"/>
          <w:b/>
          <w:bCs/>
          <w:color w:val="auto"/>
          <w:highlight w:val="none"/>
        </w:rPr>
        <w:t xml:space="preserve">★</w:t>
      </w: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须以</w:t>
      </w:r>
      <w:r>
        <w:rPr>
          <w:rFonts w:hint="eastAsia" w:ascii="宋体" w:hAnsi="宋体" w:cs="宋体"/>
          <w:b/>
          <w:bCs/>
          <w:i w:val="0"/>
          <w:iCs w:val="0"/>
          <w:color w:val="auto"/>
          <w:sz w:val="24"/>
          <w:szCs w:val="24"/>
          <w:highlight w:val="none"/>
          <w:u w:val="none"/>
          <w:lang w:val="en-US" w:eastAsia="zh-CN" w:bidi="ar"/>
        </w:rPr>
        <w:t xml:space="preserve">成交</w:t>
      </w:r>
      <w:r>
        <w:rPr>
          <w:rFonts w:hint="eastAsia" w:ascii="宋体" w:hAnsi="宋体" w:eastAsia="宋体" w:cs="宋体"/>
          <w:b/>
          <w:bCs/>
          <w:i w:val="0"/>
          <w:iCs w:val="0"/>
          <w:color w:val="auto"/>
          <w:sz w:val="24"/>
          <w:szCs w:val="24"/>
          <w:highlight w:val="none"/>
          <w:u w:val="none"/>
          <w:lang w:val="en-US" w:eastAsia="zh-CN" w:bidi="ar"/>
        </w:rPr>
        <w:t xml:space="preserve">单位为投保人为本项目购买 “交通设施公众安全保险”，保险累计赔偿限额不低于 200 万元，每次事故赔偿限额不低于 100 万元，每人每次事故赔偿限额不低于 15 万元 (其中每人每次事故人身伤亡限额不低于 10 万元，每人每次事故医疗费用限额不低于 3 万元，每人每次事故财产损失限额不低于 2 万元)，保险单须提交</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备案；若</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未按要求投保、续保，由此产生的全部第三方法定赔偿、诉讼、经济损失均由</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自行承担，</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不承担任何连带、补充赔偿责任，且</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有权终止合同，同时</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还须赔偿</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因此遭受的损失。</w:t>
      </w:r>
      <w:r>
        <w:rPr>
          <w:rFonts w:hint="eastAsia" w:ascii="宋体" w:hAnsi="宋体" w:eastAsia="宋体" w:cs="宋体"/>
          <w:b/>
          <w:bCs/>
          <w:i w:val="0"/>
          <w:iCs w:val="0"/>
          <w:color w:val="auto"/>
          <w:sz w:val="24"/>
          <w:szCs w:val="24"/>
          <w:highlight w:val="none"/>
          <w:u w:val="none"/>
          <w:lang w:val="en-US" w:eastAsia="zh-CN" w:bidi="ar"/>
        </w:rPr>
        <w:t xml:space="preserve">（须提供承诺函，格式自拟。）</w:t>
      </w:r>
      <w:r/>
    </w:p>
    <w:p>
      <w:pPr>
        <w:ind w:firstLine="422"/>
        <w:keepLines w:val="0"/>
        <w:keepNext w:val="0"/>
        <w:pageBreakBefore w:val="0"/>
        <w:spacing w:line="360" w:lineRule="auto"/>
        <w:widowControl/>
        <w:rPr>
          <w:rFonts w:hint="eastAsia" w:ascii="宋体" w:hAnsi="宋体" w:eastAsia="宋体" w:cs="宋体"/>
          <w:b/>
          <w:bCs/>
          <w:i w:val="0"/>
          <w:iCs w:val="0"/>
          <w:color w:val="auto"/>
          <w:sz w:val="24"/>
          <w:szCs w:val="24"/>
          <w:highlight w:val="yellow"/>
          <w:u w:val="none"/>
          <w:lang w:val="en-US" w:eastAsia="zh-CN" w:bidi="ar"/>
        </w:rPr>
      </w:pPr>
      <w:r>
        <w:rPr>
          <w:rFonts w:ascii="Segoe UI Symbol" w:hAnsi="Segoe UI Symbol" w:cs="Segoe UI Symbol"/>
          <w:b/>
          <w:bCs/>
          <w:color w:val="auto"/>
          <w:highlight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特别约定：自合同生效之日起至合同终止，</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承担本项目设施管理主体责任，负责办理及处置交通安全设施涉第三方损害赔偿的全部案事件，</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不承担任何赔偿责任；因</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投保不合规、交通设施管理维护缺陷、理赔处置不力引发的全部法律风险、经济赔偿均由</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独立承担，</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予以免责。</w:t>
      </w:r>
      <w:r>
        <w:rPr>
          <w:rFonts w:hint="eastAsia" w:ascii="宋体" w:hAnsi="宋体" w:eastAsia="宋体" w:cs="宋体"/>
          <w:b/>
          <w:bCs/>
          <w:i w:val="0"/>
          <w:iCs w:val="0"/>
          <w:color w:val="auto"/>
          <w:sz w:val="24"/>
          <w:szCs w:val="24"/>
          <w:highlight w:val="none"/>
          <w:u w:val="none"/>
          <w:lang w:val="en-US" w:eastAsia="zh-CN" w:bidi="ar"/>
        </w:rPr>
        <w:t xml:space="preserve">（须提供承诺函，格式自拟。）</w:t>
      </w:r>
      <w:r/>
    </w:p>
    <w:p>
      <w:pPr>
        <w:ind w:firstLine="482"/>
        <w:jc w:val="left"/>
        <w:keepLines w:val="0"/>
        <w:keepNext w:val="0"/>
        <w:pageBreakBefore w:val="0"/>
        <w:spacing w:line="384" w:lineRule="auto"/>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★4、本项目的“维修工次费”暂按</w:t>
      </w:r>
      <w:r>
        <w:rPr>
          <w:rFonts w:hint="eastAsia" w:ascii="宋体" w:hAnsi="宋体" w:eastAsia="宋体" w:cs="宋体"/>
          <w:b/>
          <w:bCs/>
          <w:color w:val="auto"/>
          <w:sz w:val="24"/>
          <w:szCs w:val="24"/>
          <w:u w:val="single"/>
          <w:lang w:val="en-US" w:eastAsia="zh-CN"/>
        </w:rPr>
        <w:t xml:space="preserve">15万元</w:t>
      </w:r>
      <w:r>
        <w:rPr>
          <w:rFonts w:hint="eastAsia" w:ascii="宋体" w:hAnsi="宋体" w:eastAsia="宋体" w:cs="宋体"/>
          <w:b/>
          <w:bCs/>
          <w:color w:val="auto"/>
          <w:sz w:val="24"/>
          <w:szCs w:val="24"/>
          <w:lang w:val="en-US" w:eastAsia="zh-CN"/>
        </w:rPr>
        <w:t xml:space="preserve">计入投标报价，按实结算。供应商报价时不得改变“维修工次费”费用，否则作无效投标处理。</w:t>
      </w:r>
      <w:r/>
    </w:p>
    <w:p>
      <w:pPr>
        <w:ind w:firstLine="482"/>
        <w:jc w:val="left"/>
        <w:keepLines w:val="0"/>
        <w:keepNext w:val="0"/>
        <w:pageBreakBefore w:val="0"/>
        <w:spacing w:line="384" w:lineRule="auto"/>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★5、本项目的“</w:t>
      </w:r>
      <w:r>
        <w:rPr>
          <w:rFonts w:hint="eastAsia" w:ascii="宋体" w:hAnsi="宋体" w:eastAsia="宋体" w:cs="宋体"/>
          <w:b/>
          <w:color w:val="auto"/>
          <w:sz w:val="24"/>
          <w:highlight w:val="none"/>
          <w:lang w:val="en-US" w:eastAsia="zh-CN"/>
        </w:rPr>
        <w:t xml:space="preserve">信号优化调控工次费</w:t>
      </w:r>
      <w:r>
        <w:rPr>
          <w:rFonts w:hint="eastAsia" w:ascii="宋体" w:hAnsi="宋体" w:eastAsia="宋体" w:cs="宋体"/>
          <w:b/>
          <w:bCs/>
          <w:color w:val="auto"/>
          <w:sz w:val="24"/>
          <w:szCs w:val="24"/>
          <w:lang w:val="en-US" w:eastAsia="zh-CN"/>
        </w:rPr>
        <w:t xml:space="preserve">”暂按</w:t>
      </w:r>
      <w:r>
        <w:rPr>
          <w:rFonts w:hint="eastAsia" w:ascii="宋体" w:hAnsi="宋体" w:eastAsia="宋体" w:cs="宋体"/>
          <w:b/>
          <w:bCs/>
          <w:color w:val="auto"/>
          <w:sz w:val="24"/>
          <w:szCs w:val="24"/>
          <w:u w:val="single"/>
          <w:lang w:val="en-US" w:eastAsia="zh-CN"/>
        </w:rPr>
        <w:t xml:space="preserve">15万元</w:t>
      </w:r>
      <w:r>
        <w:rPr>
          <w:rFonts w:hint="eastAsia" w:ascii="宋体" w:hAnsi="宋体" w:eastAsia="宋体" w:cs="宋体"/>
          <w:b/>
          <w:bCs/>
          <w:color w:val="auto"/>
          <w:sz w:val="24"/>
          <w:szCs w:val="24"/>
          <w:lang w:val="en-US" w:eastAsia="zh-CN"/>
        </w:rPr>
        <w:t xml:space="preserve">计入响应</w:t>
      </w:r>
      <w:r>
        <w:rPr>
          <w:rFonts w:hint="eastAsia" w:ascii="宋体" w:hAnsi="宋体" w:eastAsia="宋体" w:cs="宋体"/>
          <w:b/>
          <w:bCs/>
          <w:color w:val="auto"/>
          <w:sz w:val="24"/>
          <w:szCs w:val="24"/>
          <w:highlight w:val="none"/>
          <w:lang w:val="en-US" w:eastAsia="zh-CN"/>
        </w:rPr>
        <w:t xml:space="preserve">报价，按实结算。供应商报价时不得改变“</w:t>
      </w:r>
      <w:r>
        <w:rPr>
          <w:rFonts w:hint="eastAsia" w:ascii="宋体" w:hAnsi="宋体" w:eastAsia="宋体" w:cs="宋体"/>
          <w:b/>
          <w:color w:val="auto"/>
          <w:sz w:val="24"/>
          <w:highlight w:val="none"/>
          <w:lang w:val="en-US" w:eastAsia="zh-CN"/>
        </w:rPr>
        <w:t xml:space="preserve">信号优化调控工次费</w:t>
      </w:r>
      <w:r>
        <w:rPr>
          <w:rFonts w:hint="eastAsia" w:ascii="宋体" w:hAnsi="宋体" w:eastAsia="宋体" w:cs="宋体"/>
          <w:b/>
          <w:bCs/>
          <w:color w:val="auto"/>
          <w:sz w:val="24"/>
          <w:szCs w:val="24"/>
          <w:highlight w:val="none"/>
          <w:lang w:val="en-US" w:eastAsia="zh-CN"/>
        </w:rPr>
        <w:t xml:space="preserve">”费用，否则作无效投标处理。</w:t>
      </w:r>
      <w:r/>
    </w:p>
    <w:p>
      <w:pPr>
        <w:numPr>
          <w:ilvl w:val="0"/>
          <w:numId w:val="14"/>
        </w:numPr>
        <w:ind w:firstLine="480"/>
        <w:jc w:val="left"/>
        <w:keepLines w:val="0"/>
        <w:keepNext w:val="0"/>
        <w:pageBreakBefore w:val="0"/>
        <w:spacing w:line="384" w:lineRule="auto"/>
        <w:widowControl/>
        <w:rPr>
          <w:rFonts w:hint="eastAsia" w:ascii="宋体" w:hAnsi="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项目竣工结算时：结算价格=实际完成并验收工程量*成交单价</w:t>
      </w:r>
      <w:r>
        <w:rPr>
          <w:rFonts w:hint="eastAsia" w:ascii="宋体" w:hAnsi="宋体" w:cs="宋体"/>
          <w:b w:val="0"/>
          <w:bCs w:val="0"/>
          <w:i w:val="0"/>
          <w:iCs w:val="0"/>
          <w:color w:val="auto"/>
          <w:sz w:val="24"/>
          <w:szCs w:val="24"/>
          <w:u w:val="none"/>
          <w:lang w:val="en-US" w:eastAsia="zh-CN" w:bidi="ar"/>
        </w:rPr>
        <w:t xml:space="preserve">。</w:t>
      </w:r>
      <w:r/>
    </w:p>
    <w:p>
      <w:pPr>
        <w:numPr>
          <w:ilvl w:val="0"/>
          <w:numId w:val="0"/>
        </w:numPr>
        <w:jc w:val="left"/>
        <w:keepLines w:val="0"/>
        <w:keepNext w:val="0"/>
        <w:pageBreakBefore w:val="0"/>
        <w:spacing w:line="384" w:lineRule="auto"/>
        <w:widowControl/>
        <w:rPr>
          <w:rFonts w:hint="eastAsia" w:ascii="宋体" w:hAnsi="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r>
      <w:r/>
    </w:p>
    <w:p>
      <w:pPr>
        <w:numPr>
          <w:ilvl w:val="0"/>
          <w:numId w:val="0"/>
        </w:numPr>
        <w:jc w:val="left"/>
        <w:keepLines w:val="0"/>
        <w:keepNext w:val="0"/>
        <w:pageBreakBefore w:val="0"/>
        <w:spacing w:line="384" w:lineRule="auto"/>
        <w:widowControl/>
        <w:rPr>
          <w:rFonts w:hint="eastAsia" w:ascii="宋体" w:hAnsi="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r>
      <w:r/>
    </w:p>
    <w:p>
      <w:pPr>
        <w:numPr>
          <w:ilvl w:val="0"/>
          <w:numId w:val="0"/>
        </w:numPr>
        <w:jc w:val="left"/>
        <w:keepLines w:val="0"/>
        <w:keepNext w:val="0"/>
        <w:pageBreakBefore w:val="0"/>
        <w:spacing w:line="384" w:lineRule="auto"/>
        <w:widowControl/>
        <w:rPr>
          <w:rFonts w:hint="eastAsia" w:ascii="宋体" w:hAnsi="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r>
      <w:r/>
    </w:p>
    <w:p>
      <w:pPr>
        <w:numPr>
          <w:ilvl w:val="0"/>
          <w:numId w:val="0"/>
        </w:numPr>
        <w:jc w:val="left"/>
        <w:keepLines w:val="0"/>
        <w:keepNext w:val="0"/>
        <w:pageBreakBefore w:val="0"/>
        <w:spacing w:line="384" w:lineRule="auto"/>
        <w:widowControl/>
        <w:rPr>
          <w:rFonts w:hint="eastAsia" w:ascii="宋体" w:hAnsi="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r>
      <w:r/>
    </w:p>
    <w:p>
      <w:pPr>
        <w:rPr>
          <w:rFonts w:hint="eastAsia" w:ascii="宋体" w:hAnsi="宋体" w:cs="宋体"/>
          <w:b w:val="0"/>
          <w:bCs w:val="0"/>
          <w:i w:val="0"/>
          <w:iCs w:val="0"/>
          <w:color w:val="auto"/>
          <w:sz w:val="24"/>
          <w:szCs w:val="24"/>
          <w:u w:val="none"/>
          <w:lang w:val="en-US" w:eastAsia="zh-CN" w:bidi="ar"/>
        </w:rPr>
      </w:pPr>
      <w:r>
        <w:rPr>
          <w:rFonts w:hint="eastAsia" w:ascii="宋体" w:hAnsi="宋体" w:cs="宋体"/>
          <w:b w:val="0"/>
          <w:bCs w:val="0"/>
          <w:i w:val="0"/>
          <w:iCs w:val="0"/>
          <w:color w:val="auto"/>
          <w:sz w:val="24"/>
          <w:szCs w:val="24"/>
          <w:u w:val="none"/>
          <w:lang w:val="en-US" w:eastAsia="zh-CN" w:bidi="ar"/>
        </w:rPr>
        <w:br w:type="page" w:clear="all"/>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b/>
          <w:color w:val="auto"/>
          <w:sz w:val="36"/>
          <w:szCs w:val="36"/>
          <w:highlight w:val="none"/>
        </w:rPr>
      </w:pPr>
      <w:r>
        <w:rPr>
          <w:b/>
          <w:color w:val="auto"/>
          <w:sz w:val="36"/>
          <w:szCs w:val="36"/>
        </w:rPr>
        <w:t xml:space="preserve">第五章 </w:t>
      </w:r>
      <w:bookmarkEnd w:id="673"/>
      <w:r>
        <w:rPr>
          <w:b/>
          <w:color w:val="auto"/>
          <w:sz w:val="36"/>
          <w:szCs w:val="36"/>
          <w:highlight w:val="none"/>
        </w:rPr>
        <w:t xml:space="preserve"> 拟签订的合同文本</w:t>
      </w:r>
      <w:r/>
    </w:p>
    <w:p>
      <w:pPr>
        <w:numPr>
          <w:ilvl w:val="0"/>
          <w:numId w:val="0"/>
        </w:numPr>
        <w:jc w:val="center"/>
        <w:keepLines w:val="0"/>
        <w:keepNext w:val="0"/>
        <w:pageBreakBefore w:val="0"/>
        <w:spacing w:line="312"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（主要条款）</w:t>
      </w:r>
      <w:r/>
    </w:p>
    <w:p>
      <w:pPr>
        <w:ind w:firstLine="482"/>
        <w:keepLines w:val="0"/>
        <w:keepNext w:val="0"/>
        <w:pageBreakBefore w:val="0"/>
        <w:spacing w:line="312"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312"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甲方（采购人）：</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 签订地点： </w:t>
      </w:r>
      <w:r/>
    </w:p>
    <w:p>
      <w:pPr>
        <w:ind w:firstLine="482"/>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乙方（中标人）：</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        合同时间：</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 年   月    日</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依据《中华人民共和国政府采购法》、《中华人民共和国民法典》以及有关法律、法规的规定，遵循平等、 自愿、公平和诚实信用的原则，甲方、乙方经协商一致，订立本合同。</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一、项目清单及合同金额（详见报价表，附后）</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 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 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 具体内容：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(详见乙方报价表)。</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 合同金额：人民币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二、付款、结算方式</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1.合同签订后</w:t>
      </w:r>
      <w:r>
        <w:rPr>
          <w:rFonts w:hint="eastAsia" w:ascii="宋体" w:hAnsi="宋体" w:cs="宋体"/>
          <w:b/>
          <w:bCs/>
          <w:color w:val="auto"/>
          <w:sz w:val="24"/>
          <w:szCs w:val="24"/>
          <w:highlight w:val="none"/>
          <w:lang w:val="en-US" w:eastAsia="zh-CN"/>
        </w:rPr>
        <w:t xml:space="preserve">三个月内</w:t>
      </w:r>
      <w:r>
        <w:rPr>
          <w:rFonts w:hint="eastAsia" w:ascii="宋体" w:hAnsi="宋体" w:eastAsia="宋体" w:cs="宋体"/>
          <w:b/>
          <w:bCs/>
          <w:color w:val="auto"/>
          <w:sz w:val="24"/>
          <w:szCs w:val="24"/>
          <w:highlight w:val="none"/>
        </w:rPr>
        <w:t xml:space="preserve">预付合同价款（扣除暂估价及暂列金额）的</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w:t>
      </w:r>
      <w:r>
        <w:rPr>
          <w:rFonts w:hint="eastAsia" w:ascii="宋体" w:hAnsi="宋体" w:cs="宋体"/>
          <w:b/>
          <w:bCs/>
          <w:color w:val="auto"/>
          <w:sz w:val="24"/>
          <w:szCs w:val="24"/>
          <w:highlight w:val="none"/>
          <w:lang w:eastAsia="zh-CN"/>
        </w:rPr>
        <w:t xml:space="preserve">工作</w:t>
      </w:r>
      <w:r>
        <w:rPr>
          <w:rFonts w:hint="eastAsia" w:ascii="宋体" w:hAnsi="宋体" w:eastAsia="宋体" w:cs="宋体"/>
          <w:b/>
          <w:bCs/>
          <w:color w:val="auto"/>
          <w:sz w:val="24"/>
          <w:szCs w:val="24"/>
          <w:highlight w:val="none"/>
        </w:rPr>
        <w:t xml:space="preserve">量每月计量一次，每半年结算一次，于第二个季度满后凭计量签证支付已完成合格计量款的70%；第四个季度满后且经审定后支付至审定价的97%；余款</w:t>
      </w:r>
      <w:r>
        <w:rPr>
          <w:rFonts w:hint="eastAsia" w:ascii="宋体" w:hAnsi="宋体" w:eastAsia="宋体" w:cs="宋体"/>
          <w:b/>
          <w:bCs/>
          <w:color w:val="auto"/>
          <w:sz w:val="24"/>
          <w:szCs w:val="24"/>
          <w:highlight w:val="none"/>
          <w:lang w:val="en-US" w:eastAsia="zh-CN"/>
        </w:rPr>
        <w:t xml:space="preserve">于</w:t>
      </w:r>
      <w:r>
        <w:rPr>
          <w:rFonts w:hint="eastAsia" w:ascii="宋体" w:hAnsi="宋体" w:eastAsia="宋体" w:cs="宋体"/>
          <w:b/>
          <w:bCs/>
          <w:color w:val="auto"/>
          <w:sz w:val="24"/>
          <w:szCs w:val="24"/>
          <w:highlight w:val="none"/>
        </w:rPr>
        <w:t xml:space="preserve">质保期满后14个工作日内一次性付清（无息）。相应考核扣款在每半年结算之际扣除。</w:t>
      </w:r>
      <w:r/>
    </w:p>
    <w:p>
      <w:pPr>
        <w:ind w:firstLine="482"/>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w:t>
      </w:r>
      <w:r>
        <w:rPr>
          <w:rFonts w:hint="eastAsia" w:ascii="宋体" w:hAnsi="宋体" w:cs="宋体"/>
          <w:b/>
          <w:bCs/>
          <w:color w:val="auto"/>
          <w:sz w:val="24"/>
          <w:szCs w:val="24"/>
          <w:lang w:val="en-US" w:eastAsia="zh-CN"/>
        </w:rPr>
        <w:t xml:space="preserve">工作量调整时结算单价不作调整。</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3.服务期内（含续签服务期）因设计变更，增加工</w:t>
      </w:r>
      <w:r>
        <w:rPr>
          <w:rFonts w:hint="eastAsia" w:ascii="宋体" w:hAnsi="宋体" w:cs="宋体"/>
          <w:color w:val="auto"/>
          <w:sz w:val="24"/>
          <w:szCs w:val="24"/>
          <w:lang w:eastAsia="zh-CN"/>
        </w:rPr>
        <w:t xml:space="preserve">作</w:t>
      </w:r>
      <w:r>
        <w:rPr>
          <w:rFonts w:hint="eastAsia" w:ascii="宋体" w:hAnsi="宋体" w:eastAsia="宋体" w:cs="宋体"/>
          <w:color w:val="auto"/>
          <w:sz w:val="24"/>
          <w:szCs w:val="24"/>
        </w:rPr>
        <w:t xml:space="preserve">项目与清单内容相同的或可参照的，按投标综合单价结算。增加工</w:t>
      </w:r>
      <w:r>
        <w:rPr>
          <w:rFonts w:hint="eastAsia" w:ascii="宋体" w:hAnsi="宋体" w:cs="宋体"/>
          <w:color w:val="auto"/>
          <w:sz w:val="24"/>
          <w:szCs w:val="24"/>
          <w:lang w:eastAsia="zh-CN"/>
        </w:rPr>
        <w:t xml:space="preserve">作</w:t>
      </w:r>
      <w:r>
        <w:rPr>
          <w:rFonts w:hint="eastAsia" w:ascii="宋体" w:hAnsi="宋体" w:eastAsia="宋体" w:cs="宋体"/>
          <w:color w:val="auto"/>
          <w:sz w:val="24"/>
          <w:szCs w:val="24"/>
        </w:rPr>
        <w:t xml:space="preserve">项目与清单内容不同的必须经甲方、监理、审计单位共同定价后按实结算。工</w:t>
      </w:r>
      <w:r>
        <w:rPr>
          <w:rFonts w:hint="eastAsia" w:ascii="宋体" w:hAnsi="宋体" w:cs="宋体"/>
          <w:color w:val="auto"/>
          <w:sz w:val="24"/>
          <w:szCs w:val="24"/>
          <w:lang w:eastAsia="zh-CN"/>
        </w:rPr>
        <w:t xml:space="preserve">作</w:t>
      </w:r>
      <w:r>
        <w:rPr>
          <w:rFonts w:hint="eastAsia" w:ascii="宋体" w:hAnsi="宋体" w:eastAsia="宋体" w:cs="宋体"/>
          <w:color w:val="auto"/>
          <w:sz w:val="24"/>
          <w:szCs w:val="24"/>
        </w:rPr>
        <w:t xml:space="preserve">量的增减必须经甲方、监理、审计单位共同确认后执行，否则一律不予签证和结算。</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三、服务时间、地点及交付方式</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 服务时间：</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 年  月    日—</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 年  月   日，合同期满考核合格的可续签 1 年。</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 服务地点：甲方指定地点。</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 服务方式：免费送货上门，并安装、调试到能正常使用。</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甲方职责、权限</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1.溧阳市公安局</w:t>
      </w:r>
      <w:r>
        <w:rPr>
          <w:rFonts w:hint="eastAsia" w:ascii="宋体" w:hAnsi="宋体" w:cs="宋体"/>
          <w:color w:val="auto"/>
          <w:sz w:val="24"/>
          <w:szCs w:val="24"/>
          <w:highlight w:val="none"/>
          <w:lang w:eastAsia="zh-CN"/>
        </w:rPr>
        <w:t xml:space="preserve">交管大队</w:t>
      </w:r>
      <w:r>
        <w:rPr>
          <w:rFonts w:hint="eastAsia" w:ascii="宋体" w:hAnsi="宋体" w:eastAsia="宋体" w:cs="宋体"/>
          <w:color w:val="auto"/>
          <w:sz w:val="24"/>
          <w:szCs w:val="24"/>
          <w:highlight w:val="none"/>
        </w:rPr>
        <w:t xml:space="preserve">负责本项目的具体实施。</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2.提供有关交通设施资料，做好具</w:t>
      </w:r>
      <w:r>
        <w:rPr>
          <w:rFonts w:hint="eastAsia" w:ascii="宋体" w:hAnsi="宋体" w:eastAsia="宋体" w:cs="宋体"/>
          <w:color w:val="auto"/>
          <w:sz w:val="24"/>
          <w:szCs w:val="24"/>
          <w:highlight w:val="none"/>
        </w:rPr>
        <w:t xml:space="preserve">体业务指导和施工协调。</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3.按相关技术规范、标准和要求对</w:t>
      </w:r>
      <w:r>
        <w:rPr>
          <w:rFonts w:hint="eastAsia" w:ascii="宋体" w:hAnsi="宋体" w:eastAsia="宋体" w:cs="宋体"/>
          <w:color w:val="auto"/>
          <w:sz w:val="24"/>
          <w:szCs w:val="24"/>
        </w:rPr>
        <w:t xml:space="preserve">工</w:t>
      </w:r>
      <w:r>
        <w:rPr>
          <w:rFonts w:hint="eastAsia" w:ascii="宋体" w:hAnsi="宋体" w:cs="宋体"/>
          <w:color w:val="auto"/>
          <w:sz w:val="24"/>
          <w:szCs w:val="24"/>
          <w:lang w:eastAsia="zh-CN"/>
        </w:rPr>
        <w:t xml:space="preserve">作</w:t>
      </w:r>
      <w:r>
        <w:rPr>
          <w:rFonts w:hint="eastAsia" w:ascii="宋体" w:hAnsi="宋体" w:eastAsia="宋体" w:cs="宋体"/>
          <w:color w:val="auto"/>
          <w:sz w:val="24"/>
          <w:szCs w:val="24"/>
          <w:highlight w:val="none"/>
        </w:rPr>
        <w:t xml:space="preserve">质量进行验收核查。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4.负责施工派遣单签发，督查工作进度，对乙方进行考核。</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5.如遇政策或相关管理规定需要调整及设计更改项目，应以及时通知乙方。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6.审核乙方每季度的</w:t>
      </w:r>
      <w:r>
        <w:rPr>
          <w:rFonts w:hint="eastAsia" w:ascii="宋体" w:hAnsi="宋体" w:eastAsia="宋体" w:cs="宋体"/>
          <w:color w:val="auto"/>
          <w:sz w:val="24"/>
          <w:szCs w:val="24"/>
        </w:rPr>
        <w:t xml:space="preserve">工</w:t>
      </w:r>
      <w:r>
        <w:rPr>
          <w:rFonts w:hint="eastAsia" w:ascii="宋体" w:hAnsi="宋体" w:cs="宋体"/>
          <w:color w:val="auto"/>
          <w:sz w:val="24"/>
          <w:szCs w:val="24"/>
          <w:lang w:eastAsia="zh-CN"/>
        </w:rPr>
        <w:t xml:space="preserve">作</w:t>
      </w:r>
      <w:r>
        <w:rPr>
          <w:rFonts w:hint="eastAsia" w:ascii="宋体" w:hAnsi="宋体" w:eastAsia="宋体" w:cs="宋体"/>
          <w:color w:val="auto"/>
          <w:sz w:val="24"/>
          <w:szCs w:val="24"/>
          <w:highlight w:val="none"/>
        </w:rPr>
        <w:t xml:space="preserve">量、工作</w:t>
      </w:r>
      <w:r>
        <w:rPr>
          <w:rFonts w:hint="eastAsia" w:ascii="宋体" w:hAnsi="宋体" w:eastAsia="宋体" w:cs="宋体"/>
          <w:color w:val="auto"/>
          <w:sz w:val="24"/>
          <w:szCs w:val="24"/>
          <w:highlight w:val="none"/>
        </w:rPr>
        <w:t xml:space="preserve">数据和经费概算。协调相关部门按期付款。</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7.适时组织工作例会。负责乙方施工质量安全监管，落实对乙方和监理单位的管理考核。</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、乙方职责、权限</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1.乙方按溧阳市公安局</w:t>
      </w:r>
      <w:r>
        <w:rPr>
          <w:rFonts w:hint="eastAsia" w:ascii="宋体" w:hAnsi="宋体" w:cs="宋体"/>
          <w:color w:val="auto"/>
          <w:sz w:val="24"/>
          <w:szCs w:val="24"/>
          <w:highlight w:val="none"/>
          <w:lang w:eastAsia="zh-CN"/>
        </w:rPr>
        <w:t xml:space="preserve">交管大队</w:t>
      </w:r>
      <w:r>
        <w:rPr>
          <w:rFonts w:hint="eastAsia" w:ascii="宋体" w:hAnsi="宋体" w:eastAsia="宋体" w:cs="宋体"/>
          <w:color w:val="auto"/>
          <w:sz w:val="24"/>
          <w:szCs w:val="24"/>
          <w:highlight w:val="none"/>
        </w:rPr>
        <w:t xml:space="preserve">提供的施工派遣单、施工图及有关技术规范进行施工，</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w:t>
      </w:r>
      <w:r>
        <w:rPr>
          <w:rFonts w:hint="eastAsia" w:ascii="宋体" w:hAnsi="宋体" w:cs="宋体"/>
          <w:color w:val="auto"/>
          <w:sz w:val="24"/>
          <w:szCs w:val="24"/>
          <w:highlight w:val="none"/>
          <w:lang w:eastAsia="zh-CN"/>
        </w:rPr>
        <w:t xml:space="preserve">施工</w:t>
      </w:r>
      <w:r>
        <w:rPr>
          <w:rFonts w:hint="eastAsia" w:ascii="宋体" w:hAnsi="宋体" w:eastAsia="宋体" w:cs="宋体"/>
          <w:color w:val="auto"/>
          <w:sz w:val="24"/>
          <w:szCs w:val="24"/>
          <w:highlight w:val="none"/>
        </w:rPr>
        <w:t xml:space="preserve">质量。接受溧阳市公安局</w:t>
      </w:r>
      <w:r>
        <w:rPr>
          <w:rFonts w:hint="eastAsia" w:ascii="宋体" w:hAnsi="宋体" w:cs="宋体"/>
          <w:color w:val="auto"/>
          <w:sz w:val="24"/>
          <w:szCs w:val="24"/>
          <w:highlight w:val="none"/>
          <w:lang w:eastAsia="zh-CN"/>
        </w:rPr>
        <w:t xml:space="preserve">交管大队</w:t>
      </w:r>
      <w:r>
        <w:rPr>
          <w:rFonts w:hint="eastAsia" w:ascii="宋体" w:hAnsi="宋体" w:eastAsia="宋体" w:cs="宋体"/>
          <w:color w:val="auto"/>
          <w:sz w:val="24"/>
          <w:szCs w:val="24"/>
          <w:highlight w:val="none"/>
        </w:rPr>
        <w:t xml:space="preserve">工作业务指导，服从监理单位的监理工作。</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2.每周巡查城区范围内的隔离护栏和沿线的其他交通设施，做好巡查记录报溧阳市公安局。发现安全隐患须及时排除，履行报备。建立 24 小时和节假日值班制度，值班表在节假日前报</w:t>
      </w:r>
      <w:r>
        <w:rPr>
          <w:rFonts w:hint="eastAsia" w:ascii="宋体" w:hAnsi="宋体" w:cs="宋体"/>
          <w:color w:val="auto"/>
          <w:sz w:val="24"/>
          <w:szCs w:val="24"/>
          <w:highlight w:val="none"/>
          <w:lang w:eastAsia="zh-CN"/>
        </w:rPr>
        <w:t xml:space="preserve">交管大队</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3.采购服务期内，乙方接到紧急抢修任务 15 分钟内响应，快速至现场进行应急处置。一般抢修任务 3 小时内完成，特殊情况须报溧阳市公安局并取得同意后采用先应急后修复的方式。常规工作施工派遣 24 小时内响应并进场组织施工，按期完工。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4.所使用的主要原材料需提供检测报告或质量保证书，具体项目由溧阳市公安局指定。</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废旧更换</w:t>
      </w:r>
      <w:r>
        <w:rPr>
          <w:rFonts w:hint="eastAsia" w:ascii="宋体" w:hAnsi="宋体" w:eastAsia="宋体" w:cs="宋体"/>
          <w:color w:val="auto"/>
          <w:sz w:val="24"/>
          <w:szCs w:val="24"/>
          <w:highlight w:val="none"/>
        </w:rPr>
        <w:t xml:space="preserve">大额设施交溧阳市公安局指定场所入库，入库要求另行明确。</w:t>
      </w:r>
      <w:r/>
    </w:p>
    <w:p>
      <w:pPr>
        <w:numPr>
          <w:ilvl w:val="0"/>
          <w:numId w:val="15"/>
        </w:num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rPr>
        <w:t xml:space="preserve">乙方在签订合同前必须在溧阳市范围内自有或租赁不少于</w:t>
      </w:r>
      <w:r>
        <w:rPr>
          <w:rFonts w:hint="eastAsia" w:ascii="宋体" w:hAnsi="宋体" w:eastAsia="宋体" w:cs="宋体"/>
          <w:b/>
          <w:bCs/>
          <w:color w:val="auto"/>
          <w:sz w:val="24"/>
          <w:szCs w:val="24"/>
          <w:lang w:val="en-US" w:eastAsia="zh-CN"/>
        </w:rPr>
        <w:t xml:space="preserve">500</w:t>
      </w:r>
      <w:r>
        <w:rPr>
          <w:rFonts w:hint="eastAsia" w:ascii="宋体" w:hAnsi="宋体" w:eastAsia="宋体" w:cs="宋体"/>
          <w:b/>
          <w:bCs/>
          <w:color w:val="auto"/>
          <w:sz w:val="24"/>
          <w:szCs w:val="24"/>
        </w:rPr>
        <w:t xml:space="preserve">平方米工作场所，</w:t>
      </w:r>
      <w:r>
        <w:rPr>
          <w:rFonts w:hint="eastAsia" w:ascii="宋体" w:hAnsi="宋体" w:eastAsia="宋体" w:cs="宋体"/>
          <w:b/>
          <w:bCs/>
          <w:color w:val="auto"/>
          <w:sz w:val="24"/>
          <w:szCs w:val="24"/>
          <w:highlight w:val="none"/>
          <w:lang w:val="en-US" w:eastAsia="zh-CN"/>
        </w:rPr>
        <w:t xml:space="preserve">配备</w:t>
      </w:r>
      <w:r>
        <w:rPr>
          <w:rFonts w:hint="eastAsia" w:ascii="宋体" w:hAnsi="宋体" w:eastAsia="宋体" w:cs="宋体"/>
          <w:b/>
          <w:bCs/>
          <w:color w:val="auto"/>
          <w:sz w:val="24"/>
          <w:szCs w:val="24"/>
          <w:highlight w:val="none"/>
        </w:rPr>
        <w:t xml:space="preserve">工作人员不少于 10 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应具备相应的上岗作业资格，持证作业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常规交安设施施工的各类施工</w:t>
      </w:r>
      <w:r>
        <w:rPr>
          <w:rFonts w:hint="eastAsia" w:ascii="宋体" w:hAnsi="宋体" w:eastAsia="宋体" w:cs="宋体"/>
          <w:b/>
          <w:bCs/>
          <w:color w:val="auto"/>
          <w:sz w:val="24"/>
          <w:szCs w:val="24"/>
          <w:highlight w:val="none"/>
          <w:lang w:val="en-US" w:eastAsia="zh-CN"/>
        </w:rPr>
        <w:t xml:space="preserve">机具</w:t>
      </w:r>
      <w:r>
        <w:rPr>
          <w:rFonts w:hint="eastAsia" w:ascii="宋体" w:hAnsi="宋体" w:eastAsia="宋体" w:cs="宋体"/>
          <w:b/>
          <w:bCs/>
          <w:color w:val="auto"/>
          <w:sz w:val="24"/>
          <w:szCs w:val="24"/>
          <w:highlight w:val="none"/>
        </w:rPr>
        <w:t xml:space="preserve">设备及车辆（其中特种高空作业车、巡视车各不少于3辆</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升降机不少于1台，发电</w:t>
      </w:r>
      <w:r>
        <w:rPr>
          <w:rFonts w:hint="eastAsia" w:ascii="宋体" w:hAnsi="宋体" w:cs="宋体"/>
          <w:b/>
          <w:bCs/>
          <w:color w:val="auto"/>
          <w:sz w:val="24"/>
          <w:szCs w:val="24"/>
          <w:lang w:val="en-US" w:eastAsia="zh-CN"/>
        </w:rPr>
        <w:t xml:space="preserve">机组</w:t>
      </w:r>
      <w:r>
        <w:rPr>
          <w:rFonts w:hint="eastAsia" w:ascii="宋体" w:hAnsi="宋体" w:eastAsia="宋体" w:cs="宋体"/>
          <w:b/>
          <w:bCs/>
          <w:color w:val="auto"/>
          <w:sz w:val="24"/>
          <w:szCs w:val="24"/>
          <w:lang w:val="en-US" w:eastAsia="zh-CN"/>
        </w:rPr>
        <w:t xml:space="preserve">保障设备不少于5组，</w:t>
      </w:r>
      <w:r>
        <w:rPr>
          <w:rFonts w:hint="eastAsia" w:ascii="宋体" w:hAnsi="宋体" w:cs="宋体"/>
          <w:b/>
          <w:bCs/>
          <w:color w:val="auto"/>
          <w:sz w:val="24"/>
          <w:szCs w:val="24"/>
          <w:lang w:val="en-US" w:eastAsia="zh-CN"/>
        </w:rPr>
        <w:t xml:space="preserve">简易</w:t>
      </w:r>
      <w:r>
        <w:rPr>
          <w:rFonts w:hint="eastAsia" w:ascii="宋体" w:hAnsi="宋体" w:eastAsia="宋体" w:cs="宋体"/>
          <w:b/>
          <w:bCs/>
          <w:color w:val="auto"/>
          <w:sz w:val="24"/>
          <w:szCs w:val="24"/>
          <w:lang w:val="en-US" w:eastAsia="zh-CN"/>
        </w:rPr>
        <w:t xml:space="preserve">可移动信号灯不少于3套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施工</w:t>
      </w:r>
      <w:r>
        <w:rPr>
          <w:rFonts w:hint="eastAsia" w:ascii="宋体" w:hAnsi="宋体" w:eastAsia="宋体" w:cs="宋体"/>
          <w:b/>
          <w:bCs/>
          <w:color w:val="auto"/>
          <w:sz w:val="24"/>
          <w:szCs w:val="24"/>
          <w:highlight w:val="none"/>
          <w:lang w:val="en-US" w:eastAsia="zh-CN"/>
        </w:rPr>
        <w:t xml:space="preserve">机具</w:t>
      </w:r>
      <w:r>
        <w:rPr>
          <w:rFonts w:hint="eastAsia" w:ascii="宋体" w:hAnsi="宋体" w:eastAsia="宋体" w:cs="宋体"/>
          <w:b/>
          <w:bCs/>
          <w:color w:val="auto"/>
          <w:sz w:val="24"/>
          <w:szCs w:val="24"/>
          <w:highlight w:val="none"/>
        </w:rPr>
        <w:t xml:space="preserve">设备应满足交通设施维护</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工作任务。否则，甲方有权取消其中标资格。</w:t>
      </w:r>
      <w:r/>
    </w:p>
    <w:p>
      <w:pPr>
        <w:ind w:firstLine="482"/>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6.乙方</w:t>
      </w:r>
      <w:r>
        <w:rPr>
          <w:rFonts w:hint="eastAsia" w:ascii="宋体" w:hAnsi="宋体" w:eastAsia="宋体" w:cs="宋体"/>
          <w:b/>
          <w:bCs/>
          <w:i w:val="0"/>
          <w:iCs w:val="0"/>
          <w:color w:val="auto"/>
          <w:sz w:val="24"/>
          <w:szCs w:val="24"/>
          <w:highlight w:val="none"/>
          <w:u w:val="none"/>
          <w:lang w:val="en-US" w:eastAsia="zh-CN" w:bidi="ar"/>
        </w:rPr>
        <w:t xml:space="preserve">须以中标单位为投保人为本项目购买 “交通设施公众安全保险”，保险累计赔偿限额不低于 200 万元，每次事故赔偿限额不低于 100 万元，每人每次事故赔偿限额不低于 15 万元 (其中每人每次事故人身伤亡限额不低于 10 万元，每人每次事故医疗费用限额不低于 3 万元，每人每次事故财产损失限额不低于 2 万元)，保险单须提交甲方备案；若乙方未按要求投保、续保，由此产生的全部第三方法定赔偿、诉讼、经济损失均由乙方自行承担，甲方不承担任何连带、补充赔偿责任，且甲方有权终止合同，同时乙方还须赔偿甲方因此遭受的损失。</w:t>
      </w:r>
      <w:r/>
    </w:p>
    <w:p>
      <w:pPr>
        <w:ind w:firstLine="482"/>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特别约定：自合同生效之日起至合同终止，乙方承担本项目设施管理主体责任，负责办理及处置交通安全设施涉第三方损害赔偿的全部案事件，甲方不承担任何赔偿责任；因乙方投保不合规、交通设施管理维护缺陷、理赔处置不力引发的全部法律风险、经济赔偿均由乙方独立承担，甲方予以免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.乙方在施工中应有成熟的工作机制，抓好施工</w:t>
      </w:r>
      <w:r>
        <w:rPr>
          <w:rFonts w:hint="eastAsia" w:ascii="宋体" w:hAnsi="宋体" w:eastAsia="宋体" w:cs="宋体"/>
          <w:color w:val="auto"/>
          <w:sz w:val="24"/>
          <w:szCs w:val="24"/>
          <w:highlight w:val="none"/>
        </w:rPr>
        <w:t xml:space="preserve">场地的安全文明生产。负责办理相关手续和交纳相关费用，处理好前期矛盾。施工中应服从相关职能部门的管理及指挥，接受</w:t>
      </w:r>
      <w:r>
        <w:rPr>
          <w:rFonts w:hint="eastAsia" w:ascii="宋体" w:hAnsi="宋体" w:cs="宋体"/>
          <w:color w:val="auto"/>
          <w:sz w:val="24"/>
          <w:szCs w:val="24"/>
          <w:highlight w:val="none"/>
          <w:lang w:eastAsia="zh-CN"/>
        </w:rPr>
        <w:t xml:space="preserve">交管大队</w:t>
      </w:r>
      <w:r>
        <w:rPr>
          <w:rFonts w:hint="eastAsia" w:ascii="宋体" w:hAnsi="宋体" w:eastAsia="宋体" w:cs="宋体"/>
          <w:color w:val="auto"/>
          <w:sz w:val="24"/>
          <w:szCs w:val="24"/>
          <w:highlight w:val="none"/>
        </w:rPr>
        <w:t xml:space="preserve">、监理部门对文明、安全施工、质量效率施工的监管。接受《溧阳市公安局交</w:t>
      </w:r>
      <w:r>
        <w:rPr>
          <w:rFonts w:hint="eastAsia" w:ascii="宋体" w:hAnsi="宋体" w:cs="宋体"/>
          <w:color w:val="auto"/>
          <w:sz w:val="24"/>
          <w:szCs w:val="24"/>
          <w:highlight w:val="none"/>
          <w:lang w:eastAsia="zh-CN"/>
        </w:rPr>
        <w:t xml:space="preserve">管</w:t>
      </w:r>
      <w:r>
        <w:rPr>
          <w:rFonts w:hint="eastAsia" w:ascii="宋体" w:hAnsi="宋体" w:eastAsia="宋体" w:cs="宋体"/>
          <w:color w:val="auto"/>
          <w:sz w:val="24"/>
          <w:szCs w:val="24"/>
          <w:highlight w:val="none"/>
        </w:rPr>
        <w:t xml:space="preserve">大队交通安全设施维护项目考核办法》的工作规定。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.对交通安全设施不得自行增减与调整，不得擅自变更交通设施的使用性质。溧阳市公</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安局、监理部门发现乙方不按派遣项目、要求和国家有关标准施工的，责令立即返工，并由</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乙方承担相应损失。</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.对抢修、维修、巡查不及时造成事故后果的，除进行赔偿外，并根据产生的后果严重</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程度，承担相应的法律责任。造成重大、特大责任事故的，甲方有权终止合同。</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.施工结束后由乙方填写《交通设施施工结算表》，提供完工清单和现场照片，并经监 理、大队人员验收签字核定。每月初向溧阳市公安局上报上月的工作量、工作数据、工作小结等。</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、溧阳市公安局交通设施维护工作规定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为规范交通设施维护工作机制，用足、用好交通设施经费，提高交通设施维护、维修效</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率，营造良好的道路交通环境，特制定本规定。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交通设施维护工作类别分为：紧急抢修类、日常维护类和工作布置类。</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紧急抢修类：包含交通标志牌和标志杆倒伏或随时有倒伏、倾覆、坠落危险的；信号灯（杆）损毁或转向，不能正常运行影响视认的；因信号灯、信号机、控制线缆等原因出现黑灯、黄闪、显示不正常、漏电或不能正常运行的；交通隔离护栏损毁、扭曲等影响车辆、 行人通行的。由秩序中队告知乙方落实快速维护工作，开展维修后填写结算单，并附上前后图片，汇总交秩序中队。</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日常维护类：包含交通标志、隔离护栏、警示桩、警示桶、道路监控等交通设施损坏，经一线民警汇报、设施中心工作人员巡查以及其他人员报告发现，秩序中队制作工作派遣单发乙方，乙方开展维修后根据工作单中各项目内容填写结算单，并附上维修前后图片，汇总交秩序中队。</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、工作布置类：根据道路通行和交通设施规范化设置的需要，秩序中队根据工作调研需要开展交通设施增设、调整和优化的，制作工作派遣单发乙方，乙方工作完成后根据工作</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单中项目内容填写结算单，并附上工作单和维修前后图片，每项工作完成后即提交秩序中队。</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交通设施维护项目经费每半年结算一次。由秩序中队核定工作量，履行考核管理，落实监理监管，提交溧阳市公安局相关部门办理结算。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大额更换件、废弃设施统一交至大队指定场地，妥善存放，具体由秩序中队明确。</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、履约验收</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 乙方提供的产品为最新生产的原装正品，各项指标符合出产国检测标准和出厂标准，</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各项技术参数符合采购文件要求和乙方投标文件承诺。</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 乙方所交产品不符合规定或质量不合格的，由乙方负责包换，并承担换货而支付的一切费用。乙方不能调换的，按不能交货处理。</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 乙方应保证所提供的产品不侵犯第三方的专利权、商标权、著作权或其他知识产权。 若乙方的行为侵犯了第三方的前述权利，并造成了第三方追究甲方的责任，甲方为此所受到</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的损失，应由乙方承担。</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 甲方按国家相关标准和本采购文件的相关要求自行组织有关专业人员验收。</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、保修条款、售后服务</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严格遵守售后服务承诺，产品在使用中出现任何问题，甲方与乙方联系，乙方在接到故障电话后 24 小时（除紧急抢修任务外）内到达现场提供现场服务。有关内容如下：</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
          <w:bCs/>
          <w:color w:val="auto"/>
          <w:sz w:val="24"/>
          <w:szCs w:val="24"/>
        </w:rPr>
        <w:t xml:space="preserve">本项目设备质量保修期为</w:t>
      </w:r>
      <w:r>
        <w:rPr>
          <w:rFonts w:hint="eastAsia" w:ascii="宋体" w:hAnsi="宋体" w:eastAsia="宋体" w:cs="宋体"/>
          <w:b/>
          <w:bCs/>
          <w:color w:val="auto"/>
          <w:sz w:val="24"/>
          <w:szCs w:val="24"/>
          <w:u w:val="single"/>
        </w:rPr>
        <w:t xml:space="preserve"> 3 </w:t>
      </w:r>
      <w:r>
        <w:rPr>
          <w:rFonts w:hint="eastAsia" w:ascii="宋体" w:hAnsi="宋体" w:eastAsia="宋体" w:cs="宋体"/>
          <w:b/>
          <w:bCs/>
          <w:color w:val="auto"/>
          <w:sz w:val="24"/>
          <w:szCs w:val="24"/>
        </w:rPr>
        <w:t xml:space="preserve">年</w:t>
      </w:r>
      <w:r>
        <w:rPr>
          <w:rFonts w:hint="eastAsia" w:ascii="宋体" w:hAnsi="宋体" w:eastAsia="宋体" w:cs="宋体"/>
          <w:color w:val="auto"/>
          <w:sz w:val="24"/>
          <w:szCs w:val="24"/>
        </w:rPr>
        <w:t xml:space="preserve">，乙方承诺在保修期内，若发生质量问题，将免费负责更换或维修（同一产品、同一质量问题连续两次维修仍无法正常使用的，乙方必须更换相同型号产品）。在保修期外，以最优惠的价格提供更换、维修。</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
          <w:bCs/>
          <w:color w:val="auto"/>
          <w:sz w:val="24"/>
          <w:szCs w:val="24"/>
        </w:rPr>
        <w:t xml:space="preserve">本项目整体缺陷责任期为</w:t>
      </w:r>
      <w:r>
        <w:rPr>
          <w:rFonts w:hint="eastAsia" w:ascii="宋体" w:hAnsi="宋体" w:eastAsia="宋体" w:cs="宋体"/>
          <w:b/>
          <w:bCs/>
          <w:color w:val="auto"/>
          <w:sz w:val="24"/>
          <w:szCs w:val="24"/>
          <w:u w:val="single"/>
        </w:rPr>
        <w:t xml:space="preserve"> 1 </w:t>
      </w:r>
      <w:r>
        <w:rPr>
          <w:rFonts w:hint="eastAsia" w:ascii="宋体" w:hAnsi="宋体" w:eastAsia="宋体" w:cs="宋体"/>
          <w:b/>
          <w:bCs/>
          <w:color w:val="auto"/>
          <w:sz w:val="24"/>
          <w:szCs w:val="24"/>
        </w:rPr>
        <w:t xml:space="preserve">年。</w:t>
      </w:r>
      <w:r>
        <w:rPr>
          <w:rFonts w:hint="eastAsia" w:ascii="宋体" w:hAnsi="宋体" w:eastAsia="宋体" w:cs="宋体"/>
          <w:color w:val="auto"/>
          <w:sz w:val="24"/>
          <w:szCs w:val="24"/>
        </w:rPr>
        <w:t xml:space="preserve">属于保修范围、内容的项目，乙方应当在接到保修通知之日起 1 天内派人保修。乙方不在约定期限内派人保修的，甲方可以委托他人修理，费用从乙方的质量保证金中扣除。发生紧急事故需抢修的，乙方在接到事故通知后，应当立即到达事故现场抢修。</w:t>
      </w:r>
      <w:r/>
    </w:p>
    <w:p>
      <w:pPr>
        <w:ind w:right="-189"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3.提供完整的培训计划，为甲方培训1至2名系统维护、操作人员，直至能独立操作设备。</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4.乙方在投标文件中的其它服务承诺。</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、相关权利及义务</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1.甲方在验收时对不符合采购文件要求的产品有权拒绝接收和追究违约责任。</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2.代理机构有权监督乙方的售后服务，并对乙方的售后服务不符合投标文件承诺内容时</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加以指出乃至追究合同责任。</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3.甲方在合同规定期限内履行付款责任。</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4.甲方对乙方的技术及商业机密予以保密。</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5.乙方有权要求甲方按照合同要求及时支付相应合同款项。</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6.乙方有义务按投标文件中的售后服务承诺提供良好的服务。</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w:t>
      </w:r>
      <w:r>
        <w:rPr>
          <w:rFonts w:hint="eastAsia" w:ascii="宋体" w:hAnsi="宋体" w:eastAsia="宋体" w:cs="宋体"/>
          <w:color w:val="auto"/>
          <w:sz w:val="24"/>
          <w:szCs w:val="24"/>
        </w:rPr>
        <w:t xml:space="preserve">、违约责任</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1.甲乙双方均应遵守本合同</w:t>
      </w:r>
      <w:r>
        <w:rPr>
          <w:rFonts w:hint="eastAsia" w:ascii="宋体" w:hAnsi="宋体" w:eastAsia="宋体" w:cs="宋体"/>
          <w:color w:val="auto"/>
          <w:sz w:val="24"/>
          <w:szCs w:val="24"/>
        </w:rPr>
        <w:t xml:space="preserve">，如有违约，将赔偿因违约给对方造成的经济损失，并向对方支付本合同总额5%的违约金。若因乙方原因在合同规定期限内无法交货，甲方有权终止合同，并请示政府采购监管部门取消其中标资格</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不予退还</w:t>
      </w:r>
      <w:r>
        <w:rPr>
          <w:rFonts w:hint="eastAsia" w:ascii="宋体" w:hAnsi="宋体" w:cs="宋体"/>
          <w:color w:val="auto"/>
          <w:sz w:val="24"/>
          <w:szCs w:val="24"/>
          <w:lang w:eastAsia="zh-CN"/>
        </w:rPr>
        <w:t xml:space="preserve">履约</w:t>
      </w:r>
      <w:r>
        <w:rPr>
          <w:rFonts w:hint="eastAsia" w:ascii="宋体" w:hAnsi="宋体" w:eastAsia="宋体" w:cs="宋体"/>
          <w:color w:val="auto"/>
          <w:sz w:val="24"/>
          <w:szCs w:val="24"/>
        </w:rPr>
        <w:t xml:space="preserve">保证金或经甲、乙双方协商同意继续履行合同，</w:t>
      </w:r>
      <w:r>
        <w:rPr>
          <w:rFonts w:hint="eastAsia" w:ascii="宋体" w:hAnsi="宋体" w:cs="宋体"/>
          <w:color w:val="auto"/>
          <w:sz w:val="24"/>
          <w:szCs w:val="24"/>
          <w:lang w:eastAsia="zh-CN"/>
        </w:rPr>
        <w:t xml:space="preserve">除</w:t>
      </w:r>
      <w:r>
        <w:rPr>
          <w:rFonts w:hint="eastAsia" w:ascii="宋体" w:hAnsi="宋体" w:eastAsia="宋体" w:cs="宋体"/>
          <w:color w:val="auto"/>
          <w:sz w:val="24"/>
          <w:szCs w:val="24"/>
        </w:rPr>
        <w:t xml:space="preserve">不予退还</w:t>
      </w:r>
      <w:r>
        <w:rPr>
          <w:rFonts w:hint="eastAsia" w:ascii="宋体" w:hAnsi="宋体" w:cs="宋体"/>
          <w:color w:val="auto"/>
          <w:sz w:val="24"/>
          <w:szCs w:val="24"/>
          <w:lang w:eastAsia="zh-CN"/>
        </w:rPr>
        <w:t xml:space="preserve">履约</w:t>
      </w:r>
      <w:r>
        <w:rPr>
          <w:rFonts w:hint="eastAsia" w:ascii="宋体" w:hAnsi="宋体" w:eastAsia="宋体" w:cs="宋体"/>
          <w:color w:val="auto"/>
          <w:sz w:val="24"/>
          <w:szCs w:val="24"/>
        </w:rPr>
        <w:t xml:space="preserve">保证金</w:t>
      </w:r>
      <w:r>
        <w:rPr>
          <w:rFonts w:hint="eastAsia" w:ascii="宋体" w:hAnsi="宋体" w:eastAsia="宋体" w:cs="宋体"/>
          <w:color w:val="auto"/>
          <w:sz w:val="24"/>
          <w:szCs w:val="24"/>
          <w:lang w:eastAsia="zh-CN"/>
        </w:rPr>
        <w:t xml:space="preserve">外，</w:t>
      </w:r>
      <w:r>
        <w:rPr>
          <w:rFonts w:hint="eastAsia" w:ascii="宋体" w:hAnsi="宋体" w:eastAsia="宋体" w:cs="宋体"/>
          <w:color w:val="auto"/>
          <w:sz w:val="24"/>
          <w:szCs w:val="24"/>
        </w:rPr>
        <w:t xml:space="preserve">甲方还将视情况在延迟交货期内每天按合同总额3‰的标准收取违约金，并提请政府采购监管部门将其</w:t>
      </w:r>
      <w:r>
        <w:rPr>
          <w:rFonts w:hint="eastAsia" w:ascii="宋体" w:hAnsi="宋体" w:eastAsia="宋体" w:cs="宋体"/>
          <w:color w:val="auto"/>
          <w:sz w:val="24"/>
          <w:szCs w:val="24"/>
        </w:rPr>
        <w:t xml:space="preserve">列入不良行为记录。因不可抗拒力所导致的交货及付款延迟等按照《中华人民共和国民法典》有关条文及本合同第八条处理。</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严格遵守服务承诺，如有违约，将赔偿因服务违约给甲方造成的经济损失。若因乙方未按承诺的响应及到场维修时间进行排除故障，甲方有权部分或全部扣除质量保证金；若甲方电话通知乙方，未按承诺时限到场维修，超过 1 天未解决问题的，甲方有权动用质量保证金进行故障处理，并凭票扣除质量保证金，追究服务违约的相关责任。</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十一</w:t>
      </w:r>
      <w:r>
        <w:rPr>
          <w:rFonts w:hint="eastAsia" w:ascii="宋体" w:hAnsi="宋体" w:eastAsia="宋体" w:cs="宋体"/>
          <w:color w:val="auto"/>
          <w:sz w:val="24"/>
          <w:szCs w:val="24"/>
        </w:rPr>
        <w:t xml:space="preserve">、不可抗力</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由于不可抗力的原因不能履行合同时，应及时向乙方和代理机构通报不能履行或不能完全履行的理由；乙方由于不可抗力的原因不能履行合同时，应在服务期限到期以前及时向甲方和代理机构通报不能履行或不能完全履行的理由；在取得有关主管部门证明以后，可以签订延期履行、部分履行补充合同或者不履行合同，并根据情况可部分或全部免予承担违约责任。</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十二</w:t>
      </w:r>
      <w:r>
        <w:rPr>
          <w:rFonts w:hint="eastAsia" w:ascii="宋体" w:hAnsi="宋体" w:eastAsia="宋体" w:cs="宋体"/>
          <w:color w:val="auto"/>
          <w:sz w:val="24"/>
          <w:szCs w:val="24"/>
        </w:rPr>
        <w:t xml:space="preserve">、争议</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双方本着友好合作的态度，对合同履行过程中发生的违约行为进行及时的协商解决，如不能协商解决可向合同签约地法院通过法律诉讼解决。</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、合同标的追加处理</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如因在合同履行过程中，需追加与本合同标相同的服务时，在不改变合同条款的前提下，经甲乙双方现场确认，按乙方中标时的固定单价对总价进行调增，并按有关规定签订补充合同，但应注意追</w:t>
      </w:r>
      <w:r>
        <w:rPr>
          <w:rFonts w:hint="eastAsia" w:ascii="宋体" w:hAnsi="宋体" w:eastAsia="宋体" w:cs="宋体"/>
          <w:color w:val="auto"/>
          <w:sz w:val="24"/>
          <w:szCs w:val="24"/>
        </w:rPr>
        <w:t xml:space="preserve">加的服务总价不得超过本合同金额的 10%。</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、履约保证金：乙方应在本合同签订前以银行汇票、电汇、支票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银行保函等形式向甲方缴纳合同价的</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5%</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作为履约保证金，履约保证金在项目结束后一次性退还（无息）。</w:t>
      </w:r>
      <w:r/>
    </w:p>
    <w:p>
      <w:pPr>
        <w:ind w:firstLine="24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、其它</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1、交通设施施工技术要求按国家相关标准实施，同时满足本采购文件相关条款。</w:t>
      </w:r>
      <w:r/>
    </w:p>
    <w:p>
      <w:pPr>
        <w:ind w:firstLine="480"/>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val="en-US" w:eastAsia="zh-CN"/>
        </w:rPr>
        <w:t xml:space="preserve">项目形成的固定资产归甲方所有。</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本项目使用的所有材料、设备进场之前均须报验，所有材料品牌、型号的选择必须</w:t>
      </w:r>
      <w:r>
        <w:rPr>
          <w:rFonts w:hint="eastAsia" w:ascii="宋体" w:hAnsi="宋体" w:eastAsia="宋体" w:cs="宋体"/>
          <w:b w:val="0"/>
          <w:bCs w:val="0"/>
          <w:color w:val="auto"/>
          <w:sz w:val="24"/>
          <w:szCs w:val="24"/>
          <w:lang w:val="en-US" w:eastAsia="zh-CN"/>
        </w:rPr>
        <w:t xml:space="preserve">按流程报监理单位，监理单位汇总上报至招标人</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招标人同意后方可进场使用。</w:t>
      </w:r>
      <w:r>
        <w:rPr>
          <w:rFonts w:hint="eastAsia" w:ascii="宋体" w:hAnsi="宋体" w:eastAsia="宋体" w:cs="宋体"/>
          <w:b w:val="0"/>
          <w:bCs w:val="0"/>
          <w:color w:val="auto"/>
          <w:sz w:val="24"/>
          <w:szCs w:val="24"/>
        </w:rPr>
        <w:t xml:space="preserve">规格、质量标准均须满足甲方的使用要求。</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、标志牌包括各类交通标志，标志牌信息内容应预先制作小样，提交甲方核定后实施。标志牌以矩形面积计量。</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、交通隔离护栏清洗包括城区及公安检查站所有护栏；</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、工次结算按《交通设施维修维护维修工次结算标准》执行。</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、涉及</w:t>
      </w:r>
      <w:r>
        <w:rPr>
          <w:rFonts w:hint="eastAsia" w:ascii="宋体" w:hAnsi="宋体" w:eastAsia="宋体" w:cs="宋体"/>
          <w:color w:val="auto"/>
          <w:sz w:val="24"/>
          <w:szCs w:val="24"/>
          <w:highlight w:val="none"/>
        </w:rPr>
        <w:t xml:space="preserve">大额配件（单品 1000 元以上）更换，杆件、标志拆除的，更换、拆除件送交大队场地存放，秩序中队做好工作备案。</w:t>
      </w:r>
      <w:r>
        <w:rPr>
          <w:rFonts w:hint="eastAsia" w:ascii="宋体" w:hAnsi="宋体" w:eastAsia="宋体" w:cs="宋体"/>
          <w:color w:val="auto"/>
          <w:sz w:val="24"/>
          <w:szCs w:val="24"/>
          <w:highlight w:val="none"/>
          <w:lang w:val="en-US" w:eastAsia="zh-CN"/>
        </w:rPr>
        <w:t xml:space="preserve">对于小件特制信号灯</w:t>
      </w:r>
      <w:r>
        <w:rPr>
          <w:rFonts w:hint="default" w:ascii="宋体" w:hAnsi="宋体" w:eastAsia="宋体" w:cs="宋体"/>
          <w:color w:val="auto"/>
          <w:sz w:val="24"/>
          <w:szCs w:val="24"/>
          <w:highlight w:val="none"/>
          <w:lang w:val="en-US" w:eastAsia="zh-CN"/>
        </w:rPr>
        <w:t xml:space="preserve">信号机相关配件的返修，</w:t>
      </w:r>
      <w:r>
        <w:rPr>
          <w:rFonts w:hint="eastAsia" w:ascii="宋体" w:hAnsi="宋体" w:eastAsia="宋体" w:cs="宋体"/>
          <w:color w:val="auto"/>
          <w:sz w:val="24"/>
          <w:szCs w:val="24"/>
          <w:highlight w:val="none"/>
          <w:lang w:val="en-US" w:eastAsia="zh-CN"/>
        </w:rPr>
        <w:t xml:space="preserve">对</w:t>
      </w:r>
      <w:r>
        <w:rPr>
          <w:rFonts w:hint="default" w:ascii="宋体" w:hAnsi="宋体" w:eastAsia="宋体" w:cs="宋体"/>
          <w:color w:val="auto"/>
          <w:sz w:val="24"/>
          <w:szCs w:val="24"/>
          <w:highlight w:val="none"/>
          <w:lang w:val="en-US" w:eastAsia="zh-CN"/>
        </w:rPr>
        <w:t xml:space="preserve">返修成功或返修失败报废</w:t>
      </w:r>
      <w:r>
        <w:rPr>
          <w:rFonts w:hint="eastAsia" w:ascii="宋体" w:hAnsi="宋体" w:eastAsia="宋体" w:cs="宋体"/>
          <w:color w:val="auto"/>
          <w:sz w:val="24"/>
          <w:szCs w:val="24"/>
          <w:highlight w:val="none"/>
          <w:lang w:val="en-US" w:eastAsia="zh-CN"/>
        </w:rPr>
        <w:t xml:space="preserve">的情况进行登记</w:t>
      </w:r>
      <w:r>
        <w:rPr>
          <w:rFonts w:hint="default"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、每月计量一次，每半年结算一次。遇未明确的项目和单价由审计、监理、</w:t>
      </w:r>
      <w:r>
        <w:rPr>
          <w:rFonts w:hint="eastAsia" w:ascii="宋体" w:hAnsi="宋体" w:cs="宋体"/>
          <w:color w:val="auto"/>
          <w:sz w:val="24"/>
          <w:szCs w:val="24"/>
          <w:lang w:eastAsia="zh-CN"/>
        </w:rPr>
        <w:t xml:space="preserve">交管大队</w:t>
      </w:r>
      <w:r>
        <w:rPr>
          <w:rFonts w:hint="eastAsia" w:ascii="宋体" w:hAnsi="宋体" w:eastAsia="宋体" w:cs="宋体"/>
          <w:color w:val="auto"/>
          <w:sz w:val="24"/>
          <w:szCs w:val="24"/>
        </w:rPr>
        <w:t xml:space="preserve">另行核定。</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、乙方应遵守安全生产有关管理规定，严格按安全标准组织施工，施工期间造成的一切安全责任和费用由乙方自负。</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、中标项目负责人及技术负责人必须驻场施工至项目验收完成，由甲方派驻专业人员负责监督，否则甲方有权终止合同。</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、乙方在施工过程中应自行协调解决好地方矛盾，并承担由此造成的费用，结算不作任何调整。</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、本项目不允许分包。</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、以上条款的内容如果需要修改或者有其他未涉及的事项，应由合同双方协商解决。</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、本合同一式五份，甲乙双方各执两份，送代理机构备案一份。</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、本合同自签订之日起生效。</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、本项目的采购文件、投标文件等是本合同的附件，与合同具有同等的法律效力。</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、其它未尽事宜，由双方友好协商解决，并参照《中华人民共和国民法典》有关条款执行。</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rPr>
          <w:rFonts w:hint="eastAsia" w:ascii="宋体" w:hAnsi="宋体" w:eastAsia="宋体" w:cs="宋体"/>
          <w:color w:val="auto"/>
          <w:sz w:val="24"/>
          <w:szCs w:val="24"/>
        </w:rPr>
        <w:sectPr>
          <w:footerReference w:type="default" r:id="rId19"/>
          <w:footnotePr/>
          <w:endnotePr/>
          <w:type w:val="nextPage"/>
          <w:pgSz w:w="11906" w:h="16839" w:orient="portrait"/>
          <w:pgMar w:top="1203" w:right="1093" w:bottom="1055" w:left="1141" w:header="0" w:footer="841" w:gutter="0"/>
          <w:cols w:num="1" w:sep="0" w:space="1701" w:equalWidth="0">
            <w:col w:w="9672" w:space="0"/>
          </w:cols>
          <w:docGrid w:linePitch="360"/>
        </w:sectPr>
      </w:pPr>
      <w:r>
        <w:rPr>
          <w:rFonts w:hint="eastAsia" w:ascii="宋体" w:hAnsi="宋体" w:eastAsia="宋体" w:cs="宋体"/>
          <w:color w:val="auto"/>
          <w:sz w:val="24"/>
          <w:szCs w:val="24"/>
        </w:rPr>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附：乙方报价表。</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甲方（印章）：</w:t>
      </w:r>
      <w:r/>
    </w:p>
    <w:p>
      <w:pPr>
        <w:ind w:firstLine="480"/>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法人代表（签字）：</w:t>
      </w:r>
      <w:r>
        <w:rPr>
          <w:rFonts w:hint="eastAsia" w:ascii="宋体" w:hAnsi="宋体" w:eastAsia="宋体" w:cs="宋体"/>
          <w:color w:val="auto"/>
          <w:sz w:val="24"/>
          <w:szCs w:val="24"/>
          <w:lang w:val="en-US" w:eastAsia="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委托代理人（签字）：</w:t>
      </w:r>
      <w:r/>
    </w:p>
    <w:p>
      <w:pPr>
        <w:ind w:firstLine="480"/>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val="en-US" w:eastAsia="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br w:type="column"/>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乙方（印章）：</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法人代表（签字）：</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委托代理人（签字）：</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w:t>
      </w:r>
      <w:r/>
    </w:p>
    <w:p>
      <w:pPr>
        <w:keepLines w:val="0"/>
        <w:keepNext w:val="0"/>
        <w:pageBreakBefore w:val="0"/>
        <w:spacing w:line="312" w:lineRule="auto"/>
        <w:widowControl/>
        <w:rPr>
          <w:rFonts w:hint="eastAsia" w:ascii="宋体" w:hAnsi="宋体" w:eastAsia="宋体" w:cs="宋体"/>
          <w:color w:val="auto"/>
          <w:sz w:val="24"/>
          <w:szCs w:val="24"/>
        </w:rPr>
        <w:sectPr>
          <w:footnotePr/>
          <w:endnotePr/>
          <w:type w:val="continuous"/>
          <w:pgSz w:w="11906" w:h="16839" w:orient="portrait"/>
          <w:pgMar w:top="1203" w:right="1093" w:bottom="1055" w:left="1141" w:header="0" w:footer="841" w:gutter="0"/>
          <w:cols w:num="2" w:sep="0" w:space="1701" w:equalWidth="0">
            <w:col w:w="4221" w:space="100"/>
            <w:col w:w="5352" w:space="0"/>
          </w:cols>
          <w:docGrid w:linePitch="360"/>
        </w:sectPr>
      </w:pPr>
      <w:r>
        <w:rPr>
          <w:rFonts w:hint="eastAsia" w:ascii="宋体" w:hAnsi="宋体" w:eastAsia="宋体" w:cs="宋体"/>
          <w:color w:val="auto"/>
          <w:sz w:val="24"/>
          <w:szCs w:val="24"/>
        </w:rPr>
      </w:r>
      <w:r/>
    </w:p>
    <w:p>
      <w:pPr>
        <w:keepLines w:val="0"/>
        <w:keepNext w:val="0"/>
        <w:pageBreakBefore w:val="0"/>
        <w:spacing w:before="47" w:line="312"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 xml:space="preserve">合同附件：</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采购项目廉政责任书</w:t>
      </w:r>
      <w:r/>
    </w:p>
    <w:p>
      <w:pPr>
        <w:ind w:left="419"/>
        <w:keepLines w:val="0"/>
        <w:keepNext w:val="0"/>
        <w:pageBreakBefore w:val="0"/>
        <w:spacing w:before="264" w:line="312"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采购人（甲方</w:t>
      </w:r>
      <w:r>
        <w:rPr>
          <w:rFonts w:hint="eastAsia" w:ascii="宋体" w:hAnsi="宋体" w:eastAsia="宋体" w:cs="宋体"/>
          <w:color w:val="auto"/>
          <w:spacing w:val="1"/>
          <w:sz w:val="24"/>
          <w:szCs w:val="24"/>
        </w:rPr>
        <w:t xml:space="preserve">）：</w:t>
      </w:r>
      <w:r/>
    </w:p>
    <w:p>
      <w:pPr>
        <w:ind w:left="442"/>
        <w:keepLines w:val="0"/>
        <w:keepNext w:val="0"/>
        <w:pageBreakBefore w:val="0"/>
        <w:spacing w:before="214" w:line="312"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中标供应商（乙方</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为加强采购项目廉政建设，规范采购项目各项活动中甲乙双方的行为，防止谋取不正当 利益的违法违纪现象的发生，保护国家、集体和当事人的合法权益，根据国家</w:t>
      </w:r>
      <w:r>
        <w:rPr>
          <w:rFonts w:hint="eastAsia" w:ascii="宋体" w:hAnsi="宋体" w:cs="宋体"/>
          <w:color w:val="auto"/>
          <w:sz w:val="24"/>
          <w:szCs w:val="24"/>
          <w:lang w:val="en-US" w:eastAsia="zh-CN"/>
        </w:rPr>
        <w:t xml:space="preserve">相关</w:t>
      </w:r>
      <w:r>
        <w:rPr>
          <w:rFonts w:hint="eastAsia" w:ascii="宋体" w:hAnsi="宋体" w:eastAsia="宋体" w:cs="宋体"/>
          <w:color w:val="auto"/>
          <w:sz w:val="24"/>
          <w:szCs w:val="24"/>
        </w:rPr>
        <w:t xml:space="preserve">法律法规和廉政建设的有关规定，订立本廉政责任书。</w:t>
      </w:r>
      <w:r/>
    </w:p>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一、双方的责任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应严格遵守</w:t>
      </w:r>
      <w:r>
        <w:rPr>
          <w:rFonts w:hint="eastAsia" w:ascii="宋体" w:hAnsi="宋体" w:cs="宋体"/>
          <w:color w:val="auto"/>
          <w:sz w:val="24"/>
          <w:szCs w:val="24"/>
          <w:lang w:val="en-US" w:eastAsia="zh-CN"/>
        </w:rPr>
        <w:t xml:space="preserve">相关</w:t>
      </w:r>
      <w:r>
        <w:rPr>
          <w:rFonts w:hint="eastAsia" w:ascii="宋体" w:hAnsi="宋体" w:eastAsia="宋体" w:cs="宋体"/>
          <w:color w:val="auto"/>
          <w:sz w:val="24"/>
          <w:szCs w:val="24"/>
        </w:rPr>
        <w:t xml:space="preserve">法律、法规</w:t>
      </w:r>
      <w:r>
        <w:rPr>
          <w:rFonts w:hint="eastAsia" w:ascii="宋体" w:hAnsi="宋体" w:cs="宋体"/>
          <w:color w:val="auto"/>
          <w:sz w:val="24"/>
          <w:szCs w:val="24"/>
          <w:lang w:val="en-US" w:eastAsia="zh-CN"/>
        </w:rPr>
        <w:t xml:space="preserve">及</w:t>
      </w:r>
      <w:r>
        <w:rPr>
          <w:rFonts w:hint="eastAsia" w:ascii="宋体" w:hAnsi="宋体" w:eastAsia="宋体" w:cs="宋体"/>
          <w:color w:val="auto"/>
          <w:sz w:val="24"/>
          <w:szCs w:val="24"/>
        </w:rPr>
        <w:t xml:space="preserve">政策，以及廉政建设的各项规定。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严格执行采购合同文件， 自觉按合同办事。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 各项活动必须坚持公开、公平、公正、诚信、透明的原则(除法律法规另有规定者外)，不得为获取不正当的利益，损害国家、集体和对方利益，不得违反采购项目管理的规章制度。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 发现对方在业务活动中有违规、违纪、违法行为的，应及时提醒对方，情节严重的，应向其上级主管部门或纪检监察、司法等有关机关举报。</w:t>
      </w:r>
      <w:r/>
    </w:p>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二、甲方责任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甲方的领导和从事该采购项目的工作人员，在工程建设的事前、事中、事后应遵守以下</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规定：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不得向乙方和相关单位索要或接受回扣、礼金、有价证券、贵重物品和好处费、感谢费等。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不得在乙方和相关单位报销任何应由甲方或个人支付的费用。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不得要求、暗示或接受乙方和相关单位为个人装修住房、婚丧嫁娶、配偶子女的工作安排以及出国(境)、旅游等提供方便。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 不得参加有可能影响公正执行公务的乙方和相关单位的宴请、健身、娱乐等活动。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 不得向乙方和相关单位介绍或为配偶、子女、亲属参与同甲方工程建设管理合同有关的业务活动；不得以任何理由要求乙方和相关单位使用某种产品、材料和设备。</w:t>
      </w:r>
      <w:r/>
    </w:p>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三、乙方责任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应与甲方保持正常的业务交往，按照有关法律法规和程序开展业务工作，严格执行工程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建设的有关方针、政策，执行工程建设强制性标准，并遵守以下规定：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 不得以任何理由向甲方及其工作人员索要、接受或赠送礼金、有价证券、贵重物品及回扣、好处费、感谢费等。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 不得以任何理由为甲方和相关单位报销应由对方或个人支付的费用。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 不得接受或暗示为甲方、相关单位或个人装修住房、婚丧嫁娶、配偶子女的工作安排以及出国(境)、旅游等提供方便。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 不得以任何理由为甲方、相关单位或个人组织有可能影响公正执行公务的宴请、健身、娱乐等活动。</w:t>
      </w:r>
      <w:r/>
    </w:p>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4.1 甲方工作人员有违反本责任书第一、二条责任行为的，依据有关法律、法规给予处理；涉嫌犯罪的，移交司法机关追究刑事责任；给乙方单位造成经济损失的，应予以赔偿。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4.2 乙方工作人员有违反本责任书第一、三条责任行为的，依据有关法律法规处理；涉嫌犯罪的，移交司法机关追究刑事责任；给甲方单位造成经济损失的，应予以赔偿。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4.3 本责任书作为采购合同的组成部分，与采购合同具有同等法律效力。经双方签署后立即生效。</w:t>
      </w:r>
      <w:r/>
    </w:p>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五、责任书有效期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本责任书的有效期为双方签署之日起至该工程项目竣工验收合格时止。</w:t>
      </w:r>
      <w:r/>
    </w:p>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六、责任书份数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本责任书一式二份，甲乙双方各执一份，具有同等效力。</w:t>
      </w:r>
      <w:r/>
    </w:p>
    <w:p>
      <w:pPr>
        <w:ind w:firstLine="1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  (公章)</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法定地址：</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法定代表人或其</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 (签字)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委托代理人：  (签字)</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电话：</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传真：</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电子邮箱：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电子邮箱：</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开户银行：</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帐号：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帐号：</w:t>
      </w:r>
      <w:r/>
    </w:p>
    <w:p>
      <w:pPr>
        <w:ind w:left="0" w:firstLine="6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邮政编码：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邮政编码：</w:t>
      </w:r>
      <w:r/>
    </w:p>
    <w:p>
      <w:pPr>
        <w:ind w:left="0" w:firstLine="638"/>
        <w:keepLines w:val="0"/>
        <w:keepNext w:val="0"/>
        <w:pageBreakBefore w:val="0"/>
        <w:spacing w:line="312" w:lineRule="auto"/>
        <w:widowControl/>
        <w:rPr>
          <w:rFonts w:hint="eastAsia" w:ascii="宋体" w:hAnsi="宋体" w:eastAsia="宋体" w:cs="宋体"/>
          <w:color w:val="auto"/>
          <w:sz w:val="24"/>
          <w:szCs w:val="24"/>
        </w:rPr>
        <w:sectPr>
          <w:footerReference w:type="default" r:id="rId20"/>
          <w:footnotePr/>
          <w:endnotePr/>
          <w:type w:val="nextPage"/>
          <w:pgSz w:w="11906" w:h="16839" w:orient="portrait"/>
          <w:pgMar w:top="1203" w:right="1054" w:bottom="1055" w:left="1142" w:header="0" w:footer="841" w:gutter="0"/>
          <w:cols w:num="1" w:sep="0" w:space="720" w:equalWidth="1"/>
          <w:docGrid w:linePitch="360"/>
        </w:sectPr>
      </w:pPr>
      <w:r>
        <w:rPr>
          <w:rFonts w:hint="eastAsia" w:ascii="宋体" w:hAnsi="宋体" w:eastAsia="宋体" w:cs="宋体"/>
          <w:color w:val="auto"/>
          <w:sz w:val="24"/>
          <w:szCs w:val="24"/>
        </w:rPr>
      </w:r>
      <w:r/>
    </w:p>
    <w:p>
      <w:pPr>
        <w:keepLines w:val="0"/>
        <w:keepNext w:val="0"/>
        <w:pageBreakBefore w:val="0"/>
        <w:spacing w:before="47" w:line="312"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 xml:space="preserve">合同附件：</w:t>
      </w:r>
      <w:r/>
    </w:p>
    <w:p>
      <w:pPr>
        <w:pStyle w:val="906"/>
        <w:keepLines w:val="0"/>
        <w:keepNext w:val="0"/>
        <w:pageBreakBefore w:val="0"/>
        <w:spacing w:line="312" w:lineRule="auto"/>
        <w:widowControl/>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农民工工资承诺书</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为保护农民工的合法权益，不拖欠农民工工资，本公司郑重承诺：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1、按照《中华人民共和国劳动法》规定雇佣和使用农民工，工资将直接发放给农民工本人。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2、保证不发生拖欠农民工工资的情形发生，如果发生违反规定拖欠或克扣农民工工资行为，本公司同意由甲方从合同款中直接扣除用于支付农民工工资，并愿意依照有关规定接受处罚。</w:t>
      </w:r>
      <w:r/>
    </w:p>
    <w:p>
      <w:pPr>
        <w:pStyle w:val="906"/>
        <w:keepLines w:val="0"/>
        <w:keepNext w:val="0"/>
        <w:pageBreakBefore w:val="0"/>
        <w:spacing w:line="312" w:lineRule="auto"/>
        <w:widowControl/>
        <w:rPr>
          <w:rFonts w:hint="eastAsia" w:ascii="宋体" w:hAnsi="宋体" w:eastAsia="宋体" w:cs="宋体"/>
          <w:color w:val="auto"/>
        </w:rPr>
      </w:pPr>
      <w:r>
        <w:rPr>
          <w:rFonts w:hint="eastAsia" w:ascii="宋体" w:hAnsi="宋体" w:eastAsia="宋体" w:cs="宋体"/>
          <w:color w:val="auto"/>
        </w:rPr>
      </w:r>
      <w:r/>
    </w:p>
    <w:p>
      <w:pPr>
        <w:pStyle w:val="906"/>
        <w:keepLines w:val="0"/>
        <w:keepNext w:val="0"/>
        <w:pageBreakBefore w:val="0"/>
        <w:spacing w:line="312" w:lineRule="auto"/>
        <w:widowControl/>
        <w:rPr>
          <w:rFonts w:hint="eastAsia" w:ascii="宋体" w:hAnsi="宋体" w:eastAsia="宋体" w:cs="宋体"/>
          <w:color w:val="auto"/>
        </w:rPr>
      </w:pPr>
      <w:r>
        <w:rPr>
          <w:rFonts w:hint="eastAsia" w:ascii="宋体" w:hAnsi="宋体" w:eastAsia="宋体" w:cs="宋体"/>
          <w:color w:val="auto"/>
        </w:rPr>
      </w:r>
      <w:r/>
    </w:p>
    <w:p>
      <w:pPr>
        <w:pStyle w:val="906"/>
        <w:keepLines w:val="0"/>
        <w:keepNext w:val="0"/>
        <w:pageBreakBefore w:val="0"/>
        <w:spacing w:line="312" w:lineRule="auto"/>
        <w:widowControl/>
        <w:rPr>
          <w:rFonts w:hint="eastAsia" w:ascii="宋体" w:hAnsi="宋体" w:eastAsia="宋体" w:cs="宋体"/>
          <w:color w:val="auto"/>
        </w:rPr>
      </w:pPr>
      <w:r>
        <w:rPr>
          <w:rFonts w:hint="eastAsia" w:ascii="宋体" w:hAnsi="宋体" w:eastAsia="宋体" w:cs="宋体"/>
          <w:color w:val="auto"/>
        </w:rPr>
      </w:r>
      <w:r/>
    </w:p>
    <w:p>
      <w:pPr>
        <w:pStyle w:val="906"/>
        <w:keepLines w:val="0"/>
        <w:keepNext w:val="0"/>
        <w:pageBreakBefore w:val="0"/>
        <w:spacing w:line="312" w:lineRule="auto"/>
        <w:widowControl/>
        <w:rPr>
          <w:rFonts w:hint="eastAsia" w:ascii="宋体" w:hAnsi="宋体" w:eastAsia="宋体" w:cs="宋体"/>
          <w:color w:val="auto"/>
        </w:rPr>
      </w:pPr>
      <w:r>
        <w:rPr>
          <w:rFonts w:hint="eastAsia" w:ascii="宋体" w:hAnsi="宋体" w:eastAsia="宋体" w:cs="宋体"/>
          <w:color w:val="auto"/>
        </w:rPr>
      </w:r>
      <w:r/>
    </w:p>
    <w:p>
      <w:pPr>
        <w:ind w:firstLine="3616"/>
        <w:keepLines w:val="0"/>
        <w:keepNext w:val="0"/>
        <w:pageBreakBefore w:val="0"/>
        <w:spacing w:before="79" w:line="312" w:lineRule="auto"/>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供应商（乙方</w:t>
      </w:r>
      <w:r>
        <w:rPr>
          <w:rFonts w:hint="eastAsia" w:ascii="宋体" w:hAnsi="宋体" w:eastAsia="宋体" w:cs="宋体"/>
          <w:color w:val="auto"/>
          <w:spacing w:val="4"/>
          <w:sz w:val="24"/>
          <w:szCs w:val="24"/>
        </w:rPr>
        <w:t xml:space="preserve">）：</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7"/>
          <w:sz w:val="24"/>
          <w:szCs w:val="24"/>
        </w:rPr>
        <w:t xml:space="preserve">(盖章)</w:t>
      </w:r>
      <w:r/>
    </w:p>
    <w:p>
      <w:pPr>
        <w:ind w:left="3600"/>
        <w:keepLines w:val="0"/>
        <w:keepNext w:val="0"/>
        <w:pageBreakBefore w:val="0"/>
        <w:spacing w:before="78" w:line="312"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法定代表人或其授权代理人：</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4"/>
          <w:sz w:val="24"/>
          <w:szCs w:val="24"/>
        </w:rPr>
        <w:t xml:space="preserve">(签名)</w:t>
      </w:r>
      <w:r/>
    </w:p>
    <w:p>
      <w:pPr>
        <w:pStyle w:val="906"/>
        <w:keepLines w:val="0"/>
        <w:keepNext w:val="0"/>
        <w:pageBreakBefore w:val="0"/>
        <w:spacing w:line="312" w:lineRule="auto"/>
        <w:widowControl/>
        <w:rPr>
          <w:rFonts w:hint="eastAsia" w:ascii="宋体" w:hAnsi="宋体" w:eastAsia="宋体" w:cs="宋体"/>
          <w:color w:val="auto"/>
        </w:rPr>
      </w:pPr>
      <w:r>
        <w:rPr>
          <w:rFonts w:hint="eastAsia" w:ascii="宋体" w:hAnsi="宋体" w:eastAsia="宋体" w:cs="宋体"/>
          <w:color w:val="auto"/>
        </w:rPr>
      </w:r>
      <w:r/>
    </w:p>
    <w:p>
      <w:pPr>
        <w:pStyle w:val="906"/>
        <w:keepLines w:val="0"/>
        <w:keepNext w:val="0"/>
        <w:pageBreakBefore w:val="0"/>
        <w:spacing w:line="312" w:lineRule="auto"/>
        <w:widowControl/>
        <w:rPr>
          <w:rFonts w:hint="eastAsia" w:ascii="宋体" w:hAnsi="宋体" w:eastAsia="宋体" w:cs="宋体"/>
          <w:color w:val="auto"/>
        </w:rPr>
      </w:pPr>
      <w:r>
        <w:rPr>
          <w:rFonts w:hint="eastAsia" w:ascii="宋体" w:hAnsi="宋体" w:eastAsia="宋体" w:cs="宋体"/>
          <w:color w:val="auto"/>
        </w:rPr>
      </w:r>
      <w:r/>
    </w:p>
    <w:p>
      <w:pPr>
        <w:ind w:left="4240"/>
        <w:keepLines w:val="0"/>
        <w:keepNext w:val="0"/>
        <w:pageBreakBefore w:val="0"/>
        <w:spacing w:before="78" w:line="312" w:lineRule="auto"/>
        <w:widowControl/>
        <w:rPr>
          <w:rFonts w:hint="eastAsia" w:eastAsia="宋体"/>
          <w:b/>
          <w:color w:val="auto"/>
          <w:sz w:val="36"/>
          <w:szCs w:val="36"/>
          <w:lang w:eastAsia="zh-CN"/>
        </w:rPr>
        <w:sectPr>
          <w:footnotePr/>
          <w:endnotePr/>
          <w:type w:val="nextPage"/>
          <w:pgSz w:w="11907" w:h="16840" w:orient="portrait"/>
          <w:pgMar w:top="1417" w:right="1134" w:bottom="1417" w:left="1701" w:header="851" w:footer="850" w:gutter="0"/>
          <w:cols w:num="1" w:sep="0" w:space="720" w:equalWidth="1"/>
          <w:docGrid w:linePitch="360"/>
        </w:sectPr>
      </w:pPr>
      <w:r>
        <w:rPr>
          <w:rFonts w:hint="eastAsia" w:ascii="宋体" w:hAnsi="宋体" w:eastAsia="宋体" w:cs="宋体"/>
          <w:color w:val="auto"/>
          <w:spacing w:val="-13"/>
          <w:sz w:val="24"/>
          <w:szCs w:val="24"/>
        </w:rPr>
        <w:t xml:space="preserve">日期：</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13"/>
          <w:sz w:val="24"/>
          <w:szCs w:val="24"/>
        </w:rPr>
        <w:t xml:space="preserve">年</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13"/>
          <w:sz w:val="24"/>
          <w:szCs w:val="24"/>
        </w:rPr>
        <w:t xml:space="preserve">月</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17"/>
          <w:sz w:val="24"/>
          <w:szCs w:val="24"/>
          <w:lang w:eastAsia="zh-CN"/>
        </w:rPr>
        <w:t xml:space="preserve">日</w:t>
      </w:r>
      <w:r/>
    </w:p>
    <w:p>
      <w:pPr>
        <w:jc w:val="center"/>
        <w:spacing w:line="360" w:lineRule="auto"/>
        <w:rPr>
          <w:b/>
          <w:color w:val="auto"/>
          <w:sz w:val="36"/>
          <w:szCs w:val="36"/>
        </w:rPr>
        <w:outlineLvl w:val="0"/>
      </w:pPr>
      <w:r/>
      <w:bookmarkStart w:id="674" w:name="_Toc120102179"/>
      <w:r>
        <w:rPr>
          <w:b/>
          <w:color w:val="auto"/>
          <w:sz w:val="36"/>
          <w:szCs w:val="36"/>
        </w:rPr>
        <w:t xml:space="preserve">第六章   响应文件格式</w:t>
      </w:r>
      <w:bookmarkEnd w:id="674"/>
      <w:r/>
      <w:r/>
    </w:p>
    <w:p>
      <w:pPr>
        <w:jc w:val="left"/>
        <w:spacing w:line="360" w:lineRule="auto"/>
        <w:widowControl/>
        <w:rPr>
          <w:b/>
          <w:color w:val="auto"/>
          <w:sz w:val="24"/>
        </w:rPr>
      </w:pPr>
      <w:r>
        <w:rPr>
          <w:b/>
          <w:color w:val="auto"/>
          <w:sz w:val="24"/>
        </w:rPr>
      </w:r>
      <w:r/>
    </w:p>
    <w:p>
      <w:pPr>
        <w:jc w:val="left"/>
        <w:spacing w:line="360" w:lineRule="auto"/>
        <w:widowControl/>
        <w:rPr>
          <w:b/>
          <w:color w:val="auto"/>
          <w:sz w:val="24"/>
        </w:rPr>
      </w:pPr>
      <w:r>
        <w:rPr>
          <w:b/>
          <w:color w:val="auto"/>
          <w:sz w:val="24"/>
        </w:rPr>
      </w:r>
      <w:r/>
    </w:p>
    <w:p>
      <w:pPr>
        <w:ind w:left="142"/>
        <w:spacing w:line="360" w:lineRule="auto"/>
        <w:tabs>
          <w:tab w:val="left" w:pos="900" w:leader="none"/>
          <w:tab w:val="left" w:pos="1980" w:leader="none"/>
        </w:tabs>
        <w:rPr>
          <w:b/>
          <w:color w:val="auto"/>
          <w:sz w:val="24"/>
        </w:rPr>
      </w:pPr>
      <w:r>
        <w:rPr>
          <w:rFonts w:hint="eastAsia"/>
          <w:b/>
          <w:color w:val="auto"/>
          <w:sz w:val="24"/>
        </w:rPr>
        <w:t xml:space="preserve">供应商编制文件须知</w:t>
      </w:r>
      <w:r/>
    </w:p>
    <w:p>
      <w:pPr>
        <w:ind w:left="142"/>
        <w:spacing w:line="360" w:lineRule="auto"/>
        <w:tabs>
          <w:tab w:val="left" w:pos="900" w:leader="none"/>
          <w:tab w:val="left" w:pos="1980" w:leader="none"/>
        </w:tabs>
        <w:rPr>
          <w:color w:val="auto"/>
          <w:sz w:val="24"/>
        </w:rPr>
      </w:pPr>
      <w:r>
        <w:rPr>
          <w:color w:val="auto"/>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2、对于竞争性磋商文件中标记了</w:t>
      </w:r>
      <w:r>
        <w:rPr>
          <w:rFonts w:hint="eastAsia"/>
          <w:color w:val="auto"/>
          <w:sz w:val="24"/>
        </w:rPr>
        <w:t xml:space="preserve">“</w:t>
      </w:r>
      <w:r>
        <w:rPr>
          <w:color w:val="auto"/>
          <w:sz w:val="24"/>
        </w:rPr>
        <w:t xml:space="preserve">实质性格式</w:t>
      </w:r>
      <w:r>
        <w:rPr>
          <w:rFonts w:hint="eastAsia"/>
          <w:color w:val="auto"/>
          <w:sz w:val="24"/>
        </w:rPr>
        <w:t xml:space="preserve">”</w:t>
      </w:r>
      <w:r>
        <w:rPr>
          <w:color w:val="auto"/>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rPr>
        <w:t xml:space="preserve">否则响应无效</w:t>
      </w:r>
      <w:r>
        <w:rPr>
          <w:color w:val="auto"/>
          <w:sz w:val="24"/>
        </w:rPr>
        <w:t xml:space="preserve">。未标记</w:t>
      </w:r>
      <w:r>
        <w:rPr>
          <w:rFonts w:hint="eastAsia"/>
          <w:color w:val="auto"/>
          <w:sz w:val="24"/>
        </w:rPr>
        <w:t xml:space="preserve">“</w:t>
      </w:r>
      <w:r>
        <w:rPr>
          <w:color w:val="auto"/>
          <w:sz w:val="24"/>
        </w:rPr>
        <w:t xml:space="preserve">实质性格式</w:t>
      </w:r>
      <w:r>
        <w:rPr>
          <w:rFonts w:hint="eastAsia"/>
          <w:color w:val="auto"/>
          <w:sz w:val="24"/>
        </w:rPr>
        <w:t xml:space="preserve">”</w:t>
      </w:r>
      <w:r>
        <w:rPr>
          <w:color w:val="auto"/>
          <w:sz w:val="24"/>
        </w:rPr>
        <w:t xml:space="preserve">的文件和竞争性磋商文件未提供格式的内容，可由供应商自行编写。</w:t>
      </w:r>
      <w:r/>
    </w:p>
    <w:p>
      <w:pPr>
        <w:ind w:left="142"/>
        <w:spacing w:line="360" w:lineRule="auto"/>
        <w:tabs>
          <w:tab w:val="left" w:pos="900" w:leader="none"/>
          <w:tab w:val="left" w:pos="1980" w:leader="none"/>
        </w:tabs>
        <w:rPr>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rFonts w:hint="eastAsia"/>
          <w:color w:val="auto"/>
          <w:sz w:val="24"/>
        </w:rPr>
        <w:t xml:space="preserve">4、实行电子化不见面交易方式的，加盖公章、签名等均通过</w:t>
      </w:r>
      <w:r>
        <w:rPr>
          <w:color w:val="auto"/>
          <w:sz w:val="24"/>
        </w:rPr>
        <w:t xml:space="preserve">响应文件编制工具</w:t>
      </w:r>
      <w:r>
        <w:rPr>
          <w:rFonts w:hint="eastAsia"/>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color w:val="auto"/>
          <w:sz w:val="24"/>
        </w:rPr>
        <w:t xml:space="preserve">。</w:t>
      </w:r>
      <w:r/>
    </w:p>
    <w:p>
      <w:pPr>
        <w:ind w:left="142"/>
        <w:spacing w:line="360" w:lineRule="auto"/>
        <w:tabs>
          <w:tab w:val="left" w:pos="900" w:leader="none"/>
          <w:tab w:val="left" w:pos="1980" w:leader="none"/>
        </w:tabs>
        <w:rPr>
          <w:color w:val="auto"/>
          <w:sz w:val="24"/>
        </w:rPr>
      </w:pPr>
      <w:r>
        <w:rPr>
          <w:color w:val="auto"/>
          <w:sz w:val="24"/>
        </w:rPr>
      </w:r>
      <w:r/>
    </w:p>
    <w:p>
      <w:pPr>
        <w:jc w:val="left"/>
        <w:widowControl/>
        <w:rPr>
          <w:color w:val="auto"/>
          <w:sz w:val="24"/>
        </w:rPr>
      </w:pPr>
      <w:r>
        <w:rPr>
          <w:color w:val="auto"/>
          <w:sz w:val="24"/>
        </w:rPr>
        <w:br w:type="page" w:clear="all"/>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r/>
    </w:p>
    <w:p>
      <w:pPr>
        <w:rPr>
          <w:b/>
          <w:color w:val="auto"/>
          <w:spacing w:val="20"/>
          <w:szCs w:val="21"/>
        </w:rPr>
      </w:pPr>
      <w:r>
        <w:rPr>
          <w:b/>
          <w:color w:val="auto"/>
          <w:spacing w:val="20"/>
          <w:szCs w:val="21"/>
        </w:rPr>
      </w:r>
      <w:r/>
    </w:p>
    <w:p>
      <w:pPr>
        <w:rPr>
          <w:b/>
          <w:color w:val="auto"/>
          <w:sz w:val="24"/>
        </w:rPr>
      </w:pPr>
      <w:r>
        <w:rPr>
          <w:b/>
          <w:color w:val="auto"/>
          <w:spacing w:val="20"/>
          <w:sz w:val="24"/>
        </w:rPr>
        <w:t xml:space="preserve">响应文件</w:t>
      </w:r>
      <w:r>
        <w:rPr>
          <w:b/>
          <w:color w:val="auto"/>
          <w:sz w:val="24"/>
        </w:rPr>
        <w:t xml:space="preserve">封面（非实质性格式）</w:t>
      </w:r>
      <w:r/>
    </w:p>
    <w:p>
      <w:pPr>
        <w:jc w:val="center"/>
        <w:rPr>
          <w:color w:val="auto"/>
          <w:szCs w:val="21"/>
        </w:rPr>
      </w:pPr>
      <w:r>
        <w:rPr>
          <w:color w:val="auto"/>
          <w:szCs w:val="21"/>
        </w:rPr>
      </w:r>
      <w:r/>
    </w:p>
    <w:p>
      <w:pPr>
        <w:jc w:val="center"/>
        <w:rPr>
          <w:b/>
          <w:color w:val="auto"/>
          <w:spacing w:val="60"/>
          <w:sz w:val="84"/>
          <w:szCs w:val="84"/>
        </w:rPr>
      </w:pPr>
      <w:r>
        <w:rPr>
          <w:b/>
          <w:color w:val="auto"/>
          <w:spacing w:val="60"/>
          <w:sz w:val="84"/>
          <w:szCs w:val="84"/>
        </w:rPr>
      </w:r>
      <w:r/>
    </w:p>
    <w:p>
      <w:pPr>
        <w:jc w:val="center"/>
        <w:rPr>
          <w:b/>
          <w:color w:val="auto"/>
          <w:spacing w:val="60"/>
          <w:sz w:val="84"/>
          <w:szCs w:val="84"/>
        </w:rPr>
      </w:pPr>
      <w:r>
        <w:rPr>
          <w:b/>
          <w:color w:val="auto"/>
          <w:spacing w:val="60"/>
          <w:sz w:val="84"/>
          <w:szCs w:val="84"/>
        </w:rPr>
      </w:r>
      <w:r/>
    </w:p>
    <w:p>
      <w:pPr>
        <w:jc w:val="center"/>
        <w:rPr>
          <w:b/>
          <w:color w:val="auto"/>
          <w:spacing w:val="60"/>
          <w:sz w:val="84"/>
          <w:szCs w:val="84"/>
        </w:rPr>
      </w:pPr>
      <w:r>
        <w:rPr>
          <w:b/>
          <w:color w:val="auto"/>
          <w:spacing w:val="60"/>
          <w:sz w:val="84"/>
          <w:szCs w:val="84"/>
        </w:rPr>
        <w:t xml:space="preserve">响 应 文 件</w:t>
      </w:r>
      <w:r/>
    </w:p>
    <w:p>
      <w:pPr>
        <w:jc w:val="center"/>
        <w:rPr>
          <w:b/>
          <w:color w:val="auto"/>
          <w:spacing w:val="60"/>
          <w:sz w:val="52"/>
          <w:szCs w:val="52"/>
        </w:rPr>
      </w:pPr>
      <w:r>
        <w:rPr>
          <w:b/>
          <w:color w:val="auto"/>
          <w:spacing w:val="60"/>
          <w:sz w:val="52"/>
          <w:szCs w:val="52"/>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               </w:t>
      </w:r>
      <w:r/>
    </w:p>
    <w:p>
      <w:pPr>
        <w:rPr>
          <w:rFonts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rPr>
          <w:b/>
          <w:color w:val="auto"/>
          <w:sz w:val="32"/>
          <w:szCs w:val="32"/>
        </w:rPr>
      </w:pPr>
      <w:r>
        <w:rPr>
          <w:b/>
          <w:color w:val="auto"/>
          <w:sz w:val="32"/>
          <w:szCs w:val="32"/>
        </w:rPr>
      </w:r>
      <w:r/>
    </w:p>
    <w:p>
      <w:pPr>
        <w:rPr>
          <w:b/>
          <w:color w:val="auto"/>
        </w:rPr>
      </w:pPr>
      <w:r>
        <w:rPr>
          <w:b/>
          <w:color w:val="auto"/>
          <w:spacing w:val="20"/>
          <w:sz w:val="32"/>
          <w:szCs w:val="32"/>
        </w:rPr>
        <w:br w:type="page" w:clear="all"/>
      </w:r>
      <w:r/>
    </w:p>
    <w:p>
      <w:pPr>
        <w:spacing w:line="360" w:lineRule="auto"/>
        <w:rPr>
          <w:color w:val="auto"/>
          <w:sz w:val="24"/>
          <w:szCs w:val="20"/>
        </w:rPr>
        <w:outlineLvl w:val="2"/>
      </w:pPr>
      <w:r>
        <w:rPr>
          <w:color w:val="auto"/>
          <w:sz w:val="24"/>
          <w:szCs w:val="20"/>
        </w:rPr>
        <w:t xml:space="preserve">1 </w:t>
      </w:r>
      <w:r>
        <w:rPr>
          <w:color w:val="auto"/>
          <w:sz w:val="24"/>
        </w:rPr>
        <w:t xml:space="preserve">满足《中华人民共和国政府采购法》第二十二条规定及法律法规的其他规定</w:t>
      </w:r>
      <w:r/>
    </w:p>
    <w:p>
      <w:pPr>
        <w:pStyle w:val="1078"/>
        <w:rPr>
          <w:rFonts w:ascii="Times New Roman"/>
          <w:b w:val="0"/>
          <w:bCs/>
          <w:color w:val="auto"/>
          <w:u w:val="none"/>
        </w:rPr>
      </w:pPr>
      <w:r>
        <w:rPr>
          <w:rFonts w:ascii="Times New Roman"/>
          <w:b w:val="0"/>
          <w:color w:val="auto"/>
          <w:u w:val="none"/>
        </w:rPr>
        <w:t xml:space="preserve">1-</w:t>
      </w:r>
      <w:r>
        <w:rPr>
          <w:rFonts w:hint="eastAsia" w:ascii="Times New Roman"/>
          <w:b w:val="0"/>
          <w:color w:val="auto"/>
          <w:u w:val="none"/>
        </w:rPr>
        <w:t xml:space="preserve">1</w:t>
      </w:r>
      <w:r>
        <w:rPr>
          <w:rFonts w:ascii="Times New Roman"/>
          <w:b w:val="0"/>
          <w:color w:val="auto"/>
          <w:u w:val="none"/>
        </w:rPr>
        <w:t xml:space="preserve"> 供应商资格声明</w:t>
      </w:r>
      <w:r>
        <w:rPr>
          <w:rFonts w:hint="eastAsia" w:ascii="Times New Roman"/>
          <w:b w:val="0"/>
          <w:color w:val="auto"/>
          <w:u w:val="none"/>
        </w:rPr>
        <w:t xml:space="preserve">函</w:t>
      </w:r>
      <w:r>
        <w:rPr>
          <w:rFonts w:ascii="Times New Roman"/>
          <w:b w:val="0"/>
          <w:color w:val="auto"/>
          <w:u w:val="none"/>
        </w:rPr>
        <w:t xml:space="preserve">（实质性格式）</w:t>
      </w:r>
      <w:r/>
    </w:p>
    <w:p>
      <w:pPr>
        <w:jc w:val="center"/>
        <w:spacing w:before="120"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20" w:line="360" w:lineRule="auto"/>
        <w:widowControl/>
        <w:rPr>
          <w:rFonts w:ascii="宋体" w:hAnsi="宋体" w:cs="宋体"/>
          <w:color w:val="auto"/>
          <w:szCs w:val="21"/>
        </w:rPr>
      </w:pPr>
      <w:r>
        <w:rPr>
          <w:rFonts w:hint="eastAsia" w:ascii="宋体" w:hAnsi="宋体" w:cs="宋体"/>
          <w:b/>
          <w:color w:val="auto"/>
          <w:sz w:val="28"/>
          <w:szCs w:val="28"/>
        </w:rPr>
        <w:t xml:space="preserve">供应商资格声明函</w:t>
      </w:r>
      <w:r/>
    </w:p>
    <w:p>
      <w:pPr>
        <w:pStyle w:val="1077"/>
        <w:ind w:firstLine="480"/>
        <w:spacing w:line="460" w:lineRule="exact"/>
        <w:rPr>
          <w:color w:val="auto"/>
        </w:rPr>
      </w:pPr>
      <w:r>
        <w:rPr>
          <w:color w:val="auto"/>
        </w:rPr>
      </w:r>
      <w:r/>
    </w:p>
    <w:p>
      <w:pPr>
        <w:pStyle w:val="1077"/>
        <w:ind w:firstLine="480"/>
        <w:spacing w:line="460" w:lineRule="exact"/>
        <w:rPr>
          <w:color w:val="auto"/>
          <w:u w:val="single"/>
        </w:rPr>
      </w:pPr>
      <w:r>
        <w:rPr>
          <w:rFonts w:hint="eastAsia"/>
          <w:color w:val="auto"/>
        </w:rPr>
        <w:t xml:space="preserve">致：</w:t>
      </w:r>
      <w:r>
        <w:rPr>
          <w:rFonts w:hint="eastAsia"/>
          <w:color w:val="auto"/>
          <w:u w:val="single"/>
        </w:rPr>
        <w:t xml:space="preserve">（采购人名称）</w:t>
      </w:r>
      <w:r/>
    </w:p>
    <w:p>
      <w:pPr>
        <w:pStyle w:val="1077"/>
        <w:ind w:firstLine="480"/>
        <w:spacing w:line="460" w:lineRule="exact"/>
        <w:rPr>
          <w:color w:val="auto"/>
        </w:rPr>
      </w:pPr>
      <w:r>
        <w:rPr>
          <w:color w:val="auto"/>
        </w:rPr>
      </w:r>
      <w:r/>
    </w:p>
    <w:p>
      <w:pPr>
        <w:pStyle w:val="1077"/>
        <w:ind w:firstLine="480"/>
        <w:spacing w:line="460" w:lineRule="exact"/>
        <w:rPr>
          <w:color w:val="auto"/>
        </w:rPr>
      </w:pPr>
      <w:r>
        <w:rPr>
          <w:rFonts w:hint="eastAsia"/>
          <w:color w:val="auto"/>
        </w:rPr>
        <w:t xml:space="preserve">按照《中华人民共和国政府采购法》第二十二条和磋商文件的规定，我单位郑重声明如下：</w:t>
      </w:r>
      <w:r/>
    </w:p>
    <w:p>
      <w:pPr>
        <w:pStyle w:val="1077"/>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color w:val="auto"/>
        </w:rPr>
        <w:t xml:space="preserve">（如属于分公司经总公司授权参与项目，由总公司承担民事责任的，需提供总公司项目授权书）</w:t>
      </w:r>
      <w:r>
        <w:rPr>
          <w:rFonts w:hint="eastAsia"/>
          <w:color w:val="auto"/>
        </w:rPr>
        <w:t xml:space="preserve">。</w:t>
      </w:r>
      <w:r/>
    </w:p>
    <w:p>
      <w:pPr>
        <w:pStyle w:val="1077"/>
        <w:ind w:firstLine="480"/>
        <w:spacing w:line="460" w:lineRule="exact"/>
        <w:rPr>
          <w:color w:val="auto"/>
        </w:rPr>
      </w:pPr>
      <w:r>
        <w:rPr>
          <w:rFonts w:hint="eastAsia"/>
          <w:color w:val="auto"/>
        </w:rPr>
        <w:t xml:space="preserve">二、我单位未被“</w:t>
      </w:r>
      <w:r>
        <w:rPr>
          <w:rFonts w:hint="eastAsia"/>
          <w:color w:val="auto"/>
          <w:lang w:eastAsia="zh-CN"/>
        </w:rPr>
        <w:t xml:space="preserve">国家企业信用信息公示系统</w:t>
      </w:r>
      <w:r>
        <w:rPr>
          <w:rFonts w:hint="eastAsia"/>
          <w:color w:val="auto"/>
        </w:rPr>
        <w:t xml:space="preserve">”列入经营异常名录或者严重违法企业名单。</w:t>
      </w:r>
      <w:r/>
    </w:p>
    <w:p>
      <w:pPr>
        <w:pStyle w:val="1077"/>
        <w:ind w:firstLine="480"/>
        <w:spacing w:line="460" w:lineRule="exact"/>
        <w:rPr>
          <w:color w:val="auto"/>
        </w:rPr>
      </w:pPr>
      <w:r>
        <w:rPr>
          <w:rFonts w:hint="eastAsia"/>
          <w:color w:val="auto"/>
        </w:rPr>
        <w:t xml:space="preserve">三、我单位具有良好的商业信誉（指供应商经营状况良好，无本资格声明第十条情形）和健全的财务会计制度。</w:t>
      </w:r>
      <w:r/>
    </w:p>
    <w:p>
      <w:pPr>
        <w:pStyle w:val="1077"/>
        <w:ind w:firstLine="480"/>
        <w:spacing w:line="460" w:lineRule="exact"/>
        <w:rPr>
          <w:color w:val="auto"/>
        </w:rPr>
      </w:pPr>
      <w:r>
        <w:rPr>
          <w:rFonts w:hint="eastAsia"/>
          <w:color w:val="auto"/>
        </w:rPr>
        <w:t xml:space="preserve">四、我单位依法进行纳税和社会保险申报并实际履行了义务。</w:t>
      </w:r>
      <w:r/>
    </w:p>
    <w:p>
      <w:pPr>
        <w:pStyle w:val="1077"/>
        <w:ind w:firstLine="480"/>
        <w:spacing w:line="460" w:lineRule="exact"/>
        <w:rPr>
          <w:color w:val="auto"/>
        </w:rPr>
      </w:pPr>
      <w:r>
        <w:rPr>
          <w:rFonts w:hint="eastAsia"/>
          <w:color w:val="auto"/>
        </w:rPr>
        <w:t xml:space="preserve">五、我单位具有履行本项目采购合同所必需的设备和专业技术能力，并具有履行合同的良好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077"/>
        <w:ind w:firstLine="480"/>
        <w:spacing w:line="460" w:lineRule="exact"/>
        <w:rPr>
          <w:color w:val="auto"/>
        </w:rPr>
      </w:pPr>
      <w:r>
        <w:rPr>
          <w:rFonts w:hint="eastAsia"/>
          <w:color w:val="auto"/>
        </w:rPr>
        <w:t xml:space="preserve">主要设备有：</w:t>
      </w:r>
      <w:r>
        <w:rPr>
          <w:color w:val="auto"/>
          <w:u w:val="single"/>
        </w:rPr>
        <w:t xml:space="preserve">            </w:t>
      </w:r>
      <w:r/>
    </w:p>
    <w:p>
      <w:pPr>
        <w:pStyle w:val="1077"/>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077"/>
        <w:ind w:firstLine="480"/>
        <w:spacing w:line="460" w:lineRule="exact"/>
        <w:rPr>
          <w:color w:val="auto"/>
        </w:rPr>
      </w:pPr>
      <w:r>
        <w:rPr>
          <w:rFonts w:hint="eastAsia"/>
          <w:color w:va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7"/>
        <w:ind w:firstLine="480"/>
        <w:spacing w:line="460" w:lineRule="exact"/>
        <w:rPr>
          <w:color w:val="auto"/>
        </w:rPr>
      </w:pPr>
      <w:r>
        <w:rPr>
          <w:rFonts w:hint="eastAsia"/>
          <w:color w:val="auto"/>
        </w:rPr>
        <w:t xml:space="preserve">七、我单位具备法律、行政法规规定的其他条件。</w:t>
      </w:r>
      <w:r/>
    </w:p>
    <w:p>
      <w:pPr>
        <w:pStyle w:val="1077"/>
        <w:ind w:firstLine="480"/>
        <w:spacing w:line="460" w:lineRule="exact"/>
        <w:rPr>
          <w:color w:val="auto"/>
        </w:rPr>
      </w:pPr>
      <w:r>
        <w:rPr>
          <w:rFonts w:hint="eastAsia"/>
          <w:color w:val="auto"/>
        </w:rPr>
        <w:t xml:space="preserve">八、与我单位存在“单位负责人为同一人或者存在直接控股、管理关系”的其他单位信息如下（如无此情形的，填写“无”）：</w:t>
      </w:r>
      <w:r/>
    </w:p>
    <w:p>
      <w:pPr>
        <w:pStyle w:val="1077"/>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077"/>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077"/>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077"/>
        <w:ind w:firstLine="480"/>
        <w:spacing w:line="460" w:lineRule="exact"/>
        <w:rPr>
          <w:color w:val="auto"/>
        </w:rPr>
      </w:pPr>
      <w:r>
        <w:rPr>
          <w:rFonts w:hint="eastAsia"/>
          <w:color w:val="auto"/>
        </w:rPr>
        <w:t xml:space="preserve">九、</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1077"/>
        <w:ind w:firstLine="480"/>
        <w:spacing w:line="460" w:lineRule="exact"/>
        <w:rPr>
          <w:color w:val="auto"/>
        </w:rPr>
      </w:pPr>
      <w:r>
        <w:rPr>
          <w:rFonts w:hint="eastAsia"/>
          <w:color w:val="auto"/>
        </w:rPr>
        <w:t xml:space="preserve">十、</w:t>
      </w:r>
      <w:r>
        <w:rPr>
          <w:color w:val="auto"/>
        </w:rPr>
        <w:t xml:space="preserve">我单位无以下不良信用记录情形：</w:t>
      </w:r>
      <w:r/>
    </w:p>
    <w:p>
      <w:pPr>
        <w:pStyle w:val="1077"/>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077"/>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077"/>
        <w:ind w:firstLine="480"/>
        <w:spacing w:line="460" w:lineRule="exact"/>
        <w:rPr>
          <w:color w:val="auto"/>
        </w:rPr>
      </w:pPr>
      <w:r>
        <w:rPr>
          <w:color w:val="auto"/>
        </w:rPr>
        <w:t xml:space="preserve">3</w:t>
      </w:r>
      <w:r>
        <w:rPr>
          <w:rFonts w:hint="eastAsia"/>
          <w:color w:val="auto"/>
        </w:rPr>
        <w:t xml:space="preserve">、</w:t>
      </w:r>
      <w:r>
        <w:rPr>
          <w:color w:val="auto"/>
        </w:rPr>
        <w:t xml:space="preserve">不符合《</w:t>
      </w:r>
      <w:r>
        <w:rPr>
          <w:rFonts w:hint="eastAsia"/>
          <w:color w:val="auto"/>
          <w:lang w:eastAsia="zh-CN"/>
        </w:rPr>
        <w:t xml:space="preserve">中华人民共和国政府采购法</w:t>
      </w:r>
      <w:r>
        <w:rPr>
          <w:color w:val="auto"/>
        </w:rPr>
        <w:t xml:space="preserve">》第二十二条规定的条件。</w:t>
      </w:r>
      <w:r/>
    </w:p>
    <w:p>
      <w:pPr>
        <w:pStyle w:val="1077"/>
        <w:ind w:firstLine="480"/>
        <w:spacing w:line="460" w:lineRule="exact"/>
        <w:rPr>
          <w:color w:val="auto"/>
        </w:rPr>
      </w:pPr>
      <w:r>
        <w:rPr>
          <w:color w:val="auto"/>
        </w:rPr>
      </w:r>
      <w:r/>
    </w:p>
    <w:p>
      <w:pPr>
        <w:pStyle w:val="1077"/>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077"/>
        <w:ind w:firstLine="480"/>
        <w:spacing w:line="460" w:lineRule="exact"/>
        <w:rPr>
          <w:color w:val="auto"/>
        </w:rPr>
      </w:pPr>
      <w:r>
        <w:rPr>
          <w:color w:val="auto"/>
        </w:rPr>
      </w:r>
      <w:r/>
    </w:p>
    <w:p>
      <w:pPr>
        <w:pStyle w:val="1077"/>
        <w:ind w:firstLine="480"/>
        <w:spacing w:line="460" w:lineRule="exact"/>
        <w:rPr>
          <w:color w:val="auto"/>
        </w:rPr>
      </w:pPr>
      <w:r>
        <w:rPr>
          <w:color w:val="auto"/>
        </w:rPr>
      </w:r>
      <w:r/>
    </w:p>
    <w:p>
      <w:pPr>
        <w:pStyle w:val="1077"/>
        <w:ind w:firstLine="480"/>
        <w:spacing w:line="460" w:lineRule="exact"/>
        <w:rPr>
          <w:color w:val="auto"/>
        </w:rPr>
      </w:pPr>
      <w:r>
        <w:rPr>
          <w:rFonts w:hint="eastAsia"/>
          <w:color w:val="auto"/>
        </w:rPr>
        <w:t xml:space="preserve">                                          供应商：（加盖公章）</w:t>
      </w:r>
      <w:r/>
    </w:p>
    <w:p>
      <w:pPr>
        <w:pStyle w:val="1077"/>
        <w:ind w:firstLine="480"/>
        <w:spacing w:line="460" w:lineRule="exact"/>
        <w:rPr>
          <w:color w:val="auto"/>
        </w:rPr>
      </w:pPr>
      <w:r>
        <w:rPr>
          <w:rFonts w:hint="eastAsia"/>
          <w:color w:val="auto"/>
        </w:rPr>
        <w:t xml:space="preserve">                                          法定代表人（或单位负责人）签字或盖章：</w:t>
      </w:r>
      <w:r/>
    </w:p>
    <w:p>
      <w:pPr>
        <w:pStyle w:val="1077"/>
        <w:ind w:firstLine="4800"/>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w:t>
      </w:r>
      <w:r>
        <w:rPr>
          <w:rFonts w:hint="eastAsia"/>
          <w:color w:val="auto"/>
          <w:sz w:val="24"/>
          <w:lang w:eastAsia="zh-CN"/>
        </w:rPr>
        <w:t xml:space="preserve">中华人民共和国政府采购法</w:t>
      </w:r>
      <w:r>
        <w:rPr>
          <w:rFonts w:hint="eastAsia"/>
          <w:color w:val="auto"/>
          <w:sz w:val="24"/>
        </w:rPr>
        <w:t xml:space="preserve">》第七十七条“提供虚假材料谋取中标、成交的”有关规定予以处理</w:t>
      </w:r>
      <w:r>
        <w:rPr>
          <w:color w:val="auto"/>
          <w:sz w:val="24"/>
        </w:rPr>
        <w:t xml:space="preserve">。</w:t>
      </w:r>
      <w:r/>
    </w:p>
    <w:p>
      <w:pPr>
        <w:spacing w:line="360" w:lineRule="auto"/>
        <w:tabs>
          <w:tab w:val="left" w:pos="5580" w:leader="none"/>
        </w:tabs>
        <w:rPr>
          <w:color w:val="auto"/>
          <w:sz w:val="24"/>
        </w:rPr>
        <w:sectPr>
          <w:footerReference w:type="default" r:id="rId21"/>
          <w:footnotePr/>
          <w:endnotePr/>
          <w:type w:val="nextPage"/>
          <w:pgSz w:w="11907" w:h="16840" w:orient="portrait"/>
          <w:pgMar w:top="1361" w:right="1134" w:bottom="1418" w:left="1701" w:header="851" w:footer="851" w:gutter="0"/>
          <w:cols w:num="1" w:sep="0" w:space="1701" w:equalWidth="1"/>
          <w:docGrid w:linePitch="360"/>
        </w:sectPr>
      </w:pPr>
      <w:r>
        <w:rPr>
          <w:color w:val="auto"/>
          <w:sz w:val="24"/>
        </w:rPr>
      </w:r>
      <w:r/>
    </w:p>
    <w:p>
      <w:pPr>
        <w:spacing w:line="360" w:lineRule="auto"/>
        <w:rPr>
          <w:color w:val="auto"/>
          <w:sz w:val="24"/>
          <w:szCs w:val="20"/>
        </w:rPr>
        <w:outlineLvl w:val="2"/>
      </w:pPr>
      <w:r>
        <w:rPr>
          <w:color w:val="auto"/>
          <w:sz w:val="24"/>
          <w:szCs w:val="20"/>
        </w:rPr>
        <w:t xml:space="preserve">2 落实政府采购政策需满足的资格要求</w:t>
      </w:r>
      <w:r/>
    </w:p>
    <w:p>
      <w:pPr>
        <w:spacing w:line="360" w:lineRule="auto"/>
        <w:rPr>
          <w:color w:val="auto"/>
          <w:sz w:val="24"/>
          <w:szCs w:val="20"/>
        </w:rPr>
        <w:outlineLvl w:val="2"/>
      </w:pPr>
      <w:r>
        <w:rPr>
          <w:color w:val="auto"/>
          <w:sz w:val="24"/>
          <w:szCs w:val="20"/>
        </w:rPr>
        <w:t xml:space="preserve">2-1 中小企业声明函</w:t>
      </w:r>
      <w:r/>
    </w:p>
    <w:p>
      <w:pPr>
        <w:spacing w:line="360" w:lineRule="auto"/>
        <w:tabs>
          <w:tab w:val="left" w:pos="5580" w:leader="none"/>
        </w:tabs>
        <w:rPr>
          <w:color w:val="auto"/>
          <w:sz w:val="24"/>
        </w:rPr>
      </w:pPr>
      <w:r>
        <w:rPr>
          <w:color w:val="auto"/>
          <w:sz w:val="24"/>
        </w:rPr>
      </w:r>
      <w:r/>
    </w:p>
    <w:p>
      <w:pPr>
        <w:spacing w:line="360" w:lineRule="auto"/>
        <w:tabs>
          <w:tab w:val="left" w:pos="5580" w:leader="none"/>
        </w:tabs>
        <w:rPr>
          <w:color w:val="auto"/>
          <w:sz w:val="24"/>
        </w:rPr>
      </w:pPr>
      <w:r>
        <w:rPr>
          <w:color w:val="auto"/>
          <w:sz w:val="24"/>
        </w:rPr>
        <w:t xml:space="preserve">说明：</w:t>
      </w:r>
      <w:r/>
    </w:p>
    <w:p>
      <w:pPr>
        <w:spacing w:line="360" w:lineRule="auto"/>
        <w:tabs>
          <w:tab w:val="left" w:pos="5580" w:leader="none"/>
        </w:tabs>
        <w:rPr>
          <w:color w:val="auto"/>
          <w:sz w:val="24"/>
        </w:rPr>
      </w:pPr>
      <w:r>
        <w:rPr>
          <w:color w:val="auto"/>
          <w:sz w:val="24"/>
        </w:rPr>
        <w:t xml:space="preserve">（1）如本项目（包）不专门面向中小企业预留采购份额，</w:t>
      </w:r>
      <w:r>
        <w:rPr>
          <w:rFonts w:hint="eastAsia"/>
          <w:color w:val="auto"/>
          <w:sz w:val="24"/>
        </w:rPr>
        <w:t xml:space="preserve">供应商非必须</w:t>
      </w:r>
      <w:r>
        <w:rPr>
          <w:color w:val="auto"/>
          <w:sz w:val="24"/>
        </w:rPr>
        <w:t xml:space="preserve">提供</w:t>
      </w:r>
      <w:r>
        <w:rPr>
          <w:rFonts w:hint="eastAsia"/>
          <w:color w:val="auto"/>
          <w:sz w:val="24"/>
        </w:rPr>
        <w:t xml:space="preserve">；当小微企业拟享受中小企业扶持政策时，仍应提供</w:t>
      </w:r>
      <w:r>
        <w:rPr>
          <w:color w:val="auto"/>
          <w:sz w:val="24"/>
        </w:rPr>
        <w:t xml:space="preserve">《中小企业声明函》</w:t>
      </w:r>
      <w:r>
        <w:rPr>
          <w:rFonts w:hint="eastAsia"/>
          <w:color w:val="auto"/>
          <w:sz w:val="24"/>
        </w:rPr>
        <w:t xml:space="preserve">，</w:t>
      </w:r>
      <w:r>
        <w:rPr>
          <w:color w:val="auto"/>
          <w:sz w:val="24"/>
        </w:rPr>
        <w:t xml:space="preserve">否则不得享受相关中小企业扶持政策</w:t>
      </w:r>
      <w:r>
        <w:rPr>
          <w:color w:val="auto"/>
          <w:sz w:val="24"/>
        </w:rPr>
        <w:t xml:space="preserve">。</w:t>
      </w:r>
      <w:r/>
    </w:p>
    <w:p>
      <w:pPr>
        <w:spacing w:line="360" w:lineRule="auto"/>
        <w:tabs>
          <w:tab w:val="left" w:pos="5580" w:leader="none"/>
        </w:tabs>
        <w:rPr>
          <w:color w:val="auto"/>
          <w:sz w:val="24"/>
        </w:rPr>
      </w:pPr>
      <w:r>
        <w:rPr>
          <w:color w:val="auto"/>
          <w:sz w:val="24"/>
        </w:rPr>
        <w:t xml:space="preserve">（2）如本项目（包）专门面向中小/小微企业采购，须提供《中小企业声明函》</w:t>
      </w:r>
      <w:r>
        <w:rPr>
          <w:color w:val="auto"/>
          <w:sz w:val="24"/>
          <w:szCs w:val="20"/>
        </w:rPr>
        <w:t xml:space="preserve">（实质性格式）</w:t>
      </w:r>
      <w:r>
        <w:rPr>
          <w:color w:val="auto"/>
          <w:sz w:val="24"/>
        </w:rPr>
        <w:t xml:space="preserve">。</w:t>
      </w:r>
      <w:r/>
    </w:p>
    <w:p>
      <w:pPr>
        <w:spacing w:line="360" w:lineRule="auto"/>
        <w:tabs>
          <w:tab w:val="left" w:pos="5580" w:leader="none"/>
        </w:tabs>
        <w:rPr>
          <w:color w:val="auto"/>
          <w:sz w:val="24"/>
        </w:rPr>
      </w:pPr>
      <w:r>
        <w:rPr>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rPr>
      </w:pPr>
      <w:r>
        <w:rPr>
          <w:color w:val="auto"/>
          <w:sz w:val="24"/>
        </w:rPr>
        <w:t xml:space="preserve">（4）其它</w:t>
      </w:r>
      <w:r/>
    </w:p>
    <w:p>
      <w:pPr>
        <w:spacing w:line="360" w:lineRule="auto"/>
        <w:tabs>
          <w:tab w:val="left" w:pos="5580" w:leader="none"/>
        </w:tabs>
        <w:rPr>
          <w:color w:val="auto"/>
          <w:sz w:val="24"/>
        </w:rPr>
      </w:pPr>
      <w:r>
        <w:rPr>
          <w:color w:val="auto"/>
          <w:sz w:val="24"/>
        </w:rPr>
        <w:t xml:space="preserve">1）中小企业参加政府采购活动，应当出具此格式文件。《中小企业声明函》由参加政府采购活动的供应商出具。联合体</w:t>
      </w:r>
      <w:r>
        <w:rPr>
          <w:rFonts w:hint="eastAsia"/>
          <w:color w:val="auto"/>
          <w:sz w:val="24"/>
        </w:rPr>
        <w:t xml:space="preserve">响应</w:t>
      </w:r>
      <w:r>
        <w:rPr>
          <w:color w:val="auto"/>
          <w:sz w:val="24"/>
        </w:rPr>
        <w:t xml:space="preserve">的，《中小企业声明函》由牵头人出具。</w:t>
      </w:r>
      <w:r/>
    </w:p>
    <w:p>
      <w:pPr>
        <w:spacing w:line="360" w:lineRule="auto"/>
        <w:tabs>
          <w:tab w:val="left" w:pos="5580" w:leader="none"/>
        </w:tabs>
        <w:rPr>
          <w:color w:val="auto"/>
          <w:sz w:val="24"/>
        </w:rPr>
      </w:pPr>
      <w:r>
        <w:rPr>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rPr>
      </w:pPr>
      <w:r>
        <w:rPr>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rPr>
      </w:pPr>
      <w:r>
        <w:rPr>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rPr>
      </w:pPr>
      <w:r>
        <w:rPr>
          <w:color w:val="auto"/>
          <w:sz w:val="24"/>
        </w:rPr>
      </w:r>
      <w:r/>
    </w:p>
    <w:p>
      <w:pPr>
        <w:jc w:val="left"/>
        <w:widowControl/>
        <w:rPr>
          <w:color w:val="auto"/>
          <w:sz w:val="24"/>
        </w:rPr>
      </w:pPr>
      <w:r>
        <w:rPr>
          <w:color w:val="auto"/>
          <w:sz w:val="24"/>
        </w:rPr>
      </w:r>
      <w:r/>
    </w:p>
    <w:p>
      <w:pPr>
        <w:spacing w:line="360" w:lineRule="auto"/>
        <w:rPr>
          <w:color w:val="auto"/>
          <w:sz w:val="24"/>
        </w:rPr>
      </w:pPr>
      <w:r>
        <w:rPr>
          <w:color w:val="auto"/>
          <w:sz w:val="24"/>
        </w:rPr>
      </w:r>
      <w:r/>
    </w:p>
    <w:p>
      <w:pPr>
        <w:jc w:val="center"/>
        <w:spacing w:before="240" w:after="240" w:line="360" w:lineRule="auto"/>
        <w:rPr>
          <w:b/>
          <w:bCs/>
          <w:color w:val="auto"/>
          <w:sz w:val="36"/>
          <w:szCs w:val="36"/>
        </w:rPr>
      </w:pPr>
      <w:r>
        <w:rPr>
          <w:color w:val="auto"/>
          <w:sz w:val="24"/>
        </w:rPr>
        <w:br w:type="page" w:clear="all"/>
      </w:r>
      <w:r>
        <w:rPr>
          <w:rFonts w:hint="eastAsia"/>
          <w:b/>
          <w:bCs/>
          <w:color w:val="auto"/>
          <w:sz w:val="36"/>
          <w:szCs w:val="36"/>
        </w:rPr>
        <w:t xml:space="preserve">中小企业声明函（服务）格式</w:t>
      </w:r>
      <w:r/>
    </w:p>
    <w:p>
      <w:pPr>
        <w:ind w:firstLine="504"/>
        <w:spacing w:line="360" w:lineRule="auto"/>
        <w:rPr>
          <w:color w:val="auto"/>
          <w:spacing w:val="6"/>
          <w:sz w:val="24"/>
        </w:rPr>
      </w:pPr>
      <w:r>
        <w:rPr>
          <w:color w:val="auto"/>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360" w:lineRule="auto"/>
        <w:rPr>
          <w:color w:val="auto"/>
          <w:spacing w:val="6"/>
          <w:sz w:val="24"/>
        </w:rPr>
      </w:pPr>
      <w:r>
        <w:rPr>
          <w:color w:val="auto"/>
          <w:spacing w:val="6"/>
          <w:sz w:val="24"/>
        </w:rPr>
        <w:t xml:space="preserve">1.</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w:t>
      </w:r>
      <w:r>
        <w:rPr>
          <w:color w:val="auto"/>
          <w:spacing w:val="6"/>
          <w:sz w:val="24"/>
          <w:vertAlign w:val="superscript"/>
        </w:rPr>
        <w:t xml:space="preserve">1</w:t>
      </w:r>
      <w:r>
        <w:rPr>
          <w:color w:val="auto"/>
          <w:spacing w:val="6"/>
          <w:sz w:val="24"/>
        </w:rPr>
        <w:t xml:space="preserve">，属于（中型企业、小型企业、微型企业）；</w:t>
      </w:r>
      <w:r/>
    </w:p>
    <w:p>
      <w:pPr>
        <w:ind w:firstLine="504"/>
        <w:spacing w:line="360" w:lineRule="auto"/>
        <w:rPr>
          <w:color w:val="auto"/>
          <w:spacing w:val="6"/>
          <w:sz w:val="24"/>
        </w:rPr>
      </w:pPr>
      <w:r>
        <w:rPr>
          <w:color w:val="auto"/>
          <w:spacing w:val="6"/>
          <w:sz w:val="24"/>
        </w:rPr>
        <w:t xml:space="preserve">2.</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，从业人员______人，营业收入为______万元，资产总额为______万元，属于</w:t>
      </w:r>
      <w:r>
        <w:rPr>
          <w:color w:val="auto"/>
          <w:spacing w:val="6"/>
          <w:sz w:val="24"/>
          <w:u w:val="single"/>
        </w:rPr>
        <w:t xml:space="preserve">（中型企业、小型企业、微型企业）</w:t>
      </w:r>
      <w:r>
        <w:rPr>
          <w:color w:val="auto"/>
          <w:spacing w:val="6"/>
          <w:sz w:val="24"/>
        </w:rPr>
        <w:t xml:space="preserve">；</w:t>
      </w:r>
      <w:r/>
    </w:p>
    <w:p>
      <w:pPr>
        <w:ind w:firstLine="504"/>
        <w:spacing w:line="360" w:lineRule="auto"/>
        <w:rPr>
          <w:color w:val="auto"/>
          <w:spacing w:val="6"/>
          <w:sz w:val="24"/>
        </w:rPr>
      </w:pPr>
      <w:r>
        <w:rPr>
          <w:color w:val="auto"/>
          <w:spacing w:val="6"/>
          <w:sz w:val="24"/>
        </w:rPr>
      </w:r>
      <w:r/>
    </w:p>
    <w:p>
      <w:pPr>
        <w:ind w:firstLine="504"/>
        <w:spacing w:line="360" w:lineRule="auto"/>
        <w:rPr>
          <w:color w:val="auto"/>
          <w:spacing w:val="6"/>
          <w:sz w:val="24"/>
        </w:rPr>
      </w:pPr>
      <w:r>
        <w:rPr>
          <w:color w:val="auto"/>
          <w:spacing w:val="6"/>
          <w:sz w:val="24"/>
        </w:rPr>
        <w:t xml:space="preserve">……</w:t>
      </w:r>
      <w:r/>
    </w:p>
    <w:p>
      <w:pPr>
        <w:ind w:firstLine="504"/>
        <w:spacing w:line="360" w:lineRule="auto"/>
        <w:rPr>
          <w:color w:val="auto"/>
          <w:spacing w:val="6"/>
          <w:sz w:val="24"/>
        </w:rPr>
      </w:pPr>
      <w:r>
        <w:rPr>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pacing w:val="6"/>
          <w:sz w:val="24"/>
        </w:rPr>
        <w:t xml:space="preserve">本企业对上述声明内容的真实性负责。如有虚假，将依法承担相应责任。</w:t>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jc w:val="left"/>
        <w:rPr>
          <w:color w:val="auto"/>
          <w:sz w:val="24"/>
          <w:szCs w:val="21"/>
        </w:rPr>
      </w:pPr>
      <w:r>
        <w:rPr>
          <w:color w:val="auto"/>
          <w:sz w:val="24"/>
          <w:szCs w:val="21"/>
        </w:rPr>
      </w:r>
      <w:r/>
    </w:p>
    <w:p>
      <w:pPr>
        <w:jc w:val="left"/>
        <w:rPr>
          <w:color w:val="auto"/>
          <w:sz w:val="24"/>
          <w:szCs w:val="21"/>
        </w:rPr>
      </w:pPr>
      <w:r>
        <w:rPr>
          <w:color w:val="auto"/>
          <w:sz w:val="24"/>
          <w:szCs w:val="21"/>
        </w:rPr>
      </w:r>
      <w:r/>
    </w:p>
    <w:tbl>
      <w:tblPr>
        <w:tblStyle w:val="90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left"/>
        <w:rPr>
          <w:color w:val="auto"/>
          <w:szCs w:val="21"/>
          <w:vertAlign w:val="superscript"/>
        </w:rPr>
      </w:pPr>
      <w:r>
        <w:rPr>
          <w:color w:val="auto"/>
          <w:szCs w:val="21"/>
          <w:vertAlign w:val="superscript"/>
        </w:rPr>
      </w:r>
      <w:r/>
    </w:p>
    <w:p>
      <w:pPr>
        <w:ind w:right="360" w:firstLine="480"/>
        <w:jc w:val="right"/>
        <w:spacing w:line="360" w:lineRule="auto"/>
        <w:rPr>
          <w:color w:val="auto"/>
          <w:sz w:val="24"/>
        </w:rPr>
      </w:pPr>
      <w:r>
        <w:rPr>
          <w:color w:val="auto"/>
          <w:sz w:val="24"/>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rPr>
          <w:b/>
          <w:color w:val="auto"/>
          <w:sz w:val="36"/>
          <w:szCs w:val="36"/>
        </w:rPr>
      </w:pPr>
      <w:r>
        <w:rPr>
          <w:rFonts w:hint="eastAsia"/>
          <w:b/>
          <w:color w:val="auto"/>
          <w:sz w:val="36"/>
          <w:szCs w:val="36"/>
        </w:rPr>
        <w:t xml:space="preserve">残疾人福利性单位声明函格式</w:t>
      </w:r>
      <w:r>
        <w:rPr>
          <w:b/>
          <w:color w:val="auto"/>
          <w:sz w:val="36"/>
          <w:szCs w:val="36"/>
        </w:rPr>
        <w:t xml:space="preserve">       </w:t>
      </w:r>
      <w:r/>
    </w:p>
    <w:p>
      <w:pPr>
        <w:jc w:val="center"/>
        <w:rPr>
          <w:color w:val="auto"/>
          <w:sz w:val="36"/>
          <w:szCs w:val="36"/>
        </w:rPr>
      </w:pPr>
      <w:r>
        <w:rPr>
          <w:color w:val="auto"/>
          <w:sz w:val="36"/>
          <w:szCs w:val="36"/>
        </w:rPr>
      </w:r>
      <w:r/>
    </w:p>
    <w:p>
      <w:pPr>
        <w:ind w:firstLine="504"/>
        <w:spacing w:line="588" w:lineRule="exact"/>
        <w:rPr>
          <w:color w:val="auto"/>
          <w:spacing w:val="6"/>
          <w:sz w:val="24"/>
        </w:rPr>
      </w:pPr>
      <w:r>
        <w:rPr>
          <w:color w:val="auto"/>
          <w:spacing w:val="6"/>
          <w:sz w:val="24"/>
        </w:rPr>
        <w:t xml:space="preserve">本单位郑重声明，根据《财政部 民政部 中国残疾人联合会关于促进残疾人就业政府采购政策的通知》（财库</w:t>
      </w:r>
      <w:r>
        <w:rPr>
          <w:color w:val="auto"/>
          <w:sz w:val="24"/>
        </w:rPr>
        <w:t xml:space="preserve">〔2017〕 141</w:t>
      </w:r>
      <w:r>
        <w:rPr>
          <w:color w:val="auto"/>
          <w:spacing w:val="6"/>
          <w:sz w:val="24"/>
        </w:rPr>
        <w:t xml:space="preserve">号）的规定，本单位</w:t>
      </w:r>
      <w:r>
        <w:rPr>
          <w:b/>
          <w:color w:val="auto"/>
          <w:sz w:val="24"/>
        </w:rPr>
        <w:t xml:space="preserve">（请进行勾选）</w:t>
      </w:r>
      <w:r>
        <w:rPr>
          <w:color w:val="auto"/>
          <w:spacing w:val="6"/>
          <w:sz w:val="24"/>
        </w:rPr>
        <w:t xml:space="preserve">：</w:t>
      </w:r>
      <w:r/>
    </w:p>
    <w:p>
      <w:pPr>
        <w:ind w:firstLine="482"/>
        <w:spacing w:line="588" w:lineRule="exact"/>
        <w:rPr>
          <w:b/>
          <w:color w:val="auto"/>
          <w:spacing w:val="6"/>
          <w:sz w:val="24"/>
        </w:rPr>
      </w:pPr>
      <w:r>
        <w:rPr>
          <w:b/>
          <w:color w:val="auto"/>
          <w:sz w:val="24"/>
        </w:rPr>
        <w:t xml:space="preserve">□</w:t>
      </w:r>
      <w:r>
        <w:rPr>
          <w:b/>
          <w:color w:val="auto"/>
          <w:spacing w:val="6"/>
          <w:sz w:val="24"/>
        </w:rPr>
        <w:t xml:space="preserve">不属于符合条件的残疾人福利性单位。</w:t>
      </w:r>
      <w:r/>
    </w:p>
    <w:p>
      <w:pPr>
        <w:ind w:firstLine="482"/>
        <w:spacing w:line="588" w:lineRule="exact"/>
        <w:rPr>
          <w:color w:val="auto"/>
          <w:spacing w:val="6"/>
          <w:sz w:val="24"/>
        </w:rPr>
      </w:pPr>
      <w:r>
        <w:rPr>
          <w:b/>
          <w:color w:val="auto"/>
          <w:sz w:val="24"/>
        </w:rPr>
        <w:t xml:space="preserve">□</w:t>
      </w:r>
      <w:r>
        <w:rPr>
          <w:b/>
          <w:color w:val="auto"/>
          <w:spacing w:val="6"/>
          <w:sz w:val="24"/>
        </w:rPr>
        <w:t xml:space="preserve">属于符合条件的残疾人福利性单位，</w:t>
      </w:r>
      <w:r>
        <w:rPr>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rPr>
      </w:pPr>
      <w:r>
        <w:rPr>
          <w:b/>
          <w:color w:val="auto"/>
          <w:spacing w:val="6"/>
          <w:sz w:val="24"/>
        </w:rPr>
        <w:t xml:space="preserve">本单位对上述声明的真实性负责。如有虚假，将依法承担相应责任。</w:t>
      </w:r>
      <w:r/>
    </w:p>
    <w:p>
      <w:pPr>
        <w:ind w:firstLine="504"/>
        <w:spacing w:line="588" w:lineRule="exact"/>
        <w:rPr>
          <w:color w:val="auto"/>
          <w:spacing w:val="6"/>
          <w:sz w:val="24"/>
        </w:rPr>
      </w:pPr>
      <w:r>
        <w:rPr>
          <w:color w:val="auto"/>
          <w:spacing w:val="6"/>
          <w:sz w:val="24"/>
        </w:rPr>
      </w:r>
      <w:r/>
    </w:p>
    <w:p>
      <w:pPr>
        <w:ind w:firstLine="504"/>
        <w:spacing w:line="588" w:lineRule="exact"/>
        <w:rPr>
          <w:color w:val="auto"/>
          <w:spacing w:val="6"/>
          <w:sz w:val="24"/>
        </w:rPr>
      </w:pPr>
      <w:r>
        <w:rPr>
          <w:color w:val="auto"/>
          <w:spacing w:val="6"/>
          <w:sz w:val="24"/>
        </w:rPr>
      </w:r>
      <w:r/>
    </w:p>
    <w:p>
      <w:pPr>
        <w:ind w:right="1560" w:firstLine="504"/>
        <w:jc w:val="center"/>
        <w:spacing w:line="588" w:lineRule="exact"/>
        <w:tabs>
          <w:tab w:val="left" w:pos="4860" w:leader="none"/>
        </w:tabs>
        <w:rPr>
          <w:color w:val="auto"/>
          <w:spacing w:val="6"/>
          <w:sz w:val="24"/>
        </w:rPr>
      </w:pPr>
      <w:r>
        <w:rPr>
          <w:color w:val="auto"/>
          <w:spacing w:val="6"/>
          <w:sz w:val="24"/>
        </w:rPr>
        <w:t xml:space="preserve">               单位名称（盖章）：</w:t>
      </w:r>
      <w:r/>
    </w:p>
    <w:p>
      <w:pPr>
        <w:ind w:right="1560" w:firstLine="504"/>
        <w:jc w:val="center"/>
        <w:spacing w:line="588" w:lineRule="exact"/>
        <w:tabs>
          <w:tab w:val="left" w:pos="4860" w:leader="none"/>
        </w:tabs>
        <w:rPr>
          <w:color w:val="auto"/>
          <w:spacing w:val="6"/>
          <w:sz w:val="24"/>
        </w:rPr>
      </w:pPr>
      <w:r>
        <w:rPr>
          <w:color w:val="auto"/>
          <w:spacing w:val="6"/>
          <w:sz w:val="24"/>
        </w:rPr>
        <w:t xml:space="preserve">       日  期：</w:t>
      </w:r>
      <w:r/>
    </w:p>
    <w:p>
      <w:pPr>
        <w:jc w:val="left"/>
        <w:widowControl/>
        <w:rPr>
          <w:color w:val="auto"/>
          <w:sz w:val="24"/>
          <w:szCs w:val="20"/>
        </w:rPr>
      </w:pPr>
      <w:r>
        <w:rPr>
          <w:color w:val="auto"/>
          <w:sz w:val="24"/>
          <w:szCs w:val="20"/>
        </w:rPr>
        <w:br w:type="page" w:clear="all"/>
      </w:r>
      <w:r/>
    </w:p>
    <w:p>
      <w:pPr>
        <w:spacing w:line="360" w:lineRule="auto"/>
        <w:rPr>
          <w:color w:val="auto"/>
          <w:sz w:val="24"/>
        </w:rPr>
        <w:outlineLvl w:val="2"/>
      </w:pPr>
      <w:r>
        <w:rPr>
          <w:color w:val="auto"/>
          <w:sz w:val="24"/>
          <w:szCs w:val="20"/>
        </w:rPr>
        <w:t xml:space="preserve">3 </w:t>
      </w:r>
      <w:r>
        <w:rPr>
          <w:color w:val="auto"/>
          <w:sz w:val="24"/>
        </w:rPr>
        <w:t xml:space="preserve">本项目的特定资格要求</w:t>
      </w:r>
      <w:r/>
    </w:p>
    <w:p>
      <w:pPr>
        <w:spacing w:line="360" w:lineRule="auto"/>
        <w:rPr>
          <w:color w:val="auto"/>
          <w:sz w:val="24"/>
          <w:szCs w:val="20"/>
        </w:rPr>
        <w:outlineLvl w:val="2"/>
      </w:pPr>
      <w:r>
        <w:rPr>
          <w:color w:val="auto"/>
          <w:sz w:val="24"/>
          <w:szCs w:val="20"/>
        </w:rPr>
        <w:t xml:space="preserve">3-1联合协议（如有）（实质性格式）</w:t>
      </w:r>
      <w:r/>
    </w:p>
    <w:p>
      <w:pPr>
        <w:jc w:val="center"/>
        <w:spacing w:line="240" w:lineRule="auto"/>
        <w:rPr>
          <w:b/>
          <w:color w:val="auto"/>
          <w:sz w:val="36"/>
          <w:szCs w:val="36"/>
        </w:rPr>
      </w:pPr>
      <w:r>
        <w:rPr>
          <w:rFonts w:hint="eastAsia"/>
          <w:b/>
          <w:color w:val="auto"/>
          <w:sz w:val="36"/>
          <w:szCs w:val="36"/>
        </w:rPr>
        <w:t xml:space="preserve">联合协议</w:t>
      </w:r>
      <w:r/>
    </w:p>
    <w:p>
      <w:pPr>
        <w:ind w:firstLine="828"/>
        <w:keepLines w:val="0"/>
        <w:keepNext w:val="0"/>
        <w:pageBreakBefore w:val="0"/>
        <w:spacing w:line="480" w:lineRule="auto"/>
        <w:widowControl w:val="off"/>
        <w:rPr>
          <w:bCs/>
          <w:color w:val="auto"/>
        </w:rPr>
      </w:pPr>
      <w:r>
        <w:rPr>
          <w:bCs/>
          <w:color w:val="auto"/>
          <w:sz w:val="24"/>
        </w:rPr>
        <w:t xml:space="preserve">______、_____ 及_____就“________（项目名称）</w:t>
      </w:r>
      <w:r>
        <w:rPr>
          <w:color w:val="auto"/>
          <w:sz w:val="24"/>
        </w:rPr>
        <w:t xml:space="preserve">”____包</w:t>
      </w:r>
      <w:r>
        <w:rPr>
          <w:bCs/>
          <w:color w:val="auto"/>
          <w:sz w:val="24"/>
        </w:rPr>
        <w:t xml:space="preserve">招标项目的投标事宜，经各方充分协商一致，达成如下协议：</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由_________牵头，_________、__________参加，组成联合体共同进行招标项目的投标工作。</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______为本次投标的牵头人，联合体以牵头人的名义参加投标，联合体中标后，联合体各方共同与采购人签订合同，就</w:t>
      </w:r>
      <w:r>
        <w:rPr>
          <w:rFonts w:hint="eastAsia"/>
          <w:bCs/>
          <w:color w:val="auto"/>
          <w:sz w:val="24"/>
        </w:rPr>
        <w:t xml:space="preserve">采购合同约定的事项</w:t>
      </w:r>
      <w:r>
        <w:rPr>
          <w:bCs/>
          <w:color w:val="auto"/>
          <w:sz w:val="24"/>
        </w:rPr>
        <w:t xml:space="preserve">对采购人承担连带责任。</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联合体各方均同意由牵头人代表其他联合体成员单位按招标文件要求出具《授权委托书》。</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牵头人为项目的总负责单位；组织各参加方进行项目实施工作。</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______负责_____，具体工作范围、内容以投标文件及合同为准。</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______负责_____，具体工作范围、内容以投标文件及合同为准。</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______负责_____（如有），具体工作范围、内容以投标文件及合同为准。</w:t>
      </w:r>
      <w:r/>
    </w:p>
    <w:p>
      <w:pPr>
        <w:numPr>
          <w:ilvl w:val="0"/>
          <w:numId w:val="16"/>
        </w:numPr>
        <w:keepLines w:val="0"/>
        <w:keepNext w:val="0"/>
        <w:pageBreakBefore w:val="0"/>
        <w:spacing w:line="480" w:lineRule="auto"/>
        <w:widowControl w:val="off"/>
        <w:rPr>
          <w:color w:val="auto"/>
          <w:sz w:val="24"/>
        </w:rPr>
      </w:pPr>
      <w:r>
        <w:rPr>
          <w:color w:val="auto"/>
          <w:sz w:val="24"/>
        </w:rPr>
        <w:t xml:space="preserve">本项目联合协议合同总额为________元，联合体各成员按照如下比例分摊（按联合体成员分别列明）：</w:t>
      </w:r>
      <w:r/>
    </w:p>
    <w:p>
      <w:pPr>
        <w:ind w:left="851"/>
        <w:keepLines w:val="0"/>
        <w:keepNext w:val="0"/>
        <w:pageBreakBefore w:val="0"/>
        <w:spacing w:line="480" w:lineRule="auto"/>
        <w:widowControl w:val="off"/>
        <w:tabs>
          <w:tab w:val="left" w:pos="720" w:leader="none"/>
          <w:tab w:val="left" w:pos="900" w:leader="none"/>
        </w:tabs>
        <w:rPr>
          <w:color w:val="auto"/>
          <w:sz w:val="24"/>
          <w:szCs w:val="20"/>
        </w:rPr>
      </w:pPr>
      <w:r>
        <w:rPr>
          <w:color w:val="auto"/>
          <w:sz w:val="24"/>
          <w:szCs w:val="20"/>
        </w:rPr>
        <w:t xml:space="preserve">（1）</w:t>
      </w:r>
      <w:r>
        <w:rPr>
          <w:bCs/>
          <w:color w:val="auto"/>
          <w:sz w:val="24"/>
          <w:szCs w:val="20"/>
        </w:rPr>
        <w:t xml:space="preserve">______</w:t>
      </w:r>
      <w:r>
        <w:rPr>
          <w:color w:val="auto"/>
          <w:sz w:val="24"/>
          <w:szCs w:val="20"/>
        </w:rPr>
        <w:t xml:space="preserve">为□大型企业□中型企业、□小微企业（包含监狱企业、残疾人福利性单位）、□其他，合同金额为_____元；</w:t>
      </w:r>
      <w:r/>
    </w:p>
    <w:p>
      <w:pPr>
        <w:ind w:left="851"/>
        <w:keepLines w:val="0"/>
        <w:keepNext w:val="0"/>
        <w:pageBreakBefore w:val="0"/>
        <w:spacing w:line="480" w:lineRule="auto"/>
        <w:widowControl w:val="off"/>
        <w:tabs>
          <w:tab w:val="left" w:pos="720" w:leader="none"/>
          <w:tab w:val="left" w:pos="900" w:leader="none"/>
        </w:tabs>
        <w:rPr>
          <w:color w:val="auto"/>
          <w:sz w:val="24"/>
          <w:szCs w:val="20"/>
        </w:rPr>
      </w:pPr>
      <w:r>
        <w:rPr>
          <w:color w:val="auto"/>
          <w:sz w:val="24"/>
          <w:szCs w:val="20"/>
        </w:rPr>
        <w:t xml:space="preserve">（2）</w:t>
      </w:r>
      <w:r>
        <w:rPr>
          <w:bCs/>
          <w:color w:val="auto"/>
          <w:sz w:val="24"/>
          <w:szCs w:val="20"/>
        </w:rPr>
        <w:t xml:space="preserve">______</w:t>
      </w:r>
      <w:r>
        <w:rPr>
          <w:color w:val="auto"/>
          <w:sz w:val="24"/>
          <w:szCs w:val="20"/>
        </w:rPr>
        <w:t xml:space="preserve">为□大型企业□中型企业、□小微企业（包含监狱企业、残疾人福利性单位）、□其他，合同金额为_____元；</w:t>
      </w:r>
      <w:r/>
    </w:p>
    <w:p>
      <w:pPr>
        <w:ind w:left="851"/>
        <w:keepLines w:val="0"/>
        <w:keepNext w:val="0"/>
        <w:pageBreakBefore w:val="0"/>
        <w:spacing w:line="480" w:lineRule="auto"/>
        <w:widowControl w:val="off"/>
        <w:tabs>
          <w:tab w:val="left" w:pos="720" w:leader="none"/>
          <w:tab w:val="left" w:pos="900" w:leader="none"/>
        </w:tabs>
        <w:rPr>
          <w:color w:val="auto"/>
          <w:sz w:val="24"/>
          <w:szCs w:val="20"/>
        </w:rPr>
      </w:pPr>
      <w:r>
        <w:rPr>
          <w:color w:val="auto"/>
          <w:sz w:val="24"/>
          <w:szCs w:val="20"/>
        </w:rPr>
        <w:t xml:space="preserve">（…）</w:t>
      </w:r>
      <w:r>
        <w:rPr>
          <w:bCs/>
          <w:color w:val="auto"/>
          <w:sz w:val="24"/>
          <w:szCs w:val="20"/>
        </w:rPr>
        <w:t xml:space="preserve">______</w:t>
      </w:r>
      <w:r>
        <w:rPr>
          <w:color w:val="auto"/>
          <w:sz w:val="24"/>
          <w:szCs w:val="20"/>
        </w:rPr>
        <w:t xml:space="preserve">为□大型企业□中型企业、□小微企业（包含监狱企业、残疾人福利性单位）、□其他，合同金额为_____元。</w:t>
      </w:r>
      <w:r/>
    </w:p>
    <w:p>
      <w:pPr>
        <w:numPr>
          <w:ilvl w:val="0"/>
          <w:numId w:val="16"/>
        </w:numPr>
        <w:keepLines w:val="0"/>
        <w:keepNext w:val="0"/>
        <w:pageBreakBefore w:val="0"/>
        <w:spacing w:line="480" w:lineRule="auto"/>
        <w:widowControl w:val="off"/>
        <w:tabs>
          <w:tab w:val="left" w:pos="993" w:leader="none"/>
        </w:tabs>
        <w:rPr>
          <w:bCs/>
          <w:color w:val="auto"/>
          <w:sz w:val="24"/>
        </w:rPr>
      </w:pPr>
      <w:r>
        <w:rPr>
          <w:rFonts w:hint="eastAsia"/>
          <w:bCs/>
          <w:color w:val="auto"/>
          <w:sz w:val="24"/>
        </w:rPr>
        <w:t xml:space="preserve">以联合体形式参加政府采购活动的，联合体各方不得再单独参加或者与其他供应商另外组成联合体参加同一合同项下的政府采购活动</w:t>
      </w:r>
      <w:r>
        <w:rPr>
          <w:bCs/>
          <w:color w:val="auto"/>
          <w:sz w:val="24"/>
        </w:rPr>
        <w:t xml:space="preserve">。</w:t>
      </w:r>
      <w:r/>
    </w:p>
    <w:p>
      <w:pPr>
        <w:numPr>
          <w:ilvl w:val="0"/>
          <w:numId w:val="16"/>
        </w:numPr>
        <w:keepLines w:val="0"/>
        <w:keepNext w:val="0"/>
        <w:pageBreakBefore w:val="0"/>
        <w:spacing w:line="480" w:lineRule="auto"/>
        <w:widowControl w:val="off"/>
        <w:rPr>
          <w:bCs/>
          <w:color w:val="auto"/>
          <w:sz w:val="24"/>
        </w:rPr>
      </w:pPr>
      <w:r>
        <w:rPr>
          <w:bCs/>
          <w:color w:val="auto"/>
          <w:sz w:val="24"/>
        </w:rPr>
        <w:t xml:space="preserve">其他约定（如有）：_______</w:t>
      </w:r>
      <w:r>
        <w:rPr>
          <w:rFonts w:hint="eastAsia"/>
          <w:bCs/>
          <w:color w:val="auto"/>
          <w:sz w:val="24"/>
        </w:rPr>
        <w:t xml:space="preserve">。</w:t>
      </w:r>
      <w:r/>
    </w:p>
    <w:p>
      <w:pPr>
        <w:ind w:firstLine="480"/>
        <w:keepLines w:val="0"/>
        <w:keepNext w:val="0"/>
        <w:pageBreakBefore w:val="0"/>
        <w:spacing w:line="480" w:lineRule="auto"/>
        <w:widowControl w:val="off"/>
        <w:tabs>
          <w:tab w:val="left" w:pos="780" w:leader="none"/>
        </w:tabs>
        <w:rPr>
          <w:bCs/>
          <w:color w:val="auto"/>
          <w:sz w:val="24"/>
        </w:rPr>
      </w:pPr>
      <w:r>
        <w:rPr>
          <w:bCs/>
          <w:color w:val="auto"/>
          <w:sz w:val="24"/>
        </w:rPr>
        <w:t xml:space="preserve">本协议自各方加盖公章后生效，</w:t>
      </w:r>
      <w:r>
        <w:rPr>
          <w:rFonts w:hint="eastAsia"/>
          <w:bCs/>
          <w:color w:val="auto"/>
          <w:sz w:val="24"/>
        </w:rPr>
        <w:t xml:space="preserve">采购合同履行完毕后自动失效。</w:t>
      </w:r>
      <w:r>
        <w:rPr>
          <w:bCs/>
          <w:color w:val="auto"/>
          <w:sz w:val="24"/>
        </w:rPr>
        <w:t xml:space="preserve">如未中标，本协议自动终止。</w:t>
      </w:r>
      <w:r/>
    </w:p>
    <w:p>
      <w:pPr>
        <w:ind w:firstLine="480"/>
        <w:keepLines w:val="0"/>
        <w:keepNext w:val="0"/>
        <w:pageBreakBefore w:val="0"/>
        <w:spacing w:line="480" w:lineRule="auto"/>
        <w:widowControl w:val="off"/>
        <w:tabs>
          <w:tab w:val="left" w:pos="780" w:leader="none"/>
        </w:tabs>
        <w:rPr>
          <w:rFonts w:hint="eastAsia"/>
          <w:color w:val="auto"/>
          <w:sz w:val="24"/>
        </w:rPr>
      </w:pPr>
      <w:r>
        <w:rPr>
          <w:rFonts w:hint="eastAsia"/>
          <w:color w:val="auto"/>
          <w:sz w:val="24"/>
        </w:rPr>
      </w:r>
      <w:r/>
    </w:p>
    <w:p>
      <w:pPr>
        <w:ind w:firstLine="480"/>
        <w:keepLines w:val="0"/>
        <w:keepNext w:val="0"/>
        <w:pageBreakBefore w:val="0"/>
        <w:spacing w:line="480" w:lineRule="auto"/>
        <w:widowControl w:val="off"/>
        <w:tabs>
          <w:tab w:val="left" w:pos="780" w:leader="none"/>
        </w:tabs>
        <w:rPr>
          <w:color w:val="auto"/>
          <w:sz w:val="24"/>
        </w:rPr>
      </w:pPr>
      <w:r>
        <w:rPr>
          <w:rFonts w:hint="eastAsia"/>
          <w:color w:val="auto"/>
          <w:sz w:val="24"/>
        </w:rPr>
        <w:t xml:space="preserve">联合体</w:t>
      </w:r>
      <w:r>
        <w:rPr>
          <w:color w:val="auto"/>
          <w:sz w:val="24"/>
        </w:rPr>
        <w:t xml:space="preserve">牵头人</w:t>
      </w:r>
      <w:r>
        <w:rPr>
          <w:rFonts w:hint="eastAsia"/>
          <w:color w:val="auto"/>
          <w:sz w:val="24"/>
        </w:rPr>
        <w:t xml:space="preserve">名称：</w:t>
      </w:r>
      <w:r>
        <w:rPr>
          <w:color w:val="auto"/>
          <w:sz w:val="24"/>
          <w:szCs w:val="20"/>
        </w:rPr>
        <w:t xml:space="preserve">______</w:t>
      </w:r>
      <w:r>
        <w:rPr>
          <w:color w:val="auto"/>
          <w:sz w:val="24"/>
        </w:rPr>
        <w:tab/>
      </w:r>
      <w:r>
        <w:rPr>
          <w:color w:val="auto"/>
          <w:sz w:val="24"/>
        </w:rPr>
        <w:tab/>
      </w:r>
      <w:r>
        <w:rPr>
          <w:color w:val="auto"/>
          <w:sz w:val="24"/>
        </w:rPr>
        <w:tab/>
      </w:r>
      <w:r>
        <w:rPr>
          <w:color w:val="auto"/>
          <w:sz w:val="24"/>
        </w:rPr>
        <w:tab/>
      </w:r>
      <w:r>
        <w:rPr>
          <w:color w:val="auto"/>
          <w:sz w:val="24"/>
        </w:rPr>
        <w:tab/>
      </w:r>
      <w:r>
        <w:rPr>
          <w:color w:val="auto"/>
          <w:sz w:val="24"/>
        </w:rPr>
        <w:t xml:space="preserve"> </w:t>
      </w:r>
      <w:r>
        <w:rPr>
          <w:rFonts w:hint="eastAsia"/>
          <w:color w:val="auto"/>
          <w:sz w:val="24"/>
        </w:rPr>
        <w:t xml:space="preserve">联合体成员名称</w:t>
      </w:r>
      <w:r>
        <w:rPr>
          <w:color w:val="auto"/>
          <w:sz w:val="24"/>
        </w:rPr>
        <w:t xml:space="preserve">：</w:t>
      </w:r>
      <w:r>
        <w:rPr>
          <w:color w:val="auto"/>
          <w:sz w:val="24"/>
          <w:szCs w:val="20"/>
        </w:rPr>
        <w:t xml:space="preserve">______</w:t>
      </w:r>
      <w:r/>
    </w:p>
    <w:p>
      <w:pPr>
        <w:ind w:firstLine="471"/>
        <w:keepLines w:val="0"/>
        <w:keepNext w:val="0"/>
        <w:pageBreakBefore w:val="0"/>
        <w:spacing w:line="480" w:lineRule="auto"/>
        <w:widowControl w:val="off"/>
        <w:rPr>
          <w:color w:val="auto"/>
          <w:sz w:val="24"/>
        </w:rPr>
      </w:pPr>
      <w:r>
        <w:rPr>
          <w:color w:val="auto"/>
          <w:sz w:val="24"/>
        </w:rPr>
        <w:t xml:space="preserve">加盖公章：</w:t>
      </w:r>
      <w:r>
        <w:rPr>
          <w:color w:val="auto"/>
          <w:sz w:val="24"/>
          <w:szCs w:val="20"/>
        </w:rPr>
        <w:t xml:space="preserve">______</w:t>
      </w:r>
      <w:r>
        <w:rPr>
          <w:color w:val="auto"/>
          <w:sz w:val="24"/>
        </w:rPr>
        <w:t xml:space="preserve">                           加盖公章：</w:t>
      </w:r>
      <w:r>
        <w:rPr>
          <w:color w:val="auto"/>
          <w:sz w:val="24"/>
          <w:szCs w:val="20"/>
        </w:rPr>
        <w:t xml:space="preserve">______</w:t>
      </w:r>
      <w:r/>
    </w:p>
    <w:p>
      <w:pPr>
        <w:ind w:firstLine="471"/>
        <w:keepLines w:val="0"/>
        <w:keepNext w:val="0"/>
        <w:pageBreakBefore w:val="0"/>
        <w:spacing w:line="480" w:lineRule="auto"/>
        <w:widowControl w:val="off"/>
        <w:rPr>
          <w:color w:val="auto"/>
          <w:sz w:val="24"/>
        </w:rPr>
      </w:pPr>
      <w:r>
        <w:rPr>
          <w:color w:val="auto"/>
          <w:sz w:val="24"/>
        </w:rPr>
      </w:r>
      <w:r/>
    </w:p>
    <w:p>
      <w:pPr>
        <w:ind w:firstLine="471"/>
        <w:keepLines w:val="0"/>
        <w:keepNext w:val="0"/>
        <w:pageBreakBefore w:val="0"/>
        <w:spacing w:line="480" w:lineRule="auto"/>
        <w:widowControl w:val="off"/>
        <w:rPr>
          <w:color w:val="auto"/>
          <w:sz w:val="24"/>
        </w:rPr>
      </w:pPr>
      <w:r>
        <w:rPr>
          <w:color w:val="auto"/>
          <w:sz w:val="24"/>
        </w:rPr>
      </w:r>
      <w:r/>
    </w:p>
    <w:p>
      <w:pPr>
        <w:ind w:firstLine="471"/>
        <w:keepLines w:val="0"/>
        <w:keepNext w:val="0"/>
        <w:pageBreakBefore w:val="0"/>
        <w:spacing w:line="480" w:lineRule="auto"/>
        <w:widowControl w:val="off"/>
        <w:rPr>
          <w:color w:val="auto"/>
          <w:sz w:val="24"/>
        </w:rPr>
      </w:pPr>
      <w:r>
        <w:rPr>
          <w:rFonts w:hint="eastAsia"/>
          <w:color w:val="auto"/>
          <w:sz w:val="24"/>
        </w:rPr>
        <w:t xml:space="preserve">联合体成员名称</w:t>
      </w:r>
      <w:r>
        <w:rPr>
          <w:color w:val="auto"/>
          <w:sz w:val="24"/>
        </w:rPr>
        <w:t xml:space="preserve">：</w:t>
      </w:r>
      <w:r>
        <w:rPr>
          <w:color w:val="auto"/>
          <w:sz w:val="24"/>
          <w:szCs w:val="20"/>
        </w:rPr>
        <w:t xml:space="preserve">______</w:t>
      </w:r>
      <w:r/>
    </w:p>
    <w:p>
      <w:pPr>
        <w:ind w:firstLine="471"/>
        <w:keepLines w:val="0"/>
        <w:keepNext w:val="0"/>
        <w:pageBreakBefore w:val="0"/>
        <w:spacing w:line="480" w:lineRule="auto"/>
        <w:widowControl w:val="off"/>
        <w:rPr>
          <w:color w:val="auto"/>
          <w:sz w:val="24"/>
        </w:rPr>
      </w:pPr>
      <w:r>
        <w:rPr>
          <w:color w:val="auto"/>
          <w:sz w:val="24"/>
        </w:rPr>
        <w:t xml:space="preserve">加盖公章：</w:t>
      </w:r>
      <w:r>
        <w:rPr>
          <w:color w:val="auto"/>
          <w:sz w:val="24"/>
          <w:szCs w:val="20"/>
        </w:rPr>
        <w:t xml:space="preserve">______</w:t>
      </w:r>
      <w:r>
        <w:rPr>
          <w:color w:val="auto"/>
          <w:sz w:val="24"/>
        </w:rPr>
        <w:t xml:space="preserve">                                </w:t>
      </w:r>
      <w:r/>
    </w:p>
    <w:p>
      <w:pPr>
        <w:ind w:firstLine="471"/>
        <w:spacing w:line="480" w:lineRule="auto"/>
        <w:rPr>
          <w:color w:val="auto"/>
          <w:sz w:val="24"/>
        </w:rPr>
      </w:pPr>
      <w:r>
        <w:rPr>
          <w:color w:val="auto"/>
          <w:sz w:val="24"/>
        </w:rPr>
      </w:r>
      <w:r/>
    </w:p>
    <w:p>
      <w:pPr>
        <w:ind w:left="480"/>
        <w:jc w:val="right"/>
        <w:spacing w:line="480" w:lineRule="auto"/>
        <w:rPr>
          <w:color w:val="auto"/>
          <w:sz w:val="24"/>
        </w:rPr>
      </w:pPr>
      <w:r>
        <w:rPr>
          <w:color w:val="auto"/>
          <w:sz w:val="24"/>
        </w:rPr>
      </w:r>
      <w:r/>
    </w:p>
    <w:p>
      <w:pPr>
        <w:ind w:left="480"/>
        <w:jc w:val="right"/>
        <w:spacing w:line="480" w:lineRule="auto"/>
        <w:rPr>
          <w:color w:val="auto"/>
          <w:sz w:val="24"/>
        </w:rPr>
      </w:pPr>
      <w:r>
        <w:rPr>
          <w:color w:val="auto"/>
          <w:sz w:val="24"/>
          <w:szCs w:val="20"/>
        </w:rPr>
        <w:t xml:space="preserve">日期：_____年______月______日</w:t>
      </w:r>
      <w:r/>
    </w:p>
    <w:p>
      <w:pPr>
        <w:ind w:left="480"/>
        <w:jc w:val="right"/>
        <w:spacing w:line="240" w:lineRule="auto"/>
        <w:rPr>
          <w:b/>
          <w:color w:val="auto"/>
          <w:sz w:val="24"/>
        </w:rPr>
      </w:pPr>
      <w:r>
        <w:rPr>
          <w:b/>
          <w:color w:val="auto"/>
          <w:sz w:val="24"/>
        </w:rPr>
      </w:r>
      <w:r/>
    </w:p>
    <w:p>
      <w:pPr>
        <w:ind w:firstLine="480"/>
        <w:spacing w:line="240" w:lineRule="auto"/>
        <w:tabs>
          <w:tab w:val="left" w:pos="8280" w:leader="none"/>
        </w:tabs>
        <w:rPr>
          <w:color w:val="auto"/>
          <w:sz w:val="24"/>
        </w:rPr>
      </w:pPr>
      <w:r>
        <w:rPr>
          <w:color w:val="auto"/>
          <w:sz w:val="24"/>
        </w:rPr>
      </w:r>
      <w:r/>
    </w:p>
    <w:p>
      <w:pPr>
        <w:ind w:left="719" w:hanging="240"/>
        <w:spacing w:line="240" w:lineRule="auto"/>
        <w:rPr>
          <w:color w:val="auto"/>
          <w:sz w:val="24"/>
        </w:rPr>
      </w:pPr>
      <w:r>
        <w:rPr>
          <w:color w:val="auto"/>
          <w:sz w:val="24"/>
        </w:rPr>
        <w:t xml:space="preserve">注：联合体各方成员应在本协议上共同加盖公章，不得分别签署协议书</w:t>
      </w:r>
      <w:r>
        <w:rPr>
          <w:rFonts w:hint="eastAsia"/>
          <w:color w:val="auto"/>
          <w:sz w:val="24"/>
        </w:rPr>
        <w:t xml:space="preserve">。采用电子化不见面交易方式的，</w:t>
      </w:r>
      <w:r>
        <w:rPr>
          <w:rFonts w:hint="eastAsia" w:ascii="宋体" w:hAnsi="宋体"/>
          <w:color w:val="auto"/>
          <w:sz w:val="24"/>
        </w:rPr>
        <w:t xml:space="preserve">联合体牵头单位加盖电子公章，其他成员单位以图片形式插入。</w:t>
      </w:r>
      <w:r>
        <w:rPr>
          <w:rFonts w:hint="eastAsia" w:ascii="宋体" w:hAnsi="宋体"/>
          <w:b/>
          <w:color w:val="auto"/>
          <w:sz w:val="24"/>
        </w:rPr>
        <w:t xml:space="preserve">否则视为无效投标。</w:t>
      </w:r>
      <w:r/>
    </w:p>
    <w:p>
      <w:pPr>
        <w:rPr>
          <w:color w:val="auto"/>
          <w:sz w:val="24"/>
        </w:rPr>
      </w:pPr>
      <w:r>
        <w:rPr>
          <w:color w:val="auto"/>
          <w:sz w:val="24"/>
        </w:rPr>
        <w:br w:type="page" w:clear="all"/>
      </w:r>
      <w:r/>
    </w:p>
    <w:p>
      <w:pPr>
        <w:spacing w:line="360" w:lineRule="auto"/>
        <w:rPr>
          <w:color w:val="auto"/>
          <w:sz w:val="24"/>
        </w:rPr>
        <w:outlineLvl w:val="2"/>
      </w:pPr>
      <w:r>
        <w:rPr>
          <w:color w:val="auto"/>
          <w:sz w:val="24"/>
        </w:rPr>
      </w:r>
      <w:r/>
    </w:p>
    <w:p>
      <w:pPr>
        <w:spacing w:line="360" w:lineRule="auto"/>
        <w:rPr>
          <w:color w:val="auto"/>
          <w:sz w:val="24"/>
          <w:szCs w:val="20"/>
        </w:rPr>
        <w:outlineLvl w:val="2"/>
      </w:pPr>
      <w:r>
        <w:rPr>
          <w:color w:val="auto"/>
          <w:sz w:val="24"/>
          <w:szCs w:val="20"/>
        </w:rPr>
        <w:t xml:space="preserve">3-2其他</w:t>
      </w:r>
      <w:r>
        <w:rPr>
          <w:color w:val="auto"/>
          <w:sz w:val="24"/>
          <w:szCs w:val="20"/>
        </w:rPr>
        <w:t xml:space="preserve">特定资格要求</w:t>
      </w:r>
      <w:r/>
    </w:p>
    <w:p>
      <w:pPr>
        <w:spacing w:line="360" w:lineRule="auto"/>
        <w:tabs>
          <w:tab w:val="left" w:pos="5580" w:leader="none"/>
        </w:tabs>
        <w:rPr>
          <w:color w:val="auto"/>
          <w:sz w:val="24"/>
          <w:szCs w:val="20"/>
        </w:rPr>
      </w:pPr>
      <w:r>
        <w:rPr>
          <w:color w:val="auto"/>
          <w:sz w:val="24"/>
          <w:szCs w:val="20"/>
        </w:rPr>
      </w:r>
      <w:r/>
    </w:p>
    <w:p>
      <w:pPr>
        <w:spacing w:line="360" w:lineRule="auto"/>
        <w:rPr>
          <w:color w:val="auto"/>
          <w:sz w:val="24"/>
          <w:szCs w:val="20"/>
        </w:rPr>
        <w:outlineLvl w:val="2"/>
      </w:pPr>
      <w:r>
        <w:rPr>
          <w:b/>
          <w:color w:val="auto"/>
          <w:sz w:val="24"/>
        </w:rPr>
        <w:br w:type="page" w:clear="all"/>
      </w:r>
      <w:bookmarkStart w:id="675" w:name="_Toc226337253"/>
      <w:r/>
      <w:bookmarkStart w:id="676" w:name="_Toc265228395"/>
      <w:r/>
      <w:bookmarkStart w:id="677" w:name="_Toc520356218"/>
      <w:r/>
      <w:bookmarkStart w:id="678" w:name="_Toc226309801"/>
      <w:r/>
      <w:bookmarkStart w:id="679" w:name="_Toc264969247"/>
      <w:r/>
      <w:bookmarkStart w:id="680" w:name="_Toc226965830"/>
      <w:r/>
      <w:bookmarkStart w:id="681" w:name="_Ref467988705"/>
      <w:r/>
      <w:bookmarkStart w:id="682" w:name="_Toc150774762"/>
      <w:r/>
      <w:bookmarkStart w:id="683" w:name="_Toc142311059"/>
      <w:r/>
      <w:bookmarkStart w:id="684" w:name="_Toc226965747"/>
      <w:r/>
      <w:bookmarkStart w:id="685" w:name="_Toc305158825"/>
      <w:r/>
      <w:bookmarkStart w:id="686" w:name="_Toc127151557"/>
      <w:r/>
      <w:bookmarkStart w:id="687" w:name="_Toc480942350"/>
      <w:r/>
      <w:bookmarkStart w:id="688" w:name="_Toc305158899"/>
      <w:r/>
      <w:bookmarkStart w:id="689" w:name="_Toc150480795"/>
      <w:r/>
      <w:bookmarkStart w:id="690" w:name="_Toc195842922"/>
      <w:r>
        <w:rPr>
          <w:rFonts w:hint="eastAsia"/>
          <w:color w:val="auto"/>
          <w:sz w:val="24"/>
        </w:rPr>
        <w:t xml:space="preserve">4</w:t>
      </w:r>
      <w:r>
        <w:rPr>
          <w:color w:val="auto"/>
          <w:sz w:val="24"/>
          <w:szCs w:val="20"/>
        </w:rPr>
        <w:t xml:space="preserve">  </w:t>
      </w:r>
      <w:r>
        <w:rPr>
          <w:color w:val="auto"/>
          <w:sz w:val="24"/>
        </w:rPr>
        <w:t xml:space="preserve">响应</w:t>
      </w:r>
      <w:r>
        <w:rPr>
          <w:rFonts w:hint="eastAsia"/>
          <w:color w:val="auto"/>
          <w:sz w:val="24"/>
        </w:rPr>
        <w:t xml:space="preserve">函</w:t>
      </w:r>
      <w:r>
        <w:rPr>
          <w:color w:val="auto"/>
          <w:sz w:val="24"/>
          <w:szCs w:val="20"/>
        </w:rPr>
        <w:t xml:space="preserve">（实质性格式）</w:t>
      </w:r>
      <w:r/>
    </w:p>
    <w:p>
      <w:pPr>
        <w:spacing w:line="360" w:lineRule="auto"/>
        <w:tabs>
          <w:tab w:val="left" w:pos="5580" w:leader="none"/>
        </w:tabs>
        <w:rPr>
          <w:color w:val="auto"/>
          <w:sz w:val="24"/>
        </w:rPr>
      </w:pPr>
      <w:r>
        <w:rPr>
          <w:color w:val="auto"/>
          <w:sz w:val="24"/>
        </w:rPr>
      </w:r>
      <w:r/>
    </w:p>
    <w:p>
      <w:pPr>
        <w:jc w:val="center"/>
        <w:spacing w:line="360" w:lineRule="auto"/>
        <w:rPr>
          <w:b/>
          <w:color w:val="auto"/>
          <w:sz w:val="36"/>
          <w:szCs w:val="36"/>
        </w:rPr>
      </w:pPr>
      <w:r>
        <w:rPr>
          <w:rFonts w:hint="eastAsia"/>
          <w:b/>
          <w:color w:val="auto"/>
          <w:sz w:val="36"/>
          <w:szCs w:val="36"/>
        </w:rPr>
        <w:t xml:space="preserve">响应函</w:t>
      </w:r>
      <w:r/>
    </w:p>
    <w:p>
      <w:pPr>
        <w:spacing w:line="360" w:lineRule="auto"/>
        <w:tabs>
          <w:tab w:val="left" w:pos="5580" w:leader="none"/>
        </w:tabs>
        <w:rPr>
          <w:color w:val="auto"/>
          <w:sz w:val="24"/>
        </w:rPr>
      </w:pPr>
      <w:r>
        <w:rPr>
          <w:color w:val="auto"/>
          <w:sz w:val="24"/>
        </w:rPr>
        <w:t xml:space="preserve">致：</w:t>
      </w:r>
      <w:r>
        <w:rPr>
          <w:color w:val="auto"/>
          <w:sz w:val="24"/>
          <w:u w:val="single"/>
        </w:rPr>
        <w:t xml:space="preserve">（采购人或采购代理机构）</w:t>
      </w:r>
      <w:r/>
    </w:p>
    <w:p>
      <w:pPr>
        <w:spacing w:line="360" w:lineRule="auto"/>
        <w:tabs>
          <w:tab w:val="left" w:pos="5580" w:leader="none"/>
        </w:tabs>
        <w:rPr>
          <w:color w:val="auto"/>
          <w:sz w:val="24"/>
          <w:szCs w:val="20"/>
        </w:rPr>
      </w:pPr>
      <w:r>
        <w:rPr>
          <w:color w:val="auto"/>
          <w:sz w:val="24"/>
          <w:szCs w:val="20"/>
        </w:rPr>
      </w:r>
      <w:r/>
    </w:p>
    <w:p>
      <w:pPr>
        <w:ind w:firstLine="408"/>
        <w:spacing w:line="360" w:lineRule="auto"/>
        <w:tabs>
          <w:tab w:val="left" w:pos="5580" w:leader="none"/>
        </w:tabs>
        <w:rPr>
          <w:color w:val="auto"/>
          <w:sz w:val="24"/>
          <w:szCs w:val="20"/>
        </w:rPr>
      </w:pPr>
      <w:r>
        <w:rPr>
          <w:color w:val="auto"/>
          <w:sz w:val="24"/>
          <w:szCs w:val="20"/>
        </w:rPr>
        <w:t xml:space="preserve">我方参加你方就___________（项目名称，项目编号/包号）组织的</w:t>
      </w:r>
      <w:r>
        <w:rPr>
          <w:rFonts w:hint="eastAsia"/>
          <w:color w:val="auto"/>
          <w:sz w:val="24"/>
          <w:szCs w:val="20"/>
        </w:rPr>
        <w:t xml:space="preserve">政府采购</w:t>
      </w:r>
      <w:r>
        <w:rPr>
          <w:color w:val="auto"/>
          <w:sz w:val="24"/>
          <w:szCs w:val="20"/>
        </w:rPr>
        <w:t xml:space="preserve">活动，并对此项目进行响应。</w:t>
      </w:r>
      <w:r/>
    </w:p>
    <w:p>
      <w:pPr>
        <w:ind w:firstLine="408"/>
        <w:spacing w:line="360" w:lineRule="auto"/>
        <w:tabs>
          <w:tab w:val="left" w:pos="5580" w:leader="none"/>
        </w:tabs>
        <w:rPr>
          <w:color w:val="auto"/>
          <w:sz w:val="24"/>
          <w:szCs w:val="20"/>
        </w:rPr>
      </w:pPr>
      <w:r>
        <w:rPr>
          <w:color w:val="auto"/>
          <w:sz w:val="24"/>
          <w:szCs w:val="20"/>
        </w:rPr>
        <w:t xml:space="preserve">1. 我方</w:t>
      </w:r>
      <w:r>
        <w:rPr>
          <w:color w:val="auto"/>
          <w:sz w:val="24"/>
        </w:rPr>
        <w:t xml:space="preserve">已详细审查全部磋商文件</w:t>
      </w:r>
      <w:r>
        <w:rPr>
          <w:color w:val="auto"/>
          <w:sz w:val="24"/>
          <w:szCs w:val="20"/>
        </w:rPr>
        <w:t xml:space="preserve">，自愿参与响应并承诺如下：</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（1）本响应有效期为自提交响应文件的截止之日起</w:t>
      </w:r>
      <w:r>
        <w:rPr>
          <w:rFonts w:hint="eastAsia"/>
          <w:color w:val="auto"/>
          <w:sz w:val="24"/>
        </w:rPr>
        <w:t xml:space="preserve">60</w:t>
      </w:r>
      <w:r>
        <w:rPr>
          <w:color w:val="auto"/>
          <w:sz w:val="24"/>
          <w:szCs w:val="20"/>
        </w:rPr>
        <w:t xml:space="preserve">个日历日。</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rPr>
      </w:pPr>
      <w:r>
        <w:rPr>
          <w:color w:val="auto"/>
          <w:sz w:val="24"/>
          <w:szCs w:val="20"/>
        </w:rPr>
        <w:t xml:space="preserve">（3）我方已提供的全部文件资料是真实、准确的，并对此承担一切法律后果。</w:t>
      </w:r>
      <w:r/>
    </w:p>
    <w:p>
      <w:pPr>
        <w:ind w:firstLine="420"/>
        <w:spacing w:line="360" w:lineRule="auto"/>
        <w:tabs>
          <w:tab w:val="left" w:pos="5580" w:leader="none"/>
        </w:tabs>
        <w:rPr>
          <w:color w:val="auto"/>
          <w:sz w:val="24"/>
        </w:rPr>
      </w:pPr>
      <w:r>
        <w:rPr>
          <w:color w:val="auto"/>
          <w:sz w:val="24"/>
          <w:szCs w:val="20"/>
        </w:rPr>
        <w:t xml:space="preserve">（4）如我方中标，我方将在法律规定的期限内与你方签订合同，并在合同约定的期限内完成合同规定的全部义务。</w:t>
      </w:r>
      <w:r/>
    </w:p>
    <w:p>
      <w:pPr>
        <w:ind w:left="420"/>
        <w:spacing w:line="360" w:lineRule="auto"/>
        <w:rPr>
          <w:color w:val="auto"/>
          <w:sz w:val="24"/>
        </w:rPr>
      </w:pPr>
      <w:r>
        <w:rPr>
          <w:color w:val="auto"/>
          <w:sz w:val="24"/>
        </w:rPr>
        <w:t xml:space="preserve">2. 其他补充条款（如有）：</w:t>
      </w:r>
      <w:r>
        <w:rPr>
          <w:color w:val="auto"/>
          <w:sz w:val="24"/>
          <w:szCs w:val="20"/>
        </w:rPr>
        <w:t xml:space="preserve">___________</w:t>
      </w:r>
      <w:r>
        <w:rPr>
          <w:color w:val="auto"/>
          <w:sz w:val="24"/>
        </w:rPr>
        <w:t xml:space="preserve">。</w:t>
      </w:r>
      <w:r/>
    </w:p>
    <w:p>
      <w:pPr>
        <w:ind w:firstLine="480"/>
        <w:spacing w:line="360" w:lineRule="auto"/>
        <w:rPr>
          <w:color w:val="auto"/>
          <w:sz w:val="24"/>
        </w:rPr>
      </w:pPr>
      <w:r>
        <w:rPr>
          <w:color w:val="auto"/>
          <w:sz w:val="24"/>
        </w:rPr>
        <w:t xml:space="preserve">与本响应有关的一切正式往来信函请寄：</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地址_________________________     传真____________________________</w:t>
      </w:r>
      <w:r/>
    </w:p>
    <w:p>
      <w:pPr>
        <w:ind w:left="420"/>
        <w:spacing w:line="360" w:lineRule="auto"/>
        <w:tabs>
          <w:tab w:val="left" w:pos="5580" w:leader="none"/>
        </w:tabs>
        <w:rPr>
          <w:color w:val="auto"/>
          <w:sz w:val="24"/>
          <w:szCs w:val="20"/>
        </w:rPr>
      </w:pPr>
      <w:r>
        <w:rPr>
          <w:color w:val="auto"/>
          <w:sz w:val="24"/>
          <w:szCs w:val="20"/>
        </w:rPr>
        <w:t xml:space="preserve">电话_________________________     电子函件________________________</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供应商名称（加盖公章） ___________</w:t>
      </w:r>
      <w:r/>
    </w:p>
    <w:p>
      <w:pPr>
        <w:ind w:left="420"/>
        <w:spacing w:line="360" w:lineRule="auto"/>
        <w:tabs>
          <w:tab w:val="left" w:pos="5580" w:leader="none"/>
        </w:tabs>
        <w:rPr>
          <w:color w:val="auto"/>
          <w:sz w:val="24"/>
          <w:szCs w:val="20"/>
        </w:rPr>
      </w:pPr>
      <w:r>
        <w:rPr>
          <w:color w:val="auto"/>
          <w:sz w:val="24"/>
          <w:szCs w:val="20"/>
        </w:rPr>
        <w:t xml:space="preserve">日期：_____年______月______日    </w:t>
      </w:r>
      <w:r/>
    </w:p>
    <w:p>
      <w:pPr>
        <w:ind w:left="420"/>
        <w:spacing w:line="360" w:lineRule="auto"/>
        <w:tabs>
          <w:tab w:val="left" w:pos="5580" w:leader="none"/>
        </w:tabs>
        <w:rPr>
          <w:color w:val="auto"/>
          <w:sz w:val="24"/>
          <w:szCs w:val="20"/>
          <w:u w:val="single"/>
        </w:rPr>
      </w:pPr>
      <w:r>
        <w:rPr>
          <w:color w:val="auto"/>
          <w:sz w:val="24"/>
          <w:szCs w:val="20"/>
          <w:u w:val="single"/>
        </w:rPr>
      </w:r>
      <w:r/>
    </w:p>
    <w:p>
      <w:pPr>
        <w:jc w:val="left"/>
        <w:widowControl/>
        <w:rPr>
          <w:rFonts w:hint="eastAsia"/>
          <w:color w:val="auto"/>
          <w:sz w:val="24"/>
        </w:rPr>
      </w:pPr>
      <w:r/>
      <w:bookmarkStart w:id="691" w:name="_Hlt520355938"/>
      <w:r/>
      <w:bookmarkEnd w:id="691"/>
      <w:r/>
      <w:bookmarkStart w:id="692" w:name="_Hlt520356243"/>
      <w:r/>
      <w:bookmarkEnd w:id="692"/>
      <w:r>
        <w:rPr>
          <w:color w:val="auto"/>
          <w:sz w:val="24"/>
        </w:rPr>
        <w:br w:type="page" w:clear="all"/>
      </w:r>
      <w:r/>
    </w:p>
    <w:p>
      <w:pPr>
        <w:jc w:val="left"/>
        <w:widowControl/>
        <w:rPr>
          <w:rFonts w:hint="eastAsia"/>
          <w:color w:val="auto"/>
          <w:sz w:val="24"/>
        </w:rPr>
      </w:pPr>
      <w:r>
        <w:rPr>
          <w:rFonts w:hint="eastAsia"/>
          <w:color w:val="auto"/>
          <w:sz w:val="24"/>
        </w:rPr>
        <w:t xml:space="preserve">5</w:t>
      </w:r>
      <w:r>
        <w:rPr>
          <w:color w:val="auto"/>
          <w:sz w:val="24"/>
        </w:rPr>
        <w:t xml:space="preserve">  </w:t>
      </w:r>
      <w:r>
        <w:rPr>
          <w:rFonts w:hint="eastAsia"/>
          <w:color w:val="auto"/>
          <w:sz w:val="24"/>
        </w:rPr>
        <w:t xml:space="preserve">法定代表人资格证明书</w:t>
      </w:r>
      <w:r>
        <w:rPr>
          <w:color w:val="auto"/>
          <w:sz w:val="24"/>
          <w:szCs w:val="20"/>
        </w:rPr>
        <w:t xml:space="preserve">（实质性格式）</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（供应商名称）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上述项目的响应文件、进行合同磋商、签署合同和处理与之有关的一切事务。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spacing w:line="560" w:lineRule="exact"/>
        <w:rPr>
          <w:rFonts w:ascii="宋体" w:hAnsi="宋体"/>
          <w:color w:val="auto"/>
          <w:sz w:val="24"/>
        </w:rPr>
      </w:pPr>
      <w:r>
        <w:rPr>
          <w:rFonts w:ascii="宋体" w:hAnsi="宋体"/>
          <w:color w:val="auto"/>
          <w:sz w:val="24"/>
        </w:rPr>
      </w:r>
      <w:r/>
    </w:p>
    <w:p>
      <w:pPr>
        <w:pStyle w:val="1105"/>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90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供应商：（加盖公章）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若供应商为事业单位或其他组织或分支机构（仅当</w:t>
      </w:r>
      <w:r>
        <w:rPr>
          <w:rFonts w:hint="eastAsia" w:ascii="宋体" w:hAnsi="宋体"/>
          <w:color w:val="auto"/>
          <w:sz w:val="24"/>
          <w:szCs w:val="20"/>
        </w:rPr>
        <w:t xml:space="preserve">磋商文件</w:t>
      </w:r>
      <w:r>
        <w:rPr>
          <w:rFonts w:ascii="宋体" w:hAnsi="宋体"/>
          <w:color w:val="auto"/>
          <w:sz w:val="24"/>
          <w:szCs w:val="20"/>
        </w:rPr>
        <w:t xml:space="preserve">注明允许分支机构</w:t>
      </w:r>
      <w:r>
        <w:rPr>
          <w:rFonts w:hint="eastAsia" w:ascii="宋体" w:hAnsi="宋体"/>
          <w:color w:val="auto"/>
          <w:sz w:val="24"/>
          <w:szCs w:val="20"/>
        </w:rPr>
        <w:t xml:space="preserve">响应</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t xml:space="preserve">6  政府采购供应商信用承诺书</w:t>
      </w:r>
      <w:r>
        <w:rPr>
          <w:color w:val="auto"/>
          <w:sz w:val="24"/>
          <w:szCs w:val="20"/>
        </w:rPr>
        <w:t xml:space="preserve">（实质性格式）</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ascii="黑体" w:hAnsi="黑体" w:eastAsia="黑体"/>
          <w:b/>
          <w:color w:val="auto"/>
          <w:sz w:val="32"/>
          <w:szCs w:val="32"/>
        </w:rPr>
      </w:pPr>
      <w:r>
        <w:rPr>
          <w:rFonts w:hint="eastAsia" w:ascii="黑体" w:hAnsi="黑体" w:eastAsia="黑体"/>
          <w:b/>
          <w:color w:val="auto"/>
          <w:sz w:val="32"/>
          <w:szCs w:val="32"/>
        </w:rPr>
        <w:t xml:space="preserve">政府采购供应商信用承诺书</w:t>
      </w:r>
      <w:r/>
    </w:p>
    <w:p>
      <w:pPr>
        <w:ind w:firstLine="640"/>
        <w:rPr>
          <w:color w:val="auto"/>
        </w:rPr>
      </w:pPr>
      <w:r>
        <w:rPr>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w:t>
      </w:r>
      <w:r>
        <w:rPr>
          <w:rFonts w:hint="eastAsia" w:ascii="宋体" w:hAnsi="宋体"/>
          <w:color w:val="auto"/>
          <w:sz w:val="24"/>
          <w:lang w:eastAsia="zh-CN"/>
        </w:rPr>
        <w:t xml:space="preserve">中华人民共和国政府采购法</w:t>
      </w:r>
      <w:r>
        <w:rPr>
          <w:rFonts w:hint="eastAsia" w:ascii="宋体" w:hAnsi="宋体"/>
          <w:color w:val="auto"/>
          <w:sz w:val="24"/>
        </w:rPr>
        <w:t xml:space="preserve">》第二十二条第一款规定的条件。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w:t>
      </w:r>
      <w:r>
        <w:rPr>
          <w:rFonts w:hint="eastAsia" w:ascii="宋体" w:hAnsi="宋体"/>
          <w:color w:val="auto"/>
          <w:sz w:val="24"/>
          <w:lang w:eastAsia="zh-CN"/>
        </w:rPr>
        <w:t xml:space="preserve">虚假成分</w:t>
      </w:r>
      <w:r>
        <w:rPr>
          <w:rFonts w:hint="eastAsia" w:ascii="宋体" w:hAnsi="宋体"/>
          <w:color w:val="auto"/>
          <w:sz w:val="24"/>
        </w:rPr>
        <w:t xml:space="preserve">，并对所提供资料的真实性负责。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321"/>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color w:val="auto"/>
          <w:sz w:val="24"/>
          <w:szCs w:val="20"/>
        </w:rPr>
        <w:outlineLvl w:val="2"/>
      </w:pPr>
      <w:r>
        <w:rPr>
          <w:color w:val="auto"/>
          <w:sz w:val="24"/>
          <w:szCs w:val="20"/>
        </w:rPr>
        <w:br w:type="page" w:clear="all"/>
      </w:r>
      <w:r/>
    </w:p>
    <w:p>
      <w:pPr>
        <w:spacing w:line="360" w:lineRule="auto"/>
        <w:rPr>
          <w:color w:val="auto"/>
          <w:sz w:val="24"/>
          <w:szCs w:val="20"/>
        </w:rPr>
        <w:outlineLvl w:val="2"/>
      </w:pPr>
      <w:r>
        <w:rPr>
          <w:color w:val="auto"/>
          <w:sz w:val="24"/>
          <w:szCs w:val="20"/>
        </w:rPr>
        <w:t xml:space="preserve">7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
    </w:p>
    <w:p>
      <w:pPr>
        <w:jc w:val="center"/>
        <w:rPr>
          <w:b/>
          <w:color w:val="auto"/>
          <w:sz w:val="36"/>
          <w:szCs w:val="36"/>
        </w:rPr>
      </w:pPr>
      <w:r/>
      <w:bookmarkStart w:id="693" w:name="_Toc164608672"/>
      <w:r/>
      <w:bookmarkStart w:id="694" w:name="_Toc164608827"/>
      <w:r/>
      <w:bookmarkStart w:id="695" w:name="_Toc264969248"/>
      <w:r/>
      <w:bookmarkStart w:id="696" w:name="_Toc305158900"/>
      <w:r/>
      <w:bookmarkStart w:id="697" w:name="_Toc226965831"/>
      <w:r/>
      <w:bookmarkStart w:id="698" w:name="_Toc226337254"/>
      <w:r/>
      <w:bookmarkStart w:id="699" w:name="_Toc226309802"/>
      <w:r/>
      <w:bookmarkStart w:id="700" w:name="_Toc265228396"/>
      <w:r/>
      <w:bookmarkStart w:id="701" w:name="_Toc305158826"/>
      <w:r/>
      <w:bookmarkStart w:id="702" w:name="_Toc195842923"/>
      <w:r/>
      <w:bookmarkStart w:id="703" w:name="_Toc226965748"/>
      <w:r>
        <w:rPr>
          <w:rFonts w:hint="eastAsia"/>
          <w:b/>
          <w:color w:val="auto"/>
          <w:sz w:val="36"/>
          <w:szCs w:val="36"/>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
    </w:p>
    <w:p>
      <w:pPr>
        <w:jc w:val="left"/>
        <w:spacing w:line="360" w:lineRule="auto"/>
        <w:tabs>
          <w:tab w:val="left" w:pos="1800" w:leader="none"/>
          <w:tab w:val="left" w:pos="5580" w:leader="none"/>
        </w:tabs>
        <w:rPr>
          <w:color w:val="auto"/>
          <w:sz w:val="24"/>
        </w:rPr>
      </w:pPr>
      <w:r>
        <w:rPr>
          <w:color w:val="auto"/>
          <w:sz w:val="24"/>
        </w:rPr>
      </w:r>
      <w:r/>
    </w:p>
    <w:p>
      <w:pPr>
        <w:ind w:firstLine="240"/>
        <w:jc w:val="left"/>
        <w:spacing w:line="360" w:lineRule="auto"/>
        <w:tabs>
          <w:tab w:val="left" w:pos="1800" w:leader="none"/>
          <w:tab w:val="left" w:pos="5580" w:leader="none"/>
        </w:tabs>
        <w:rPr>
          <w:color w:val="auto"/>
          <w:sz w:val="24"/>
          <w:u w:val="single"/>
        </w:rPr>
      </w:pPr>
      <w:r>
        <w:rPr>
          <w:color w:val="auto"/>
          <w:sz w:val="24"/>
        </w:rPr>
        <w:t xml:space="preserve">项目编号/包号：_____________________     项目名称：_______________________</w:t>
      </w:r>
      <w:r/>
    </w:p>
    <w:tbl>
      <w:tblPr>
        <w:tblStyle w:val="903"/>
        <w:tblW w:w="45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3"/>
        <w:gridCol w:w="2424"/>
        <w:gridCol w:w="2324"/>
        <w:gridCol w:w="2818"/>
      </w:tblGrid>
      <w:tr>
        <w:trPr>
          <w:jc w:val="center"/>
          <w:trHeight w:val="531"/>
        </w:trPr>
        <w:tc>
          <w:tcPr>
            <w:tcW w:w="612" w:type="dxa"/>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序号</w:t>
            </w:r>
            <w:r/>
          </w:p>
        </w:tc>
        <w:tc>
          <w:tcPr>
            <w:tcW w:w="2422" w:type="dxa"/>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供应商名称</w:t>
            </w:r>
            <w:r/>
          </w:p>
        </w:tc>
        <w:tc>
          <w:tcPr>
            <w:gridSpan w:val="2"/>
            <w:tcW w:w="5138" w:type="dxa"/>
            <w:vAlign w:val="center"/>
            <w:textDirection w:val="lrTb"/>
            <w:noWrap w:val="false"/>
          </w:tcPr>
          <w:p>
            <w:pPr>
              <w:jc w:val="center"/>
              <w:tabs>
                <w:tab w:val="left" w:pos="5580" w:leader="none"/>
              </w:tabs>
              <w:rPr>
                <w:b/>
                <w:color w:val="auto"/>
                <w:sz w:val="24"/>
              </w:rPr>
            </w:pPr>
            <w:r>
              <w:rPr>
                <w:rFonts w:hint="eastAsia"/>
                <w:b/>
                <w:color w:val="auto"/>
                <w:sz w:val="24"/>
              </w:rPr>
              <w:t xml:space="preserve">报价</w:t>
            </w:r>
            <w:r/>
          </w:p>
        </w:tc>
      </w:tr>
      <w:tr>
        <w:trPr>
          <w:jc w:val="center"/>
          <w:trHeight w:val="674"/>
        </w:trPr>
        <w:tc>
          <w:tcPr>
            <w:tcW w:w="612" w:type="dxa"/>
            <w:vAlign w:val="center"/>
            <w:vMerge w:val="continue"/>
            <w:textDirection w:val="lrTb"/>
            <w:noWrap w:val="false"/>
          </w:tcPr>
          <w:p>
            <w:pPr>
              <w:jc w:val="left"/>
              <w:widowControl/>
              <w:rPr>
                <w:b/>
                <w:color w:val="auto"/>
                <w:sz w:val="24"/>
              </w:rPr>
            </w:pPr>
            <w:r>
              <w:rPr>
                <w:b/>
                <w:color w:val="auto"/>
                <w:sz w:val="24"/>
              </w:rPr>
            </w:r>
            <w:r/>
          </w:p>
        </w:tc>
        <w:tc>
          <w:tcPr>
            <w:tcW w:w="2422" w:type="dxa"/>
            <w:vAlign w:val="center"/>
            <w:vMerge w:val="continue"/>
            <w:textDirection w:val="lrTb"/>
            <w:noWrap w:val="false"/>
          </w:tcPr>
          <w:p>
            <w:pPr>
              <w:jc w:val="left"/>
              <w:widowControl/>
              <w:rPr>
                <w:b/>
                <w:color w:val="auto"/>
                <w:sz w:val="24"/>
              </w:rPr>
            </w:pPr>
            <w:r>
              <w:rPr>
                <w:b/>
                <w:color w:val="auto"/>
                <w:sz w:val="24"/>
              </w:rPr>
            </w:r>
            <w:r/>
          </w:p>
        </w:tc>
        <w:tc>
          <w:tcPr>
            <w:tcW w:w="2322" w:type="dxa"/>
            <w:vAlign w:val="center"/>
            <w:textDirection w:val="lrTb"/>
            <w:noWrap w:val="false"/>
          </w:tcPr>
          <w:p>
            <w:pPr>
              <w:jc w:val="center"/>
              <w:tabs>
                <w:tab w:val="left" w:pos="5580" w:leader="none"/>
              </w:tabs>
              <w:rPr>
                <w:b/>
                <w:color w:val="auto"/>
                <w:sz w:val="24"/>
              </w:rPr>
            </w:pPr>
            <w:r>
              <w:rPr>
                <w:rFonts w:hint="eastAsia"/>
                <w:b/>
                <w:color w:val="auto"/>
                <w:sz w:val="24"/>
              </w:rPr>
              <w:t xml:space="preserve">大写</w:t>
            </w:r>
            <w:r/>
          </w:p>
        </w:tc>
        <w:tc>
          <w:tcPr>
            <w:tcW w:w="2816" w:type="dxa"/>
            <w:vAlign w:val="center"/>
            <w:textDirection w:val="lrTb"/>
            <w:noWrap w:val="false"/>
          </w:tcPr>
          <w:p>
            <w:pPr>
              <w:jc w:val="center"/>
              <w:tabs>
                <w:tab w:val="left" w:pos="5580" w:leader="none"/>
              </w:tabs>
              <w:rPr>
                <w:b/>
                <w:color w:val="auto"/>
                <w:sz w:val="24"/>
              </w:rPr>
            </w:pPr>
            <w:r>
              <w:rPr>
                <w:rFonts w:hint="eastAsia"/>
                <w:b/>
                <w:color w:val="auto"/>
                <w:sz w:val="24"/>
              </w:rPr>
              <w:t xml:space="preserve">小写</w:t>
            </w:r>
            <w:r/>
          </w:p>
        </w:tc>
      </w:tr>
      <w:tr>
        <w:trPr>
          <w:jc w:val="center"/>
          <w:trHeight w:val="976"/>
        </w:trPr>
        <w:tc>
          <w:tcPr>
            <w:tcW w:w="612" w:type="dxa"/>
            <w:vAlign w:val="center"/>
            <w:textDirection w:val="lrTb"/>
            <w:noWrap w:val="false"/>
          </w:tcPr>
          <w:p>
            <w:pPr>
              <w:jc w:val="center"/>
              <w:tabs>
                <w:tab w:val="left" w:pos="5580" w:leader="none"/>
              </w:tabs>
              <w:rPr>
                <w:color w:val="auto"/>
                <w:sz w:val="24"/>
              </w:rPr>
            </w:pPr>
            <w:r>
              <w:rPr>
                <w:color w:val="auto"/>
                <w:sz w:val="24"/>
              </w:rPr>
            </w:r>
            <w:r/>
          </w:p>
        </w:tc>
        <w:tc>
          <w:tcPr>
            <w:tcW w:w="2422" w:type="dxa"/>
            <w:vAlign w:val="center"/>
            <w:textDirection w:val="lrTb"/>
            <w:noWrap w:val="false"/>
          </w:tcPr>
          <w:p>
            <w:pPr>
              <w:jc w:val="center"/>
              <w:tabs>
                <w:tab w:val="left" w:pos="5580" w:leader="none"/>
              </w:tabs>
              <w:rPr>
                <w:color w:val="auto"/>
                <w:sz w:val="24"/>
              </w:rPr>
            </w:pPr>
            <w:r>
              <w:rPr>
                <w:color w:val="auto"/>
                <w:sz w:val="24"/>
              </w:rPr>
            </w:r>
            <w:r/>
          </w:p>
        </w:tc>
        <w:tc>
          <w:tcPr>
            <w:tcW w:w="2322" w:type="dxa"/>
            <w:vAlign w:val="center"/>
            <w:textDirection w:val="lrTb"/>
            <w:noWrap w:val="false"/>
          </w:tcPr>
          <w:p>
            <w:pPr>
              <w:jc w:val="center"/>
              <w:tabs>
                <w:tab w:val="left" w:pos="5580" w:leader="none"/>
              </w:tabs>
              <w:rPr>
                <w:color w:val="auto"/>
                <w:sz w:val="24"/>
              </w:rPr>
            </w:pPr>
            <w:r>
              <w:rPr>
                <w:color w:val="auto"/>
                <w:sz w:val="24"/>
              </w:rPr>
            </w:r>
            <w:r/>
          </w:p>
        </w:tc>
        <w:tc>
          <w:tcPr>
            <w:tcW w:w="2816" w:type="dxa"/>
            <w:vAlign w:val="center"/>
            <w:textDirection w:val="lrTb"/>
            <w:noWrap w:val="false"/>
          </w:tcPr>
          <w:p>
            <w:pPr>
              <w:jc w:val="center"/>
              <w:tabs>
                <w:tab w:val="left" w:pos="5580" w:leader="none"/>
              </w:tabs>
              <w:rPr>
                <w:color w:val="auto"/>
                <w:sz w:val="24"/>
              </w:rPr>
            </w:pPr>
            <w:r>
              <w:rPr>
                <w:color w:val="auto"/>
                <w:sz w:val="24"/>
              </w:rPr>
            </w:r>
            <w:r/>
          </w:p>
        </w:tc>
      </w:tr>
    </w:tbl>
    <w:p>
      <w:pPr>
        <w:jc w:val="left"/>
        <w:rPr>
          <w:color w:val="auto"/>
          <w:sz w:val="24"/>
        </w:rPr>
      </w:pPr>
      <w:r>
        <w:rPr>
          <w:color w:val="auto"/>
          <w:sz w:val="24"/>
        </w:rPr>
      </w:r>
      <w:r/>
    </w:p>
    <w:p>
      <w:pPr>
        <w:spacing w:before="25" w:after="25" w:line="360" w:lineRule="auto"/>
        <w:rPr>
          <w:rFonts w:hint="eastAsia"/>
          <w:color w:val="auto"/>
          <w:sz w:val="24"/>
        </w:rPr>
      </w:pPr>
      <w:r>
        <w:rPr>
          <w:rFonts w:hint="eastAsia"/>
          <w:color w:val="auto"/>
          <w:sz w:val="24"/>
        </w:rPr>
      </w:r>
      <w:r/>
    </w:p>
    <w:p>
      <w:pPr>
        <w:spacing w:before="25" w:after="25" w:line="360" w:lineRule="auto"/>
        <w:rPr>
          <w:color w:val="auto"/>
          <w:sz w:val="24"/>
          <w:lang w:val="zh-CN"/>
        </w:rPr>
      </w:pPr>
      <w:r>
        <w:rPr>
          <w:color w:val="auto"/>
          <w:sz w:val="24"/>
          <w:lang w:val="zh-CN"/>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rPr>
          <w:color w:val="auto"/>
          <w:sz w:val="24"/>
          <w:szCs w:val="20"/>
        </w:rPr>
      </w:pPr>
      <w:r/>
      <w:bookmarkStart w:id="704" w:name="_Toc150480796"/>
      <w:r/>
      <w:bookmarkStart w:id="705" w:name="_Toc264969249"/>
      <w:r/>
      <w:bookmarkStart w:id="706" w:name="_Toc305158901"/>
      <w:r/>
      <w:bookmarkStart w:id="707" w:name="_Toc226965832"/>
      <w:r/>
      <w:bookmarkStart w:id="708" w:name="_Toc265228397"/>
      <w:r/>
      <w:bookmarkStart w:id="709" w:name="_Toc142311060"/>
      <w:r/>
      <w:bookmarkStart w:id="710" w:name="_Toc226965749"/>
      <w:r/>
      <w:bookmarkStart w:id="711" w:name="_Toc226309803"/>
      <w:r/>
      <w:bookmarkStart w:id="712" w:name="_Toc226337255"/>
      <w:r/>
      <w:bookmarkStart w:id="713" w:name="_Toc305158827"/>
      <w:r/>
      <w:bookmarkStart w:id="714" w:name="_Toc127151558"/>
      <w:r/>
      <w:bookmarkStart w:id="715" w:name="_Toc150774763"/>
      <w:r/>
      <w:bookmarkStart w:id="716" w:name="_Toc195842924"/>
      <w:r>
        <w:rPr>
          <w:color w:val="auto"/>
          <w:sz w:val="24"/>
          <w:szCs w:val="20"/>
        </w:rPr>
        <w:br w:type="page" w:clear="all"/>
      </w:r>
      <w:r/>
    </w:p>
    <w:p>
      <w:pPr>
        <w:jc w:val="left"/>
        <w:widowControl/>
        <w:rPr>
          <w:color w:val="auto"/>
          <w:sz w:val="24"/>
          <w:szCs w:val="20"/>
        </w:rPr>
      </w:pPr>
      <w:r>
        <w:rPr>
          <w:rFonts w:hint="eastAsia"/>
          <w:color w:val="auto"/>
          <w:sz w:val="24"/>
          <w:szCs w:val="20"/>
          <w:lang w:val="en-US" w:eastAsia="zh-CN"/>
        </w:rPr>
        <w:t xml:space="preserve">8 </w:t>
      </w:r>
      <w:r>
        <w:rPr>
          <w:rFonts w:hint="eastAsia"/>
          <w:color w:val="auto"/>
          <w:sz w:val="24"/>
          <w:szCs w:val="20"/>
        </w:rPr>
        <w:t xml:space="preserve">分项报价表</w:t>
      </w:r>
      <w:r/>
    </w:p>
    <w:p>
      <w:pPr>
        <w:jc w:val="left"/>
        <w:widowControl/>
        <w:rPr>
          <w:color w:val="auto"/>
          <w:sz w:val="24"/>
          <w:szCs w:val="20"/>
        </w:rPr>
      </w:pPr>
      <w:r>
        <w:rPr>
          <w:color w:val="auto"/>
          <w:sz w:val="24"/>
          <w:szCs w:val="20"/>
        </w:rPr>
      </w:r>
      <w:r/>
    </w:p>
    <w:p>
      <w:pPr>
        <w:jc w:val="center"/>
        <w:spacing w:line="360" w:lineRule="auto"/>
        <w:tabs>
          <w:tab w:val="left" w:pos="2775" w:leader="none"/>
          <w:tab w:val="center" w:pos="4153" w:leader="none"/>
        </w:tabs>
        <w:rPr>
          <w:rFonts w:hint="eastAsia"/>
          <w:b/>
          <w:color w:val="auto"/>
          <w:sz w:val="36"/>
          <w:szCs w:val="36"/>
          <w:highlight w:val="none"/>
        </w:rPr>
      </w:pPr>
      <w:r>
        <w:rPr>
          <w:rFonts w:hint="eastAsia"/>
          <w:b/>
          <w:color w:val="auto"/>
          <w:sz w:val="36"/>
          <w:szCs w:val="36"/>
          <w:highlight w:val="none"/>
        </w:rPr>
        <w:t xml:space="preserve">分项报价表</w:t>
      </w:r>
      <w:r/>
    </w:p>
    <w:p>
      <w:pPr>
        <w:tabs>
          <w:tab w:val="left" w:pos="1800" w:leader="none"/>
          <w:tab w:val="left" w:pos="5580" w:leader="none"/>
        </w:tabs>
        <w:rPr>
          <w:color w:val="auto"/>
          <w:sz w:val="24"/>
        </w:rPr>
      </w:pPr>
      <w:r>
        <w:rPr>
          <w:color w:val="auto"/>
          <w:sz w:val="24"/>
        </w:rPr>
        <w:t xml:space="preserve">项目编号：___________ </w:t>
      </w:r>
      <w:r>
        <w:rPr>
          <w:rFonts w:hint="eastAsia"/>
          <w:color w:val="auto"/>
          <w:sz w:val="24"/>
          <w:lang w:val="en-US" w:eastAsia="zh-CN"/>
        </w:rPr>
        <w:t xml:space="preserve">     </w:t>
      </w:r>
      <w:r>
        <w:rPr>
          <w:color w:val="auto"/>
          <w:sz w:val="24"/>
        </w:rPr>
        <w:t xml:space="preserve">项目名称：__________</w:t>
      </w:r>
      <w:r>
        <w:rPr>
          <w:rFonts w:hint="eastAsia"/>
          <w:color w:val="auto"/>
          <w:sz w:val="24"/>
          <w:lang w:val="en-US" w:eastAsia="zh-CN"/>
        </w:rPr>
        <w:t xml:space="preserve">      </w:t>
      </w:r>
      <w:r>
        <w:rPr>
          <w:color w:val="auto"/>
          <w:sz w:val="24"/>
        </w:rPr>
        <w:t xml:space="preserve">报价单位：人民币元</w:t>
      </w:r>
      <w:r/>
    </w:p>
    <w:tbl>
      <w:tblPr>
        <w:tblStyle w:val="923"/>
        <w:tblpPr w:horzAnchor="page" w:tblpX="761" w:vertAnchor="text" w:tblpY="445" w:leftFromText="180" w:topFromText="0" w:rightFromText="180" w:bottomFromText="0"/>
        <w:tblW w:w="10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495"/>
        <w:gridCol w:w="1125"/>
        <w:gridCol w:w="3705"/>
        <w:gridCol w:w="580"/>
        <w:gridCol w:w="883"/>
        <w:gridCol w:w="1134"/>
        <w:gridCol w:w="966"/>
        <w:gridCol w:w="966"/>
      </w:tblGrid>
      <w:tr>
        <w:trPr>
          <w:trHeight w:val="440"/>
        </w:trPr>
        <w:tc>
          <w:tcPr>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类别</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序号</w:t>
            </w:r>
            <w:r/>
          </w:p>
        </w:tc>
        <w:tc>
          <w:tcPr>
            <w:tcMar>
              <w:left w:w="108" w:type="dxa"/>
              <w:top w:w="0" w:type="dxa"/>
              <w:right w:w="108" w:type="dxa"/>
              <w:bottom w:w="0" w:type="dxa"/>
            </w:tcMar>
            <w:tcW w:w="112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名称</w:t>
            </w:r>
            <w:r/>
          </w:p>
        </w:tc>
        <w:tc>
          <w:tcPr>
            <w:tcMar>
              <w:left w:w="108" w:type="dxa"/>
              <w:top w:w="0" w:type="dxa"/>
              <w:right w:w="108" w:type="dxa"/>
              <w:bottom w:w="0" w:type="dxa"/>
            </w:tcMar>
            <w:tcW w:w="370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规格参数</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单位</w:t>
            </w:r>
            <w:r/>
          </w:p>
        </w:tc>
        <w:tc>
          <w:tcPr>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数量</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单价</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（元）</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小计</w:t>
            </w:r>
            <w:r>
              <w:rPr>
                <w:rFonts w:ascii="宋体" w:hAnsi="宋体" w:eastAsia="宋体" w:cs="宋体"/>
                <w:b/>
                <w:color w:val="auto"/>
                <w:sz w:val="24"/>
              </w:rPr>
              <w:t xml:space="preserve">（元）</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备注</w:t>
            </w:r>
            <w:r/>
          </w:p>
        </w:tc>
      </w:tr>
      <w:tr>
        <w:trPr>
          <w:trHeight w:val="305"/>
        </w:trPr>
        <w:tc>
          <w:tcPr>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标线</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系列</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按需设置，相关参数符合GB/T16311-2009规定。</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19200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导向箭头</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各类车道导向箭头规格4.5m、6m，相关参数符合GB/T16311-2009规定。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540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热熔标线停车位</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不大于2.5 米*6米，相关参数符合GB/T16311-2009规定。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499</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震荡标线</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按需设置，相关参数符合GB/T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高压水除线</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废弃标线清洗和回收，相关参数符合GB/T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导向箭头</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热熔标线，3m规格，相关参数符合GB/T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90"/>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停车位内小箭头</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热熔标线，长1.2m，相关参数符合GB/T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0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非机动车标志</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热熔标线，按需设置，相关参数符合GB/T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异型标线（让行、菱形、中心圆）</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热熔标线，按指定要求，相关参数符合GB/T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90"/>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标线字</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50cm*80cm，相关参数符合GB/T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礼让</w:t>
            </w:r>
            <w:r/>
          </w:p>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行人</w:t>
            </w:r>
            <w:r/>
          </w:p>
        </w:tc>
      </w:tr>
      <w:tr>
        <w:trPr>
          <w:trHeight w:val="90"/>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标线字</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1*2.5m，公交车，</w:t>
            </w:r>
            <w:r>
              <w:rPr>
                <w:rFonts w:ascii="宋体" w:hAnsi="宋体" w:eastAsia="宋体" w:cs="宋体"/>
                <w:color w:val="auto"/>
                <w:sz w:val="24"/>
              </w:rPr>
              <w:t xml:space="preserve">相关参数符合GB/T 16311-2009规定。</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1"/>
                <w:szCs w:val="22"/>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val="en-US" w:eastAsia="zh-CN"/>
              </w:rPr>
              <w:t xml:space="preserve">公交车</w:t>
            </w:r>
            <w:r/>
          </w:p>
        </w:tc>
      </w:tr>
      <w:tr>
        <w:trPr>
          <w:trHeight w:val="90"/>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Theme="minorHAnsi" w:hAnsiTheme="minorHAnsi" w:eastAsiaTheme="minorEastAsia"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冷喷划线</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Theme="minorHAnsi" w:hAnsiTheme="minorHAnsi" w:eastAsiaTheme="minorEastAsia"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按指定要求，相关参数符合GB/T16311-2009规定。</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Theme="minorHAnsi" w:hAnsiTheme="minorHAnsi" w:eastAsiaTheme="minorEastAsia"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default" w:eastAsia="宋体" w:asciiTheme="minorHAnsi" w:hAnsiTheme="minorHAnsi" w:cstheme="minorBidi"/>
                <w:color w:val="auto"/>
                <w:sz w:val="21"/>
                <w:szCs w:val="22"/>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3</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冷喷划停车位</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不大于2.5米*6米，相关参数符合GB/T 16311-2009规定。</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default" w:eastAsia="宋体" w:asciiTheme="minorHAnsi" w:hAnsiTheme="minorHAnsi" w:cstheme="minorBidi"/>
                <w:color w:val="auto"/>
                <w:sz w:val="21"/>
                <w:szCs w:val="22"/>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冷喷划箭头</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各类箭头，相关参数符合GB/T 16311-2009规定。</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default" w:eastAsia="宋体" w:asciiTheme="minorHAnsi" w:hAnsiTheme="minorHAnsi" w:cstheme="minorBidi"/>
                <w:color w:val="auto"/>
                <w:sz w:val="21"/>
                <w:szCs w:val="22"/>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冷喷</w:t>
            </w:r>
            <w:r>
              <w:rPr>
                <w:rFonts w:hint="eastAsia" w:ascii="宋体" w:hAnsi="宋体" w:eastAsia="宋体" w:cs="宋体"/>
                <w:color w:val="auto"/>
                <w:sz w:val="24"/>
                <w:lang w:val="en-US" w:eastAsia="zh-CN"/>
              </w:rPr>
              <w:t xml:space="preserve">路面改色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废弃标线机械除线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含沥青黄沙涂层，相关参数符合GB/T 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420"/>
              <w:jc w:val="both"/>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420"/>
              <w:jc w:val="both"/>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彩色</w:t>
            </w:r>
            <w:r>
              <w:rPr>
                <w:rFonts w:hint="eastAsia" w:ascii="宋体" w:hAnsi="宋体" w:eastAsia="宋体" w:cs="宋体"/>
                <w:color w:val="auto"/>
                <w:sz w:val="24"/>
                <w:lang w:val="en-US" w:eastAsia="zh-CN"/>
              </w:rPr>
              <w:t xml:space="preserve">颗粒</w:t>
            </w:r>
            <w:r>
              <w:rPr>
                <w:rFonts w:ascii="宋体" w:hAnsi="宋体" w:eastAsia="宋体" w:cs="宋体"/>
                <w:color w:val="auto"/>
                <w:sz w:val="24"/>
              </w:rPr>
              <w:t xml:space="preserve">路面</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按需设置，相关参数符合GB/T16311-2009规定。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雨夜”热熔标线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特种热熔，相关参数符合GB/T16311-2009规定。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含施工</w:t>
            </w:r>
            <w:r/>
          </w:p>
        </w:tc>
      </w:tr>
      <w:tr>
        <w:trPr>
          <w:trHeight w:val="46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反光标线贴</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15cm宽,钻石级，相关参数符合GB/T16311-2009规定。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90"/>
        </w:trPr>
        <w:tc>
          <w:tcPr>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隔离</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护栏</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系列</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钢制隔离护栏</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高</w:t>
            </w:r>
            <w:r>
              <w:rPr>
                <w:rFonts w:ascii="宋体" w:hAnsi="宋体" w:eastAsia="宋体" w:cs="宋体"/>
                <w:color w:val="auto"/>
                <w:sz w:val="24"/>
              </w:rPr>
              <w:t xml:space="preserve">100cm*长300cm*厚2.0mm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钢制隔离护栏立柱</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80*80*2.5㎜（配套橡胶底座，大号反光标）</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含地钉、安装</w:t>
            </w:r>
            <w:r/>
          </w:p>
        </w:tc>
      </w:tr>
      <w:tr>
        <w:trPr>
          <w:trHeight w:val="67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警示板</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新款太阳能发光</w:t>
            </w:r>
            <w:r>
              <w:rPr>
                <w:rFonts w:hint="eastAsia" w:ascii="宋体" w:hAnsi="宋体" w:eastAsia="宋体" w:cs="宋体"/>
                <w:color w:val="auto"/>
                <w:sz w:val="24"/>
                <w:lang w:val="en-US" w:eastAsia="zh-CN"/>
              </w:rPr>
              <w:t xml:space="preserve">式</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护栏端部警示板</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高75cm或95cm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人行道板护栏（绿色）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高125cm*长300cm*厚2.0mm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rHeight w:val="168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人行道板护栏立柱（绿色）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入地式</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rHeight w:val="147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城市新款护栏（灰色）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高120cm*长300cm*厚2.0mm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530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rHeight w:val="1726"/>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城市新款护栏立柱（灰色）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1200</w:t>
            </w:r>
            <w:r>
              <w:rPr>
                <w:rFonts w:ascii="宋体" w:hAnsi="宋体" w:eastAsia="宋体" w:cs="宋体"/>
                <w:color w:val="auto"/>
                <w:sz w:val="24"/>
              </w:rPr>
              <w:t xml:space="preserve">㎜（配套</w:t>
            </w:r>
            <w:r>
              <w:rPr>
                <w:rFonts w:hint="eastAsia" w:ascii="宋体" w:hAnsi="宋体" w:eastAsia="宋体" w:cs="宋体"/>
                <w:color w:val="auto"/>
                <w:sz w:val="24"/>
                <w:lang w:eastAsia="zh-CN"/>
              </w:rPr>
              <w:t xml:space="preserve">水泥</w:t>
            </w:r>
            <w:r>
              <w:rPr>
                <w:rFonts w:ascii="宋体" w:hAnsi="宋体" w:eastAsia="宋体" w:cs="宋体"/>
                <w:color w:val="auto"/>
                <w:sz w:val="24"/>
              </w:rPr>
              <w:t xml:space="preserve">底座，大号反光标）</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城市新款护栏（灰色）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w:t>
            </w:r>
            <w:r>
              <w:rPr>
                <w:rFonts w:hint="eastAsia" w:ascii="宋体" w:hAnsi="宋体" w:eastAsia="宋体" w:cs="宋体"/>
                <w:color w:val="auto"/>
                <w:sz w:val="24"/>
                <w:lang w:val="en-US" w:eastAsia="zh-CN"/>
              </w:rPr>
              <w:t xml:space="preserve">85</w:t>
            </w:r>
            <w:r>
              <w:rPr>
                <w:rFonts w:ascii="宋体" w:hAnsi="宋体" w:eastAsia="宋体" w:cs="宋体"/>
                <w:color w:val="auto"/>
                <w:sz w:val="24"/>
              </w:rPr>
              <w:t xml:space="preserve">cm*长300cm*厚2.0mm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城市新款护栏立柱（灰色）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0*</w:t>
            </w:r>
            <w:r>
              <w:rPr>
                <w:rFonts w:hint="eastAsia" w:ascii="宋体" w:hAnsi="宋体" w:eastAsia="宋体" w:cs="宋体"/>
                <w:color w:val="auto"/>
                <w:sz w:val="24"/>
                <w:lang w:val="en-US" w:eastAsia="zh-CN"/>
              </w:rPr>
              <w:t xml:space="preserve">850</w:t>
            </w:r>
            <w:r>
              <w:rPr>
                <w:rFonts w:ascii="宋体" w:hAnsi="宋体" w:eastAsia="宋体" w:cs="宋体"/>
                <w:color w:val="auto"/>
                <w:sz w:val="24"/>
              </w:rPr>
              <w:t xml:space="preserve">㎜（配套</w:t>
            </w:r>
            <w:r>
              <w:rPr>
                <w:rFonts w:hint="eastAsia" w:ascii="宋体" w:hAnsi="宋体" w:eastAsia="宋体" w:cs="宋体"/>
                <w:color w:val="auto"/>
                <w:sz w:val="24"/>
                <w:lang w:eastAsia="zh-CN"/>
              </w:rPr>
              <w:t xml:space="preserve">水泥</w:t>
            </w:r>
            <w:r>
              <w:rPr>
                <w:rFonts w:ascii="宋体" w:hAnsi="宋体" w:eastAsia="宋体" w:cs="宋体"/>
                <w:color w:val="auto"/>
                <w:sz w:val="24"/>
              </w:rPr>
              <w:t xml:space="preserve">底座，大号反光标）</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400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城市新款护栏</w:t>
            </w:r>
            <w:r>
              <w:rPr>
                <w:rFonts w:hint="eastAsia" w:ascii="宋体" w:hAnsi="宋体" w:eastAsia="宋体" w:cs="宋体"/>
                <w:color w:val="auto"/>
                <w:sz w:val="24"/>
                <w:lang w:val="en-US" w:eastAsia="zh-CN"/>
              </w:rPr>
              <w:t xml:space="preserve">斜片（灰色）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w:t>
            </w:r>
            <w:r>
              <w:rPr>
                <w:rFonts w:hint="eastAsia" w:ascii="宋体" w:hAnsi="宋体" w:eastAsia="宋体" w:cs="宋体"/>
                <w:color w:val="auto"/>
                <w:sz w:val="24"/>
                <w:lang w:val="en-US" w:eastAsia="zh-CN"/>
              </w:rPr>
              <w:t xml:space="preserve">85-120</w:t>
            </w:r>
            <w:r>
              <w:rPr>
                <w:rFonts w:ascii="宋体" w:hAnsi="宋体" w:eastAsia="宋体" w:cs="宋体"/>
                <w:color w:val="auto"/>
                <w:sz w:val="24"/>
              </w:rPr>
              <w:t xml:space="preserve">cm*长300cm*厚2.0mm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钢制小护栏、绿化护栏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高70/90cm*长300cm*厚2.0mm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钢制护栏立柱</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80*80*2.5㎜（配套橡胶底座，大号反光标）</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420"/>
              <w:jc w:val="both"/>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420"/>
              <w:jc w:val="both"/>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含安装、拆旧</w:t>
            </w:r>
            <w:r/>
          </w:p>
        </w:tc>
      </w:tr>
      <w:tr>
        <w:trPr>
          <w:trHeight w:val="417"/>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护栏贴膜</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道*20cm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铁质警示桩（地面80cm）橡胶盖</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￠114㎜*1200*2.5</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铁质警示桩（地面60cm）橡胶盖</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￠114㎜*90</w:t>
            </w:r>
            <w:r>
              <w:rPr>
                <w:rFonts w:hint="eastAsia" w:ascii="宋体" w:hAnsi="宋体" w:eastAsia="宋体" w:cs="宋体"/>
                <w:color w:val="auto"/>
                <w:sz w:val="24"/>
                <w:lang w:val="en-US" w:eastAsia="zh-CN"/>
              </w:rPr>
              <w:t xml:space="preserve">0</w:t>
            </w:r>
            <w:r>
              <w:rPr>
                <w:rFonts w:ascii="宋体" w:hAnsi="宋体" w:eastAsia="宋体" w:cs="宋体"/>
                <w:color w:val="auto"/>
                <w:sz w:val="24"/>
              </w:rPr>
              <w:t xml:space="preserve">*2.5</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铁质跨马式警示桩</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￠114㎜*900*2.5</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807"/>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防撞桶（大）</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￠580*600mm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46</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含1/3 沙</w:t>
            </w:r>
            <w:r/>
          </w:p>
        </w:tc>
      </w:tr>
      <w:tr>
        <w:trPr>
          <w:trHeight w:val="752"/>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防撞桶（小）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￠380*600mm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含1/3 沙</w:t>
            </w:r>
            <w:r/>
          </w:p>
        </w:tc>
      </w:tr>
      <w:tr>
        <w:trPr>
          <w:trHeight w:val="792"/>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t xml:space="preserve">20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橡胶减速带</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高度3.5cm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非机动车橡胶减速带</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高度2.5cm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防撞条</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防撞条，反光橡胶护角条</w:t>
            </w:r>
            <w:r>
              <w:rPr>
                <w:rFonts w:hint="eastAsia" w:ascii="宋体" w:hAnsi="宋体" w:eastAsia="宋体" w:cs="宋体"/>
                <w:color w:val="auto"/>
                <w:sz w:val="24"/>
                <w:lang w:val="en-US" w:eastAsia="zh-CN"/>
              </w:rPr>
              <w:t xml:space="preserve"> 各类款式</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铸铁减速带</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高度3.5cm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挡车杆（圆头、三脚）</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铁质，200cm*￠7.6cm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451"/>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京式护栏</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高120cm*长300cm*厚3.0mm</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rHeight w:val="479"/>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京式立柱</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高120cm*厚3.0mm</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移动式护栏1</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高110cm*长3000*厚2.0mm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移动式护栏2</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高80cm*长3000*厚2.0mm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护栏轮廓标</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各类款式</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805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护栏桩底座</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橡胶底座</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600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网片护栏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如喷塑绿色、网片尺寸宽</w:t>
            </w:r>
            <w:r>
              <w:rPr>
                <w:rFonts w:hint="eastAsia" w:ascii="宋体" w:hAnsi="宋体" w:eastAsia="宋体" w:cs="宋体"/>
                <w:color w:val="auto"/>
                <w:sz w:val="24"/>
                <w:lang w:val="en-US" w:eastAsia="zh-CN"/>
              </w:rPr>
              <w:t xml:space="preserve">1920mm、高1650mm（含边框30*30*1.2mm）、立柱与网片间隔50mm、连接管30*30*1.5mm（U型卡）固定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网片护栏立柱</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如喷塑绿色、方管尺寸</w:t>
            </w:r>
            <w:r>
              <w:rPr>
                <w:rFonts w:hint="eastAsia" w:ascii="宋体" w:hAnsi="宋体" w:eastAsia="宋体" w:cs="宋体"/>
                <w:color w:val="auto"/>
                <w:sz w:val="24"/>
                <w:lang w:val="en-US" w:eastAsia="zh-CN"/>
              </w:rPr>
              <w:t xml:space="preserve">60*60*2*2000mm、预埋深度20cm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根</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含安装，不含基础</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跨马护栏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w:t>
            </w:r>
            <w:r>
              <w:rPr>
                <w:rFonts w:ascii="宋体" w:hAnsi="宋体" w:eastAsia="宋体" w:cs="宋体"/>
                <w:color w:val="auto"/>
                <w:sz w:val="24"/>
              </w:rPr>
              <w:t xml:space="preserve">￠114</w:t>
            </w:r>
            <w:r>
              <w:rPr>
                <w:rFonts w:hint="eastAsia" w:ascii="宋体" w:hAnsi="宋体" w:eastAsia="宋体" w:cs="宋体"/>
                <w:color w:val="auto"/>
                <w:sz w:val="24"/>
                <w:lang w:val="en-US" w:eastAsia="zh-CN"/>
              </w:rPr>
              <w:t xml:space="preserve">mm镀锌圆管、喷塑、红色、管身贴白色反光膜、高800mm，上宽420mm、下宽500mm、底部法兰膨胀螺栓固定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rHeight w:val="968"/>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3mm</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Gr-B-4E</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(3mm）</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Gr-B-2E</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rHeight w:val="732"/>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波形护栏立柱</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w:t>
            </w:r>
            <w:r>
              <w:rPr>
                <w:rFonts w:hint="eastAsia" w:ascii="宋体" w:hAnsi="宋体" w:eastAsia="宋体" w:cs="宋体"/>
                <w:color w:val="auto"/>
                <w:sz w:val="24"/>
                <w:lang w:val="en-US" w:eastAsia="zh-CN"/>
              </w:rPr>
              <w:t xml:space="preserve">2100</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.5</w:t>
            </w:r>
            <w:r>
              <w:rPr>
                <w:rFonts w:hint="eastAsia" w:ascii="宋体" w:hAnsi="宋体" w:eastAsia="宋体" w:cs="宋体"/>
                <w:color w:val="auto"/>
                <w:sz w:val="24"/>
                <w:lang w:eastAsia="zh-CN"/>
              </w:rPr>
              <w:t xml:space="preserve">（含配套小件）</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4mm</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Gr-A-4E（二波）</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w:t>
            </w:r>
            <w:r>
              <w:rPr>
                <w:rFonts w:hint="eastAsia" w:ascii="宋体" w:hAnsi="宋体" w:eastAsia="宋体" w:cs="宋体"/>
                <w:color w:val="auto"/>
                <w:sz w:val="24"/>
                <w:lang w:val="en-US" w:eastAsia="zh-CN"/>
              </w:rPr>
              <w:t xml:space="preserve">(4mm）</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Gr-A-2E（二波）</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波形护栏立柱</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40</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1950</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.5</w:t>
            </w:r>
            <w:r>
              <w:rPr>
                <w:rFonts w:hint="eastAsia" w:ascii="宋体" w:hAnsi="宋体" w:eastAsia="宋体" w:cs="宋体"/>
                <w:color w:val="auto"/>
                <w:sz w:val="24"/>
                <w:lang w:eastAsia="zh-CN"/>
              </w:rPr>
              <w:t xml:space="preserve">（含配套小件）</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rHeight w:val="58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40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护栏端头</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w:t>
            </w:r>
            <w:r>
              <w:rPr>
                <w:rFonts w:hint="eastAsia" w:ascii="宋体" w:hAnsi="宋体" w:eastAsia="宋体" w:cs="宋体"/>
                <w:color w:val="auto"/>
                <w:sz w:val="24"/>
                <w:lang w:val="en-US" w:eastAsia="zh-CN"/>
              </w:rPr>
              <w:t xml:space="preserve">D-I型、</w:t>
            </w:r>
            <w:r>
              <w:rPr>
                <w:rFonts w:hint="eastAsia" w:ascii="宋体" w:hAnsi="宋体" w:eastAsia="宋体" w:cs="宋体"/>
                <w:color w:val="auto"/>
                <w:sz w:val="24"/>
                <w:lang w:eastAsia="zh-CN"/>
              </w:rPr>
              <w:t xml:space="preserve">含端头贴膜</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jc w:val="center"/>
              <w:spacing w:after="0" w:line="240" w:lineRule="auto"/>
              <w:rPr>
                <w:rFonts w:hint="eastAsia" w:ascii="Times New Roman" w:hAnsi="Times New Roman" w:eastAsia="Times New Roman" w:cs="Times New Roman"/>
                <w:color w:val="auto"/>
                <w:sz w:val="21"/>
                <w:szCs w:val="24"/>
                <w:lang w:val="en-US" w:eastAsia="zh-CN" w:bidi="ar-SA"/>
              </w:rPr>
            </w:pPr>
            <w:r>
              <w:rPr>
                <w:rFonts w:hint="eastAsia" w:ascii="Times New Roman" w:hAnsi="Times New Roman" w:eastAsia="Times New Roman"/>
                <w:color w:val="auto"/>
                <w:sz w:val="21"/>
                <w:szCs w:val="24"/>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Mar>
              <w:left w:w="108" w:type="dxa"/>
              <w:top w:w="0" w:type="dxa"/>
              <w:right w:w="108" w:type="dxa"/>
              <w:bottom w:w="0" w:type="dxa"/>
            </w:tcMar>
            <w:tcW w:w="945" w:type="dxa"/>
            <w:vAlign w:val="center"/>
            <w:vMerge w:val="restart"/>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交通标志</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2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交通标牌</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3M二级膜，铝板厚度2mm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248</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含安装，不含杆件、基础</w:t>
            </w:r>
            <w:r/>
          </w:p>
        </w:tc>
      </w:tr>
      <w:tr>
        <w:trPr>
          <w:trHeight w:val="651"/>
        </w:trPr>
        <w:tc>
          <w:tcPr>
            <w:tcMar>
              <w:left w:w="108" w:type="dxa"/>
              <w:top w:w="0" w:type="dxa"/>
              <w:right w:w="108" w:type="dxa"/>
              <w:bottom w:w="0" w:type="dxa"/>
            </w:tcMar>
            <w:tcW w:w="945" w:type="dxa"/>
            <w:vAlign w:val="center"/>
            <w:vMerge w:val="continue"/>
            <w:textDirection w:val="lrTb"/>
            <w:noWrap w:val="false"/>
          </w:tcPr>
          <w:p>
            <w:pPr>
              <w:ind w:left="0" w:right="0" w:firstLine="0"/>
              <w:jc w:val="center"/>
              <w:spacing w:before="0" w:after="0" w:line="24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交通标志</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折叠式不锈钢</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副</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c>
          <w:tcPr>
            <w:tcMar>
              <w:left w:w="108" w:type="dxa"/>
              <w:top w:w="0" w:type="dxa"/>
              <w:right w:w="108" w:type="dxa"/>
              <w:bottom w:w="0" w:type="dxa"/>
            </w:tcMar>
            <w:tcW w:w="945" w:type="dxa"/>
            <w:vAlign w:val="center"/>
            <w:vMerge w:val="continue"/>
            <w:textDirection w:val="lrTb"/>
            <w:noWrap w:val="false"/>
          </w:tcPr>
          <w:p>
            <w:pPr>
              <w:ind w:left="0" w:right="0" w:firstLine="0"/>
              <w:jc w:val="center"/>
              <w:spacing w:before="0" w:after="0" w:line="24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交通标志</w:t>
            </w:r>
            <w:r/>
          </w:p>
        </w:tc>
        <w:tc>
          <w:tcPr>
            <w:tcMar>
              <w:left w:w="108" w:type="dxa"/>
              <w:top w:w="0" w:type="dxa"/>
              <w:right w:w="108" w:type="dxa"/>
              <w:bottom w:w="0" w:type="dxa"/>
            </w:tcMar>
            <w:tcW w:w="370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带有角钢支架的折叠式</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1.2*1.6m</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副</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c>
          <w:tcPr>
            <w:tcMar>
              <w:left w:w="108" w:type="dxa"/>
              <w:top w:w="0" w:type="dxa"/>
              <w:right w:w="108" w:type="dxa"/>
              <w:bottom w:w="0" w:type="dxa"/>
            </w:tcMar>
            <w:tcW w:w="945" w:type="dxa"/>
            <w:vAlign w:val="center"/>
            <w:vMerge w:val="continue"/>
            <w:textDirection w:val="lrTb"/>
            <w:noWrap w:val="false"/>
          </w:tcPr>
          <w:p>
            <w:pPr>
              <w:ind w:left="0" w:right="0" w:firstLine="0"/>
              <w:jc w:val="center"/>
              <w:spacing w:before="0" w:after="0" w:line="24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4</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交通标志</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带有角钢支架的折叠式</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0.8*1.2m</w:t>
            </w:r>
            <w:r>
              <w:rPr>
                <w:rFonts w:hint="eastAsia" w:ascii="宋体" w:hAnsi="宋体" w:eastAsia="宋体" w:cs="宋体"/>
                <w:color w:val="auto"/>
                <w:sz w:val="24"/>
                <w:lang w:eastAsia="zh-CN"/>
              </w:rPr>
              <w:t xml:space="preserve">）</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副</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15</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default" w:eastAsia="宋体" w:asciiTheme="minorHAnsi" w:hAnsiTheme="minorHAnsi" w:cstheme="minorBidi"/>
                <w:color w:val="auto"/>
                <w:sz w:val="21"/>
                <w:szCs w:val="22"/>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rHeight w:val="63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标志贴膜</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3M二级膜</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各类颜色</w:t>
            </w:r>
            <w:r>
              <w:rPr>
                <w:rFonts w:hint="eastAsia" w:ascii="宋体" w:hAnsi="宋体" w:eastAsia="宋体" w:cs="宋体"/>
                <w:color w:val="auto"/>
                <w:sz w:val="24"/>
                <w:lang w:eastAsia="zh-CN"/>
              </w:rPr>
              <w:t xml:space="preserve">）</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平米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反光道钉</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3M，10*10cm，黄色双面、白色单面</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交通</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信号</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灯系</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列</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2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机动车信号灯组总成（含三联三色）</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2007"/>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2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机动车信号灯盘总成（红黄绿三色）</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1932"/>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人行信号灯组总成（含主灯、倒计时）</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不含基础、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杆件</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人行信号灯盘总成（主灯、倒计时）</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非机动车信号灯灯盘总成（红黄绿三色）</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非机动车信号灯灯组总成</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人行信号灯总成（复合不带LED 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人行信号灯总成（单面不带LED 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机动车信号灯总成（一体式）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188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辅助信号灯总成（双灯一体式）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1228"/>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左弯待转区提示灯</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规格：￠300mm；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信号灯组总成（红黄绿三色一体式）</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规格：￠400mm</w:t>
            </w:r>
            <w:r/>
          </w:p>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在用常规款式，相关参数符合国家标准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13</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太阳能警示桩爆闪</w:t>
            </w:r>
            <w:r>
              <w:rPr>
                <w:rFonts w:hint="eastAsia" w:ascii="宋体" w:hAnsi="宋体" w:eastAsia="宋体" w:cs="宋体"/>
                <w:color w:val="auto"/>
                <w:sz w:val="24"/>
                <w:highlight w:val="none"/>
                <w:lang w:eastAsia="zh-CN"/>
              </w:rPr>
              <w:t xml:space="preserve">灯</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警示桩专用、</w:t>
            </w:r>
            <w:r>
              <w:rPr>
                <w:rFonts w:hint="eastAsia" w:ascii="宋体" w:hAnsi="宋体" w:eastAsia="宋体" w:cs="宋体"/>
                <w:color w:val="auto"/>
                <w:sz w:val="24"/>
                <w:highlight w:val="none"/>
                <w:lang w:eastAsia="zh-CN"/>
              </w:rPr>
              <w:t xml:space="preserve">警闪</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lang w:eastAsia="zh-CN"/>
              </w:rPr>
              <w:t xml:space="preserve">黄闪，</w:t>
            </w:r>
            <w:r>
              <w:rPr>
                <w:rFonts w:ascii="宋体" w:hAnsi="宋体" w:eastAsia="宋体" w:cs="宋体"/>
                <w:color w:val="auto"/>
                <w:sz w:val="24"/>
                <w:highlight w:val="none"/>
              </w:rPr>
              <w:t xml:space="preserve">￠114㎜</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rPr>
                <w:rFonts w:hint="eastAsia" w:cs="Times New Roman"/>
                <w:color w:val="auto"/>
                <w:lang w:val="en-US" w:eastAsia="zh-CN"/>
              </w:rPr>
              <w:t xml:space="preserve">6</w:t>
            </w:r>
            <w:r>
              <w:rPr>
                <w:rFonts w:hint="eastAsia" w:ascii="Times New Roman" w:hAnsi="Times New Roman" w:eastAsia="宋体" w:cs="Times New Roman"/>
                <w:color w:val="auto"/>
                <w:lang w:val="en-US" w:eastAsia="zh-CN"/>
              </w:rPr>
              <w:t xml:space="preserve">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color w:val="auto"/>
                <w:highlight w:val="none"/>
                <w:shd w:val="clear" w:color="auto"/>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rHeight w:val="485"/>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电源线1</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ZR-RVVP3*4</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多股铜芯甲控乙购含施工</w:t>
            </w:r>
            <w:r/>
          </w:p>
        </w:tc>
      </w:tr>
      <w:tr>
        <w:trPr>
          <w:trHeight w:val="518"/>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电源线2</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ZR-RVVP3*6</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rHeight w:val="484"/>
        </w:trPr>
        <w:tc>
          <w:tcPr>
            <w:tcW w:w="945" w:type="dxa"/>
            <w:vMerge w:val="continue"/>
            <w:textDirection w:val="lrTb"/>
            <w:noWrap w:val="false"/>
          </w:tcPr>
          <w:p>
            <w:pPr>
              <w:spacing w:after="0" w:line="240" w:lineRule="auto"/>
              <w:rPr>
                <w:rFonts w:hint="eastAsia" w:eastAsia="宋体"/>
                <w:color w:val="auto"/>
                <w:lang w:eastAsia="zh-CN"/>
              </w:rPr>
            </w:pPr>
            <w:r>
              <w:rPr>
                <w:rFonts w:hint="eastAsia" w:eastAsia="宋体"/>
                <w:color w:val="auto"/>
                <w:lang w:eastAsia="zh-CN"/>
              </w:rPr>
              <w:t xml:space="preserve"> </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电源线3</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ZR-RVVP3*10</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80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rHeight w:val="60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电源线4</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ZR-RVVP5*1.5</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80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ZR-RVVP4*1.5</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ZR-RVVP7*1.5</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机动车信号线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ZR-RVVP10*1.5</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增强过路管</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电工套管重型￠50</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rHeight w:val="58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硅芯管</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￠40</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信号机控制柜（不锈钢外壳、厚度1.5mm）</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950*600*450mm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太阳能黄闪灯</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双面型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vMerge w:val="restart"/>
            <w:textDirection w:val="lrTb"/>
            <w:noWrap w:val="false"/>
          </w:tcPr>
          <w:p>
            <w:pPr>
              <w:ind w:right="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含安装、不含杆件、基础</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太阳能爆闪灯</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单立柱6头</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普通信号机</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 路分时控制机</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台</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协调式联网信号机总成</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含基础安装、调试</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协调式信号机主控板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协调式信号机灯控板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协调式信号机电源板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在用常规款式，XHJ-CW-GA-HT23（64）型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协调式信号机控制机柜（含内部元器件）</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含照明、220V 电源插座、接线柱、手动控制门、配套门锁钥匙等</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532"/>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协调式联网信号机总成</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协调式信号机主控板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90"/>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协调式信号机灯控板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6</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协调式信号机电源板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片</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6</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协调式信号机</w:t>
            </w:r>
            <w:r>
              <w:rPr>
                <w:rFonts w:hint="eastAsia" w:ascii="宋体" w:hAnsi="宋体" w:eastAsia="宋体" w:cs="宋体"/>
                <w:color w:val="auto"/>
                <w:sz w:val="24"/>
                <w:lang w:eastAsia="zh-CN"/>
              </w:rPr>
              <w:t xml:space="preserve">控制柜</w:t>
            </w:r>
            <w:r>
              <w:rPr>
                <w:rFonts w:ascii="宋体" w:hAnsi="宋体" w:eastAsia="宋体" w:cs="宋体"/>
                <w:color w:val="auto"/>
                <w:sz w:val="24"/>
              </w:rPr>
              <w:t xml:space="preserve">（含内部元器件）</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在用常规款式，HT2000A型</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w:t>
            </w:r>
            <w:r>
              <w:rPr>
                <w:rFonts w:hint="eastAsia" w:ascii="宋体" w:hAnsi="宋体" w:eastAsia="宋体" w:cs="宋体"/>
                <w:color w:val="auto"/>
                <w:sz w:val="24"/>
                <w:lang w:eastAsia="zh-CN"/>
              </w:rPr>
              <w:t xml:space="preserve">基础</w:t>
            </w:r>
            <w:r>
              <w:rPr>
                <w:rFonts w:ascii="宋体" w:hAnsi="宋体" w:eastAsia="宋体" w:cs="宋体"/>
                <w:color w:val="auto"/>
                <w:sz w:val="24"/>
              </w:rPr>
              <w:t xml:space="preserve">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光纤/网线</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六芯光纤、超六类网线</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90"/>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千兆以太网交换机</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端口数量：8个自适应RJ45端口；传输速率：10/100/100M自适应。</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1180"/>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千兆多模双纤光纤收发器</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技术参数：波长850nm、产品接口SC、缓存1Mbit</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2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熔纤</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对网络光纤进行熔接</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处</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27</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40"/>
        </w:trPr>
        <w:tc>
          <w:tcPr>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杆件</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基础</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配套</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系列</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广角镜</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￠800 亚克力</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含安装、不含杆件基础</w:t>
            </w:r>
            <w:r/>
          </w:p>
        </w:tc>
      </w:tr>
      <w:tr>
        <w:trPr>
          <w:trHeight w:val="279"/>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￠114*3000*4mm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rHeight w:val="279"/>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rPr>
                <w:rFonts w:hint="eastAsia" w:ascii="宋体" w:hAnsi="宋体" w:eastAsia="宋体" w:cs="宋体"/>
                <w:color w:val="auto"/>
                <w:sz w:val="24"/>
                <w:lang w:eastAsia="zh-CN"/>
              </w:rPr>
              <w:t xml:space="preserve">法兰式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￠114*3000*4mm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￠89*3000*4mm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立杆（热镀锌、喷塑）</w:t>
            </w:r>
            <w:r>
              <w:rPr>
                <w:rFonts w:hint="eastAsia" w:ascii="宋体" w:hAnsi="宋体" w:eastAsia="宋体" w:cs="宋体"/>
                <w:color w:val="auto"/>
                <w:sz w:val="24"/>
                <w:lang w:eastAsia="zh-CN"/>
              </w:rPr>
              <w:t xml:space="preserve">法兰式</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￠89*3000*4mm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标志牌杆件1</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￠159*6000mm，杆件喷塑</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标志牌杆件2</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￠219*7500mm，杆件喷塑</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施工</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标志牌杆件3</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￠273*7800mm，杆件喷塑</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标志牌杆件4</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￠299*7800mm，杆件喷塑</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标志牌杆件5</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￠325*7800mm，杆件喷塑</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信号灯杆件1</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八角喷塑杆件，下1.5m 蓝上白，横臂7 米</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信号灯杆件3</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八角喷塑杆件，下1.5m 蓝上白，横臂9 米</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rHeight w:val="1148"/>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信号灯杆件2</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八角喷塑杆件，下1.5m 蓝上白，横臂12 米</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含横臂、施工</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直埋式基础</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0.4*0.4*0.6m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含开挖、浇筑</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预埋式基础</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0.4*0.4*0.6m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含预埋件、开挖、浇筑</w:t>
            </w:r>
            <w:r/>
          </w:p>
        </w:tc>
      </w:tr>
      <w:tr>
        <w:trPr>
          <w:trHeight w:val="607"/>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基础1</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0.8*0.8*1m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rHeight w:val="59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基础2</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1.2*1.2*1.5m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rHeight w:val="524"/>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基础3</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1.5*1.5*1.6m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rHeight w:val="55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基础4</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1.8*1.8*1.8</w:t>
            </w:r>
            <w:r>
              <w:rPr>
                <w:rFonts w:hint="eastAsia" w:ascii="宋体" w:hAnsi="宋体" w:eastAsia="宋体" w:cs="宋体"/>
                <w:color w:val="auto"/>
                <w:sz w:val="24"/>
                <w:lang w:val="en-US" w:eastAsia="zh-CN"/>
              </w:rPr>
              <w:t xml:space="preserve">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窨井总成1</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0.5*0.5m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含施工</w:t>
            </w:r>
            <w:r/>
          </w:p>
        </w:tc>
      </w:tr>
      <w:tr>
        <w:trPr>
          <w:trHeight w:val="574"/>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吊车台班</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8T</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521"/>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卡车台班</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＞6.8米</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rHeight w:val="608"/>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3</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拖车台班</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对</w:t>
            </w:r>
            <w:r>
              <w:rPr>
                <w:rFonts w:hint="eastAsia" w:ascii="宋体" w:hAnsi="宋体" w:eastAsia="宋体" w:cs="宋体"/>
                <w:color w:val="auto"/>
                <w:sz w:val="24"/>
                <w:lang w:val="en-US" w:eastAsia="zh-CN"/>
              </w:rPr>
              <w:t xml:space="preserve">小型</w:t>
            </w:r>
            <w:r>
              <w:rPr>
                <w:rFonts w:hint="eastAsia" w:ascii="宋体" w:hAnsi="宋体" w:cs="宋体"/>
                <w:color w:val="auto"/>
                <w:sz w:val="24"/>
                <w:lang w:val="en-US" w:eastAsia="zh-CN"/>
              </w:rPr>
              <w:t xml:space="preserve">车辆实施拖离</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rHeight w:val="580"/>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4</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拖车台班</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对大</w:t>
            </w:r>
            <w:r>
              <w:rPr>
                <w:rFonts w:hint="eastAsia" w:ascii="宋体" w:hAnsi="宋体" w:eastAsia="宋体" w:cs="宋体"/>
                <w:color w:val="auto"/>
                <w:sz w:val="24"/>
                <w:lang w:val="en-US" w:eastAsia="zh-CN"/>
              </w:rPr>
              <w:t xml:space="preserve">型</w:t>
            </w:r>
            <w:r>
              <w:rPr>
                <w:rFonts w:hint="eastAsia" w:ascii="宋体" w:hAnsi="宋体" w:cs="宋体"/>
                <w:color w:val="auto"/>
                <w:sz w:val="24"/>
                <w:lang w:val="en-US" w:eastAsia="zh-CN"/>
              </w:rPr>
              <w:t xml:space="preserve">车辆实施拖离</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牵引、顶管</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 根￠40管）</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含工作协调</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道路、道板开挖、恢复</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深度40cm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绿化开挖、恢复</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深度40cm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W w:w="966" w:type="dxa"/>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W w:w="966" w:type="dxa"/>
            <w:vMerge w:val="continue"/>
            <w:textDirection w:val="lrTb"/>
            <w:noWrap w:val="false"/>
          </w:tcPr>
          <w:p>
            <w:pPr>
              <w:spacing w:after="0" w:line="240" w:lineRule="auto"/>
              <w:rPr>
                <w:color w:val="auto"/>
              </w:rPr>
            </w:pPr>
            <w:r>
              <w:rPr>
                <w:color w:val="auto"/>
              </w:rPr>
            </w:r>
            <w:r/>
          </w:p>
        </w:tc>
      </w:tr>
      <w:tr>
        <w:trPr/>
        <w:tc>
          <w:tcPr>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(六)</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其他设施</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弹力警示桩（45cm)</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PU 材质，高45cm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弹力警示桩(75cm)</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PU 材质，高75cm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警示锥筒</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高70cm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cs="Times New Roman"/>
                <w:color w:val="auto"/>
                <w:lang w:val="en-US" w:eastAsia="zh-CN"/>
              </w:rPr>
              <w:t xml:space="preserve">1000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警示锥筒链条</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红白相间</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米</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val="en-US" w:eastAsia="zh-CN"/>
              </w:rPr>
              <w:t xml:space="preserve">5</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太阳能</w:t>
            </w:r>
            <w:r>
              <w:rPr>
                <w:rFonts w:hint="eastAsia" w:ascii="宋体" w:hAnsi="宋体" w:eastAsia="宋体" w:cs="宋体"/>
                <w:color w:val="auto"/>
                <w:sz w:val="24"/>
                <w:lang w:val="en-US" w:eastAsia="zh-CN"/>
              </w:rPr>
              <w:t xml:space="preserve">无线</w:t>
            </w:r>
            <w:r>
              <w:rPr>
                <w:rFonts w:hint="eastAsia" w:ascii="宋体" w:hAnsi="宋体" w:eastAsia="宋体" w:cs="宋体"/>
                <w:color w:val="auto"/>
                <w:sz w:val="24"/>
                <w:lang w:eastAsia="zh-CN"/>
              </w:rPr>
              <w:t xml:space="preserve">球机</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HK-T1S4M-GL/C03S08/LN</w:t>
            </w:r>
            <w:r/>
          </w:p>
          <w:p>
            <w:pPr>
              <w:ind w:left="0" w:right="0" w:firstLine="0"/>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太阳能套装、7天以上续航、配内存卡</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1"/>
                <w:szCs w:val="22"/>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太阳能</w:t>
            </w:r>
            <w:r>
              <w:rPr>
                <w:rFonts w:hint="eastAsia" w:ascii="宋体" w:hAnsi="宋体" w:eastAsia="宋体" w:cs="宋体"/>
                <w:color w:val="auto"/>
                <w:sz w:val="24"/>
                <w:lang w:val="en-US" w:eastAsia="zh-CN"/>
              </w:rPr>
              <w:t xml:space="preserve">无线</w:t>
            </w:r>
            <w:r>
              <w:rPr>
                <w:rFonts w:hint="eastAsia" w:ascii="宋体" w:hAnsi="宋体" w:eastAsia="宋体" w:cs="宋体"/>
                <w:color w:val="auto"/>
                <w:sz w:val="24"/>
                <w:lang w:eastAsia="zh-CN"/>
              </w:rPr>
              <w:t xml:space="preserve">球机</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HK-T1S8DM-GL//L/C08S20</w:t>
            </w:r>
            <w:r/>
          </w:p>
          <w:p>
            <w:pPr>
              <w:ind w:left="0" w:right="0" w:firstLine="0"/>
              <w:spacing w:before="0" w:after="0" w:line="240" w:lineRule="auto"/>
              <w:rPr>
                <w:rFonts w:hint="default"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AOV太阳能套装、7天以上续航、配内存卡</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default" w:eastAsia="宋体" w:asciiTheme="minorHAnsi" w:hAnsiTheme="minorHAnsi" w:cstheme="minorBidi"/>
                <w:color w:val="auto"/>
                <w:sz w:val="21"/>
                <w:szCs w:val="22"/>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电表</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单相电子式电能表、</w:t>
            </w:r>
            <w:r>
              <w:rPr>
                <w:rFonts w:hint="eastAsia" w:ascii="宋体" w:hAnsi="宋体" w:eastAsia="宋体" w:cs="宋体"/>
                <w:color w:val="auto"/>
                <w:sz w:val="24"/>
                <w:lang w:val="en-US" w:eastAsia="zh-CN"/>
              </w:rPr>
              <w:t xml:space="preserve">ABS阻燃材质</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rHeight w:val="574"/>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电表箱</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如</w:t>
            </w:r>
            <w:r>
              <w:rPr>
                <w:rFonts w:hint="eastAsia" w:ascii="宋体" w:hAnsi="宋体" w:eastAsia="宋体" w:cs="宋体"/>
                <w:color w:val="auto"/>
                <w:sz w:val="24"/>
                <w:lang w:val="en-US" w:eastAsia="zh-CN"/>
              </w:rPr>
              <w:t xml:space="preserve">500*600*180mm尺寸</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时控开关</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定时控制、智能芯片、大功率负载、断电记忆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5</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空气（漏电）开关</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过载保护、欠压保护、漏电保护、上进下出、抗寒抗热、性能稳定</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rHeight w:val="893"/>
        </w:trPr>
        <w:tc>
          <w:tcPr>
            <w:tcW w:w="945" w:type="dxa"/>
            <w:vMerge w:val="continue"/>
            <w:textDirection w:val="lrTb"/>
            <w:noWrap w:val="false"/>
          </w:tcPr>
          <w:p>
            <w:pPr>
              <w:spacing w:after="0" w:line="240" w:lineRule="auto"/>
              <w:rPr>
                <w:color w:val="auto"/>
              </w:rPr>
            </w:pPr>
            <w:r>
              <w:rPr>
                <w:color w:val="auto"/>
              </w:rPr>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热塑管套</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快速收缩、绝缘性好、紧密贴合、防水性强、任意弯折、耐磨耐用</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只</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测速警示1（市电款）</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外框尺寸：130*60cm；</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显示尺寸：37*45cm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13</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测速警示2（太阳能款）</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太阳能供电（100w太阳能板，40AH电池）</w:t>
            </w:r>
            <w:r/>
          </w:p>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外框尺寸：130*60cm；</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显示尺寸：37*45cm</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14</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人行横道安全警示系统</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15</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“哨兵”声光电安全警示系统</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在用常规款式</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1659"/>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智能“哨兵”系统1</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1.产品规格：雷达触发 + 语音播报 + 360爆闪灯（单台配置）；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.供电方式：标准DC12V±10%太阳能供电模式或AC220V±20%市电供电 ；</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智能“哨兵”系统2</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主路预警LED屏+ 语音模块+ 无线远距模块 + 两路RS485  + 360爆闪灯（单台配置带屏幕）；</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3</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601"/>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8</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智能“哨兵”系统3</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LED屏 + 无线远距模块 + 语音警示模块 + 360爆闪灯（单横屏2字）；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2.通信方式：weihuaLoRa通信，带路由功能；；</w:t>
            </w:r>
            <w:r/>
          </w:p>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3.无线组网：在300米距离范围内可实现主机间任意组网协同智能订阅雷达数据；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3793"/>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9</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智能“哨兵”系统4</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LED屏 + 无线远距模块 + 360爆闪灯（单竖屏4字）；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2.通信方式：LoRa通信，带路由功能；</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3.无线组网：在300米距离范围内可实现主机间任意组网协同智能订阅雷达数据；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6598"/>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eastAsia"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20</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智能“哨兵”系统5</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主路哨兵设备参数：</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主路LED预警大屏 + 无线远距模块 + 超速预警模块；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w:t>
            </w:r>
            <w:r>
              <w:rPr>
                <w:rFonts w:ascii="宋体" w:hAnsi="宋体" w:eastAsia="宋体" w:cs="宋体"/>
                <w:color w:val="auto"/>
                <w:sz w:val="24"/>
              </w:rPr>
              <w:t xml:space="preserve">.供电方式：标准DC12V±10%太阳能供电模式或AC220V±20%市电供电；</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支路哨兵设备参数：</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1.规格：检测雷达 + LED屏 + 无线远距模块 + 语音警示模块；</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2.通信方式：LoRa通信，带路由功能；</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3.无线组网：在300米距离范围内可实现主机间任意组网协同智能订阅雷达数据；</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.供电方式：标准DC12V±10%太阳能供电模式或AC220V±20%市电供电。</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含基础安装</w:t>
            </w:r>
            <w:r/>
          </w:p>
        </w:tc>
      </w:tr>
      <w:tr>
        <w:trPr>
          <w:trHeight w:val="90"/>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交通执勤岗亭A款</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配置：含警用红蓝LED爆闪灯、置物架、空调、配电箱、照明、插座等，参照2023年城区在用新款岗亭设计标准。</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规格：长6米*宽3米</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座</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rHeight w:val="1574"/>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22</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交通执勤岗亭B款</w:t>
            </w:r>
            <w:r/>
          </w:p>
        </w:tc>
        <w:tc>
          <w:tcPr>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配置：含警用红蓝LED爆闪灯、置物架、空调、配电箱、照明、插座等，参照2023年城区在用新款岗亭设计标准。</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规格：长3.38米*宽2.38米</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座</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23</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交通执勤岗亭C款</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配置：含警用红蓝LED爆闪灯、置物架、空调、配电箱、照明、插座等，参照2023年城区在用新款岗亭设计标准。</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规格：长2.2米*宽1.6米</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座</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24</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防疲劳预警激光</w:t>
            </w:r>
            <w:r>
              <w:rPr>
                <w:rFonts w:hint="eastAsia" w:ascii="宋体" w:hAnsi="宋体" w:eastAsia="宋体" w:cs="宋体"/>
                <w:color w:val="auto"/>
                <w:sz w:val="24"/>
                <w:highlight w:val="none"/>
                <w:lang w:val="en-US" w:eastAsia="zh-CN"/>
              </w:rPr>
              <w:t xml:space="preserve">警示系统（市电款）</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输出波段：绿色可见光</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波长：525（±5）nm</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光功率：1500mW</w:t>
            </w:r>
            <w:r/>
          </w:p>
          <w:p>
            <w:pPr>
              <w:ind w:left="0" w:right="0" w:firstLine="0"/>
              <w:jc w:val="both"/>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工作模式：常亮、频闪等</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asciiTheme="minorHAnsi" w:hAnsiTheme="minorHAnsi" w:cstheme="minorBidi"/>
                <w:color w:val="auto"/>
                <w:sz w:val="21"/>
                <w:szCs w:val="22"/>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25</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防疲劳预警激光</w:t>
            </w:r>
            <w:r>
              <w:rPr>
                <w:rFonts w:hint="eastAsia" w:asciiTheme="minorEastAsia" w:hAnsiTheme="minorEastAsia" w:eastAsiaTheme="minorEastAsia" w:cstheme="minorEastAsia"/>
                <w:color w:val="auto"/>
                <w:sz w:val="24"/>
                <w:szCs w:val="24"/>
                <w:highlight w:val="none"/>
                <w:lang w:val="en-US" w:eastAsia="zh-CN"/>
              </w:rPr>
              <w:t xml:space="preserve">警示系统（太阳能款）</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输出波段：绿色可见光</w:t>
            </w:r>
            <w:r/>
          </w:p>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波长：525（±5）nm</w:t>
            </w:r>
            <w:r/>
          </w:p>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光功率：1500mW</w:t>
            </w:r>
            <w:r/>
          </w:p>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工作模式：常亮、频闪等</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asciiTheme="minorHAnsi" w:hAnsiTheme="minorHAnsi" w:cstheme="minorBid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asciiTheme="minorHAnsi" w:hAnsiTheme="minorHAnsi" w:cstheme="minorBidi"/>
                <w:color w:val="auto"/>
                <w:sz w:val="21"/>
                <w:szCs w:val="22"/>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Theme="minorHAnsi" w:hAnsiTheme="minorHAnsi" w:eastAsiaTheme="minorEastAsia" w:cstheme="minorBidi"/>
                <w:color w:val="auto"/>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c>
          <w:tcPr>
            <w:tcW w:w="945" w:type="dxa"/>
            <w:vMerge w:val="continue"/>
            <w:textDirection w:val="lrTb"/>
            <w:noWrap w:val="false"/>
          </w:tcPr>
          <w:p>
            <w:pPr>
              <w:spacing w:after="0" w:line="240" w:lineRule="auto"/>
              <w:rPr>
                <w:color w:val="auto"/>
              </w:rPr>
            </w:pPr>
            <w:r>
              <w:rPr>
                <w:color w:val="auto"/>
              </w:rPr>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路缘警示灯</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jc w:val="both"/>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铸铝材质；IP68防护等级；可承重20T；可视距离不小于500米；可用时长40小时；闪烁频率50次/分钟</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套</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10</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含安装</w:t>
            </w:r>
            <w:r/>
          </w:p>
        </w:tc>
      </w:tr>
      <w:tr>
        <w:trPr>
          <w:trHeight w:val="1475"/>
        </w:trPr>
        <w:tc>
          <w:tcPr>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维修工次费</w:t>
            </w:r>
            <w:r/>
          </w:p>
        </w:tc>
        <w:tc>
          <w:tcPr>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维修工次费</w:t>
            </w:r>
            <w:r/>
          </w:p>
        </w:tc>
        <w:tc>
          <w:tcPr>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暂按15万元计入投标报价，按实际结算。投标人报价时不得改变“维修工次费”费用，否则作无效投标处理。</w:t>
            </w:r>
            <w:r/>
          </w:p>
        </w:tc>
        <w:tc>
          <w:tcPr>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150000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150000</w:t>
            </w:r>
            <w:r/>
          </w:p>
        </w:tc>
        <w:tc>
          <w:tcPr>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本项为不可竞争费</w:t>
            </w:r>
            <w:r/>
          </w:p>
        </w:tc>
      </w:tr>
      <w:tr>
        <w:trPr>
          <w:trHeight w:val="1501"/>
        </w:trPr>
        <w:tc>
          <w:tcPr>
            <w:shd w:val="clear" w:color="auto" w:fill="auto"/>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default" w:ascii="宋体" w:hAnsi="宋体" w:eastAsia="宋体" w:cs="宋体"/>
                <w:b/>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（八）信号优化调控工次费</w:t>
            </w:r>
            <w:r/>
          </w:p>
        </w:tc>
        <w:tc>
          <w:tcPr>
            <w:shd w:val="clear" w:color="auto" w:fill="auto"/>
            <w:tcMar>
              <w:left w:w="108" w:type="dxa"/>
              <w:top w:w="0" w:type="dxa"/>
              <w:right w:w="108" w:type="dxa"/>
              <w:bottom w:w="0" w:type="dxa"/>
            </w:tcMar>
            <w:tcW w:w="49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p>
        </w:tc>
        <w:tc>
          <w:tcPr>
            <w:shd w:val="clear" w:color="auto" w:fill="auto"/>
            <w:tcMar>
              <w:left w:w="108" w:type="dxa"/>
              <w:top w:w="0" w:type="dxa"/>
              <w:right w:w="108" w:type="dxa"/>
              <w:bottom w:w="0" w:type="dxa"/>
            </w:tcMar>
            <w:tcW w:w="1125" w:type="dxa"/>
            <w:vAlign w:val="center"/>
            <w:textDirection w:val="lrTb"/>
            <w:noWrap w:val="false"/>
          </w:tcPr>
          <w:p>
            <w:pPr>
              <w:ind w:left="0" w:right="0" w:firstLine="0"/>
              <w:jc w:val="both"/>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信号优化调控工次费</w:t>
            </w:r>
            <w:r/>
          </w:p>
        </w:tc>
        <w:tc>
          <w:tcPr>
            <w:shd w:val="clear" w:color="auto" w:fill="auto"/>
            <w:tcMar>
              <w:left w:w="108" w:type="dxa"/>
              <w:top w:w="0" w:type="dxa"/>
              <w:right w:w="108" w:type="dxa"/>
              <w:bottom w:w="0" w:type="dxa"/>
            </w:tcMar>
            <w:tcW w:w="3705" w:type="dxa"/>
            <w:vAlign w:val="center"/>
            <w:textDirection w:val="lrTb"/>
            <w:noWrap w:val="false"/>
          </w:tcPr>
          <w:p>
            <w:pPr>
              <w:ind w:left="0" w:right="0" w:firstLine="0"/>
              <w:spacing w:before="0" w:after="0" w:line="240" w:lineRule="auto"/>
              <w:rPr>
                <w:rFonts w:hint="default"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暂按15万元计入投标报价</w:t>
            </w:r>
            <w:r>
              <w:rPr>
                <w:rFonts w:ascii="宋体" w:hAnsi="宋体" w:eastAsia="宋体" w:cs="宋体"/>
                <w:b/>
                <w:color w:val="auto"/>
                <w:sz w:val="24"/>
              </w:rPr>
              <w:t xml:space="preserve">，按实际结算。投标人报价时不得改变“</w:t>
            </w:r>
            <w:r>
              <w:rPr>
                <w:rFonts w:hint="eastAsia" w:ascii="宋体" w:hAnsi="宋体" w:eastAsia="宋体" w:cs="宋体"/>
                <w:b/>
                <w:color w:val="auto"/>
                <w:sz w:val="24"/>
                <w:highlight w:val="none"/>
                <w:lang w:val="en-US" w:eastAsia="zh-CN"/>
              </w:rPr>
              <w:t xml:space="preserve">信号优化调控工次费</w:t>
            </w:r>
            <w:r>
              <w:rPr>
                <w:rFonts w:ascii="宋体" w:hAnsi="宋体" w:eastAsia="宋体" w:cs="宋体"/>
                <w:b/>
                <w:color w:val="auto"/>
                <w:sz w:val="24"/>
              </w:rPr>
              <w:t xml:space="preserve">”费用，否则作无效投标处理。</w:t>
            </w:r>
            <w:r/>
          </w:p>
        </w:tc>
        <w:tc>
          <w:tcPr>
            <w:shd w:val="clear" w:color="auto" w:fill="auto"/>
            <w:tcMar>
              <w:left w:w="108" w:type="dxa"/>
              <w:top w:w="0" w:type="dxa"/>
              <w:right w:w="108" w:type="dxa"/>
              <w:bottom w:w="0" w:type="dxa"/>
            </w:tcMar>
            <w:tcW w:w="58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shd w:val="clear" w:color="auto" w:fill="auto"/>
            <w:tcMar>
              <w:left w:w="108" w:type="dxa"/>
              <w:top w:w="0" w:type="dxa"/>
              <w:right w:w="108" w:type="dxa"/>
              <w:bottom w:w="0" w:type="dxa"/>
            </w:tcMar>
            <w:tcW w:w="883"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lang w:val="en-US" w:eastAsia="zh-CN"/>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150000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150000</w:t>
            </w:r>
            <w:r/>
          </w:p>
        </w:tc>
        <w:tc>
          <w:tcPr>
            <w:shd w:val="clear" w:color="auto" w:fill="auto"/>
            <w:tcMar>
              <w:left w:w="108" w:type="dxa"/>
              <w:top w:w="0" w:type="dxa"/>
              <w:right w:w="108" w:type="dxa"/>
              <w:bottom w:w="0" w:type="dxa"/>
            </w:tcMar>
            <w:tcW w:w="966" w:type="dxa"/>
            <w:vAlign w:val="center"/>
            <w:textDirection w:val="lrTb"/>
            <w:noWrap w:val="false"/>
          </w:tcPr>
          <w:p>
            <w:pPr>
              <w:ind w:left="0" w:right="0" w:firstLine="0"/>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本项为不可竞争费</w:t>
            </w:r>
            <w:r/>
          </w:p>
        </w:tc>
      </w:tr>
      <w:tr>
        <w:trPr>
          <w:trHeight w:val="1501"/>
        </w:trPr>
        <w:tc>
          <w:tcPr>
            <w:gridSpan w:val="6"/>
            <w:shd w:val="clear" w:color="auto" w:fill="auto"/>
            <w:tcMar>
              <w:left w:w="108" w:type="dxa"/>
              <w:top w:w="0" w:type="dxa"/>
              <w:right w:w="108" w:type="dxa"/>
              <w:bottom w:w="0" w:type="dxa"/>
            </w:tcMar>
            <w:tcW w:w="7733"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pPr>
            <w:r>
              <w:rPr>
                <w:rFonts w:hint="eastAsia" w:cs="Times New Roman"/>
                <w:color w:val="auto"/>
                <w:lang w:val="en-US" w:eastAsia="zh-CN"/>
              </w:rPr>
              <w:t xml:space="preserve">合计：</w:t>
            </w:r>
            <w:r/>
          </w:p>
        </w:tc>
        <w:tc>
          <w:tcPr>
            <w:gridSpan w:val="3"/>
            <w:shd w:val="clear" w:color="auto" w:fill="auto"/>
            <w:tcMar>
              <w:left w:w="108" w:type="dxa"/>
              <w:top w:w="0" w:type="dxa"/>
              <w:right w:w="108" w:type="dxa"/>
              <w:bottom w:w="0" w:type="dxa"/>
            </w:tcMar>
            <w:tcW w:w="3066" w:type="dxa"/>
            <w:vAlign w:val="center"/>
            <w:textDirection w:val="lrTb"/>
            <w:noWrap w:val="false"/>
          </w:tcPr>
          <w:p>
            <w:pPr>
              <w:ind w:left="0" w:right="0" w:firstLine="0"/>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r>
    </w:tbl>
    <w:p>
      <w:pPr>
        <w:ind w:right="-208"/>
        <w:spacing w:line="360" w:lineRule="auto"/>
        <w:rPr>
          <w:rFonts w:hint="eastAsia"/>
          <w:b/>
          <w:bCs/>
          <w:color w:val="auto"/>
          <w:sz w:val="24"/>
          <w:szCs w:val="24"/>
          <w:lang w:val="en-US" w:eastAsia="zh-CN"/>
        </w:rPr>
      </w:pPr>
      <w:r>
        <w:rPr>
          <w:rFonts w:hint="eastAsia"/>
          <w:b/>
          <w:bCs/>
          <w:color w:val="auto"/>
          <w:sz w:val="24"/>
          <w:szCs w:val="24"/>
          <w:lang w:val="en-US" w:eastAsia="zh-CN"/>
        </w:rPr>
      </w:r>
      <w:r/>
    </w:p>
    <w:p>
      <w:pPr>
        <w:ind w:right="-208"/>
        <w:spacing w:line="360" w:lineRule="auto"/>
        <w:rPr>
          <w:rFonts w:hint="eastAsia"/>
          <w:b/>
          <w:bCs/>
          <w:color w:val="auto"/>
          <w:sz w:val="24"/>
          <w:szCs w:val="24"/>
          <w:lang w:eastAsia="zh-CN"/>
        </w:rPr>
      </w:pPr>
      <w:r>
        <w:rPr>
          <w:rFonts w:hint="eastAsia"/>
          <w:b/>
          <w:bCs/>
          <w:color w:val="auto"/>
          <w:sz w:val="24"/>
          <w:szCs w:val="24"/>
          <w:lang w:val="en-US" w:eastAsia="zh-CN"/>
        </w:rPr>
        <w:t xml:space="preserve">注：</w:t>
      </w:r>
      <w:r>
        <w:rPr>
          <w:rFonts w:hint="eastAsia"/>
          <w:b/>
          <w:bCs/>
          <w:color w:val="auto"/>
          <w:sz w:val="24"/>
          <w:szCs w:val="24"/>
        </w:rPr>
        <w:t xml:space="preserve">投标人的报价不得超过</w:t>
      </w:r>
      <w:r>
        <w:rPr>
          <w:rFonts w:hint="eastAsia"/>
          <w:b/>
          <w:bCs/>
          <w:color w:val="auto"/>
          <w:sz w:val="24"/>
          <w:szCs w:val="24"/>
          <w:lang w:val="en-US" w:eastAsia="zh-CN"/>
        </w:rPr>
        <w:t xml:space="preserve">最高限价</w:t>
      </w:r>
      <w:r>
        <w:rPr>
          <w:rFonts w:hint="eastAsia"/>
          <w:b/>
          <w:bCs/>
          <w:color w:val="auto"/>
          <w:sz w:val="24"/>
          <w:szCs w:val="24"/>
        </w:rPr>
        <w:t xml:space="preserve">，且所有子目单价不得超过控制单价，否则作无效标处理。</w:t>
      </w:r>
      <w:r/>
    </w:p>
    <w:p>
      <w:pPr>
        <w:spacing w:before="25" w:after="25" w:line="360" w:lineRule="auto"/>
        <w:rPr>
          <w:color w:val="auto"/>
          <w:sz w:val="24"/>
          <w:lang w:val="zh-CN"/>
        </w:rPr>
      </w:pPr>
      <w:r>
        <w:rPr>
          <w:rFonts w:hint="eastAsia"/>
          <w:color w:val="auto"/>
          <w:sz w:val="24"/>
        </w:rPr>
        <w:t xml:space="preserve">投标供应商</w:t>
      </w:r>
      <w:r>
        <w:rPr>
          <w:color w:val="auto"/>
          <w:sz w:val="24"/>
        </w:rPr>
        <w:t xml:space="preserve">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jc w:val="left"/>
        <w:widowControl/>
        <w:rPr>
          <w:color w:val="auto"/>
          <w:sz w:val="24"/>
          <w:szCs w:val="20"/>
          <w:highlight w:val="none"/>
        </w:rPr>
        <w:sectPr>
          <w:headerReference w:type="even" r:id="rId10"/>
          <w:headerReference w:type="first" r:id="rId11"/>
          <w:footerReference w:type="even" r:id="rId22"/>
          <w:footerReference w:type="first" r:id="rId23"/>
          <w:footnotePr/>
          <w:endnotePr/>
          <w:type w:val="nextPage"/>
          <w:pgSz w:w="11907" w:h="16840" w:orient="portrait"/>
          <w:pgMar w:top="1417" w:right="1134" w:bottom="1417" w:left="1701" w:header="851" w:footer="850" w:gutter="0"/>
          <w:cols w:num="1" w:sep="0" w:space="720" w:equalWidth="1"/>
          <w:docGrid w:linePitch="360"/>
        </w:sectPr>
      </w:pPr>
      <w:r>
        <w:rPr>
          <w:color w:val="auto"/>
          <w:sz w:val="24"/>
          <w:szCs w:val="20"/>
          <w:highlight w:val="none"/>
        </w:rPr>
      </w:r>
      <w:bookmarkEnd w:id="704"/>
      <w:bookmarkEnd w:id="705"/>
      <w:bookmarkEnd w:id="706"/>
      <w:bookmarkEnd w:id="707"/>
      <w:bookmarkEnd w:id="708"/>
      <w:bookmarkEnd w:id="709"/>
      <w:bookmarkEnd w:id="710"/>
      <w:bookmarkEnd w:id="711"/>
      <w:bookmarkEnd w:id="712"/>
      <w:bookmarkEnd w:id="713"/>
      <w:bookmarkEnd w:id="714"/>
      <w:bookmarkEnd w:id="715"/>
      <w:bookmarkEnd w:id="716"/>
      <w:r/>
    </w:p>
    <w:p>
      <w:pPr>
        <w:jc w:val="left"/>
        <w:widowControl/>
        <w:rPr>
          <w:color w:val="auto"/>
          <w:sz w:val="24"/>
          <w:szCs w:val="20"/>
        </w:rPr>
      </w:pPr>
      <w:r/>
      <w:bookmarkStart w:id="717" w:name="_Toc127151562"/>
      <w:r/>
      <w:bookmarkStart w:id="718" w:name="_Toc142311062"/>
      <w:r/>
      <w:bookmarkStart w:id="719" w:name="_Toc226965752"/>
      <w:r/>
      <w:bookmarkStart w:id="720" w:name="_Toc226965835"/>
      <w:r/>
      <w:bookmarkStart w:id="721" w:name="_Toc226337258"/>
      <w:r/>
      <w:bookmarkStart w:id="722" w:name="_Toc305158830"/>
      <w:r/>
      <w:bookmarkStart w:id="723" w:name="_Toc150480798"/>
      <w:r/>
      <w:bookmarkStart w:id="724" w:name="_Toc265228400"/>
      <w:r/>
      <w:bookmarkStart w:id="725" w:name="_Toc150774765"/>
      <w:r/>
      <w:bookmarkStart w:id="726" w:name="_Toc226309806"/>
      <w:r/>
      <w:bookmarkStart w:id="727" w:name="_Toc195842927"/>
      <w:r/>
      <w:bookmarkStart w:id="728" w:name="_Toc305158904"/>
      <w:r/>
      <w:bookmarkStart w:id="729" w:name="_Toc264969252"/>
      <w:r/>
      <w:bookmarkStart w:id="730" w:name="_Toc305158829"/>
      <w:r/>
      <w:bookmarkStart w:id="731" w:name="_Toc226309805"/>
      <w:r/>
      <w:bookmarkStart w:id="732" w:name="_Toc195842926"/>
      <w:r/>
      <w:bookmarkStart w:id="733" w:name="_Toc265228399"/>
      <w:r/>
      <w:bookmarkStart w:id="734" w:name="_Toc305158903"/>
      <w:r/>
      <w:bookmarkStart w:id="735" w:name="_Toc226965751"/>
      <w:r/>
      <w:bookmarkStart w:id="736" w:name="_Toc150774764"/>
      <w:r/>
      <w:bookmarkStart w:id="737" w:name="_Toc264969251"/>
      <w:r/>
      <w:bookmarkStart w:id="738" w:name="_Toc127151561"/>
      <w:r/>
      <w:bookmarkStart w:id="739" w:name="_Toc150480797"/>
      <w:r/>
      <w:bookmarkStart w:id="740" w:name="_Toc226337257"/>
      <w:r/>
      <w:bookmarkStart w:id="741" w:name="_Toc142311061"/>
      <w:r/>
      <w:bookmarkStart w:id="742" w:name="_Toc226965834"/>
      <w:r>
        <w:rPr>
          <w:rFonts w:hint="eastAsia"/>
          <w:color w:val="auto"/>
          <w:sz w:val="24"/>
          <w:szCs w:val="20"/>
          <w:lang w:val="en-US" w:eastAsia="zh-CN"/>
        </w:rPr>
        <w:t xml:space="preserve">9</w:t>
      </w:r>
      <w:r>
        <w:rPr>
          <w:color w:val="auto"/>
          <w:sz w:val="24"/>
          <w:szCs w:val="20"/>
        </w:rPr>
        <w:t xml:space="preserve">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
    </w:p>
    <w:p>
      <w:pPr>
        <w:spacing w:line="360" w:lineRule="auto"/>
        <w:rPr>
          <w:color w:val="auto"/>
          <w:sz w:val="24"/>
          <w:szCs w:val="20"/>
        </w:rPr>
      </w:pPr>
      <w:r>
        <w:rPr>
          <w:color w:val="auto"/>
          <w:sz w:val="24"/>
          <w:szCs w:val="20"/>
        </w:rPr>
      </w:r>
      <w:r/>
    </w:p>
    <w:p>
      <w:pPr>
        <w:jc w:val="center"/>
        <w:rPr>
          <w:b/>
          <w:color w:val="auto"/>
          <w:sz w:val="36"/>
          <w:szCs w:val="36"/>
        </w:rPr>
      </w:pPr>
      <w:r>
        <w:rPr>
          <w:rFonts w:hint="eastAsia"/>
          <w:b/>
          <w:color w:val="auto"/>
          <w:sz w:val="36"/>
          <w:szCs w:val="36"/>
        </w:rPr>
        <w:t xml:space="preserve">合同条款偏离表</w:t>
      </w:r>
      <w:r/>
    </w:p>
    <w:p>
      <w:pPr>
        <w:jc w:val="center"/>
        <w:rPr>
          <w:color w:val="auto"/>
          <w:sz w:val="36"/>
          <w:szCs w:val="36"/>
        </w:rPr>
      </w:pPr>
      <w:r>
        <w:rPr>
          <w:color w:val="auto"/>
          <w:sz w:val="36"/>
          <w:szCs w:val="36"/>
        </w:rPr>
      </w:r>
      <w:r/>
    </w:p>
    <w:p>
      <w:pPr>
        <w:spacing w:line="360" w:lineRule="auto"/>
        <w:rPr>
          <w:color w:val="auto"/>
          <w:sz w:val="24"/>
          <w:szCs w:val="20"/>
        </w:rPr>
      </w:pPr>
      <w:r>
        <w:rPr>
          <w:color w:val="auto"/>
          <w:sz w:val="24"/>
          <w:szCs w:val="20"/>
        </w:rPr>
      </w:r>
      <w:r/>
    </w:p>
    <w:p>
      <w:pPr>
        <w:ind w:firstLine="360"/>
        <w:jc w:val="left"/>
        <w:spacing w:line="360" w:lineRule="auto"/>
        <w:tabs>
          <w:tab w:val="left" w:pos="1800" w:leader="none"/>
          <w:tab w:val="left" w:pos="5580" w:leader="none"/>
        </w:tabs>
        <w:rPr>
          <w:color w:val="auto"/>
          <w:sz w:val="24"/>
        </w:rPr>
      </w:pPr>
      <w:r>
        <w:rPr>
          <w:color w:val="auto"/>
          <w:sz w:val="24"/>
        </w:rPr>
        <w:t xml:space="preserve">项目编号/包号：_______________     项目名称：_____________________</w:t>
      </w:r>
      <w:r/>
    </w:p>
    <w:tbl>
      <w:tblPr>
        <w:tblStyle w:val="9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auto"/>
                <w:sz w:val="24"/>
              </w:rPr>
            </w:pPr>
            <w:r>
              <w:rPr>
                <w:rFonts w:hint="eastAsia"/>
                <w:b/>
                <w:color w:val="auto"/>
                <w:sz w:val="24"/>
              </w:rPr>
              <w:t xml:space="preserve">对本项目合同条款的偏离情况（请进行勾选）：</w:t>
            </w:r>
            <w:r/>
          </w:p>
          <w:p>
            <w:pPr>
              <w:jc w:val="left"/>
              <w:rPr>
                <w:b/>
                <w:color w:val="auto"/>
                <w:sz w:val="24"/>
              </w:rPr>
            </w:pPr>
            <w:r>
              <w:rPr>
                <w:b/>
                <w:color w:val="auto"/>
                <w:sz w:val="24"/>
              </w:rPr>
              <w:t xml:space="preserve">□无偏离</w:t>
            </w:r>
            <w:r>
              <w:rPr>
                <w:color w:val="auto"/>
                <w:sz w:val="24"/>
              </w:rPr>
              <w:t xml:space="preserve">（</w:t>
            </w:r>
            <w:r>
              <w:rPr>
                <w:color w:val="auto"/>
                <w:sz w:val="24"/>
                <w:szCs w:val="21"/>
              </w:rPr>
              <w:t xml:space="preserve">如无偏离，仅勾选无偏离即可</w:t>
            </w:r>
            <w:r>
              <w:rPr>
                <w:color w:val="auto"/>
                <w:sz w:val="24"/>
              </w:rPr>
              <w:t xml:space="preserve">）</w:t>
            </w:r>
            <w:r/>
          </w:p>
          <w:p>
            <w:pPr>
              <w:jc w:val="left"/>
              <w:rPr>
                <w:color w:val="auto"/>
                <w:sz w:val="24"/>
              </w:rPr>
            </w:pPr>
            <w:r>
              <w:rPr>
                <w:b/>
                <w:color w:val="auto"/>
                <w:sz w:val="24"/>
              </w:rPr>
              <w:t xml:space="preserve">□有偏离</w:t>
            </w:r>
            <w:r>
              <w:rPr>
                <w:color w:val="auto"/>
                <w:sz w:val="24"/>
              </w:rPr>
              <w:t xml:space="preserve">（</w:t>
            </w:r>
            <w:r>
              <w:rPr>
                <w:color w:val="auto"/>
                <w:sz w:val="24"/>
                <w:szCs w:val="21"/>
              </w:rPr>
              <w:t xml:space="preserve">如有负偏离，</w:t>
            </w:r>
            <w:r>
              <w:rPr>
                <w:color w:val="auto"/>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rPr>
            </w:pPr>
            <w:r>
              <w:rPr>
                <w:color w:val="auto"/>
                <w:sz w:val="24"/>
              </w:rPr>
              <w:t xml:space="preserve">序号</w:t>
            </w:r>
            <w:r/>
          </w:p>
        </w:tc>
        <w:tc>
          <w:tcPr>
            <w:tcW w:w="1301" w:type="dxa"/>
            <w:vAlign w:val="center"/>
            <w:textDirection w:val="lrTb"/>
            <w:noWrap w:val="false"/>
          </w:tcPr>
          <w:p>
            <w:pPr>
              <w:jc w:val="center"/>
              <w:rPr>
                <w:color w:val="auto"/>
                <w:sz w:val="24"/>
              </w:rPr>
            </w:pPr>
            <w:r>
              <w:rPr>
                <w:color w:val="auto"/>
                <w:sz w:val="24"/>
                <w:szCs w:val="21"/>
              </w:rPr>
              <w:t xml:space="preserve">磋商文件</w:t>
            </w:r>
            <w:r>
              <w:rPr>
                <w:color w:val="auto"/>
                <w:sz w:val="24"/>
              </w:rPr>
              <w:t xml:space="preserve">条目号（页码）</w:t>
            </w:r>
            <w:r/>
          </w:p>
        </w:tc>
        <w:tc>
          <w:tcPr>
            <w:tcW w:w="2007" w:type="dxa"/>
            <w:vAlign w:val="center"/>
            <w:textDirection w:val="lrTb"/>
            <w:noWrap w:val="false"/>
          </w:tcPr>
          <w:p>
            <w:pPr>
              <w:jc w:val="center"/>
              <w:rPr>
                <w:color w:val="auto"/>
                <w:sz w:val="24"/>
              </w:rPr>
            </w:pPr>
            <w:r>
              <w:rPr>
                <w:color w:val="auto"/>
                <w:sz w:val="24"/>
                <w:szCs w:val="21"/>
              </w:rPr>
              <w:t xml:space="preserve">磋商文件</w:t>
            </w:r>
            <w:r>
              <w:rPr>
                <w:color w:val="auto"/>
                <w:sz w:val="24"/>
              </w:rPr>
              <w:t xml:space="preserve">要求</w:t>
            </w:r>
            <w:r/>
          </w:p>
        </w:tc>
        <w:tc>
          <w:tcPr>
            <w:tcW w:w="2008" w:type="dxa"/>
            <w:vAlign w:val="center"/>
            <w:textDirection w:val="lrTb"/>
            <w:noWrap w:val="false"/>
          </w:tcPr>
          <w:p>
            <w:pPr>
              <w:jc w:val="center"/>
              <w:rPr>
                <w:color w:val="auto"/>
                <w:sz w:val="24"/>
              </w:rPr>
            </w:pPr>
            <w:r>
              <w:rPr>
                <w:color w:val="auto"/>
                <w:sz w:val="24"/>
              </w:rPr>
              <w:t xml:space="preserve">响应文件内容</w:t>
            </w:r>
            <w:r/>
          </w:p>
        </w:tc>
        <w:tc>
          <w:tcPr>
            <w:tcW w:w="2458" w:type="dxa"/>
            <w:vAlign w:val="center"/>
            <w:textDirection w:val="lrTb"/>
            <w:noWrap w:val="false"/>
          </w:tcPr>
          <w:p>
            <w:pPr>
              <w:jc w:val="center"/>
              <w:rPr>
                <w:color w:val="auto"/>
                <w:sz w:val="24"/>
              </w:rPr>
            </w:pPr>
            <w:r>
              <w:rPr>
                <w:color w:val="auto"/>
                <w:sz w:val="24"/>
              </w:rPr>
              <w:t xml:space="preserve">偏离情况</w:t>
            </w:r>
            <w:r/>
          </w:p>
          <w:p>
            <w:pPr>
              <w:jc w:val="center"/>
              <w:rPr>
                <w:color w:val="auto"/>
                <w:sz w:val="24"/>
              </w:rPr>
            </w:pPr>
            <w:r>
              <w:rPr>
                <w:color w:val="auto"/>
                <w:sz w:val="24"/>
              </w:rPr>
              <w:t xml:space="preserve">（据实填写）</w:t>
            </w:r>
            <w:r/>
          </w:p>
        </w:tc>
        <w:tc>
          <w:tcPr>
            <w:tcW w:w="788" w:type="dxa"/>
            <w:vAlign w:val="center"/>
            <w:textDirection w:val="lrTb"/>
            <w:noWrap w:val="false"/>
          </w:tcPr>
          <w:p>
            <w:pPr>
              <w:jc w:val="center"/>
              <w:rPr>
                <w:color w:val="auto"/>
                <w:sz w:val="24"/>
              </w:rPr>
            </w:pPr>
            <w:r>
              <w:rPr>
                <w:color w:val="auto"/>
                <w:sz w:val="24"/>
              </w:rPr>
              <w:t xml:space="preserve">说明</w:t>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bl>
    <w:p>
      <w:pPr>
        <w:jc w:val="left"/>
        <w:tabs>
          <w:tab w:val="left" w:pos="1800" w:leader="none"/>
          <w:tab w:val="left" w:pos="5580" w:leader="none"/>
        </w:tabs>
        <w:rPr>
          <w:color w:val="auto"/>
          <w:sz w:val="24"/>
        </w:rPr>
      </w:pPr>
      <w:r>
        <w:rPr>
          <w:color w:val="auto"/>
          <w:sz w:val="24"/>
        </w:rPr>
      </w:r>
      <w:r/>
    </w:p>
    <w:p>
      <w:pPr>
        <w:jc w:val="left"/>
        <w:tabs>
          <w:tab w:val="left" w:pos="1800" w:leader="none"/>
          <w:tab w:val="left" w:pos="5580" w:leader="none"/>
        </w:tabs>
        <w:rPr>
          <w:color w:val="auto"/>
          <w:sz w:val="24"/>
        </w:rPr>
      </w:pPr>
      <w:r>
        <w:rPr>
          <w:rFonts w:hint="eastAsia"/>
          <w:color w:val="auto"/>
          <w:sz w:val="24"/>
        </w:rPr>
        <w:t xml:space="preserve">注：</w:t>
      </w:r>
      <w:r/>
    </w:p>
    <w:p>
      <w:pPr>
        <w:jc w:val="left"/>
        <w:tabs>
          <w:tab w:val="left" w:pos="1800" w:leader="none"/>
          <w:tab w:val="left" w:pos="5580" w:leader="none"/>
        </w:tabs>
        <w:rPr>
          <w:color w:val="auto"/>
          <w:sz w:val="24"/>
        </w:rPr>
      </w:pPr>
      <w:r>
        <w:rPr>
          <w:color w:val="auto"/>
          <w:sz w:val="24"/>
        </w:rPr>
        <w:t xml:space="preserve">1. </w:t>
      </w:r>
      <w:r>
        <w:rPr>
          <w:rFonts w:hint="eastAsia"/>
          <w:color w:val="auto"/>
          <w:sz w:val="24"/>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rPr>
      </w:pPr>
      <w:r>
        <w:rPr>
          <w:color w:val="auto"/>
          <w:sz w:val="24"/>
        </w:rPr>
        <w:t xml:space="preserve">2. </w:t>
      </w:r>
      <w:r>
        <w:rPr>
          <w:rFonts w:hint="eastAsia"/>
          <w:color w:val="auto"/>
          <w:sz w:val="24"/>
        </w:rPr>
        <w:t xml:space="preserve">“偏离情况”列应</w:t>
      </w:r>
      <w:r>
        <w:rPr>
          <w:rFonts w:hint="eastAsia"/>
          <w:color w:val="auto"/>
          <w:sz w:val="24"/>
        </w:rPr>
        <w:t xml:space="preserve">据实</w:t>
      </w:r>
      <w:r>
        <w:rPr>
          <w:rFonts w:hint="eastAsia"/>
          <w:color w:val="auto"/>
          <w:sz w:val="24"/>
        </w:rPr>
        <w:t xml:space="preserve">填写“正偏离”或“负偏离”。</w:t>
      </w:r>
      <w:r/>
    </w:p>
    <w:p>
      <w:pPr>
        <w:spacing w:line="360" w:lineRule="auto"/>
        <w:rPr>
          <w:color w:val="auto"/>
          <w:sz w:val="24"/>
          <w:szCs w:val="20"/>
        </w:rPr>
      </w:pPr>
      <w:r>
        <w:rPr>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color w:val="auto"/>
          <w:sz w:val="24"/>
          <w:szCs w:val="20"/>
        </w:rPr>
        <w:outlineLvl w:val="2"/>
      </w:pPr>
      <w:r>
        <w:rPr>
          <w:color w:val="auto"/>
          <w:sz w:val="24"/>
          <w:szCs w:val="20"/>
        </w:rPr>
        <w:br w:type="page" w:clear="all"/>
      </w:r>
      <w:r/>
    </w:p>
    <w:p>
      <w:pPr>
        <w:spacing w:line="360" w:lineRule="auto"/>
        <w:rPr>
          <w:color w:val="auto"/>
          <w:sz w:val="24"/>
          <w:szCs w:val="20"/>
        </w:rPr>
        <w:outlineLvl w:val="2"/>
      </w:pPr>
      <w:r>
        <w:rPr>
          <w:rFonts w:hint="eastAsia"/>
          <w:color w:val="auto"/>
          <w:sz w:val="24"/>
          <w:szCs w:val="20"/>
          <w:lang w:val="en-US" w:eastAsia="zh-CN"/>
        </w:rPr>
        <w:t xml:space="preserve">10</w:t>
      </w:r>
      <w:r>
        <w:rPr>
          <w:color w:val="auto"/>
          <w:sz w:val="24"/>
          <w:szCs w:val="20"/>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color w:val="auto"/>
          <w:sz w:val="24"/>
          <w:szCs w:val="20"/>
        </w:rPr>
        <w:t xml:space="preserve">采购需求偏离表</w:t>
      </w:r>
      <w:r/>
    </w:p>
    <w:p>
      <w:pPr>
        <w:jc w:val="center"/>
        <w:rPr>
          <w:b/>
          <w:color w:val="auto"/>
          <w:sz w:val="36"/>
          <w:szCs w:val="36"/>
        </w:rPr>
      </w:pPr>
      <w:r>
        <w:rPr>
          <w:rFonts w:hint="eastAsia"/>
          <w:b/>
          <w:color w:val="auto"/>
          <w:sz w:val="36"/>
          <w:szCs w:val="36"/>
        </w:rPr>
        <w:t xml:space="preserve">采购需求偏离表</w:t>
      </w:r>
      <w:r/>
    </w:p>
    <w:p>
      <w:pPr>
        <w:jc w:val="center"/>
        <w:rPr>
          <w:color w:val="auto"/>
          <w:sz w:val="36"/>
          <w:szCs w:val="36"/>
        </w:rPr>
      </w:pPr>
      <w:r>
        <w:rPr>
          <w:color w:val="auto"/>
          <w:sz w:val="36"/>
          <w:szCs w:val="36"/>
        </w:rPr>
      </w:r>
      <w:r/>
    </w:p>
    <w:p>
      <w:pPr>
        <w:jc w:val="left"/>
        <w:spacing w:line="360" w:lineRule="auto"/>
        <w:tabs>
          <w:tab w:val="left" w:pos="1800" w:leader="none"/>
          <w:tab w:val="left" w:pos="5580" w:leader="none"/>
        </w:tabs>
        <w:rPr>
          <w:color w:val="auto"/>
          <w:sz w:val="24"/>
          <w:u w:val="single"/>
        </w:rPr>
      </w:pPr>
      <w:r>
        <w:rPr>
          <w:color w:val="auto"/>
          <w:sz w:val="24"/>
        </w:rPr>
        <w:t xml:space="preserve">项目编号/包号：_____________________     项目名称：_______________________</w:t>
      </w:r>
      <w:r/>
    </w:p>
    <w:tbl>
      <w:tblPr>
        <w:tblStyle w:val="90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rPr>
            </w:pPr>
            <w:r>
              <w:rPr>
                <w:rFonts w:hint="eastAsia"/>
                <w:b/>
                <w:color w:val="auto"/>
                <w:sz w:val="24"/>
              </w:rPr>
              <w:t xml:space="preserve">对本项目采购需求的偏离情况（请进行勾选）：</w:t>
            </w:r>
            <w:r/>
          </w:p>
          <w:p>
            <w:pPr>
              <w:jc w:val="left"/>
              <w:rPr>
                <w:b/>
                <w:color w:val="auto"/>
                <w:sz w:val="24"/>
              </w:rPr>
            </w:pPr>
            <w:r>
              <w:rPr>
                <w:b/>
                <w:color w:val="auto"/>
                <w:sz w:val="24"/>
              </w:rPr>
              <w:t xml:space="preserve">□无偏离</w:t>
            </w:r>
            <w:r>
              <w:rPr>
                <w:color w:val="auto"/>
                <w:sz w:val="24"/>
              </w:rPr>
              <w:t xml:space="preserve">（</w:t>
            </w:r>
            <w:r>
              <w:rPr>
                <w:color w:val="auto"/>
                <w:sz w:val="24"/>
                <w:szCs w:val="21"/>
              </w:rPr>
              <w:t xml:space="preserve">如无偏离，仅勾选无偏离即可</w:t>
            </w:r>
            <w:r>
              <w:rPr>
                <w:color w:val="auto"/>
                <w:sz w:val="24"/>
              </w:rPr>
              <w:t xml:space="preserve">）</w:t>
            </w:r>
            <w:r/>
          </w:p>
          <w:p>
            <w:pPr>
              <w:rPr>
                <w:color w:val="auto"/>
                <w:sz w:val="24"/>
              </w:rPr>
            </w:pPr>
            <w:r>
              <w:rPr>
                <w:b/>
                <w:color w:val="auto"/>
                <w:sz w:val="24"/>
              </w:rPr>
              <w:t xml:space="preserve">□有偏离</w:t>
            </w:r>
            <w:r>
              <w:rPr>
                <w:color w:val="auto"/>
                <w:sz w:val="24"/>
              </w:rPr>
              <w:t xml:space="preserve">（</w:t>
            </w:r>
            <w:r>
              <w:rPr>
                <w:color w:val="auto"/>
                <w:sz w:val="24"/>
                <w:szCs w:val="21"/>
              </w:rPr>
              <w:t xml:space="preserve">如有负偏离，</w:t>
            </w:r>
            <w:r>
              <w:rPr>
                <w:color w:val="auto"/>
                <w:sz w:val="24"/>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rPr>
            </w:pPr>
            <w:r>
              <w:rPr>
                <w:color w:val="auto"/>
                <w:sz w:val="24"/>
              </w:rPr>
              <w:t xml:space="preserve">序号</w:t>
            </w:r>
            <w:r/>
          </w:p>
        </w:tc>
        <w:tc>
          <w:tcPr>
            <w:tcW w:w="1482" w:type="dxa"/>
            <w:vAlign w:val="center"/>
            <w:textDirection w:val="lrTb"/>
            <w:noWrap w:val="false"/>
          </w:tcPr>
          <w:p>
            <w:pPr>
              <w:jc w:val="center"/>
              <w:rPr>
                <w:color w:val="auto"/>
                <w:sz w:val="24"/>
              </w:rPr>
            </w:pPr>
            <w:r>
              <w:rPr>
                <w:color w:val="auto"/>
                <w:sz w:val="24"/>
              </w:rPr>
              <w:t xml:space="preserve">磋商文件条目号(页码)</w:t>
            </w:r>
            <w:r/>
          </w:p>
        </w:tc>
        <w:tc>
          <w:tcPr>
            <w:tcW w:w="2384" w:type="dxa"/>
            <w:vAlign w:val="center"/>
            <w:textDirection w:val="lrTb"/>
            <w:noWrap w:val="false"/>
          </w:tcPr>
          <w:p>
            <w:pPr>
              <w:jc w:val="center"/>
              <w:rPr>
                <w:color w:val="auto"/>
                <w:sz w:val="24"/>
              </w:rPr>
            </w:pPr>
            <w:r>
              <w:rPr>
                <w:color w:val="auto"/>
                <w:sz w:val="24"/>
              </w:rPr>
              <w:t xml:space="preserve">磋商文件要求</w:t>
            </w:r>
            <w:r/>
          </w:p>
        </w:tc>
        <w:tc>
          <w:tcPr>
            <w:tcW w:w="2126" w:type="dxa"/>
            <w:vAlign w:val="center"/>
            <w:textDirection w:val="lrTb"/>
            <w:noWrap w:val="false"/>
          </w:tcPr>
          <w:p>
            <w:pPr>
              <w:jc w:val="center"/>
              <w:rPr>
                <w:color w:val="auto"/>
                <w:sz w:val="24"/>
              </w:rPr>
            </w:pPr>
            <w:r>
              <w:rPr>
                <w:color w:val="auto"/>
                <w:sz w:val="24"/>
              </w:rPr>
              <w:t xml:space="preserve">响应内容</w:t>
            </w:r>
            <w:r/>
          </w:p>
        </w:tc>
        <w:tc>
          <w:tcPr>
            <w:tcW w:w="1875" w:type="dxa"/>
            <w:vAlign w:val="center"/>
            <w:textDirection w:val="lrTb"/>
            <w:noWrap w:val="false"/>
          </w:tcPr>
          <w:p>
            <w:pPr>
              <w:jc w:val="center"/>
              <w:rPr>
                <w:color w:val="auto"/>
                <w:sz w:val="24"/>
              </w:rPr>
            </w:pPr>
            <w:r>
              <w:rPr>
                <w:color w:val="auto"/>
                <w:sz w:val="24"/>
              </w:rPr>
              <w:t xml:space="preserve">偏离情况</w:t>
            </w:r>
            <w:r/>
          </w:p>
          <w:p>
            <w:pPr>
              <w:jc w:val="center"/>
              <w:rPr>
                <w:color w:val="auto"/>
                <w:sz w:val="24"/>
              </w:rPr>
            </w:pPr>
            <w:r>
              <w:rPr>
                <w:color w:val="auto"/>
                <w:sz w:val="24"/>
                <w:szCs w:val="21"/>
              </w:rPr>
              <w:t xml:space="preserve">（据实填写）</w:t>
            </w:r>
            <w:r/>
          </w:p>
        </w:tc>
        <w:tc>
          <w:tcPr>
            <w:tcW w:w="1009" w:type="dxa"/>
            <w:vAlign w:val="center"/>
            <w:textDirection w:val="lrTb"/>
            <w:noWrap w:val="false"/>
          </w:tcPr>
          <w:p>
            <w:pPr>
              <w:jc w:val="center"/>
              <w:rPr>
                <w:color w:val="auto"/>
                <w:sz w:val="24"/>
              </w:rPr>
            </w:pPr>
            <w:r>
              <w:rPr>
                <w:color w:val="auto"/>
                <w:sz w:val="24"/>
              </w:rPr>
              <w:t xml:space="preserve">说明</w:t>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bl>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jc w:val="left"/>
        <w:tabs>
          <w:tab w:val="left" w:pos="1800" w:leader="none"/>
          <w:tab w:val="left" w:pos="5580" w:leader="none"/>
        </w:tabs>
        <w:rPr>
          <w:color w:val="auto"/>
          <w:sz w:val="24"/>
        </w:rPr>
      </w:pPr>
      <w:r>
        <w:rPr>
          <w:color w:val="auto"/>
          <w:sz w:val="24"/>
        </w:rPr>
        <w:t xml:space="preserve">注：</w:t>
      </w:r>
      <w:r/>
    </w:p>
    <w:p>
      <w:pPr>
        <w:jc w:val="left"/>
        <w:tabs>
          <w:tab w:val="left" w:pos="1800" w:leader="none"/>
          <w:tab w:val="left" w:pos="5580" w:leader="none"/>
        </w:tabs>
        <w:rPr>
          <w:color w:val="auto"/>
          <w:sz w:val="24"/>
        </w:rPr>
      </w:pPr>
      <w:r>
        <w:rPr>
          <w:rFonts w:hint="eastAsia"/>
          <w:color w:val="auto"/>
          <w:sz w:val="24"/>
        </w:rPr>
        <w:t xml:space="preserve">1.</w:t>
      </w:r>
      <w:r>
        <w:rPr>
          <w:color w:val="auto"/>
          <w:sz w:val="24"/>
        </w:rPr>
        <w:t xml:space="preserve"> </w:t>
      </w:r>
      <w:r>
        <w:rPr>
          <w:color w:val="auto"/>
          <w:sz w:val="24"/>
        </w:rPr>
        <w:t xml:space="preserve">对磋商文件中的所有商务、技术要求，除本表所列明的所有偏离外，均视作供应商已对之理解和</w:t>
      </w:r>
      <w:r>
        <w:rPr>
          <w:rFonts w:hint="eastAsia"/>
          <w:color w:val="auto"/>
          <w:sz w:val="24"/>
        </w:rPr>
        <w:t xml:space="preserve">响应</w:t>
      </w:r>
      <w:r>
        <w:rPr>
          <w:color w:val="auto"/>
          <w:sz w:val="24"/>
        </w:rPr>
        <w:t xml:space="preserve">。</w:t>
      </w:r>
      <w:r/>
    </w:p>
    <w:p>
      <w:pPr>
        <w:jc w:val="left"/>
        <w:tabs>
          <w:tab w:val="left" w:pos="1800" w:leader="none"/>
          <w:tab w:val="left" w:pos="5580" w:leader="none"/>
        </w:tabs>
        <w:rPr>
          <w:color w:val="auto"/>
          <w:sz w:val="24"/>
        </w:rPr>
      </w:pPr>
      <w:r>
        <w:rPr>
          <w:color w:val="auto"/>
          <w:sz w:val="24"/>
        </w:rPr>
        <w:t xml:space="preserve">2.</w:t>
      </w:r>
      <w:r>
        <w:rPr>
          <w:rFonts w:hint="eastAsia"/>
          <w:color w:val="auto"/>
          <w:sz w:val="24"/>
        </w:rPr>
        <w:t xml:space="preserve">“偏离情况”列应</w:t>
      </w:r>
      <w:r>
        <w:rPr>
          <w:rFonts w:hint="eastAsia"/>
          <w:color w:val="auto"/>
          <w:sz w:val="24"/>
        </w:rPr>
        <w:t xml:space="preserve">据实</w:t>
      </w:r>
      <w:r>
        <w:rPr>
          <w:rFonts w:hint="eastAsia"/>
          <w:color w:val="auto"/>
          <w:sz w:val="24"/>
        </w:rPr>
        <w:t xml:space="preserve">填写“正偏离”或“负偏离”。</w:t>
      </w:r>
      <w:r/>
    </w:p>
    <w:p>
      <w:pPr>
        <w:jc w:val="left"/>
        <w:tabs>
          <w:tab w:val="left" w:pos="1800" w:leader="none"/>
          <w:tab w:val="left" w:pos="5580" w:leader="none"/>
        </w:tabs>
        <w:rPr>
          <w:color w:val="auto"/>
          <w:sz w:val="24"/>
        </w:rPr>
      </w:pPr>
      <w:r>
        <w:rPr>
          <w:color w:val="auto"/>
          <w:sz w:val="24"/>
        </w:rPr>
      </w:r>
      <w:r/>
    </w:p>
    <w:p>
      <w:pPr>
        <w:rPr>
          <w:color w:val="auto"/>
          <w:sz w:val="24"/>
          <w:szCs w:val="20"/>
        </w:rPr>
      </w:pPr>
      <w:r>
        <w:rPr>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rPr>
          <w:rFonts w:hint="eastAsia"/>
          <w:color w:val="auto"/>
          <w:sz w:val="24"/>
          <w:szCs w:val="20"/>
        </w:rPr>
      </w:pPr>
      <w:r>
        <w:rPr>
          <w:rFonts w:hint="eastAsia"/>
          <w:color w:val="auto"/>
          <w:sz w:val="24"/>
          <w:szCs w:val="20"/>
        </w:rPr>
      </w:r>
      <w:r/>
    </w:p>
    <w:p>
      <w:pPr>
        <w:rPr>
          <w:rFonts w:hint="eastAsia"/>
          <w:color w:val="auto"/>
          <w:sz w:val="24"/>
          <w:szCs w:val="20"/>
        </w:rPr>
      </w:pPr>
      <w:r>
        <w:rPr>
          <w:rFonts w:hint="eastAsia"/>
          <w:color w:val="auto"/>
          <w:sz w:val="24"/>
          <w:szCs w:val="20"/>
        </w:rPr>
      </w:r>
      <w:r/>
    </w:p>
    <w:p>
      <w:pPr>
        <w:rPr>
          <w:color w:val="auto"/>
          <w:sz w:val="24"/>
          <w:szCs w:val="20"/>
        </w:rPr>
      </w:pPr>
      <w:r>
        <w:rPr>
          <w:rFonts w:hint="eastAsia"/>
          <w:color w:val="auto"/>
          <w:sz w:val="24"/>
          <w:szCs w:val="20"/>
          <w:lang w:val="en-US" w:eastAsia="zh-CN"/>
        </w:rPr>
        <w:t xml:space="preserve">11</w:t>
      </w:r>
      <w:r>
        <w:rPr>
          <w:color w:val="auto"/>
          <w:sz w:val="24"/>
          <w:szCs w:val="20"/>
        </w:rPr>
        <w:t xml:space="preserve">  </w:t>
      </w:r>
      <w:r>
        <w:rPr>
          <w:rFonts w:hint="eastAsia"/>
          <w:color w:val="auto"/>
          <w:sz w:val="24"/>
          <w:szCs w:val="20"/>
        </w:rPr>
        <w:t xml:space="preserve">项目实施方案等，包括但不限于如下主题：</w:t>
      </w:r>
      <w:r/>
    </w:p>
    <w:p>
      <w:pPr>
        <w:ind w:firstLine="4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1）养护保养方案</w:t>
      </w:r>
      <w:r>
        <w:rPr>
          <w:rFonts w:hint="eastAsia" w:ascii="Times New Roman" w:hAnsi="Times New Roman" w:eastAsia="宋体" w:cs="Times New Roman"/>
          <w:color w:val="auto"/>
          <w:sz w:val="24"/>
          <w:szCs w:val="24"/>
          <w:highlight w:val="none"/>
        </w:rPr>
        <w:t xml:space="preserve">；</w:t>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ascii="宋体" w:hAnsi="宋体" w:eastAsia="宋体" w:cs="宋体"/>
          <w:color w:val="auto"/>
          <w:spacing w:val="-2"/>
          <w:sz w:val="24"/>
          <w:szCs w:val="24"/>
        </w:rPr>
        <w:t xml:space="preserve">事故处理抢修方案</w:t>
      </w:r>
      <w:r>
        <w:rPr>
          <w:rFonts w:hint="eastAsia" w:ascii="Times New Roman" w:hAnsi="Times New Roman" w:eastAsia="宋体" w:cs="Times New Roman"/>
          <w:color w:val="auto"/>
          <w:sz w:val="24"/>
          <w:szCs w:val="24"/>
          <w:highlight w:val="none"/>
        </w:rPr>
        <w:t xml:space="preserve">；</w:t>
      </w:r>
      <w:r/>
    </w:p>
    <w:p>
      <w:pPr>
        <w:ind w:firstLine="4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color w:val="auto"/>
          <w:spacing w:val="-3"/>
          <w:sz w:val="24"/>
          <w:szCs w:val="24"/>
        </w:rPr>
        <w:t xml:space="preserve">安全管理方案</w:t>
      </w:r>
      <w:r>
        <w:rPr>
          <w:rFonts w:hint="eastAsia" w:ascii="Times New Roman" w:hAnsi="Times New Roman" w:eastAsia="宋体" w:cs="Times New Roman"/>
          <w:color w:val="auto"/>
          <w:sz w:val="24"/>
          <w:szCs w:val="24"/>
          <w:highlight w:val="none"/>
        </w:rPr>
        <w:t xml:space="preserve">；</w:t>
      </w:r>
      <w:r/>
    </w:p>
    <w:p>
      <w:pPr>
        <w:ind w:firstLine="4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color w:val="auto"/>
          <w:spacing w:val="-3"/>
          <w:sz w:val="24"/>
          <w:szCs w:val="24"/>
        </w:rPr>
        <w:t xml:space="preserve">工具使用方案</w:t>
      </w:r>
      <w:r>
        <w:rPr>
          <w:rFonts w:hint="eastAsia" w:ascii="Times New Roman" w:hAnsi="Times New Roman" w:eastAsia="宋体" w:cs="Times New Roman"/>
          <w:color w:val="auto"/>
          <w:sz w:val="24"/>
          <w:szCs w:val="24"/>
          <w:highlight w:val="none"/>
        </w:rPr>
        <w:t xml:space="preserve">；</w:t>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5）养护期间重点难点分析；</w:t>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6）内部管理方案；</w:t>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7）与其他单位、部门的综合协调方案；</w:t>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w:t>
      </w:r>
      <w:r>
        <w:rPr>
          <w:rFonts w:hint="eastAsia" w:ascii="Times New Roman" w:hAnsi="Times New Roman" w:eastAsia="宋体" w:cs="Times New Roman"/>
          <w:color w:val="auto"/>
          <w:sz w:val="24"/>
          <w:szCs w:val="24"/>
          <w:highlight w:val="none"/>
          <w:lang w:val="en-US" w:eastAsia="zh-CN"/>
        </w:rPr>
        <w:t xml:space="preserve">项目运营方案</w:t>
      </w:r>
      <w:r>
        <w:rPr>
          <w:rFonts w:hint="eastAsia" w:ascii="Times New Roman" w:hAnsi="Times New Roman" w:eastAsia="宋体" w:cs="Times New Roman"/>
          <w:color w:val="auto"/>
          <w:sz w:val="24"/>
          <w:szCs w:val="24"/>
          <w:highlight w:val="none"/>
        </w:rPr>
        <w:t xml:space="preserve">。</w:t>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spacing w:line="360" w:lineRule="auto"/>
        <w:rPr>
          <w:rFonts w:hint="eastAsia"/>
          <w:color w:val="auto"/>
          <w:sz w:val="24"/>
          <w:szCs w:val="20"/>
        </w:rPr>
        <w:outlineLvl w:val="2"/>
      </w:pPr>
      <w:r>
        <w:rPr>
          <w:rFonts w:hint="eastAsia"/>
          <w:color w:val="auto"/>
          <w:sz w:val="24"/>
          <w:szCs w:val="20"/>
        </w:rPr>
      </w:r>
      <w:r/>
    </w:p>
    <w:p>
      <w:pPr>
        <w:spacing w:line="360" w:lineRule="auto"/>
        <w:rPr>
          <w:rFonts w:hint="eastAsia"/>
          <w:color w:val="auto"/>
          <w:sz w:val="24"/>
          <w:szCs w:val="20"/>
        </w:rPr>
        <w:outlineLvl w:val="2"/>
      </w:pPr>
      <w:r>
        <w:rPr>
          <w:rFonts w:hint="eastAsia"/>
          <w:color w:val="auto"/>
          <w:sz w:val="24"/>
          <w:szCs w:val="20"/>
        </w:rPr>
      </w:r>
      <w:r/>
    </w:p>
    <w:p>
      <w:pPr>
        <w:spacing w:line="360" w:lineRule="auto"/>
        <w:rPr>
          <w:rFonts w:hint="eastAsia"/>
          <w:color w:val="auto"/>
          <w:sz w:val="24"/>
          <w:szCs w:val="20"/>
        </w:rPr>
        <w:outlineLvl w:val="2"/>
      </w:pPr>
      <w:r>
        <w:rPr>
          <w:rFonts w:hint="eastAsia"/>
          <w:color w:val="auto"/>
          <w:sz w:val="24"/>
          <w:szCs w:val="20"/>
        </w:rPr>
      </w:r>
      <w:r/>
    </w:p>
    <w:p>
      <w:pPr>
        <w:spacing w:line="360" w:lineRule="auto"/>
        <w:rPr>
          <w:rFonts w:hint="eastAsia"/>
          <w:color w:val="auto"/>
          <w:sz w:val="24"/>
          <w:szCs w:val="20"/>
        </w:rPr>
        <w:outlineLvl w:val="2"/>
      </w:pPr>
      <w:r>
        <w:rPr>
          <w:rFonts w:hint="eastAsia"/>
          <w:color w:val="auto"/>
          <w:sz w:val="24"/>
          <w:szCs w:val="20"/>
        </w:rPr>
      </w:r>
      <w:r/>
    </w:p>
    <w:p>
      <w:pPr>
        <w:spacing w:line="360" w:lineRule="auto"/>
        <w:rPr>
          <w:rFonts w:ascii="Times New Roman" w:hAnsi="Times New Roman" w:eastAsia="宋体" w:cs="Times New Roman"/>
          <w:color w:val="auto"/>
          <w:sz w:val="24"/>
          <w:szCs w:val="20"/>
        </w:rPr>
        <w:outlineLvl w:val="2"/>
      </w:pPr>
      <w:r>
        <w:rPr>
          <w:rFonts w:hint="eastAsia"/>
          <w:color w:val="auto"/>
          <w:sz w:val="24"/>
          <w:szCs w:val="20"/>
        </w:rPr>
        <w:br w:type="page" w:clear="all"/>
      </w:r>
      <w:r>
        <w:rPr>
          <w:rFonts w:hint="eastAsia"/>
          <w:color w:val="auto"/>
          <w:sz w:val="24"/>
          <w:szCs w:val="20"/>
          <w:highlight w:val="none"/>
          <w:lang w:val="en-US" w:eastAsia="zh-CN"/>
        </w:rPr>
        <w:t xml:space="preserve">12  </w:t>
      </w:r>
      <w:r>
        <w:rPr>
          <w:rFonts w:ascii="Times New Roman" w:hAnsi="Times New Roman" w:eastAsia="宋体" w:cs="Times New Roman"/>
          <w:color w:val="auto"/>
          <w:sz w:val="24"/>
          <w:szCs w:val="20"/>
          <w:highlight w:val="none"/>
        </w:rPr>
        <w:t xml:space="preserve">参加本项目人员一览表</w:t>
      </w:r>
      <w:r/>
    </w:p>
    <w:p>
      <w:pPr>
        <w:jc w:val="center"/>
        <w:spacing w:line="360" w:lineRule="auto"/>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r>
      <w:r/>
    </w:p>
    <w:p>
      <w:pPr>
        <w:jc w:val="center"/>
        <w:spacing w:line="360" w:lineRule="auto"/>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 xml:space="preserve">参加本项目人员一览表</w:t>
      </w:r>
      <w:r/>
    </w:p>
    <w:p>
      <w:pPr>
        <w:spacing w:line="360" w:lineRule="auto"/>
        <w:rPr>
          <w:rFonts w:ascii="Times New Roman" w:hAnsi="Times New Roman" w:eastAsia="宋体" w:cs="Times New Roman"/>
          <w:color w:val="auto"/>
          <w:sz w:val="22"/>
        </w:rPr>
      </w:pPr>
      <w:r>
        <w:rPr>
          <w:rFonts w:ascii="Times New Roman" w:hAnsi="Times New Roman" w:eastAsia="宋体" w:cs="Times New Roman"/>
          <w:color w:val="auto"/>
          <w:sz w:val="22"/>
        </w:rPr>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项目编号：</w:t>
      </w:r>
      <w:r>
        <w:rPr>
          <w:rFonts w:ascii="Times New Roman" w:hAnsi="Times New Roman" w:eastAsia="宋体" w:cs="Times New Roman"/>
          <w:color w:val="auto"/>
          <w:sz w:val="24"/>
          <w:u w:val="single"/>
        </w:rPr>
        <w:t xml:space="preserve">                     </w:t>
      </w:r>
      <w:r/>
    </w:p>
    <w:tbl>
      <w:tblPr>
        <w:tblStyle w:val="903"/>
        <w:tblW w:w="9450" w:type="dxa"/>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责任</w:t>
            </w:r>
            <w:r/>
          </w:p>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项目经历或主要工作</w:t>
            </w:r>
            <w:r/>
          </w:p>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业绩</w:t>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r>
    </w:tbl>
    <w:p>
      <w:pPr>
        <w:spacing w:line="360" w:lineRule="auto"/>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注：参加本项目人员须是投标供应商正式职工。</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p>
      <w:pPr>
        <w:spacing w:before="25" w:after="25"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供应商名称（加盖公章）</w:t>
      </w:r>
      <w:r>
        <w:rPr>
          <w:rFonts w:ascii="Times New Roman" w:hAnsi="Times New Roman" w:eastAsia="宋体" w:cs="Times New Roman"/>
          <w:color w:val="auto"/>
          <w:sz w:val="24"/>
          <w:lang w:val="zh-CN"/>
        </w:rPr>
        <w:t xml:space="preserve">：    ____________</w:t>
      </w:r>
      <w:r/>
    </w:p>
    <w:p>
      <w:pPr>
        <w:spacing w:before="25" w:after="25" w:line="360" w:lineRule="auto"/>
        <w:rPr>
          <w:rFonts w:ascii="Times New Roman" w:hAnsi="Times New Roman" w:eastAsia="宋体" w:cs="Times New Roman"/>
          <w:color w:val="auto"/>
          <w:sz w:val="24"/>
        </w:rPr>
      </w:pPr>
      <w:r>
        <w:rPr>
          <w:rFonts w:ascii="Times New Roman" w:hAnsi="Times New Roman" w:eastAsia="宋体" w:cs="Times New Roman"/>
          <w:color w:val="auto"/>
          <w:sz w:val="24"/>
          <w:szCs w:val="20"/>
        </w:rPr>
        <w:t xml:space="preserve">日期：_____年______月______日   </w:t>
      </w:r>
      <w:r/>
    </w:p>
    <w:p>
      <w:pPr>
        <w:spacing w:before="25" w:after="25" w:line="360" w:lineRule="auto"/>
        <w:rPr>
          <w:color w:val="auto"/>
          <w:sz w:val="24"/>
          <w:lang w:val="zh-CN"/>
        </w:rPr>
      </w:pPr>
      <w:r>
        <w:rPr>
          <w:color w:val="auto"/>
          <w:sz w:val="24"/>
          <w:lang w:val="zh-CN"/>
        </w:rPr>
      </w:r>
      <w:r/>
    </w:p>
    <w:p>
      <w:pPr>
        <w:rPr>
          <w:rFonts w:ascii="Times New Roman" w:hAnsi="Times New Roman" w:eastAsia="宋体" w:cs="Times New Roman"/>
          <w:color w:val="auto"/>
          <w:sz w:val="24"/>
          <w:szCs w:val="20"/>
          <w:highlight w:val="none"/>
        </w:rPr>
      </w:pPr>
      <w:r>
        <w:rPr>
          <w:color w:val="auto"/>
          <w:sz w:val="22"/>
        </w:rPr>
        <w:br w:type="page" w:clear="all"/>
      </w:r>
      <w:r>
        <w:rPr>
          <w:rFonts w:hint="eastAsia" w:cs="Times New Roman"/>
          <w:color w:val="auto"/>
          <w:sz w:val="24"/>
          <w:szCs w:val="20"/>
          <w:highlight w:val="none"/>
          <w:lang w:val="en-US" w:eastAsia="zh-CN"/>
        </w:rPr>
        <w:t xml:space="preserve">13</w:t>
      </w:r>
      <w:r>
        <w:rPr>
          <w:rFonts w:hint="eastAsia" w:ascii="Times New Roman" w:hAnsi="Times New Roman" w:eastAsia="宋体" w:cs="Times New Roman"/>
          <w:color w:val="auto"/>
          <w:sz w:val="24"/>
          <w:szCs w:val="20"/>
          <w:highlight w:val="none"/>
        </w:rPr>
        <w:t xml:space="preserve"> 相关业绩案例一览表</w:t>
      </w:r>
      <w:r/>
    </w:p>
    <w:p>
      <w:pPr>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center"/>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相关业绩案例一览表</w:t>
      </w:r>
      <w:r/>
    </w:p>
    <w:p>
      <w:pPr>
        <w:jc w:val="center"/>
        <w:spacing w:line="360" w:lineRule="auto"/>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tbl>
      <w:tblPr>
        <w:tblStyle w:val="90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bl>
    <w:p>
      <w:pPr>
        <w:tabs>
          <w:tab w:val="left" w:pos="9765" w:leader="none"/>
        </w:tabs>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before="25" w:after="25" w:line="36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rPr>
        <w:t xml:space="preserve">供应商名称（加盖公章）</w:t>
      </w:r>
      <w:r>
        <w:rPr>
          <w:rFonts w:ascii="Times New Roman" w:hAnsi="Times New Roman" w:eastAsia="宋体" w:cs="Times New Roman"/>
          <w:color w:val="auto"/>
          <w:sz w:val="24"/>
          <w:highlight w:val="none"/>
          <w:lang w:val="zh-CN"/>
        </w:rPr>
        <w:t xml:space="preserve">：    ____________</w:t>
      </w:r>
      <w:r/>
    </w:p>
    <w:p>
      <w:pPr>
        <w:spacing w:before="25" w:after="25" w:line="36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szCs w:val="20"/>
          <w:highlight w:val="none"/>
        </w:rPr>
        <w:t xml:space="preserve">日期：_____年______月______日   </w:t>
      </w:r>
      <w:r/>
    </w:p>
    <w:p>
      <w:pPr>
        <w:spacing w:line="360" w:lineRule="auto"/>
        <w:rPr>
          <w:color w:val="auto"/>
          <w:sz w:val="24"/>
          <w:szCs w:val="20"/>
        </w:rPr>
        <w:outlineLvl w:val="2"/>
      </w:pPr>
      <w:r>
        <w:rPr>
          <w:color w:val="auto"/>
          <w:sz w:val="24"/>
          <w:szCs w:val="20"/>
        </w:rPr>
        <w:br w:type="page" w:clear="all"/>
      </w:r>
      <w:r>
        <w:rPr>
          <w:rFonts w:hint="eastAsia"/>
          <w:color w:val="auto"/>
          <w:sz w:val="24"/>
          <w:szCs w:val="20"/>
          <w:lang w:val="en-US" w:eastAsia="zh-CN"/>
        </w:rPr>
        <w:t xml:space="preserve">14  </w:t>
      </w:r>
      <w:r>
        <w:rPr>
          <w:color w:val="auto"/>
          <w:sz w:val="24"/>
          <w:szCs w:val="20"/>
        </w:rPr>
        <w:t xml:space="preserve">磋商文件要求提供或供应商认为应附的其他材料</w:t>
      </w:r>
      <w:bookmarkEnd w:id="743"/>
      <w:r/>
    </w:p>
    <w:sectPr>
      <w:headerReference w:type="even" r:id="rId12"/>
      <w:headerReference w:type="first" r:id="rId13"/>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center" w:y="1"/>
    </w:pPr>
    <w:r>
      <w:fldChar w:fldCharType="begin"/>
    </w:r>
    <w:r>
      <w:rPr>
        <w:rStyle w:val="1146"/>
      </w:rPr>
      <w:instrText xml:space="preserve">PAGE  </w:instrText>
    </w:r>
    <w:r>
      <w:fldChar w:fldCharType="end"/>
    </w:r>
    <w:r/>
  </w:p>
  <w:p>
    <w:pPr>
      <w:pStyle w:val="11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54"/>
      <w:spacing w:line="209"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53"/>
      <w:spacing w:line="209"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jc w:val="left"/>
      <w:spacing w:before="1" w:line="23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73</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p>
  <w:p>
    <w:pPr>
      <w:pStyle w:val="1122"/>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p>
  <w:p>
    <w:pPr>
      <w:pStyle w:val="1122"/>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2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8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7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7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0"/>
      <w:isLgl w:val="false"/>
      <w:suff w:val="nothing"/>
      <w:lvlText w:val="%1.%2.%3.%4.%5.%6　"/>
      <w:lvlJc w:val="left"/>
      <w:pPr>
        <w:ind w:left="-25" w:firstLine="0"/>
      </w:pPr>
      <w:rPr>
        <w:rFonts w:ascii="Times New Roman" w:hAnsi="Times New Roman" w:eastAsia="宋体"/>
        <w:b/>
        <w:i w:val="0"/>
        <w:sz w:val="28"/>
      </w:rPr>
    </w:lvl>
    <w:lvl w:ilvl="6">
      <w:start w:val="1"/>
      <w:numFmt w:val="lowerLetter"/>
      <w:pStyle w:val="123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5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82"/>
      <w:isLgl w:val="false"/>
      <w:suff w:val="tab"/>
      <w:lvlText w:val="%1"/>
      <w:lvlJc w:val="left"/>
      <w:pPr>
        <w:ind w:left="680" w:hanging="680"/>
      </w:pPr>
      <w:rPr>
        <w:rFonts w:hint="eastAsia" w:ascii="宋体" w:hAnsi="宋体" w:eastAsia="宋体"/>
      </w:rPr>
    </w:lvl>
    <w:lvl w:ilvl="1">
      <w:start w:val="1"/>
      <w:numFmt w:val="decimal"/>
      <w:pStyle w:val="1283"/>
      <w:isLgl w:val="false"/>
      <w:suff w:val="tab"/>
      <w:lvlText w:val="%1.%2"/>
      <w:lvlJc w:val="left"/>
      <w:pPr>
        <w:ind w:left="851" w:hanging="851"/>
      </w:pPr>
      <w:rPr>
        <w:rFonts w:hint="eastAsia" w:ascii="宋体" w:hAnsi="宋体" w:eastAsia="宋体"/>
        <w:color w:val="000000"/>
      </w:rPr>
    </w:lvl>
    <w:lvl w:ilvl="2">
      <w:start w:val="1"/>
      <w:numFmt w:val="decimal"/>
      <w:pStyle w:val="12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8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4"/>
  </w:num>
  <w:num w:numId="4">
    <w:abstractNumId w:val="3"/>
  </w:num>
  <w:num w:numId="5">
    <w:abstractNumId w:val="2"/>
  </w:num>
  <w:num w:numId="6">
    <w:abstractNumId w:val="7"/>
  </w:num>
  <w:num w:numId="7">
    <w:abstractNumId w:val="10"/>
  </w:num>
  <w:num w:numId="8">
    <w:abstractNumId w:val="15"/>
  </w:num>
  <w:num w:numId="9">
    <w:abstractNumId w:val="6"/>
  </w:num>
  <w:num w:numId="10">
    <w:abstractNumId w:val="0"/>
  </w:num>
  <w:num w:numId="11">
    <w:abstractNumId w:val="11"/>
  </w:num>
  <w:num w:numId="12">
    <w:abstractNumId w:val="1"/>
  </w:num>
  <w:num w:numId="13">
    <w:abstractNumId w:val="12"/>
  </w:num>
  <w:num w:numId="14">
    <w:abstractNumId w:val="8"/>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default="1">
    <w:name w:val="Normal"/>
    <w:link w:val="13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name w:val="Heading 1"/>
    <w:basedOn w:val="892"/>
    <w:next w:val="892"/>
    <w:link w:val="927"/>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28"/>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29"/>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930"/>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link w:val="931"/>
    <w:uiPriority w:val="9"/>
    <w:unhideWhenUsed/>
    <w:qFormat/>
    <w:pPr>
      <w:keepLines/>
      <w:keepNext/>
      <w:spacing w:before="320" w:after="200"/>
      <w:outlineLvl w:val="4"/>
    </w:pPr>
    <w:rPr>
      <w:rFonts w:ascii="Arial" w:hAnsi="Arial" w:eastAsia="Arial" w:cs="Arial"/>
      <w:b/>
      <w:bCs/>
      <w:sz w:val="24"/>
      <w:szCs w:val="24"/>
    </w:rPr>
  </w:style>
  <w:style w:type="paragraph" w:styleId="898">
    <w:name w:val="Heading 6"/>
    <w:basedOn w:val="892"/>
    <w:next w:val="892"/>
    <w:link w:val="932"/>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34"/>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35"/>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semiHidden/>
    <w:unhideWhenUsed/>
    <w:qFormat/>
  </w:style>
  <w:style w:type="table" w:styleId="903" w:default="1">
    <w:name w:val="Normal Table"/>
    <w:uiPriority w:val="99"/>
    <w:semiHidden/>
    <w:unhideWhenUsed/>
    <w:qFormat/>
    <w:tblPr>
      <w:tblCellMar>
        <w:left w:w="108" w:type="dxa"/>
        <w:top w:w="0" w:type="dxa"/>
        <w:right w:w="108" w:type="dxa"/>
        <w:bottom w:w="0" w:type="dxa"/>
      </w:tblCellMar>
    </w:tblPr>
  </w:style>
  <w:style w:type="paragraph" w:styleId="904">
    <w:name w:val="toc 7"/>
    <w:basedOn w:val="892"/>
    <w:next w:val="892"/>
    <w:uiPriority w:val="39"/>
    <w:unhideWhenUsed/>
    <w:qFormat/>
    <w:pPr>
      <w:ind w:left="1701" w:right="0" w:firstLine="0"/>
      <w:spacing w:after="57"/>
    </w:pPr>
  </w:style>
  <w:style w:type="paragraph" w:styleId="905">
    <w:name w:val="Caption"/>
    <w:basedOn w:val="892"/>
    <w:next w:val="8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6">
    <w:name w:val="Body Text"/>
    <w:basedOn w:val="892"/>
    <w:uiPriority w:val="0"/>
    <w:qFormat/>
    <w:pPr>
      <w:spacing w:before="120" w:line="22" w:lineRule="atLeast"/>
      <w:tabs>
        <w:tab w:val="left" w:pos="567" w:leader="none"/>
      </w:tabs>
    </w:pPr>
    <w:rPr>
      <w:rFonts w:ascii="宋体" w:hAnsi="宋体"/>
      <w:sz w:val="24"/>
    </w:rPr>
  </w:style>
  <w:style w:type="paragraph" w:styleId="907">
    <w:name w:val="toc 5"/>
    <w:basedOn w:val="892"/>
    <w:next w:val="892"/>
    <w:uiPriority w:val="39"/>
    <w:unhideWhenUsed/>
    <w:qFormat/>
    <w:pPr>
      <w:ind w:left="1134" w:right="0" w:firstLine="0"/>
      <w:spacing w:after="57"/>
    </w:pPr>
  </w:style>
  <w:style w:type="paragraph" w:styleId="908">
    <w:name w:val="toc 3"/>
    <w:basedOn w:val="892"/>
    <w:next w:val="892"/>
    <w:uiPriority w:val="39"/>
    <w:unhideWhenUsed/>
    <w:qFormat/>
    <w:pPr>
      <w:ind w:left="567" w:right="0" w:firstLine="0"/>
      <w:spacing w:after="57"/>
    </w:pPr>
  </w:style>
  <w:style w:type="paragraph" w:styleId="909">
    <w:name w:val="toc 8"/>
    <w:basedOn w:val="892"/>
    <w:next w:val="892"/>
    <w:uiPriority w:val="39"/>
    <w:unhideWhenUsed/>
    <w:qFormat/>
    <w:pPr>
      <w:ind w:left="1984" w:right="0" w:firstLine="0"/>
      <w:spacing w:after="57"/>
    </w:pPr>
  </w:style>
  <w:style w:type="paragraph" w:styleId="910">
    <w:name w:val="endnote text"/>
    <w:basedOn w:val="892"/>
    <w:link w:val="1073"/>
    <w:uiPriority w:val="99"/>
    <w:semiHidden/>
    <w:unhideWhenUsed/>
    <w:qFormat/>
    <w:pPr>
      <w:spacing w:after="0" w:line="240" w:lineRule="auto"/>
    </w:pPr>
    <w:rPr>
      <w:sz w:val="20"/>
    </w:rPr>
  </w:style>
  <w:style w:type="paragraph" w:styleId="911">
    <w:name w:val="Footer"/>
    <w:basedOn w:val="892"/>
    <w:link w:val="946"/>
    <w:uiPriority w:val="99"/>
    <w:unhideWhenUsed/>
    <w:qFormat/>
    <w:pPr>
      <w:spacing w:after="0" w:line="240" w:lineRule="auto"/>
      <w:tabs>
        <w:tab w:val="center" w:pos="7143" w:leader="none"/>
        <w:tab w:val="right" w:pos="14287" w:leader="none"/>
      </w:tabs>
    </w:pPr>
  </w:style>
  <w:style w:type="paragraph" w:styleId="912">
    <w:name w:val="Header"/>
    <w:basedOn w:val="892"/>
    <w:link w:val="944"/>
    <w:uiPriority w:val="99"/>
    <w:unhideWhenUsed/>
    <w:qFormat/>
    <w:pPr>
      <w:spacing w:after="0" w:line="240" w:lineRule="auto"/>
      <w:tabs>
        <w:tab w:val="center" w:pos="7143" w:leader="none"/>
        <w:tab w:val="right" w:pos="14287" w:leader="none"/>
      </w:tabs>
    </w:pPr>
  </w:style>
  <w:style w:type="paragraph" w:styleId="913">
    <w:name w:val="toc 1"/>
    <w:basedOn w:val="892"/>
    <w:next w:val="892"/>
    <w:uiPriority w:val="39"/>
    <w:unhideWhenUsed/>
    <w:qFormat/>
    <w:pPr>
      <w:ind w:left="0" w:right="0" w:firstLine="0"/>
      <w:spacing w:after="57"/>
    </w:pPr>
  </w:style>
  <w:style w:type="paragraph" w:styleId="914">
    <w:name w:val="toc 4"/>
    <w:basedOn w:val="892"/>
    <w:next w:val="892"/>
    <w:uiPriority w:val="39"/>
    <w:unhideWhenUsed/>
    <w:qFormat/>
    <w:pPr>
      <w:ind w:left="850" w:right="0" w:firstLine="0"/>
      <w:spacing w:after="57"/>
    </w:pPr>
  </w:style>
  <w:style w:type="paragraph" w:styleId="915">
    <w:name w:val="Subtitle"/>
    <w:basedOn w:val="892"/>
    <w:next w:val="892"/>
    <w:link w:val="939"/>
    <w:uiPriority w:val="11"/>
    <w:qFormat/>
    <w:pPr>
      <w:spacing w:before="200" w:after="200"/>
    </w:pPr>
    <w:rPr>
      <w:sz w:val="24"/>
      <w:szCs w:val="24"/>
    </w:rPr>
  </w:style>
  <w:style w:type="paragraph" w:styleId="916">
    <w:name w:val="footnote text"/>
    <w:basedOn w:val="892"/>
    <w:link w:val="1072"/>
    <w:uiPriority w:val="99"/>
    <w:semiHidden/>
    <w:unhideWhenUsed/>
    <w:qFormat/>
    <w:pPr>
      <w:spacing w:after="40" w:line="240" w:lineRule="auto"/>
    </w:pPr>
    <w:rPr>
      <w:sz w:val="18"/>
    </w:rPr>
  </w:style>
  <w:style w:type="paragraph" w:styleId="917">
    <w:name w:val="toc 6"/>
    <w:basedOn w:val="892"/>
    <w:next w:val="892"/>
    <w:uiPriority w:val="39"/>
    <w:unhideWhenUsed/>
    <w:qFormat/>
    <w:pPr>
      <w:ind w:left="1417" w:right="0" w:firstLine="0"/>
      <w:spacing w:after="57"/>
    </w:pPr>
  </w:style>
  <w:style w:type="paragraph" w:styleId="918">
    <w:name w:val="table of figures"/>
    <w:basedOn w:val="892"/>
    <w:next w:val="892"/>
    <w:uiPriority w:val="99"/>
    <w:unhideWhenUsed/>
    <w:qFormat/>
    <w:pPr>
      <w:spacing w:after="0" w:afterAutospacing="0"/>
    </w:pPr>
  </w:style>
  <w:style w:type="paragraph" w:styleId="919">
    <w:name w:val="toc 2"/>
    <w:basedOn w:val="892"/>
    <w:next w:val="892"/>
    <w:uiPriority w:val="39"/>
    <w:unhideWhenUsed/>
    <w:qFormat/>
    <w:pPr>
      <w:ind w:left="283" w:right="0" w:firstLine="0"/>
      <w:spacing w:after="57"/>
    </w:pPr>
  </w:style>
  <w:style w:type="paragraph" w:styleId="920">
    <w:name w:val="toc 9"/>
    <w:basedOn w:val="892"/>
    <w:next w:val="892"/>
    <w:uiPriority w:val="39"/>
    <w:unhideWhenUsed/>
    <w:qFormat/>
    <w:pPr>
      <w:ind w:left="2268" w:right="0" w:firstLine="0"/>
      <w:spacing w:after="57"/>
    </w:pPr>
  </w:style>
  <w:style w:type="paragraph" w:styleId="921">
    <w:name w:val="Normal (Web)"/>
    <w:basedOn w:val="892"/>
    <w:uiPriority w:val="99"/>
    <w:semiHidden/>
    <w:unhideWhenUsed/>
    <w:qFormat/>
    <w:pPr>
      <w:ind w:left="0" w:right="0"/>
      <w:jc w:val="left"/>
      <w:spacing w:before="0" w:beforeAutospacing="1" w:after="0" w:afterAutospacing="1"/>
    </w:pPr>
    <w:rPr>
      <w:sz w:val="24"/>
      <w:lang w:val="en-US" w:eastAsia="zh-CN" w:bidi="ar"/>
    </w:rPr>
  </w:style>
  <w:style w:type="paragraph" w:styleId="922">
    <w:name w:val="Title"/>
    <w:basedOn w:val="892"/>
    <w:next w:val="892"/>
    <w:link w:val="938"/>
    <w:uiPriority w:val="10"/>
    <w:qFormat/>
    <w:pPr>
      <w:contextualSpacing/>
      <w:spacing w:before="300" w:after="200"/>
    </w:pPr>
    <w:rPr>
      <w:sz w:val="48"/>
      <w:szCs w:val="48"/>
    </w:rPr>
  </w:style>
  <w:style w:type="table" w:styleId="9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name w:val="endnote reference"/>
    <w:uiPriority w:val="99"/>
    <w:semiHidden/>
    <w:unhideWhenUsed/>
    <w:qFormat/>
    <w:rPr>
      <w:vertAlign w:val="superscript"/>
    </w:rPr>
  </w:style>
  <w:style w:type="character" w:styleId="925">
    <w:name w:val="Hyperlink"/>
    <w:uiPriority w:val="99"/>
    <w:unhideWhenUsed/>
    <w:qFormat/>
    <w:rPr>
      <w:color w:val="0000ff" w:themeColor="hyperlink"/>
      <w:u w:val="single"/>
      <w14:textFill>
        <w14:solidFill>
          <w14:schemeClr w14:val="hlink"/>
        </w14:solidFill>
      </w14:textFill>
    </w:rPr>
  </w:style>
  <w:style w:type="character" w:styleId="926">
    <w:name w:val="footnote reference"/>
    <w:uiPriority w:val="99"/>
    <w:unhideWhenUsed/>
    <w:qFormat/>
    <w:rPr>
      <w:vertAlign w:val="superscript"/>
    </w:rPr>
  </w:style>
  <w:style w:type="character" w:styleId="927" w:customStyle="1">
    <w:name w:val="Heading 1 Char"/>
    <w:link w:val="893"/>
    <w:uiPriority w:val="9"/>
    <w:qFormat/>
    <w:rPr>
      <w:rFonts w:ascii="Arial" w:hAnsi="Arial" w:eastAsia="Arial" w:cs="Arial"/>
      <w:sz w:val="40"/>
      <w:szCs w:val="40"/>
    </w:rPr>
  </w:style>
  <w:style w:type="character" w:styleId="928" w:customStyle="1">
    <w:name w:val="Heading 2 Char"/>
    <w:link w:val="894"/>
    <w:uiPriority w:val="9"/>
    <w:qFormat/>
    <w:rPr>
      <w:rFonts w:ascii="Arial" w:hAnsi="Arial" w:eastAsia="Arial" w:cs="Arial"/>
      <w:sz w:val="34"/>
    </w:rPr>
  </w:style>
  <w:style w:type="character" w:styleId="929" w:customStyle="1">
    <w:name w:val="Heading 3 Char"/>
    <w:link w:val="895"/>
    <w:uiPriority w:val="9"/>
    <w:qFormat/>
    <w:rPr>
      <w:rFonts w:ascii="Arial" w:hAnsi="Arial" w:eastAsia="Arial" w:cs="Arial"/>
      <w:sz w:val="30"/>
      <w:szCs w:val="30"/>
    </w:rPr>
  </w:style>
  <w:style w:type="character" w:styleId="930" w:customStyle="1">
    <w:name w:val="Heading 4 Char"/>
    <w:link w:val="896"/>
    <w:uiPriority w:val="9"/>
    <w:qFormat/>
    <w:rPr>
      <w:rFonts w:ascii="Arial" w:hAnsi="Arial" w:eastAsia="Arial" w:cs="Arial"/>
      <w:b/>
      <w:bCs/>
      <w:sz w:val="26"/>
      <w:szCs w:val="26"/>
    </w:rPr>
  </w:style>
  <w:style w:type="character" w:styleId="931" w:customStyle="1">
    <w:name w:val="Heading 5 Char"/>
    <w:link w:val="897"/>
    <w:uiPriority w:val="9"/>
    <w:qFormat/>
    <w:rPr>
      <w:rFonts w:ascii="Arial" w:hAnsi="Arial" w:eastAsia="Arial" w:cs="Arial"/>
      <w:b/>
      <w:bCs/>
      <w:sz w:val="24"/>
      <w:szCs w:val="24"/>
    </w:rPr>
  </w:style>
  <w:style w:type="character" w:styleId="932" w:customStyle="1">
    <w:name w:val="Heading 6 Char"/>
    <w:link w:val="898"/>
    <w:uiPriority w:val="9"/>
    <w:qFormat/>
    <w:rPr>
      <w:rFonts w:ascii="Arial" w:hAnsi="Arial" w:eastAsia="Arial" w:cs="Arial"/>
      <w:b/>
      <w:bCs/>
      <w:sz w:val="22"/>
      <w:szCs w:val="22"/>
    </w:rPr>
  </w:style>
  <w:style w:type="character" w:styleId="933" w:customStyle="1">
    <w:name w:val="Heading 7 Char"/>
    <w:link w:val="899"/>
    <w:uiPriority w:val="9"/>
    <w:qFormat/>
    <w:rPr>
      <w:rFonts w:ascii="Arial" w:hAnsi="Arial" w:eastAsia="Arial" w:cs="Arial"/>
      <w:b/>
      <w:bCs/>
      <w:i/>
      <w:iCs/>
      <w:sz w:val="22"/>
      <w:szCs w:val="22"/>
    </w:rPr>
  </w:style>
  <w:style w:type="character" w:styleId="934" w:customStyle="1">
    <w:name w:val="Heading 8 Char"/>
    <w:link w:val="900"/>
    <w:uiPriority w:val="9"/>
    <w:qFormat/>
    <w:rPr>
      <w:rFonts w:ascii="Arial" w:hAnsi="Arial" w:eastAsia="Arial" w:cs="Arial"/>
      <w:i/>
      <w:iCs/>
      <w:sz w:val="22"/>
      <w:szCs w:val="22"/>
    </w:rPr>
  </w:style>
  <w:style w:type="character" w:styleId="935" w:customStyle="1">
    <w:name w:val="Heading 9 Char"/>
    <w:link w:val="901"/>
    <w:uiPriority w:val="9"/>
    <w:qFormat/>
    <w:rPr>
      <w:rFonts w:ascii="Arial" w:hAnsi="Arial" w:eastAsia="Arial" w:cs="Arial"/>
      <w:i/>
      <w:iCs/>
      <w:sz w:val="21"/>
      <w:szCs w:val="21"/>
    </w:rPr>
  </w:style>
  <w:style w:type="paragraph" w:styleId="936">
    <w:name w:val="List Paragraph"/>
    <w:basedOn w:val="892"/>
    <w:uiPriority w:val="34"/>
    <w:qFormat/>
    <w:pPr>
      <w:contextualSpacing/>
      <w:ind w:left="720"/>
    </w:pPr>
  </w:style>
  <w:style w:type="paragraph" w:styleId="937">
    <w:name w:val="No Spacing"/>
    <w:uiPriority w:val="1"/>
    <w:qFormat/>
    <w:pPr>
      <w:spacing w:before="0" w:after="0" w:line="240" w:lineRule="auto"/>
    </w:pPr>
    <w:rPr>
      <w:rFonts w:hint="default" w:ascii="Times New Roman" w:hAnsi="Times New Roman" w:eastAsia="宋体" w:cs="Times New Roman"/>
    </w:rPr>
  </w:style>
  <w:style w:type="character" w:styleId="938" w:customStyle="1">
    <w:name w:val="Title Char"/>
    <w:link w:val="922"/>
    <w:uiPriority w:val="10"/>
    <w:qFormat/>
    <w:rPr>
      <w:sz w:val="48"/>
      <w:szCs w:val="48"/>
    </w:rPr>
  </w:style>
  <w:style w:type="character" w:styleId="939" w:customStyle="1">
    <w:name w:val="Subtitle Char"/>
    <w:link w:val="915"/>
    <w:uiPriority w:val="11"/>
    <w:qFormat/>
    <w:rPr>
      <w:sz w:val="24"/>
      <w:szCs w:val="24"/>
    </w:rPr>
  </w:style>
  <w:style w:type="paragraph" w:styleId="940">
    <w:name w:val="Quote"/>
    <w:basedOn w:val="892"/>
    <w:next w:val="892"/>
    <w:link w:val="941"/>
    <w:uiPriority w:val="29"/>
    <w:qFormat/>
    <w:pPr>
      <w:ind w:left="720" w:right="720"/>
    </w:pPr>
    <w:rPr>
      <w:i/>
    </w:rPr>
  </w:style>
  <w:style w:type="character" w:styleId="941" w:customStyle="1">
    <w:name w:val="Quote Char"/>
    <w:link w:val="940"/>
    <w:uiPriority w:val="29"/>
    <w:qFormat/>
    <w:rPr>
      <w:i/>
    </w:rPr>
  </w:style>
  <w:style w:type="paragraph" w:styleId="942">
    <w:name w:val="Intense Quote"/>
    <w:basedOn w:val="892"/>
    <w:next w:val="892"/>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Intense Quote Char"/>
    <w:link w:val="942"/>
    <w:uiPriority w:val="30"/>
    <w:qFormat/>
    <w:rPr>
      <w:i/>
    </w:rPr>
  </w:style>
  <w:style w:type="character" w:styleId="944" w:customStyle="1">
    <w:name w:val="Header Char"/>
    <w:link w:val="912"/>
    <w:uiPriority w:val="99"/>
    <w:qFormat/>
  </w:style>
  <w:style w:type="character" w:styleId="945" w:customStyle="1">
    <w:name w:val="Footer Char"/>
    <w:link w:val="911"/>
    <w:uiPriority w:val="99"/>
    <w:qFormat/>
  </w:style>
  <w:style w:type="character" w:styleId="946" w:customStyle="1">
    <w:name w:val="Caption Char"/>
    <w:link w:val="911"/>
    <w:uiPriority w:val="99"/>
    <w:qFormat/>
  </w:style>
  <w:style w:type="table" w:styleId="9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Footnote Text Char"/>
    <w:link w:val="916"/>
    <w:uiPriority w:val="99"/>
    <w:qFormat/>
    <w:rPr>
      <w:sz w:val="18"/>
    </w:rPr>
  </w:style>
  <w:style w:type="character" w:styleId="1073" w:customStyle="1">
    <w:name w:val="Endnote Text Char"/>
    <w:link w:val="910"/>
    <w:uiPriority w:val="99"/>
    <w:qFormat/>
    <w:rPr>
      <w:sz w:val="20"/>
    </w:rPr>
  </w:style>
  <w:style w:type="paragraph" w:styleId="1074" w:customStyle="1">
    <w:name w:val="TOC Heading"/>
    <w:uiPriority w:val="39"/>
    <w:unhideWhenUsed/>
    <w:qFormat/>
    <w:rPr>
      <w:rFonts w:hint="default" w:ascii="Times New Roman" w:hAnsi="Times New Roman" w:eastAsia="宋体" w:cs="Times New Roman"/>
    </w:rPr>
  </w:style>
  <w:style w:type="paragraph" w:styleId="1075" w:customStyle="1">
    <w:name w:val="标题 11"/>
    <w:basedOn w:val="892"/>
    <w:next w:val="892"/>
    <w:link w:val="1087"/>
    <w:uiPriority w:val="0"/>
    <w:qFormat/>
    <w:pPr>
      <w:jc w:val="center"/>
      <w:keepLines/>
      <w:keepNext/>
      <w:spacing w:before="240" w:after="120" w:line="300" w:lineRule="auto"/>
      <w:outlineLvl w:val="0"/>
    </w:pPr>
    <w:rPr>
      <w:rFonts w:ascii="宋体"/>
      <w:b/>
      <w:sz w:val="32"/>
      <w:szCs w:val="20"/>
    </w:rPr>
  </w:style>
  <w:style w:type="paragraph" w:styleId="1076" w:customStyle="1">
    <w:name w:val="标题 211"/>
    <w:basedOn w:val="892"/>
    <w:next w:val="1077"/>
    <w:link w:val="1088"/>
    <w:uiPriority w:val="0"/>
    <w:qFormat/>
    <w:pPr>
      <w:jc w:val="center"/>
      <w:keepLines/>
      <w:keepNext/>
      <w:spacing w:before="120" w:line="300" w:lineRule="auto"/>
      <w:outlineLvl w:val="1"/>
    </w:pPr>
    <w:rPr>
      <w:rFonts w:ascii="Arial" w:hAnsi="Arial" w:eastAsia="黑体"/>
      <w:b/>
      <w:sz w:val="30"/>
      <w:szCs w:val="20"/>
    </w:rPr>
  </w:style>
  <w:style w:type="paragraph" w:styleId="1077" w:customStyle="1">
    <w:name w:val="正文缩进11"/>
    <w:basedOn w:val="892"/>
    <w:link w:val="1089"/>
    <w:uiPriority w:val="0"/>
    <w:qFormat/>
    <w:pPr>
      <w:ind w:firstLine="420"/>
      <w:jc w:val="left"/>
    </w:pPr>
    <w:rPr>
      <w:rFonts w:ascii="宋体"/>
      <w:sz w:val="24"/>
    </w:rPr>
  </w:style>
  <w:style w:type="paragraph" w:styleId="1078" w:customStyle="1">
    <w:name w:val="标题 31"/>
    <w:basedOn w:val="892"/>
    <w:next w:val="1077"/>
    <w:link w:val="1090"/>
    <w:uiPriority w:val="0"/>
    <w:qFormat/>
    <w:pPr>
      <w:jc w:val="left"/>
      <w:keepLines/>
      <w:keepNext/>
      <w:spacing w:before="360" w:after="120"/>
      <w:outlineLvl w:val="2"/>
    </w:pPr>
    <w:rPr>
      <w:rFonts w:ascii="宋体"/>
      <w:b/>
      <w:sz w:val="24"/>
      <w:szCs w:val="20"/>
      <w:u w:val="single"/>
    </w:rPr>
  </w:style>
  <w:style w:type="paragraph" w:styleId="1079" w:customStyle="1">
    <w:name w:val="标题 41"/>
    <w:basedOn w:val="892"/>
    <w:next w:val="892"/>
    <w:link w:val="1091"/>
    <w:uiPriority w:val="0"/>
    <w:qFormat/>
    <w:pPr>
      <w:keepLines/>
      <w:keepNext/>
      <w:spacing w:before="280" w:after="290" w:line="376" w:lineRule="atLeast"/>
      <w:outlineLvl w:val="3"/>
    </w:pPr>
    <w:rPr>
      <w:rFonts w:ascii="Arial" w:hAnsi="Arial" w:eastAsia="黑体"/>
      <w:b/>
      <w:sz w:val="28"/>
      <w:szCs w:val="20"/>
    </w:rPr>
  </w:style>
  <w:style w:type="paragraph" w:styleId="1080" w:customStyle="1">
    <w:name w:val="标题 51"/>
    <w:basedOn w:val="892"/>
    <w:next w:val="892"/>
    <w:link w:val="1092"/>
    <w:uiPriority w:val="0"/>
    <w:qFormat/>
    <w:pPr>
      <w:keepLines/>
      <w:keepNext/>
      <w:spacing w:before="280" w:after="290" w:line="376" w:lineRule="atLeast"/>
      <w:outlineLvl w:val="4"/>
    </w:pPr>
    <w:rPr>
      <w:b/>
      <w:sz w:val="28"/>
      <w:szCs w:val="20"/>
    </w:rPr>
  </w:style>
  <w:style w:type="paragraph" w:styleId="1081" w:customStyle="1">
    <w:name w:val="标题 61"/>
    <w:basedOn w:val="892"/>
    <w:next w:val="892"/>
    <w:link w:val="1093"/>
    <w:uiPriority w:val="0"/>
    <w:qFormat/>
    <w:pPr>
      <w:keepLines/>
      <w:keepNext/>
      <w:spacing w:before="240" w:after="64" w:line="320" w:lineRule="atLeast"/>
      <w:outlineLvl w:val="5"/>
    </w:pPr>
    <w:rPr>
      <w:rFonts w:ascii="Arial" w:hAnsi="Arial" w:eastAsia="黑体"/>
      <w:b/>
      <w:sz w:val="24"/>
      <w:szCs w:val="20"/>
    </w:rPr>
  </w:style>
  <w:style w:type="paragraph" w:styleId="1082" w:customStyle="1">
    <w:name w:val="标题 71"/>
    <w:basedOn w:val="892"/>
    <w:next w:val="892"/>
    <w:link w:val="1094"/>
    <w:uiPriority w:val="0"/>
    <w:qFormat/>
    <w:pPr>
      <w:keepLines/>
      <w:keepNext/>
      <w:spacing w:before="240" w:after="64" w:line="320" w:lineRule="atLeast"/>
      <w:outlineLvl w:val="6"/>
    </w:pPr>
    <w:rPr>
      <w:b/>
      <w:sz w:val="24"/>
      <w:szCs w:val="20"/>
    </w:rPr>
  </w:style>
  <w:style w:type="paragraph" w:styleId="1083" w:customStyle="1">
    <w:name w:val="标题 81"/>
    <w:basedOn w:val="892"/>
    <w:next w:val="892"/>
    <w:link w:val="1095"/>
    <w:uiPriority w:val="0"/>
    <w:qFormat/>
    <w:pPr>
      <w:keepLines/>
      <w:keepNext/>
      <w:spacing w:before="240" w:after="64" w:line="320" w:lineRule="atLeast"/>
      <w:outlineLvl w:val="7"/>
    </w:pPr>
    <w:rPr>
      <w:rFonts w:ascii="Arial" w:hAnsi="Arial" w:eastAsia="黑体"/>
      <w:sz w:val="24"/>
      <w:szCs w:val="20"/>
    </w:rPr>
  </w:style>
  <w:style w:type="paragraph" w:styleId="1084" w:customStyle="1">
    <w:name w:val="标题 91"/>
    <w:basedOn w:val="892"/>
    <w:next w:val="892"/>
    <w:link w:val="1096"/>
    <w:uiPriority w:val="0"/>
    <w:qFormat/>
    <w:pPr>
      <w:keepLines/>
      <w:keepNext/>
      <w:spacing w:before="240" w:after="64" w:line="320" w:lineRule="atLeast"/>
      <w:outlineLvl w:val="8"/>
    </w:pPr>
    <w:rPr>
      <w:rFonts w:ascii="Arial" w:hAnsi="Arial" w:eastAsia="黑体"/>
      <w:szCs w:val="20"/>
    </w:rPr>
  </w:style>
  <w:style w:type="character" w:styleId="1085" w:customStyle="1">
    <w:name w:val="默认段落字体1"/>
    <w:link w:val="892"/>
    <w:uiPriority w:val="1"/>
    <w:unhideWhenUsed/>
    <w:qFormat/>
  </w:style>
  <w:style w:type="table" w:styleId="1086" w:customStyle="1">
    <w:name w:val="普通表格1"/>
    <w:uiPriority w:val="99"/>
    <w:unhideWhenUsed/>
    <w:qFormat/>
    <w:tblPr/>
  </w:style>
  <w:style w:type="character" w:styleId="1087" w:customStyle="1">
    <w:name w:val="标题 1 Char"/>
    <w:link w:val="1075"/>
    <w:uiPriority w:val="0"/>
    <w:qFormat/>
    <w:rPr>
      <w:rFonts w:ascii="宋体"/>
      <w:b/>
      <w:sz w:val="32"/>
    </w:rPr>
  </w:style>
  <w:style w:type="character" w:styleId="1088" w:customStyle="1">
    <w:name w:val="标题 2 Char1"/>
    <w:link w:val="1076"/>
    <w:uiPriority w:val="0"/>
    <w:qFormat/>
    <w:rPr>
      <w:rFonts w:ascii="Arial" w:hAnsi="Arial" w:eastAsia="黑体"/>
      <w:b/>
      <w:sz w:val="30"/>
      <w:lang w:val="en-US" w:eastAsia="zh-CN" w:bidi="ar-SA"/>
    </w:rPr>
  </w:style>
  <w:style w:type="character" w:styleId="1089" w:customStyle="1">
    <w:name w:val="正文缩进 Char1"/>
    <w:link w:val="1077"/>
    <w:uiPriority w:val="0"/>
    <w:qFormat/>
    <w:rPr>
      <w:rFonts w:ascii="宋体" w:eastAsia="宋体"/>
      <w:sz w:val="24"/>
      <w:szCs w:val="24"/>
      <w:lang w:val="en-US" w:eastAsia="zh-CN" w:bidi="ar-SA"/>
    </w:rPr>
  </w:style>
  <w:style w:type="character" w:styleId="1090" w:customStyle="1">
    <w:name w:val="标题 3 Char1"/>
    <w:link w:val="1078"/>
    <w:uiPriority w:val="0"/>
    <w:qFormat/>
    <w:rPr>
      <w:rFonts w:ascii="宋体" w:eastAsia="宋体"/>
      <w:b/>
      <w:sz w:val="24"/>
      <w:u w:val="single"/>
      <w:lang w:val="en-US" w:eastAsia="zh-CN" w:bidi="ar-SA"/>
    </w:rPr>
  </w:style>
  <w:style w:type="character" w:styleId="1091" w:customStyle="1">
    <w:name w:val="标题 4 Char"/>
    <w:link w:val="1079"/>
    <w:uiPriority w:val="0"/>
    <w:qFormat/>
    <w:rPr>
      <w:rFonts w:ascii="Arial" w:hAnsi="Arial" w:eastAsia="黑体"/>
      <w:b/>
      <w:sz w:val="28"/>
    </w:rPr>
  </w:style>
  <w:style w:type="character" w:styleId="1092" w:customStyle="1">
    <w:name w:val="标题 5 Char"/>
    <w:link w:val="1080"/>
    <w:uiPriority w:val="0"/>
    <w:qFormat/>
    <w:rPr>
      <w:b/>
      <w:sz w:val="28"/>
    </w:rPr>
  </w:style>
  <w:style w:type="character" w:styleId="1093" w:customStyle="1">
    <w:name w:val="标题 6 Char"/>
    <w:link w:val="1081"/>
    <w:uiPriority w:val="0"/>
    <w:qFormat/>
    <w:rPr>
      <w:rFonts w:ascii="Arial" w:hAnsi="Arial" w:eastAsia="黑体"/>
      <w:b/>
      <w:sz w:val="24"/>
    </w:rPr>
  </w:style>
  <w:style w:type="character" w:styleId="1094" w:customStyle="1">
    <w:name w:val="标题 7 Char"/>
    <w:link w:val="1082"/>
    <w:uiPriority w:val="0"/>
    <w:qFormat/>
    <w:rPr>
      <w:b/>
      <w:sz w:val="24"/>
    </w:rPr>
  </w:style>
  <w:style w:type="character" w:styleId="1095" w:customStyle="1">
    <w:name w:val="标题 8 Char"/>
    <w:link w:val="1083"/>
    <w:uiPriority w:val="0"/>
    <w:qFormat/>
    <w:rPr>
      <w:rFonts w:ascii="Arial" w:hAnsi="Arial" w:eastAsia="黑体"/>
      <w:sz w:val="24"/>
    </w:rPr>
  </w:style>
  <w:style w:type="character" w:styleId="1096" w:customStyle="1">
    <w:name w:val="标题 9 Char"/>
    <w:link w:val="1084"/>
    <w:uiPriority w:val="0"/>
    <w:qFormat/>
    <w:rPr>
      <w:rFonts w:ascii="Arial" w:hAnsi="Arial" w:eastAsia="黑体"/>
      <w:sz w:val="21"/>
    </w:rPr>
  </w:style>
  <w:style w:type="paragraph" w:styleId="1097" w:customStyle="1">
    <w:name w:val="目录 71"/>
    <w:basedOn w:val="892"/>
    <w:next w:val="892"/>
    <w:uiPriority w:val="0"/>
    <w:qFormat/>
    <w:pPr>
      <w:ind w:left="2520"/>
    </w:pPr>
  </w:style>
  <w:style w:type="paragraph" w:styleId="1098" w:customStyle="1">
    <w:name w:val="题注1"/>
    <w:basedOn w:val="892"/>
    <w:next w:val="892"/>
    <w:uiPriority w:val="0"/>
    <w:qFormat/>
    <w:pPr>
      <w:spacing w:line="480" w:lineRule="auto"/>
    </w:pPr>
    <w:rPr>
      <w:rFonts w:ascii="华文中宋" w:hAnsi="华文中宋" w:eastAsia="华文中宋"/>
      <w:sz w:val="36"/>
      <w:szCs w:val="20"/>
    </w:rPr>
  </w:style>
  <w:style w:type="paragraph" w:styleId="1099" w:customStyle="1">
    <w:name w:val="文档结构图1"/>
    <w:basedOn w:val="892"/>
    <w:link w:val="1100"/>
    <w:uiPriority w:val="0"/>
    <w:qFormat/>
    <w:pPr>
      <w:shd w:val="clear" w:color="auto" w:fill="000080"/>
    </w:pPr>
  </w:style>
  <w:style w:type="character" w:styleId="1100" w:customStyle="1">
    <w:name w:val="文档结构图 Char"/>
    <w:link w:val="1099"/>
    <w:uiPriority w:val="0"/>
    <w:qFormat/>
    <w:rPr>
      <w:sz w:val="21"/>
      <w:szCs w:val="24"/>
      <w:shd w:val="clear" w:color="auto" w:fill="000080"/>
    </w:rPr>
  </w:style>
  <w:style w:type="paragraph" w:styleId="1101" w:customStyle="1">
    <w:name w:val="批注文字1"/>
    <w:basedOn w:val="892"/>
    <w:link w:val="1102"/>
    <w:uiPriority w:val="99"/>
    <w:qFormat/>
    <w:pPr>
      <w:jc w:val="left"/>
    </w:pPr>
  </w:style>
  <w:style w:type="character" w:styleId="1102" w:customStyle="1">
    <w:name w:val="批注文字 Char1"/>
    <w:link w:val="1101"/>
    <w:uiPriority w:val="99"/>
    <w:qFormat/>
    <w:rPr>
      <w:sz w:val="21"/>
      <w:szCs w:val="24"/>
    </w:rPr>
  </w:style>
  <w:style w:type="paragraph" w:styleId="1103" w:customStyle="1">
    <w:name w:val="正文文本 31"/>
    <w:basedOn w:val="892"/>
    <w:link w:val="1104"/>
    <w:uiPriority w:val="0"/>
    <w:qFormat/>
    <w:pPr>
      <w:spacing w:after="120"/>
    </w:pPr>
    <w:rPr>
      <w:sz w:val="16"/>
      <w:szCs w:val="16"/>
    </w:rPr>
  </w:style>
  <w:style w:type="character" w:styleId="1104" w:customStyle="1">
    <w:name w:val="正文文本 3 Char"/>
    <w:link w:val="1103"/>
    <w:uiPriority w:val="0"/>
    <w:qFormat/>
    <w:rPr>
      <w:sz w:val="16"/>
      <w:szCs w:val="16"/>
    </w:rPr>
  </w:style>
  <w:style w:type="paragraph" w:styleId="1105" w:customStyle="1">
    <w:name w:val="正文文本1"/>
    <w:basedOn w:val="892"/>
    <w:next w:val="892"/>
    <w:link w:val="1106"/>
    <w:uiPriority w:val="99"/>
    <w:qFormat/>
    <w:pPr>
      <w:spacing w:before="120" w:line="22" w:lineRule="atLeast"/>
      <w:tabs>
        <w:tab w:val="left" w:pos="567" w:leader="none"/>
      </w:tabs>
    </w:pPr>
    <w:rPr>
      <w:rFonts w:ascii="宋体" w:hAnsi="宋体"/>
      <w:sz w:val="24"/>
    </w:rPr>
  </w:style>
  <w:style w:type="character" w:styleId="1106" w:customStyle="1">
    <w:name w:val="正文文本 Char"/>
    <w:link w:val="1105"/>
    <w:uiPriority w:val="99"/>
    <w:qFormat/>
    <w:rPr>
      <w:rFonts w:ascii="宋体" w:hAnsi="宋体"/>
      <w:sz w:val="24"/>
      <w:szCs w:val="24"/>
    </w:rPr>
  </w:style>
  <w:style w:type="paragraph" w:styleId="1107" w:customStyle="1">
    <w:name w:val="正文文本缩进11"/>
    <w:basedOn w:val="892"/>
    <w:link w:val="1108"/>
    <w:uiPriority w:val="0"/>
    <w:qFormat/>
    <w:pPr>
      <w:ind w:firstLine="570"/>
      <w:spacing w:line="360" w:lineRule="auto"/>
    </w:pPr>
    <w:rPr>
      <w:sz w:val="24"/>
    </w:rPr>
  </w:style>
  <w:style w:type="character" w:styleId="1108" w:customStyle="1">
    <w:name w:val="正文文本缩进 Char2"/>
    <w:link w:val="1107"/>
    <w:uiPriority w:val="0"/>
    <w:qFormat/>
    <w:rPr>
      <w:rFonts w:eastAsia="宋体"/>
      <w:sz w:val="24"/>
      <w:szCs w:val="24"/>
      <w:lang w:val="en-US" w:eastAsia="zh-CN" w:bidi="ar-SA"/>
    </w:rPr>
  </w:style>
  <w:style w:type="paragraph" w:styleId="1109" w:customStyle="1">
    <w:name w:val="列表 21"/>
    <w:basedOn w:val="892"/>
    <w:uiPriority w:val="0"/>
    <w:qFormat/>
    <w:pPr>
      <w:ind w:left="100" w:hanging="200"/>
    </w:pPr>
  </w:style>
  <w:style w:type="paragraph" w:styleId="1110" w:customStyle="1">
    <w:name w:val="文本块1"/>
    <w:basedOn w:val="892"/>
    <w:uiPriority w:val="0"/>
    <w:qFormat/>
    <w:pPr>
      <w:ind w:left="480" w:right="-341" w:firstLine="513"/>
      <w:widowControl/>
    </w:pPr>
    <w:rPr>
      <w:sz w:val="24"/>
      <w:szCs w:val="20"/>
    </w:rPr>
  </w:style>
  <w:style w:type="paragraph" w:styleId="1111" w:customStyle="1">
    <w:name w:val="目录 51"/>
    <w:basedOn w:val="892"/>
    <w:next w:val="892"/>
    <w:uiPriority w:val="0"/>
    <w:qFormat/>
    <w:pPr>
      <w:ind w:left="1680"/>
    </w:pPr>
  </w:style>
  <w:style w:type="paragraph" w:styleId="1112" w:customStyle="1">
    <w:name w:val="目录 31"/>
    <w:basedOn w:val="892"/>
    <w:next w:val="892"/>
    <w:uiPriority w:val="39"/>
    <w:qFormat/>
    <w:pPr>
      <w:ind w:left="840"/>
    </w:pPr>
  </w:style>
  <w:style w:type="paragraph" w:styleId="1113" w:customStyle="1">
    <w:name w:val="纯文本1"/>
    <w:basedOn w:val="892"/>
    <w:link w:val="1114"/>
    <w:uiPriority w:val="0"/>
    <w:qFormat/>
    <w:rPr>
      <w:rFonts w:hint="eastAsia" w:ascii="宋体" w:hAnsi="Courier New"/>
      <w:szCs w:val="20"/>
    </w:rPr>
  </w:style>
  <w:style w:type="character" w:styleId="1114" w:customStyle="1">
    <w:name w:val="纯文本 Char"/>
    <w:link w:val="1113"/>
    <w:uiPriority w:val="0"/>
    <w:qFormat/>
    <w:rPr>
      <w:rFonts w:hint="eastAsia" w:ascii="宋体" w:hAnsi="Courier New" w:eastAsia="宋体" w:cs="宋体"/>
      <w:sz w:val="21"/>
    </w:rPr>
  </w:style>
  <w:style w:type="paragraph" w:styleId="1115" w:customStyle="1">
    <w:name w:val="目录 81"/>
    <w:basedOn w:val="892"/>
    <w:next w:val="892"/>
    <w:uiPriority w:val="0"/>
    <w:qFormat/>
    <w:pPr>
      <w:ind w:left="2940"/>
    </w:pPr>
  </w:style>
  <w:style w:type="paragraph" w:styleId="1116" w:customStyle="1">
    <w:name w:val="日期1"/>
    <w:basedOn w:val="892"/>
    <w:next w:val="892"/>
    <w:link w:val="1117"/>
    <w:uiPriority w:val="0"/>
    <w:qFormat/>
    <w:pPr>
      <w:ind w:left="100"/>
    </w:pPr>
    <w:rPr>
      <w:rFonts w:ascii="仿宋_GB2312" w:hAnsi="宋体" w:eastAsia="仿宋_GB2312"/>
      <w:color w:val="000000"/>
      <w:sz w:val="24"/>
    </w:rPr>
  </w:style>
  <w:style w:type="character" w:styleId="1117" w:customStyle="1">
    <w:name w:val="日期 Char"/>
    <w:link w:val="1116"/>
    <w:uiPriority w:val="0"/>
    <w:qFormat/>
    <w:rPr>
      <w:rFonts w:ascii="仿宋_GB2312" w:hAnsi="宋体" w:eastAsia="仿宋_GB2312"/>
      <w:color w:val="000000"/>
      <w:sz w:val="24"/>
      <w:szCs w:val="24"/>
    </w:rPr>
  </w:style>
  <w:style w:type="paragraph" w:styleId="1118" w:customStyle="1">
    <w:name w:val="正文文本缩进 21"/>
    <w:basedOn w:val="892"/>
    <w:link w:val="1119"/>
    <w:uiPriority w:val="0"/>
    <w:qFormat/>
    <w:pPr>
      <w:ind w:firstLine="480"/>
    </w:pPr>
    <w:rPr>
      <w:rFonts w:ascii="仿宋_GB2312" w:eastAsia="仿宋_GB2312"/>
      <w:sz w:val="24"/>
    </w:rPr>
  </w:style>
  <w:style w:type="character" w:styleId="1119" w:customStyle="1">
    <w:name w:val="正文文本缩进 2 Char"/>
    <w:link w:val="1118"/>
    <w:uiPriority w:val="0"/>
    <w:qFormat/>
    <w:rPr>
      <w:rFonts w:ascii="仿宋_GB2312" w:eastAsia="仿宋_GB2312"/>
      <w:sz w:val="24"/>
      <w:szCs w:val="24"/>
    </w:rPr>
  </w:style>
  <w:style w:type="paragraph" w:styleId="1120" w:customStyle="1">
    <w:name w:val="批注框文本1"/>
    <w:basedOn w:val="892"/>
    <w:link w:val="1121"/>
    <w:uiPriority w:val="0"/>
    <w:qFormat/>
    <w:rPr>
      <w:sz w:val="18"/>
      <w:szCs w:val="18"/>
    </w:rPr>
  </w:style>
  <w:style w:type="character" w:styleId="1121" w:customStyle="1">
    <w:name w:val="批注框文本 Char"/>
    <w:link w:val="1120"/>
    <w:uiPriority w:val="0"/>
    <w:qFormat/>
    <w:rPr>
      <w:sz w:val="18"/>
      <w:szCs w:val="18"/>
    </w:rPr>
  </w:style>
  <w:style w:type="paragraph" w:styleId="1122" w:customStyle="1">
    <w:name w:val="页脚1"/>
    <w:basedOn w:val="892"/>
    <w:link w:val="1123"/>
    <w:uiPriority w:val="99"/>
    <w:qFormat/>
    <w:pPr>
      <w:jc w:val="left"/>
      <w:tabs>
        <w:tab w:val="center" w:pos="4153" w:leader="none"/>
        <w:tab w:val="right" w:pos="8306" w:leader="none"/>
      </w:tabs>
    </w:pPr>
    <w:rPr>
      <w:rFonts w:ascii="宋体"/>
      <w:sz w:val="18"/>
      <w:szCs w:val="20"/>
    </w:rPr>
  </w:style>
  <w:style w:type="character" w:styleId="1123" w:customStyle="1">
    <w:name w:val="页脚 Char1"/>
    <w:link w:val="1122"/>
    <w:uiPriority w:val="99"/>
    <w:qFormat/>
    <w:rPr>
      <w:rFonts w:ascii="宋体" w:eastAsia="宋体"/>
      <w:sz w:val="18"/>
      <w:lang w:val="en-US" w:eastAsia="zh-CN" w:bidi="ar-SA"/>
    </w:rPr>
  </w:style>
  <w:style w:type="paragraph" w:styleId="1124" w:customStyle="1">
    <w:name w:val="页眉1"/>
    <w:basedOn w:val="892"/>
    <w:link w:val="1125"/>
    <w:uiPriority w:val="0"/>
    <w:qFormat/>
    <w:pPr>
      <w:jc w:val="center"/>
      <w:tabs>
        <w:tab w:val="center" w:pos="4153" w:leader="none"/>
        <w:tab w:val="right" w:pos="8306" w:leader="none"/>
      </w:tabs>
    </w:pPr>
    <w:rPr>
      <w:sz w:val="18"/>
      <w:szCs w:val="18"/>
    </w:rPr>
  </w:style>
  <w:style w:type="character" w:styleId="1125" w:customStyle="1">
    <w:name w:val="页眉 Char1"/>
    <w:link w:val="1124"/>
    <w:uiPriority w:val="0"/>
    <w:qFormat/>
    <w:rPr>
      <w:sz w:val="18"/>
      <w:szCs w:val="18"/>
    </w:rPr>
  </w:style>
  <w:style w:type="paragraph" w:styleId="1126" w:customStyle="1">
    <w:name w:val="目录 11"/>
    <w:basedOn w:val="892"/>
    <w:next w:val="892"/>
    <w:uiPriority w:val="39"/>
    <w:qFormat/>
    <w:pPr>
      <w:spacing w:line="300" w:lineRule="auto"/>
      <w:tabs>
        <w:tab w:val="left" w:pos="1050" w:leader="none"/>
        <w:tab w:val="right" w:pos="8937" w:leader="dot"/>
      </w:tabs>
    </w:pPr>
    <w:rPr>
      <w:rFonts w:ascii="宋体" w:hAnsi="宋体"/>
      <w:b/>
      <w:sz w:val="24"/>
    </w:rPr>
  </w:style>
  <w:style w:type="paragraph" w:styleId="1127" w:customStyle="1">
    <w:name w:val="目录 41"/>
    <w:basedOn w:val="892"/>
    <w:next w:val="892"/>
    <w:uiPriority w:val="0"/>
    <w:qFormat/>
    <w:pPr>
      <w:ind w:left="1260"/>
    </w:pPr>
  </w:style>
  <w:style w:type="paragraph" w:styleId="1128" w:customStyle="1">
    <w:name w:val="目录 61"/>
    <w:basedOn w:val="892"/>
    <w:next w:val="892"/>
    <w:uiPriority w:val="0"/>
    <w:qFormat/>
    <w:pPr>
      <w:ind w:left="2100"/>
    </w:pPr>
  </w:style>
  <w:style w:type="paragraph" w:styleId="1129" w:customStyle="1">
    <w:name w:val="正文文本缩进 31"/>
    <w:basedOn w:val="892"/>
    <w:link w:val="1130"/>
    <w:uiPriority w:val="0"/>
    <w:qFormat/>
    <w:pPr>
      <w:ind w:left="720" w:firstLine="480"/>
      <w:jc w:val="left"/>
      <w:spacing w:before="120" w:line="22" w:lineRule="atLeast"/>
    </w:pPr>
    <w:rPr>
      <w:rFonts w:ascii="宋体"/>
      <w:sz w:val="24"/>
      <w:szCs w:val="20"/>
    </w:rPr>
  </w:style>
  <w:style w:type="character" w:styleId="1130" w:customStyle="1">
    <w:name w:val="正文文本缩进 3 Char"/>
    <w:link w:val="1129"/>
    <w:uiPriority w:val="0"/>
    <w:qFormat/>
    <w:rPr>
      <w:rFonts w:ascii="宋体"/>
      <w:sz w:val="24"/>
    </w:rPr>
  </w:style>
  <w:style w:type="paragraph" w:styleId="1131" w:customStyle="1">
    <w:name w:val="目录 21"/>
    <w:basedOn w:val="892"/>
    <w:next w:val="892"/>
    <w:uiPriority w:val="39"/>
    <w:qFormat/>
    <w:pPr>
      <w:ind w:left="420"/>
      <w:spacing w:line="312" w:lineRule="auto"/>
      <w:tabs>
        <w:tab w:val="right" w:pos="8937" w:leader="dot"/>
      </w:tabs>
    </w:pPr>
  </w:style>
  <w:style w:type="paragraph" w:styleId="1132" w:customStyle="1">
    <w:name w:val="目录 91"/>
    <w:basedOn w:val="892"/>
    <w:next w:val="892"/>
    <w:uiPriority w:val="0"/>
    <w:qFormat/>
    <w:pPr>
      <w:ind w:left="3360"/>
    </w:pPr>
  </w:style>
  <w:style w:type="paragraph" w:styleId="1133" w:customStyle="1">
    <w:name w:val="HTML 预设格式1"/>
    <w:basedOn w:val="892"/>
    <w:link w:val="11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4" w:customStyle="1">
    <w:name w:val="HTML 预设格式 Char"/>
    <w:link w:val="1133"/>
    <w:uiPriority w:val="0"/>
    <w:qFormat/>
    <w:rPr>
      <w:rFonts w:ascii="宋体" w:hAnsi="宋体" w:cs="宋体"/>
      <w:sz w:val="24"/>
      <w:szCs w:val="24"/>
    </w:rPr>
  </w:style>
  <w:style w:type="paragraph" w:styleId="1135" w:customStyle="1">
    <w:name w:val="普通(网站)1"/>
    <w:basedOn w:val="892"/>
    <w:uiPriority w:val="99"/>
    <w:unhideWhenUsed/>
    <w:qFormat/>
    <w:pPr>
      <w:jc w:val="left"/>
      <w:spacing w:before="100" w:beforeAutospacing="1" w:after="100" w:afterAutospacing="1"/>
      <w:widowControl/>
    </w:pPr>
    <w:rPr>
      <w:rFonts w:ascii="宋体" w:hAnsi="宋体" w:cs="宋体"/>
      <w:sz w:val="24"/>
    </w:rPr>
  </w:style>
  <w:style w:type="paragraph" w:styleId="1136" w:customStyle="1">
    <w:name w:val="索引 11"/>
    <w:basedOn w:val="892"/>
    <w:next w:val="892"/>
    <w:uiPriority w:val="0"/>
    <w:qFormat/>
    <w:rPr>
      <w:szCs w:val="20"/>
    </w:rPr>
  </w:style>
  <w:style w:type="paragraph" w:styleId="1137" w:customStyle="1">
    <w:name w:val="标题1"/>
    <w:basedOn w:val="892"/>
    <w:link w:val="1138"/>
    <w:uiPriority w:val="0"/>
    <w:qFormat/>
    <w:pPr>
      <w:jc w:val="center"/>
      <w:outlineLvl w:val="0"/>
    </w:pPr>
    <w:rPr>
      <w:b/>
      <w:sz w:val="32"/>
      <w:szCs w:val="20"/>
    </w:rPr>
  </w:style>
  <w:style w:type="character" w:styleId="1138" w:customStyle="1">
    <w:name w:val="标题 Char1"/>
    <w:link w:val="1137"/>
    <w:uiPriority w:val="0"/>
    <w:qFormat/>
    <w:rPr>
      <w:b/>
      <w:sz w:val="32"/>
    </w:rPr>
  </w:style>
  <w:style w:type="paragraph" w:styleId="1139" w:customStyle="1">
    <w:name w:val="批注主题1"/>
    <w:basedOn w:val="1101"/>
    <w:next w:val="1101"/>
    <w:link w:val="1140"/>
    <w:uiPriority w:val="0"/>
    <w:qFormat/>
    <w:rPr>
      <w:b/>
      <w:bCs/>
      <w:lang w:val="en-US" w:eastAsia="zh-CN"/>
    </w:rPr>
  </w:style>
  <w:style w:type="character" w:styleId="1140" w:customStyle="1">
    <w:name w:val="批注主题 Char"/>
    <w:link w:val="1139"/>
    <w:uiPriority w:val="0"/>
    <w:qFormat/>
    <w:rPr>
      <w:rFonts w:ascii="Times New Roman" w:hAnsi="Times New Roman" w:eastAsia="宋体" w:cs="Times New Roman"/>
      <w:b/>
      <w:bCs/>
      <w:sz w:val="21"/>
      <w:szCs w:val="24"/>
      <w:lang w:val="en-US" w:eastAsia="zh-CN" w:bidi="ar-SA"/>
    </w:rPr>
  </w:style>
  <w:style w:type="paragraph" w:styleId="1141" w:customStyle="1">
    <w:name w:val="正文首行缩进 21"/>
    <w:basedOn w:val="1107"/>
    <w:next w:val="892"/>
    <w:link w:val="1142"/>
    <w:uiPriority w:val="0"/>
    <w:qFormat/>
    <w:pPr>
      <w:ind w:left="420" w:firstLine="420"/>
      <w:spacing w:after="120" w:line="480" w:lineRule="exact"/>
    </w:pPr>
  </w:style>
  <w:style w:type="character" w:styleId="1142" w:customStyle="1">
    <w:name w:val="正文首行缩进 2 Char"/>
    <w:link w:val="1141"/>
    <w:uiPriority w:val="0"/>
    <w:qFormat/>
    <w:rPr>
      <w:rFonts w:eastAsia="宋体"/>
      <w:sz w:val="24"/>
      <w:szCs w:val="24"/>
      <w:lang w:val="en-US" w:eastAsia="zh-CN" w:bidi="ar-SA"/>
    </w:rPr>
  </w:style>
  <w:style w:type="table" w:styleId="1143" w:customStyle="1">
    <w:name w:val="网格型1"/>
    <w:basedOn w:val="1086"/>
    <w:uiPriority w:val="39"/>
    <w:qFormat/>
    <w:tblPr/>
  </w:style>
  <w:style w:type="table" w:styleId="1144" w:customStyle="1">
    <w:name w:val="中等深浅网格 1 - 强调文字颜色 21"/>
    <w:basedOn w:val="1086"/>
    <w:uiPriority w:val="0"/>
    <w:qFormat/>
    <w:rPr>
      <w:sz w:val="21"/>
      <w:szCs w:val="24"/>
    </w:rPr>
    <w:tblPr/>
  </w:style>
  <w:style w:type="character" w:styleId="1145" w:customStyle="1">
    <w:name w:val="要点1"/>
    <w:link w:val="892"/>
    <w:uiPriority w:val="0"/>
    <w:qFormat/>
    <w:rPr>
      <w:b/>
      <w:bCs/>
    </w:rPr>
  </w:style>
  <w:style w:type="character" w:styleId="1146" w:customStyle="1">
    <w:name w:val="页码1"/>
    <w:link w:val="892"/>
    <w:uiPriority w:val="0"/>
    <w:qFormat/>
  </w:style>
  <w:style w:type="character" w:styleId="1147" w:customStyle="1">
    <w:name w:val="已访问的超链接1"/>
    <w:link w:val="892"/>
    <w:uiPriority w:val="0"/>
    <w:qFormat/>
    <w:rPr>
      <w:color w:val="800080"/>
      <w:u w:val="single"/>
    </w:rPr>
  </w:style>
  <w:style w:type="character" w:styleId="1148" w:customStyle="1">
    <w:name w:val="强调1"/>
    <w:link w:val="892"/>
    <w:uiPriority w:val="0"/>
    <w:qFormat/>
    <w:rPr>
      <w:color w:val="cc0033"/>
    </w:rPr>
  </w:style>
  <w:style w:type="character" w:styleId="1149" w:customStyle="1">
    <w:name w:val="超链接1"/>
    <w:link w:val="892"/>
    <w:uiPriority w:val="99"/>
    <w:qFormat/>
    <w:rPr>
      <w:color w:val="0000ff"/>
      <w:u w:val="single"/>
    </w:rPr>
  </w:style>
  <w:style w:type="character" w:styleId="1150" w:customStyle="1">
    <w:name w:val="批注引用1"/>
    <w:link w:val="892"/>
    <w:uiPriority w:val="99"/>
    <w:qFormat/>
    <w:rPr>
      <w:sz w:val="21"/>
      <w:szCs w:val="21"/>
    </w:rPr>
  </w:style>
  <w:style w:type="character" w:styleId="1151" w:customStyle="1">
    <w:name w:val="HTML 引文1"/>
    <w:link w:val="892"/>
    <w:uiPriority w:val="0"/>
    <w:qFormat/>
    <w:rPr>
      <w:i/>
      <w:iCs/>
    </w:rPr>
  </w:style>
  <w:style w:type="character" w:styleId="1152" w:customStyle="1">
    <w:name w:val="批注文字 字符"/>
    <w:link w:val="892"/>
    <w:uiPriority w:val="99"/>
    <w:qFormat/>
    <w:rPr>
      <w:rFonts w:ascii="Times New Roman" w:hAnsi="Times New Roman" w:eastAsia="宋体" w:cs="Times New Roman"/>
      <w:sz w:val="24"/>
      <w:lang w:val="en-US" w:eastAsia="zh-CN" w:bidi="ar-SA"/>
    </w:rPr>
  </w:style>
  <w:style w:type="character" w:styleId="1153" w:customStyle="1">
    <w:name w:val="c21"/>
    <w:link w:val="892"/>
    <w:uiPriority w:val="0"/>
    <w:qFormat/>
    <w:rPr>
      <w:rFonts w:ascii="ˎ̥" w:hAnsi="ˎ̥"/>
      <w:color w:val="000000"/>
      <w:sz w:val="20"/>
      <w:szCs w:val="20"/>
      <w:u w:val="none"/>
    </w:rPr>
  </w:style>
  <w:style w:type="character" w:styleId="1154" w:customStyle="1">
    <w:name w:val="title4"/>
    <w:link w:val="892"/>
    <w:uiPriority w:val="0"/>
    <w:qFormat/>
    <w:rPr>
      <w:b/>
      <w:bCs/>
      <w:color w:val="1d87b3"/>
      <w:sz w:val="15"/>
      <w:szCs w:val="15"/>
    </w:rPr>
  </w:style>
  <w:style w:type="character" w:styleId="1155" w:customStyle="1">
    <w:name w:val="标题 2 Char Char"/>
    <w:link w:val="892"/>
    <w:uiPriority w:val="0"/>
    <w:qFormat/>
    <w:rPr>
      <w:rFonts w:ascii="Arial" w:hAnsi="Arial" w:eastAsia="黑体"/>
      <w:b/>
      <w:bCs/>
      <w:sz w:val="32"/>
      <w:szCs w:val="32"/>
      <w:lang w:val="en-US" w:eastAsia="zh-CN" w:bidi="ar-SA"/>
    </w:rPr>
  </w:style>
  <w:style w:type="character" w:styleId="1156" w:customStyle="1">
    <w:name w:val="black1"/>
    <w:link w:val="892"/>
    <w:uiPriority w:val="0"/>
    <w:qFormat/>
    <w:rPr>
      <w:color w:val="000000"/>
    </w:rPr>
  </w:style>
  <w:style w:type="character" w:styleId="1157" w:customStyle="1">
    <w:name w:val="street-address"/>
    <w:link w:val="892"/>
    <w:uiPriority w:val="0"/>
    <w:qFormat/>
  </w:style>
  <w:style w:type="character" w:styleId="1158" w:customStyle="1">
    <w:name w:val="locality"/>
    <w:link w:val="892"/>
    <w:uiPriority w:val="0"/>
    <w:qFormat/>
  </w:style>
  <w:style w:type="character" w:styleId="1159" w:customStyle="1">
    <w:name w:val="正文文本缩进 Char1"/>
    <w:link w:val="1160"/>
    <w:uiPriority w:val="0"/>
    <w:qFormat/>
    <w:rPr>
      <w:rFonts w:ascii="宋体" w:hAnsi="宋体" w:eastAsia="宋体"/>
      <w:sz w:val="24"/>
      <w:szCs w:val="24"/>
      <w:lang w:bidi="ar-SA"/>
    </w:rPr>
  </w:style>
  <w:style w:type="paragraph" w:styleId="1160" w:customStyle="1">
    <w:name w:val="正文文本缩进1"/>
    <w:basedOn w:val="892"/>
    <w:link w:val="1159"/>
    <w:uiPriority w:val="0"/>
    <w:qFormat/>
    <w:pPr>
      <w:ind w:firstLine="480"/>
      <w:spacing w:line="480" w:lineRule="exact"/>
    </w:pPr>
    <w:rPr>
      <w:rFonts w:ascii="宋体" w:hAnsi="宋体"/>
      <w:sz w:val="24"/>
    </w:rPr>
  </w:style>
  <w:style w:type="character" w:styleId="1161" w:customStyle="1">
    <w:name w:val="Char Char11"/>
    <w:link w:val="892"/>
    <w:uiPriority w:val="0"/>
    <w:qFormat/>
    <w:rPr>
      <w:rFonts w:ascii="宋体" w:eastAsia="宋体"/>
      <w:b/>
      <w:sz w:val="24"/>
      <w:u w:val="single"/>
      <w:lang w:val="en-US" w:eastAsia="zh-CN" w:bidi="ar-SA"/>
    </w:rPr>
  </w:style>
  <w:style w:type="character" w:styleId="1162" w:customStyle="1">
    <w:name w:val="txt"/>
    <w:link w:val="892"/>
    <w:uiPriority w:val="0"/>
    <w:qFormat/>
  </w:style>
  <w:style w:type="character" w:styleId="1163" w:customStyle="1">
    <w:name w:val="正文缩进 Char Char"/>
    <w:link w:val="1164"/>
    <w:uiPriority w:val="0"/>
    <w:qFormat/>
    <w:rPr>
      <w:rFonts w:ascii="宋体" w:eastAsia="宋体"/>
      <w:color w:val="000000"/>
      <w:sz w:val="28"/>
      <w:lang w:bidi="ar-SA"/>
    </w:rPr>
  </w:style>
  <w:style w:type="paragraph" w:styleId="1164" w:customStyle="1">
    <w:name w:val="正文缩进1"/>
    <w:basedOn w:val="892"/>
    <w:link w:val="1163"/>
    <w:uiPriority w:val="0"/>
    <w:qFormat/>
    <w:pPr>
      <w:ind w:firstLine="567"/>
      <w:spacing w:line="480" w:lineRule="exact"/>
      <w:widowControl/>
    </w:pPr>
    <w:rPr>
      <w:rFonts w:ascii="宋体"/>
      <w:color w:val="000000"/>
      <w:sz w:val="28"/>
      <w:szCs w:val="20"/>
    </w:rPr>
  </w:style>
  <w:style w:type="character" w:styleId="1165" w:customStyle="1">
    <w:name w:val="普通文字1 Char1"/>
    <w:link w:val="892"/>
    <w:uiPriority w:val="0"/>
    <w:qFormat/>
    <w:rPr>
      <w:rFonts w:ascii="宋体" w:hAnsi="Courier New" w:eastAsia="宋体"/>
      <w:sz w:val="21"/>
      <w:lang w:val="en-US" w:eastAsia="zh-CN" w:bidi="ar-SA"/>
    </w:rPr>
  </w:style>
  <w:style w:type="character" w:styleId="1166" w:customStyle="1">
    <w:name w:val="chanpin1"/>
    <w:link w:val="892"/>
    <w:uiPriority w:val="0"/>
    <w:qFormat/>
    <w:rPr>
      <w:rFonts w:ascii="ˎ̥" w:hAnsi="ˎ̥"/>
      <w:color w:val="000000"/>
      <w:sz w:val="20"/>
      <w:szCs w:val="20"/>
      <w:u w:val="none"/>
    </w:rPr>
  </w:style>
  <w:style w:type="character" w:styleId="1167" w:customStyle="1">
    <w:name w:val="列出段落 Char1"/>
    <w:link w:val="1168"/>
    <w:uiPriority w:val="34"/>
    <w:qFormat/>
    <w:rPr>
      <w:rFonts w:ascii="Calibri" w:hAnsi="Calibri" w:eastAsia="宋体"/>
      <w:sz w:val="21"/>
      <w:szCs w:val="22"/>
      <w:lang w:val="en-US" w:eastAsia="zh-CN" w:bidi="ar-SA"/>
    </w:rPr>
  </w:style>
  <w:style w:type="paragraph" w:styleId="1168" w:customStyle="1">
    <w:name w:val="列出段落"/>
    <w:basedOn w:val="892"/>
    <w:link w:val="1167"/>
    <w:uiPriority w:val="34"/>
    <w:qFormat/>
    <w:pPr>
      <w:ind w:firstLine="420"/>
    </w:pPr>
    <w:rPr>
      <w:rFonts w:ascii="Calibri" w:hAnsi="Calibri"/>
      <w:szCs w:val="22"/>
    </w:rPr>
  </w:style>
  <w:style w:type="character" w:styleId="1169" w:customStyle="1">
    <w:name w:val="标题 3 Char Char"/>
    <w:link w:val="892"/>
    <w:uiPriority w:val="0"/>
    <w:qFormat/>
    <w:rPr>
      <w:rFonts w:eastAsia="宋体"/>
      <w:b/>
      <w:bCs/>
      <w:sz w:val="32"/>
      <w:szCs w:val="32"/>
      <w:lang w:val="en-US" w:eastAsia="zh-CN" w:bidi="ar-SA"/>
    </w:rPr>
  </w:style>
  <w:style w:type="character" w:styleId="1170" w:customStyle="1">
    <w:name w:val="段1 Char"/>
    <w:link w:val="892"/>
    <w:uiPriority w:val="0"/>
    <w:qFormat/>
    <w:rPr>
      <w:rFonts w:ascii="宋体" w:eastAsia="宋体"/>
      <w:sz w:val="24"/>
      <w:lang w:val="en-US" w:eastAsia="zh-CN" w:bidi="ar-SA"/>
    </w:rPr>
  </w:style>
  <w:style w:type="character" w:styleId="1171" w:customStyle="1">
    <w:name w:val="chanpin拷贝"/>
    <w:link w:val="892"/>
    <w:uiPriority w:val="0"/>
    <w:qFormat/>
  </w:style>
  <w:style w:type="character" w:styleId="1172" w:customStyle="1">
    <w:name w:val="纯文本 Char1"/>
    <w:link w:val="892"/>
    <w:uiPriority w:val="0"/>
    <w:qFormat/>
    <w:rPr>
      <w:rFonts w:ascii="宋体" w:hAnsi="Courier New" w:eastAsia="宋体"/>
      <w:sz w:val="21"/>
      <w:lang w:val="en-US" w:eastAsia="zh-CN" w:bidi="ar-SA"/>
    </w:rPr>
  </w:style>
  <w:style w:type="character" w:styleId="1173" w:customStyle="1">
    <w:name w:val="apple-style-span"/>
    <w:link w:val="892"/>
    <w:uiPriority w:val="0"/>
    <w:qFormat/>
    <w:rPr>
      <w:rFonts w:cs="Times New Roman"/>
    </w:rPr>
  </w:style>
  <w:style w:type="paragraph" w:styleId="1174" w:customStyle="1">
    <w:name w:val="二级条标题"/>
    <w:basedOn w:val="1175"/>
    <w:next w:val="89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75" w:customStyle="1">
    <w:name w:val="一级条标题"/>
    <w:basedOn w:val="1176"/>
    <w:next w:val="892"/>
    <w:uiPriority w:val="0"/>
    <w:qFormat/>
    <w:pPr>
      <w:numPr>
        <w:ilvl w:val="1"/>
      </w:numPr>
      <w:ind w:left="0" w:hanging="840"/>
      <w:tabs>
        <w:tab w:val="left" w:pos="360" w:leader="none"/>
        <w:tab w:val="left" w:pos="840" w:leader="none"/>
      </w:tabs>
      <w:outlineLvl w:val="1"/>
    </w:pPr>
  </w:style>
  <w:style w:type="paragraph" w:styleId="1176" w:customStyle="1">
    <w:name w:val="章标题"/>
    <w:next w:val="89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77" w:customStyle="1">
    <w:name w:val="font7"/>
    <w:basedOn w:val="892"/>
    <w:uiPriority w:val="0"/>
    <w:qFormat/>
    <w:pPr>
      <w:jc w:val="left"/>
      <w:spacing w:before="100" w:beforeAutospacing="1" w:after="100" w:afterAutospacing="1"/>
      <w:widowControl/>
    </w:pPr>
    <w:rPr>
      <w:rFonts w:eastAsia="Arial Unicode MS"/>
      <w:b/>
      <w:bCs/>
      <w:color w:val="000000"/>
      <w:sz w:val="20"/>
      <w:szCs w:val="20"/>
    </w:rPr>
  </w:style>
  <w:style w:type="paragraph" w:styleId="1178" w:customStyle="1">
    <w:name w:val="字元 字元"/>
    <w:basedOn w:val="892"/>
    <w:uiPriority w:val="0"/>
    <w:qFormat/>
    <w:rPr>
      <w:rFonts w:ascii="Tahoma" w:hAnsi="Tahoma"/>
      <w:sz w:val="24"/>
      <w:szCs w:val="20"/>
    </w:rPr>
  </w:style>
  <w:style w:type="paragraph" w:styleId="1179" w:customStyle="1">
    <w:name w:val="Char3 Char Char Char"/>
    <w:basedOn w:val="892"/>
    <w:uiPriority w:val="0"/>
    <w:qFormat/>
    <w:rPr>
      <w:rFonts w:ascii="Tahoma" w:hAnsi="Tahoma"/>
      <w:sz w:val="24"/>
      <w:szCs w:val="20"/>
    </w:rPr>
  </w:style>
  <w:style w:type="paragraph" w:styleId="1180" w:customStyle="1">
    <w:name w:val="font6"/>
    <w:basedOn w:val="892"/>
    <w:uiPriority w:val="0"/>
    <w:qFormat/>
    <w:pPr>
      <w:jc w:val="left"/>
      <w:spacing w:before="100" w:beforeAutospacing="1" w:after="100" w:afterAutospacing="1"/>
      <w:widowControl/>
    </w:pPr>
    <w:rPr>
      <w:rFonts w:ascii="宋体" w:hAnsi="宋体" w:cs="宋体"/>
      <w:sz w:val="20"/>
      <w:szCs w:val="20"/>
    </w:rPr>
  </w:style>
  <w:style w:type="paragraph" w:styleId="1181" w:customStyle="1">
    <w:name w:val="项目编号2"/>
    <w:basedOn w:val="1182"/>
    <w:uiPriority w:val="0"/>
    <w:qFormat/>
    <w:pPr>
      <w:numPr>
        <w:numId w:val="2"/>
      </w:numPr>
    </w:pPr>
  </w:style>
  <w:style w:type="paragraph" w:styleId="1182" w:customStyle="1">
    <w:name w:val="项目编号1"/>
    <w:basedOn w:val="892"/>
    <w:uiPriority w:val="0"/>
    <w:qFormat/>
    <w:pPr>
      <w:numPr>
        <w:ilvl w:val="0"/>
        <w:numId w:val="3"/>
      </w:numPr>
      <w:spacing w:before="100" w:beforeAutospacing="1" w:after="100" w:afterAutospacing="1" w:line="360" w:lineRule="auto"/>
    </w:pPr>
    <w:rPr>
      <w:sz w:val="24"/>
    </w:rPr>
  </w:style>
  <w:style w:type="paragraph" w:styleId="1183" w:customStyle="1">
    <w:name w:val="图中文字"/>
    <w:basedOn w:val="892"/>
    <w:uiPriority w:val="0"/>
    <w:qFormat/>
    <w:pPr>
      <w:jc w:val="center"/>
      <w:spacing w:line="0" w:lineRule="atLeast"/>
    </w:pPr>
    <w:rPr>
      <w:sz w:val="24"/>
      <w:szCs w:val="20"/>
    </w:rPr>
  </w:style>
  <w:style w:type="paragraph" w:styleId="1184" w:customStyle="1">
    <w:name w:val="xl46"/>
    <w:basedOn w:val="89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customStyle="1">
    <w:name w:val="xl2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customStyle="1">
    <w:name w:val="Char2"/>
    <w:basedOn w:val="892"/>
    <w:uiPriority w:val="0"/>
    <w:qFormat/>
    <w:rPr>
      <w:rFonts w:ascii="Tahoma" w:hAnsi="Tahoma"/>
      <w:sz w:val="24"/>
      <w:szCs w:val="20"/>
    </w:rPr>
  </w:style>
  <w:style w:type="paragraph" w:styleId="1187" w:customStyle="1">
    <w:name w:val="xl35"/>
    <w:basedOn w:val="8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customStyle="1">
    <w:name w:val="xl4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xl52"/>
    <w:basedOn w:val="8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customStyle="1">
    <w:name w:val="xl43"/>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customStyle="1">
    <w:name w:val="background1"/>
    <w:basedOn w:val="892"/>
    <w:uiPriority w:val="0"/>
    <w:qFormat/>
    <w:pPr>
      <w:jc w:val="left"/>
      <w:spacing w:before="100" w:beforeAutospacing="1" w:after="100" w:afterAutospacing="1"/>
      <w:widowControl/>
    </w:pPr>
    <w:rPr>
      <w:rFonts w:ascii="宋体" w:hAnsi="宋体" w:cs="宋体"/>
      <w:sz w:val="24"/>
    </w:rPr>
  </w:style>
  <w:style w:type="paragraph" w:styleId="1192" w:customStyle="1">
    <w:name w:val="Char Char Char Char Char Char Char"/>
    <w:basedOn w:val="892"/>
    <w:uiPriority w:val="0"/>
    <w:qFormat/>
    <w:pPr>
      <w:ind w:firstLine="200"/>
      <w:spacing w:line="360" w:lineRule="auto"/>
    </w:pPr>
    <w:rPr>
      <w:rFonts w:eastAsia="仿宋_GB2312"/>
      <w:sz w:val="24"/>
    </w:rPr>
  </w:style>
  <w:style w:type="paragraph" w:styleId="1193" w:customStyle="1">
    <w:name w:val="xl38"/>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customStyle="1">
    <w:name w:val="xl36"/>
    <w:basedOn w:val="89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customStyle="1">
    <w:name w:val="正文 + 宋体"/>
    <w:basedOn w:val="892"/>
    <w:uiPriority w:val="0"/>
    <w:qFormat/>
    <w:pPr>
      <w:ind w:left="360" w:hanging="360"/>
      <w:jc w:val="left"/>
      <w:widowControl/>
    </w:pPr>
    <w:rPr>
      <w:rFonts w:ascii="宋体" w:hAnsi="宋体" w:cs="宋体"/>
      <w:b/>
      <w:bCs/>
      <w:color w:val="000000"/>
      <w:sz w:val="18"/>
      <w:szCs w:val="18"/>
    </w:rPr>
  </w:style>
  <w:style w:type="paragraph" w:styleId="1196" w:customStyle="1">
    <w:name w:val="正文列项_数字"/>
    <w:basedOn w:val="89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customStyle="1">
    <w:name w:val="xl3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customStyle="1">
    <w:name w:val="xl37"/>
    <w:basedOn w:val="8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customStyle="1">
    <w:name w:val="xl32"/>
    <w:basedOn w:val="8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customStyle="1">
    <w:name w:val="font8"/>
    <w:basedOn w:val="892"/>
    <w:uiPriority w:val="0"/>
    <w:qFormat/>
    <w:pPr>
      <w:jc w:val="left"/>
      <w:spacing w:before="100" w:beforeAutospacing="1" w:after="100" w:afterAutospacing="1"/>
      <w:widowControl/>
    </w:pPr>
    <w:rPr>
      <w:sz w:val="36"/>
      <w:szCs w:val="36"/>
    </w:rPr>
  </w:style>
  <w:style w:type="paragraph" w:styleId="1201" w:customStyle="1">
    <w:name w:val="Char"/>
    <w:basedOn w:val="892"/>
    <w:uiPriority w:val="0"/>
    <w:qFormat/>
    <w:pPr>
      <w:tabs>
        <w:tab w:val="left" w:pos="360" w:leader="none"/>
      </w:tabs>
    </w:pPr>
    <w:rPr>
      <w:sz w:val="24"/>
    </w:rPr>
  </w:style>
  <w:style w:type="paragraph" w:styleId="1202" w:customStyle="1">
    <w:name w:val="Char Char Char Char Char Char Char Char Char Char Char Char Char Char Char Char"/>
    <w:basedOn w:val="892"/>
    <w:uiPriority w:val="0"/>
    <w:qFormat/>
    <w:pPr>
      <w:jc w:val="center"/>
      <w:spacing w:after="160" w:line="240" w:lineRule="exact"/>
      <w:widowControl/>
    </w:pPr>
    <w:rPr>
      <w:rFonts w:ascii="宋体" w:hAnsi="宋体"/>
      <w:b/>
      <w:sz w:val="30"/>
      <w:szCs w:val="30"/>
      <w:lang w:eastAsia="en-US"/>
    </w:rPr>
  </w:style>
  <w:style w:type="paragraph" w:styleId="1203" w:customStyle="1">
    <w:name w:val="xl4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customStyle="1">
    <w:name w:val="Char Char1 Char Char Char Char Char Char"/>
    <w:basedOn w:val="892"/>
    <w:uiPriority w:val="0"/>
    <w:qFormat/>
    <w:pPr>
      <w:jc w:val="left"/>
      <w:spacing w:after="160" w:line="240" w:lineRule="exact"/>
      <w:widowControl/>
    </w:pPr>
    <w:rPr>
      <w:rFonts w:ascii="Verdana" w:hAnsi="Verdana" w:eastAsia="仿宋_GB2312"/>
      <w:sz w:val="24"/>
      <w:szCs w:val="20"/>
      <w:lang w:eastAsia="en-US"/>
    </w:rPr>
  </w:style>
  <w:style w:type="paragraph" w:styleId="1205" w:customStyle="1">
    <w:name w:val="Char Char1"/>
    <w:basedOn w:val="1099"/>
    <w:uiPriority w:val="0"/>
    <w:qFormat/>
    <w:rPr>
      <w:rFonts w:ascii="Tahoma" w:hAnsi="Tahoma"/>
      <w:sz w:val="24"/>
    </w:rPr>
  </w:style>
  <w:style w:type="paragraph" w:styleId="1206" w:customStyle="1">
    <w:name w:val="xl26"/>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customStyle="1">
    <w:name w:val="xl3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customStyle="1">
    <w:name w:val="xl41"/>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customStyle="1">
    <w:name w:val="样式 宋体 五号 行距: 单倍行距"/>
    <w:basedOn w:val="892"/>
    <w:uiPriority w:val="0"/>
    <w:qFormat/>
    <w:pPr>
      <w:jc w:val="left"/>
    </w:pPr>
    <w:rPr>
      <w:rFonts w:ascii="宋体" w:hAnsi="宋体"/>
      <w:szCs w:val="20"/>
    </w:rPr>
  </w:style>
  <w:style w:type="paragraph" w:styleId="1210" w:customStyle="1">
    <w:name w:val="Char1 Char Char Char1"/>
    <w:basedOn w:val="892"/>
    <w:uiPriority w:val="0"/>
    <w:qFormat/>
    <w:rPr>
      <w:rFonts w:ascii="Tahoma" w:hAnsi="Tahoma" w:cs="仿宋_GB2312"/>
      <w:sz w:val="24"/>
      <w:szCs w:val="28"/>
    </w:rPr>
  </w:style>
  <w:style w:type="paragraph" w:styleId="1211" w:customStyle="1">
    <w:name w:val="四级条标题"/>
    <w:basedOn w:val="1212"/>
    <w:next w:val="892"/>
    <w:uiPriority w:val="0"/>
    <w:qFormat/>
    <w:pPr>
      <w:numPr>
        <w:ilvl w:val="4"/>
      </w:numPr>
      <w:ind w:left="0" w:hanging="840"/>
      <w:tabs>
        <w:tab w:val="left" w:pos="360" w:leader="none"/>
        <w:tab w:val="left" w:pos="840" w:leader="none"/>
      </w:tabs>
      <w:outlineLvl w:val="4"/>
    </w:pPr>
  </w:style>
  <w:style w:type="paragraph" w:styleId="1212" w:customStyle="1">
    <w:name w:val="三级条标题"/>
    <w:basedOn w:val="1174"/>
    <w:next w:val="892"/>
    <w:uiPriority w:val="0"/>
    <w:qFormat/>
    <w:pPr>
      <w:numPr>
        <w:ilvl w:val="3"/>
        <w:numId w:val="1"/>
      </w:numPr>
      <w:ind w:left="0" w:hanging="840"/>
      <w:outlineLvl w:val="3"/>
    </w:pPr>
  </w:style>
  <w:style w:type="paragraph" w:styleId="121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14" w:customStyle="1">
    <w:name w:val="样式 标题 2 + 宋体 五号 行距: 单倍行距"/>
    <w:basedOn w:val="1076"/>
    <w:uiPriority w:val="0"/>
    <w:qFormat/>
    <w:pPr>
      <w:numPr>
        <w:ilvl w:val="1"/>
        <w:numId w:val="4"/>
      </w:numPr>
      <w:jc w:val="left"/>
      <w:spacing w:before="260" w:after="260" w:line="240" w:lineRule="auto"/>
    </w:pPr>
    <w:rPr>
      <w:rFonts w:ascii="宋体" w:hAnsi="宋体" w:eastAsia="宋体"/>
      <w:bCs/>
      <w:sz w:val="21"/>
    </w:rPr>
  </w:style>
  <w:style w:type="paragraph" w:styleId="1215" w:customStyle="1">
    <w:name w:val="List Paragraph1"/>
    <w:basedOn w:val="892"/>
    <w:uiPriority w:val="0"/>
    <w:qFormat/>
    <w:pPr>
      <w:ind w:firstLine="420"/>
    </w:pPr>
    <w:rPr>
      <w:rFonts w:ascii="Calibri" w:hAnsi="Calibri"/>
      <w:szCs w:val="22"/>
    </w:rPr>
  </w:style>
  <w:style w:type="paragraph" w:styleId="1216" w:customStyle="1">
    <w:name w:val="项目符号1"/>
    <w:basedOn w:val="1217"/>
    <w:uiPriority w:val="0"/>
    <w:qFormat/>
    <w:pPr>
      <w:ind w:left="-25" w:firstLine="0"/>
    </w:pPr>
  </w:style>
  <w:style w:type="paragraph" w:styleId="1217" w:customStyle="1">
    <w:name w:val="正文文本样式"/>
    <w:basedOn w:val="892"/>
    <w:uiPriority w:val="0"/>
    <w:qFormat/>
    <w:pPr>
      <w:ind w:firstLine="482"/>
      <w:spacing w:line="360" w:lineRule="auto"/>
    </w:pPr>
    <w:rPr>
      <w:rFonts w:cs="宋体"/>
      <w:sz w:val="24"/>
      <w:szCs w:val="20"/>
    </w:rPr>
  </w:style>
  <w:style w:type="paragraph" w:styleId="1218" w:customStyle="1">
    <w:name w:val="xl27"/>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customStyle="1">
    <w:name w:val="font5"/>
    <w:basedOn w:val="892"/>
    <w:uiPriority w:val="0"/>
    <w:qFormat/>
    <w:pPr>
      <w:jc w:val="left"/>
      <w:spacing w:before="100" w:beforeAutospacing="1" w:after="100" w:afterAutospacing="1"/>
      <w:widowControl/>
    </w:pPr>
    <w:rPr>
      <w:rFonts w:ascii="宋体" w:hAnsi="宋体" w:cs="宋体"/>
      <w:sz w:val="18"/>
      <w:szCs w:val="18"/>
    </w:rPr>
  </w:style>
  <w:style w:type="paragraph" w:styleId="1220" w:customStyle="1">
    <w:name w:val="五级条标题"/>
    <w:basedOn w:val="1211"/>
    <w:next w:val="892"/>
    <w:uiPriority w:val="0"/>
    <w:qFormat/>
    <w:pPr>
      <w:numPr>
        <w:ilvl w:val="5"/>
      </w:numPr>
      <w:ind w:left="0" w:hanging="840"/>
      <w:outlineLvl w:val="5"/>
    </w:pPr>
  </w:style>
  <w:style w:type="paragraph" w:styleId="1221" w:customStyle="1">
    <w:name w:val="xl49"/>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customStyle="1">
    <w:name w:val="文档正文"/>
    <w:basedOn w:val="892"/>
    <w:uiPriority w:val="0"/>
    <w:qFormat/>
    <w:pPr>
      <w:spacing w:before="120" w:after="120" w:line="180" w:lineRule="auto"/>
    </w:pPr>
    <w:rPr>
      <w:rFonts w:ascii="Arial" w:hAnsi="Arial"/>
      <w:szCs w:val="20"/>
    </w:rPr>
  </w:style>
  <w:style w:type="paragraph" w:styleId="1223" w:customStyle="1">
    <w:name w:val="xl33"/>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customStyle="1">
    <w:name w:val="xl42"/>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customStyle="1">
    <w:name w:val="Char Char Char1 Char"/>
    <w:basedOn w:val="892"/>
    <w:uiPriority w:val="0"/>
    <w:qFormat/>
    <w:rPr>
      <w:rFonts w:ascii="Tahoma" w:hAnsi="Tahoma"/>
      <w:sz w:val="24"/>
      <w:szCs w:val="20"/>
    </w:rPr>
  </w:style>
  <w:style w:type="paragraph" w:styleId="1226" w:customStyle="1">
    <w:name w:val="xl44"/>
    <w:basedOn w:val="8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customStyle="1">
    <w:name w:val="1名"/>
    <w:basedOn w:val="892"/>
    <w:uiPriority w:val="0"/>
    <w:qFormat/>
    <w:pPr>
      <w:numPr>
        <w:ilvl w:val="0"/>
        <w:numId w:val="5"/>
      </w:numPr>
      <w:spacing w:before="120"/>
    </w:pPr>
    <w:rPr>
      <w:rFonts w:ascii="宋体"/>
      <w:sz w:val="28"/>
      <w:szCs w:val="20"/>
    </w:rPr>
  </w:style>
  <w:style w:type="paragraph" w:styleId="1228" w:customStyle="1">
    <w:name w:val="font9"/>
    <w:basedOn w:val="89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9" w:customStyle="1">
    <w:name w:val="Char Char Char1 Char1"/>
    <w:basedOn w:val="892"/>
    <w:uiPriority w:val="0"/>
    <w:qFormat/>
    <w:rPr>
      <w:rFonts w:ascii="Tahoma" w:hAnsi="Tahoma"/>
      <w:sz w:val="24"/>
      <w:szCs w:val="20"/>
    </w:rPr>
  </w:style>
  <w:style w:type="paragraph" w:styleId="1230" w:customStyle="1">
    <w:name w:val="Char Char Char Char Char Char Char Char Char Char"/>
    <w:basedOn w:val="892"/>
    <w:uiPriority w:val="0"/>
    <w:qFormat/>
  </w:style>
  <w:style w:type="paragraph" w:styleId="1231" w:customStyle="1">
    <w:name w:val="Char Char1 Char Char Char Char Char Char Char Char"/>
    <w:basedOn w:val="892"/>
    <w:uiPriority w:val="0"/>
    <w:qFormat/>
    <w:pPr>
      <w:jc w:val="left"/>
      <w:spacing w:after="160" w:line="240" w:lineRule="exact"/>
      <w:widowControl/>
    </w:pPr>
    <w:rPr>
      <w:rFonts w:ascii="Verdana" w:hAnsi="Verdana"/>
      <w:sz w:val="20"/>
      <w:szCs w:val="20"/>
      <w:lang w:eastAsia="en-US"/>
    </w:rPr>
  </w:style>
  <w:style w:type="paragraph" w:styleId="1232" w:customStyle="1">
    <w:name w:val="Char1"/>
    <w:basedOn w:val="892"/>
    <w:uiPriority w:val="0"/>
    <w:qFormat/>
    <w:pPr>
      <w:tabs>
        <w:tab w:val="left" w:pos="360" w:leader="none"/>
      </w:tabs>
    </w:pPr>
    <w:rPr>
      <w:sz w:val="24"/>
    </w:rPr>
  </w:style>
  <w:style w:type="paragraph" w:styleId="1233" w:customStyle="1">
    <w:name w:val="正文列项_字母"/>
    <w:basedOn w:val="89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customStyle="1">
    <w:name w:val="xl2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customStyle="1">
    <w:name w:val="xl47"/>
    <w:basedOn w:val="8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customStyle="1">
    <w:name w:val="默认段落字体 Para Char Char Char Char"/>
    <w:basedOn w:val="892"/>
    <w:uiPriority w:val="0"/>
    <w:qFormat/>
    <w:rPr>
      <w:rFonts w:ascii="Arial" w:hAnsi="Arial" w:cs="Arial"/>
      <w:szCs w:val="21"/>
    </w:rPr>
  </w:style>
  <w:style w:type="paragraph" w:styleId="1237" w:customStyle="1">
    <w:name w:val="xl4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customStyle="1">
    <w:name w:val="xl31"/>
    <w:basedOn w:val="8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customStyle="1">
    <w:name w:val="xl53"/>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customStyle="1">
    <w:name w:val="Char Char Char"/>
    <w:basedOn w:val="892"/>
    <w:uiPriority w:val="0"/>
    <w:qFormat/>
    <w:rPr>
      <w:rFonts w:ascii="Tahoma" w:hAnsi="Tahoma"/>
      <w:sz w:val="24"/>
      <w:szCs w:val="20"/>
    </w:rPr>
  </w:style>
  <w:style w:type="paragraph" w:styleId="1241" w:customStyle="1">
    <w:name w:val="xl50"/>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customStyle="1">
    <w:name w:val="缺省文本"/>
    <w:basedOn w:val="892"/>
    <w:uiPriority w:val="0"/>
    <w:qFormat/>
    <w:pPr>
      <w:jc w:val="left"/>
    </w:pPr>
    <w:rPr>
      <w:sz w:val="24"/>
    </w:rPr>
  </w:style>
  <w:style w:type="paragraph" w:styleId="1243" w:customStyle="1">
    <w:name w:val="Char Char Char1"/>
    <w:basedOn w:val="892"/>
    <w:uiPriority w:val="0"/>
    <w:qFormat/>
    <w:rPr>
      <w:rFonts w:ascii="Tahoma" w:hAnsi="Tahoma"/>
      <w:sz w:val="24"/>
      <w:szCs w:val="20"/>
    </w:rPr>
  </w:style>
  <w:style w:type="paragraph" w:styleId="1244" w:customStyle="1">
    <w:name w:val="Char Char Char Char Char Char Char1"/>
    <w:basedOn w:val="892"/>
    <w:uiPriority w:val="0"/>
    <w:qFormat/>
    <w:pPr>
      <w:ind w:firstLine="200"/>
      <w:spacing w:line="360" w:lineRule="auto"/>
    </w:pPr>
    <w:rPr>
      <w:rFonts w:eastAsia="仿宋_GB2312"/>
      <w:sz w:val="24"/>
    </w:rPr>
  </w:style>
  <w:style w:type="paragraph" w:styleId="1245" w:customStyle="1">
    <w:name w:val="xl51"/>
    <w:basedOn w:val="8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customStyle="1">
    <w:name w:val="样式2"/>
    <w:basedOn w:val="1136"/>
    <w:uiPriority w:val="0"/>
    <w:qFormat/>
    <w:pPr>
      <w:jc w:val="center"/>
      <w:spacing w:line="360" w:lineRule="auto"/>
    </w:pPr>
    <w:rPr>
      <w:sz w:val="24"/>
    </w:rPr>
  </w:style>
  <w:style w:type="paragraph" w:styleId="1247" w:customStyle="1">
    <w:name w:val="xl24"/>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xl2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customStyle="1">
    <w:name w:val="正文 + 楷体_GB2312"/>
    <w:basedOn w:val="892"/>
    <w:uiPriority w:val="0"/>
    <w:qFormat/>
    <w:pPr>
      <w:jc w:val="left"/>
      <w:widowControl/>
    </w:pPr>
    <w:rPr>
      <w:rFonts w:ascii="楷体_GB2312" w:eastAsia="楷体_GB2312" w:cs="Arial"/>
      <w:sz w:val="24"/>
    </w:rPr>
  </w:style>
  <w:style w:type="paragraph" w:styleId="1250" w:customStyle="1">
    <w:name w:val="xl3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customStyle="1">
    <w:name w:val="1 Char Char Char Char"/>
    <w:basedOn w:val="892"/>
    <w:uiPriority w:val="0"/>
    <w:qFormat/>
    <w:rPr>
      <w:rFonts w:ascii="Tahoma" w:hAnsi="Tahoma"/>
      <w:sz w:val="24"/>
      <w:szCs w:val="20"/>
    </w:rPr>
  </w:style>
  <w:style w:type="paragraph" w:styleId="125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53" w:customStyle="1">
    <w:name w:val="列出段落1"/>
    <w:basedOn w:val="892"/>
    <w:uiPriority w:val="0"/>
    <w:qFormat/>
    <w:pPr>
      <w:ind w:firstLine="420"/>
    </w:pPr>
    <w:rPr>
      <w:rFonts w:ascii="Calibri" w:hAnsi="Calibri"/>
      <w:szCs w:val="22"/>
    </w:rPr>
  </w:style>
  <w:style w:type="paragraph" w:styleId="1254" w:customStyle="1">
    <w:name w:val="default"/>
    <w:basedOn w:val="892"/>
    <w:uiPriority w:val="0"/>
    <w:qFormat/>
    <w:pPr>
      <w:jc w:val="left"/>
      <w:spacing w:before="100" w:beforeAutospacing="1" w:after="100" w:afterAutospacing="1"/>
      <w:widowControl/>
    </w:pPr>
    <w:rPr>
      <w:rFonts w:ascii="宋体" w:hAnsi="宋体" w:cs="宋体"/>
      <w:sz w:val="24"/>
    </w:rPr>
  </w:style>
  <w:style w:type="paragraph" w:styleId="1255" w:customStyle="1">
    <w:name w:val="字元 字元1"/>
    <w:basedOn w:val="892"/>
    <w:uiPriority w:val="0"/>
    <w:qFormat/>
    <w:rPr>
      <w:rFonts w:ascii="Tahoma" w:hAnsi="Tahoma"/>
      <w:sz w:val="24"/>
      <w:szCs w:val="20"/>
    </w:rPr>
  </w:style>
  <w:style w:type="paragraph" w:styleId="1256" w:customStyle="1">
    <w:name w:val="_Style 160"/>
    <w:uiPriority w:val="0"/>
    <w:qFormat/>
    <w:rPr>
      <w:rFonts w:hint="default" w:ascii="Times New Roman" w:hAnsi="Times New Roman" w:eastAsia="宋体" w:cs="Times New Roman"/>
      <w:sz w:val="21"/>
      <w:szCs w:val="24"/>
      <w:lang w:val="en-US" w:eastAsia="zh-CN" w:bidi="ar-SA"/>
    </w:rPr>
  </w:style>
  <w:style w:type="paragraph" w:styleId="1257" w:customStyle="1">
    <w:name w:val="项目编号3"/>
    <w:basedOn w:val="1217"/>
    <w:uiPriority w:val="0"/>
    <w:qFormat/>
    <w:pPr>
      <w:numPr>
        <w:ilvl w:val="0"/>
        <w:numId w:val="6"/>
      </w:numPr>
    </w:pPr>
  </w:style>
  <w:style w:type="paragraph" w:styleId="1258" w:customStyle="1">
    <w:name w:val="Char21"/>
    <w:basedOn w:val="892"/>
    <w:uiPriority w:val="0"/>
    <w:qFormat/>
    <w:rPr>
      <w:rFonts w:ascii="Tahoma" w:hAnsi="Tahoma"/>
      <w:sz w:val="24"/>
      <w:szCs w:val="20"/>
    </w:rPr>
  </w:style>
  <w:style w:type="paragraph" w:styleId="1259" w:customStyle="1">
    <w:name w:val="表格文字"/>
    <w:basedOn w:val="1107"/>
    <w:uiPriority w:val="0"/>
    <w:qFormat/>
    <w:pPr>
      <w:ind w:firstLine="0"/>
      <w:spacing w:before="20" w:after="20" w:line="240" w:lineRule="auto"/>
    </w:pPr>
    <w:rPr>
      <w:rFonts w:ascii="Century Gothic" w:hAnsi="Century Gothic"/>
      <w:sz w:val="20"/>
      <w:szCs w:val="20"/>
    </w:rPr>
  </w:style>
  <w:style w:type="paragraph" w:styleId="1260" w:customStyle="1">
    <w:name w:val="Char Char Char Char Char Char Char Char Char Char1"/>
    <w:basedOn w:val="892"/>
    <w:uiPriority w:val="0"/>
    <w:qFormat/>
    <w:rPr>
      <w:rFonts w:ascii="宋体" w:hAnsi="宋体" w:cs="Courier New"/>
      <w:sz w:val="32"/>
      <w:szCs w:val="32"/>
    </w:rPr>
  </w:style>
  <w:style w:type="paragraph" w:styleId="1261" w:customStyle="1">
    <w:name w:val="正文文本样式 加粗"/>
    <w:basedOn w:val="1217"/>
    <w:uiPriority w:val="0"/>
    <w:qFormat/>
    <w:rPr>
      <w:b/>
    </w:rPr>
  </w:style>
  <w:style w:type="paragraph" w:styleId="1262" w:customStyle="1">
    <w:name w:val="Char2 Char Char Char Char Char Char"/>
    <w:basedOn w:val="892"/>
    <w:uiPriority w:val="0"/>
    <w:qFormat/>
    <w:pPr>
      <w:jc w:val="center"/>
      <w:spacing w:line="400" w:lineRule="exact"/>
      <w:widowControl/>
    </w:pPr>
  </w:style>
  <w:style w:type="paragraph" w:styleId="1263" w:customStyle="1">
    <w:name w:val="Char Char4"/>
    <w:basedOn w:val="892"/>
    <w:uiPriority w:val="0"/>
    <w:qFormat/>
    <w:pPr>
      <w:jc w:val="center"/>
      <w:spacing w:line="400" w:lineRule="exact"/>
      <w:widowControl/>
    </w:pPr>
  </w:style>
  <w:style w:type="paragraph" w:styleId="1264" w:customStyle="1">
    <w:name w:val="Char3 Char Char Char1"/>
    <w:basedOn w:val="892"/>
    <w:uiPriority w:val="0"/>
    <w:qFormat/>
    <w:rPr>
      <w:rFonts w:ascii="Tahoma" w:hAnsi="Tahoma"/>
      <w:sz w:val="24"/>
      <w:szCs w:val="20"/>
    </w:rPr>
  </w:style>
  <w:style w:type="paragraph" w:styleId="126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22222222222222"/>
    <w:basedOn w:val="892"/>
    <w:uiPriority w:val="0"/>
    <w:qFormat/>
    <w:pPr>
      <w:ind w:firstLine="480"/>
      <w:jc w:val="left"/>
      <w:spacing w:line="360" w:lineRule="auto"/>
      <w:widowControl/>
    </w:pPr>
    <w:rPr>
      <w:color w:val="ff0000"/>
      <w:sz w:val="24"/>
      <w:szCs w:val="20"/>
    </w:rPr>
  </w:style>
  <w:style w:type="character" w:styleId="1267" w:customStyle="1">
    <w:name w:val="中等深浅网格 1 - 强调文字颜色 2 Char"/>
    <w:link w:val="1268"/>
    <w:uiPriority w:val="0"/>
    <w:qFormat/>
    <w:rPr>
      <w:sz w:val="21"/>
      <w:szCs w:val="24"/>
      <w:lang w:val="zh-CN" w:eastAsia="zh-CN" w:bidi="ar-SA"/>
    </w:rPr>
  </w:style>
  <w:style w:type="paragraph" w:styleId="1268" w:customStyle="1">
    <w:name w:val="1"/>
    <w:link w:val="1267"/>
    <w:uiPriority w:val="0"/>
    <w:qFormat/>
    <w:rPr>
      <w:rFonts w:hint="default" w:ascii="Times New Roman" w:hAnsi="Times New Roman" w:eastAsia="宋体" w:cs="Times New Roman"/>
      <w:sz w:val="21"/>
      <w:szCs w:val="24"/>
      <w:lang w:val="zh-CN" w:eastAsia="zh-CN" w:bidi="ar-SA"/>
    </w:rPr>
  </w:style>
  <w:style w:type="paragraph" w:styleId="1269" w:customStyle="1">
    <w:name w:val="图文"/>
    <w:basedOn w:val="892"/>
    <w:uiPriority w:val="0"/>
    <w:qFormat/>
    <w:pPr>
      <w:spacing w:after="50" w:line="360" w:lineRule="auto"/>
    </w:pPr>
    <w:rPr>
      <w:sz w:val="24"/>
    </w:rPr>
  </w:style>
  <w:style w:type="paragraph" w:styleId="1270" w:customStyle="1">
    <w:name w:val="xl23"/>
    <w:basedOn w:val="892"/>
    <w:uiPriority w:val="0"/>
    <w:qFormat/>
    <w:pPr>
      <w:spacing w:before="100" w:beforeAutospacing="1" w:after="100" w:afterAutospacing="1" w:line="360" w:lineRule="auto"/>
      <w:widowControl/>
    </w:pPr>
    <w:rPr>
      <w:sz w:val="24"/>
      <w:szCs w:val="20"/>
    </w:rPr>
  </w:style>
  <w:style w:type="paragraph" w:styleId="1271" w:customStyle="1">
    <w:name w:val="正文表格"/>
    <w:basedOn w:val="892"/>
    <w:link w:val="1272"/>
    <w:uiPriority w:val="0"/>
    <w:qFormat/>
    <w:pPr>
      <w:jc w:val="left"/>
    </w:pPr>
    <w:rPr>
      <w:rFonts w:ascii="宋体" w:hAnsi="宋体"/>
      <w:color w:val="000000"/>
      <w:szCs w:val="21"/>
    </w:rPr>
  </w:style>
  <w:style w:type="character" w:styleId="1272" w:customStyle="1">
    <w:name w:val="正文表格 Char"/>
    <w:link w:val="1271"/>
    <w:uiPriority w:val="0"/>
    <w:qFormat/>
    <w:rPr>
      <w:rFonts w:ascii="宋体" w:hAnsi="宋体"/>
      <w:color w:val="000000"/>
      <w:sz w:val="21"/>
      <w:szCs w:val="21"/>
    </w:rPr>
  </w:style>
  <w:style w:type="paragraph" w:styleId="1273" w:customStyle="1">
    <w:name w:val="正文重点"/>
    <w:basedOn w:val="892"/>
    <w:link w:val="1274"/>
    <w:uiPriority w:val="0"/>
    <w:qFormat/>
    <w:pPr>
      <w:ind w:firstLine="482"/>
      <w:jc w:val="left"/>
      <w:spacing w:line="360" w:lineRule="auto"/>
    </w:pPr>
    <w:rPr>
      <w:b/>
      <w:sz w:val="24"/>
      <w:szCs w:val="20"/>
    </w:rPr>
  </w:style>
  <w:style w:type="character" w:styleId="1274" w:customStyle="1">
    <w:name w:val="正文重点 Char"/>
    <w:link w:val="1273"/>
    <w:uiPriority w:val="0"/>
    <w:qFormat/>
    <w:rPr>
      <w:b/>
      <w:sz w:val="24"/>
    </w:rPr>
  </w:style>
  <w:style w:type="paragraph" w:styleId="1275" w:customStyle="1">
    <w:name w:val="标题1-附件"/>
    <w:basedOn w:val="1075"/>
    <w:uiPriority w:val="0"/>
    <w:qFormat/>
    <w:pPr>
      <w:jc w:val="left"/>
    </w:pPr>
    <w:rPr>
      <w:sz w:val="24"/>
      <w:szCs w:val="24"/>
    </w:rPr>
  </w:style>
  <w:style w:type="paragraph" w:styleId="1276" w:customStyle="1">
    <w:name w:val="正文小标题"/>
    <w:basedOn w:val="892"/>
    <w:next w:val="1077"/>
    <w:link w:val="1277"/>
    <w:uiPriority w:val="0"/>
    <w:qFormat/>
    <w:pPr>
      <w:ind w:firstLine="482"/>
      <w:jc w:val="left"/>
      <w:spacing w:before="312" w:after="312"/>
    </w:pPr>
    <w:rPr>
      <w:rFonts w:ascii="宋体" w:hAnsi="宋体"/>
      <w:b/>
      <w:i/>
      <w:color w:val="ff0000"/>
      <w:sz w:val="24"/>
      <w:szCs w:val="20"/>
    </w:rPr>
  </w:style>
  <w:style w:type="character" w:styleId="1277" w:customStyle="1">
    <w:name w:val="正文小标题 Char"/>
    <w:link w:val="1276"/>
    <w:uiPriority w:val="0"/>
    <w:qFormat/>
    <w:rPr>
      <w:rFonts w:ascii="宋体" w:hAnsi="宋体"/>
      <w:b/>
      <w:i/>
      <w:color w:val="ff0000"/>
      <w:sz w:val="24"/>
    </w:rPr>
  </w:style>
  <w:style w:type="paragraph" w:styleId="1278" w:customStyle="1">
    <w:name w:val="正文大标题"/>
    <w:basedOn w:val="1276"/>
    <w:next w:val="1077"/>
    <w:link w:val="1279"/>
    <w:uiPriority w:val="0"/>
    <w:qFormat/>
    <w:pPr>
      <w:jc w:val="center"/>
    </w:pPr>
    <w:rPr>
      <w:i w:val="0"/>
      <w:color w:val="000000"/>
      <w:sz w:val="28"/>
      <w:szCs w:val="21"/>
    </w:rPr>
  </w:style>
  <w:style w:type="character" w:styleId="1279" w:customStyle="1">
    <w:name w:val="正文大标题 Char"/>
    <w:link w:val="1278"/>
    <w:uiPriority w:val="0"/>
    <w:qFormat/>
    <w:rPr>
      <w:rFonts w:ascii="宋体" w:hAnsi="宋体"/>
      <w:b/>
      <w:color w:val="000000"/>
      <w:sz w:val="28"/>
      <w:szCs w:val="21"/>
    </w:rPr>
  </w:style>
  <w:style w:type="paragraph" w:styleId="1280" w:customStyle="1">
    <w:name w:val="注释"/>
    <w:basedOn w:val="892"/>
    <w:link w:val="1281"/>
    <w:uiPriority w:val="0"/>
    <w:qFormat/>
    <w:pPr>
      <w:ind w:left="420" w:hanging="420"/>
      <w:jc w:val="left"/>
    </w:pPr>
    <w:rPr>
      <w:rFonts w:ascii="宋体" w:hAnsi="宋体"/>
      <w:szCs w:val="21"/>
    </w:rPr>
  </w:style>
  <w:style w:type="character" w:styleId="1281" w:customStyle="1">
    <w:name w:val="注释 Char"/>
    <w:link w:val="1280"/>
    <w:uiPriority w:val="0"/>
    <w:qFormat/>
    <w:rPr>
      <w:rFonts w:ascii="宋体" w:hAnsi="宋体"/>
      <w:sz w:val="21"/>
      <w:szCs w:val="21"/>
    </w:rPr>
  </w:style>
  <w:style w:type="paragraph" w:styleId="1282" w:customStyle="1">
    <w:name w:val="正文须知-1级"/>
    <w:basedOn w:val="892"/>
    <w:next w:val="892"/>
    <w:uiPriority w:val="0"/>
    <w:qFormat/>
    <w:pPr>
      <w:numPr>
        <w:ilvl w:val="0"/>
        <w:numId w:val="7"/>
      </w:numPr>
      <w:spacing w:line="300" w:lineRule="auto"/>
    </w:pPr>
    <w:rPr>
      <w:rFonts w:ascii="宋体" w:hAnsi="Calibri"/>
      <w:sz w:val="24"/>
      <w:szCs w:val="21"/>
    </w:rPr>
  </w:style>
  <w:style w:type="paragraph" w:styleId="1283" w:customStyle="1">
    <w:name w:val="正文须知-2级"/>
    <w:basedOn w:val="892"/>
    <w:uiPriority w:val="0"/>
    <w:qFormat/>
    <w:pPr>
      <w:numPr>
        <w:ilvl w:val="1"/>
        <w:numId w:val="7"/>
      </w:numPr>
      <w:spacing w:line="300" w:lineRule="auto"/>
    </w:pPr>
    <w:rPr>
      <w:rFonts w:ascii="宋体" w:hAnsi="Calibri"/>
      <w:sz w:val="24"/>
      <w:szCs w:val="21"/>
    </w:rPr>
  </w:style>
  <w:style w:type="paragraph" w:styleId="1284" w:customStyle="1">
    <w:name w:val="正文须知-3级"/>
    <w:basedOn w:val="892"/>
    <w:uiPriority w:val="0"/>
    <w:qFormat/>
    <w:pPr>
      <w:numPr>
        <w:ilvl w:val="2"/>
        <w:numId w:val="7"/>
      </w:numPr>
      <w:ind w:hanging="355"/>
      <w:spacing w:line="300" w:lineRule="auto"/>
    </w:pPr>
    <w:rPr>
      <w:rFonts w:ascii="宋体" w:hAnsi="Calibri"/>
      <w:sz w:val="24"/>
      <w:szCs w:val="21"/>
    </w:rPr>
  </w:style>
  <w:style w:type="character" w:styleId="1285" w:customStyle="1">
    <w:name w:val="纯文本 字符"/>
    <w:link w:val="892"/>
    <w:uiPriority w:val="99"/>
    <w:qFormat/>
    <w:rPr>
      <w:rFonts w:ascii="宋体" w:hAnsi="Courier New" w:eastAsia="宋体" w:cs="Times New Roman"/>
      <w:sz w:val="21"/>
      <w:szCs w:val="21"/>
      <w:lang w:val="en-US" w:eastAsia="zh-CN" w:bidi="ar-SA"/>
    </w:rPr>
  </w:style>
  <w:style w:type="paragraph" w:styleId="1286" w:customStyle="1">
    <w:name w:val="表格1"/>
    <w:basedOn w:val="892"/>
    <w:uiPriority w:val="0"/>
    <w:qFormat/>
    <w:pPr>
      <w:ind w:firstLine="480"/>
      <w:jc w:val="center"/>
    </w:pPr>
    <w:rPr>
      <w:sz w:val="24"/>
      <w:szCs w:val="20"/>
    </w:rPr>
  </w:style>
  <w:style w:type="character" w:styleId="1287" w:customStyle="1">
    <w:name w:val="纯文本 字符1"/>
    <w:link w:val="892"/>
    <w:uiPriority w:val="0"/>
    <w:qFormat/>
    <w:rPr>
      <w:rFonts w:ascii="宋体" w:hAnsi="Courier New"/>
    </w:rPr>
  </w:style>
  <w:style w:type="character" w:styleId="1288" w:customStyle="1">
    <w:name w:val="bjh-p"/>
    <w:link w:val="892"/>
    <w:uiPriority w:val="0"/>
    <w:qFormat/>
  </w:style>
  <w:style w:type="paragraph" w:styleId="1289" w:customStyle="1">
    <w:name w:val="无标题条"/>
    <w:next w:val="892"/>
    <w:uiPriority w:val="0"/>
    <w:qFormat/>
    <w:pPr>
      <w:jc w:val="both"/>
    </w:pPr>
    <w:rPr>
      <w:rFonts w:hint="default" w:ascii="Times New Roman" w:hAnsi="Times New Roman" w:eastAsia="宋体" w:cs="Times New Roman"/>
      <w:sz w:val="21"/>
      <w:lang w:val="en-US" w:eastAsia="zh-CN" w:bidi="ar-SA"/>
    </w:rPr>
  </w:style>
  <w:style w:type="character" w:styleId="1290" w:customStyle="1">
    <w:name w:val="正文格式 Char"/>
    <w:link w:val="1291"/>
    <w:uiPriority w:val="0"/>
    <w:qFormat/>
    <w:rPr>
      <w:rFonts w:ascii="宋体" w:hAnsi="宋体"/>
      <w:sz w:val="24"/>
      <w:szCs w:val="24"/>
      <w:lang w:val="en-GB"/>
    </w:rPr>
  </w:style>
  <w:style w:type="paragraph" w:styleId="1291" w:customStyle="1">
    <w:name w:val="正文格式"/>
    <w:basedOn w:val="892"/>
    <w:link w:val="1290"/>
    <w:uiPriority w:val="0"/>
    <w:qFormat/>
    <w:pPr>
      <w:ind w:firstLine="480"/>
      <w:spacing w:line="360" w:lineRule="auto"/>
    </w:pPr>
    <w:rPr>
      <w:rFonts w:ascii="宋体" w:hAnsi="宋体"/>
      <w:sz w:val="24"/>
      <w:lang w:val="en-GB"/>
    </w:rPr>
  </w:style>
  <w:style w:type="character" w:styleId="1292" w:customStyle="1">
    <w:name w:val="标题 3 Char"/>
    <w:link w:val="892"/>
    <w:uiPriority w:val="0"/>
    <w:qFormat/>
    <w:rPr>
      <w:rFonts w:ascii="宋体" w:eastAsia="宋体"/>
      <w:b/>
      <w:sz w:val="24"/>
      <w:u w:val="single"/>
      <w:lang w:val="en-US" w:eastAsia="zh-CN" w:bidi="ar-SA"/>
    </w:rPr>
  </w:style>
  <w:style w:type="character" w:styleId="1293" w:customStyle="1">
    <w:name w:val="正文缩进 Char"/>
    <w:link w:val="892"/>
    <w:uiPriority w:val="0"/>
    <w:qFormat/>
    <w:rPr>
      <w:rFonts w:ascii="宋体" w:eastAsia="宋体"/>
      <w:sz w:val="24"/>
      <w:szCs w:val="24"/>
      <w:lang w:val="en-US" w:eastAsia="zh-CN" w:bidi="ar-SA"/>
    </w:rPr>
  </w:style>
  <w:style w:type="character" w:styleId="1294" w:customStyle="1">
    <w:name w:val="Char Char111"/>
    <w:link w:val="892"/>
    <w:uiPriority w:val="0"/>
    <w:qFormat/>
    <w:rPr>
      <w:rFonts w:ascii="宋体" w:eastAsia="宋体"/>
      <w:b/>
      <w:sz w:val="24"/>
      <w:u w:val="single"/>
      <w:lang w:val="en-US" w:eastAsia="zh-CN" w:bidi="ar-SA"/>
    </w:rPr>
  </w:style>
  <w:style w:type="character" w:styleId="1295" w:customStyle="1">
    <w:name w:val="正文文本缩进 Char"/>
    <w:link w:val="892"/>
    <w:uiPriority w:val="0"/>
    <w:qFormat/>
    <w:rPr>
      <w:rFonts w:eastAsia="宋体"/>
      <w:sz w:val="24"/>
      <w:szCs w:val="24"/>
      <w:lang w:val="en-US" w:eastAsia="zh-CN" w:bidi="ar-SA"/>
    </w:rPr>
  </w:style>
  <w:style w:type="character" w:styleId="1296" w:customStyle="1">
    <w:name w:val="列出段落 Char"/>
    <w:link w:val="892"/>
    <w:uiPriority w:val="0"/>
    <w:qFormat/>
    <w:rPr>
      <w:rFonts w:ascii="Calibri" w:hAnsi="Calibri" w:eastAsia="宋体"/>
      <w:sz w:val="21"/>
      <w:szCs w:val="22"/>
      <w:lang w:val="en-US" w:eastAsia="zh-CN" w:bidi="ar-SA"/>
    </w:rPr>
  </w:style>
  <w:style w:type="character" w:styleId="1297" w:customStyle="1">
    <w:name w:val="页眉 Char"/>
    <w:link w:val="892"/>
    <w:uiPriority w:val="0"/>
    <w:qFormat/>
    <w:rPr>
      <w:rFonts w:eastAsia="宋体"/>
      <w:sz w:val="18"/>
      <w:szCs w:val="18"/>
      <w:lang w:val="en-US" w:eastAsia="zh-CN" w:bidi="ar-SA"/>
    </w:rPr>
  </w:style>
  <w:style w:type="character" w:styleId="1298" w:customStyle="1">
    <w:name w:val="标题 2 Char"/>
    <w:link w:val="892"/>
    <w:uiPriority w:val="0"/>
    <w:qFormat/>
    <w:rPr>
      <w:rFonts w:ascii="Arial" w:hAnsi="Arial" w:eastAsia="黑体"/>
      <w:b/>
      <w:sz w:val="30"/>
      <w:lang w:val="en-US" w:eastAsia="zh-CN" w:bidi="ar-SA"/>
    </w:rPr>
  </w:style>
  <w:style w:type="paragraph" w:styleId="1299" w:customStyle="1">
    <w:name w:val="字元 字元2"/>
    <w:basedOn w:val="892"/>
    <w:uiPriority w:val="0"/>
    <w:qFormat/>
    <w:rPr>
      <w:rFonts w:ascii="Tahoma" w:hAnsi="Tahoma"/>
      <w:sz w:val="24"/>
      <w:szCs w:val="20"/>
    </w:rPr>
  </w:style>
  <w:style w:type="paragraph" w:styleId="1300" w:customStyle="1">
    <w:name w:val="Char3 Char Char Char2"/>
    <w:basedOn w:val="892"/>
    <w:uiPriority w:val="0"/>
    <w:qFormat/>
    <w:rPr>
      <w:rFonts w:ascii="Tahoma" w:hAnsi="Tahoma"/>
      <w:sz w:val="24"/>
      <w:szCs w:val="20"/>
    </w:rPr>
  </w:style>
  <w:style w:type="paragraph" w:styleId="1301" w:customStyle="1">
    <w:name w:val="正文文本缩进2"/>
    <w:basedOn w:val="892"/>
    <w:uiPriority w:val="0"/>
    <w:qFormat/>
    <w:pPr>
      <w:ind w:firstLine="480"/>
      <w:spacing w:line="480" w:lineRule="exact"/>
    </w:pPr>
    <w:rPr>
      <w:rFonts w:ascii="宋体" w:hAnsi="宋体"/>
      <w:sz w:val="24"/>
      <w:lang w:val="zh-CN" w:eastAsia="zh-CN"/>
    </w:rPr>
  </w:style>
  <w:style w:type="paragraph" w:styleId="1302" w:customStyle="1">
    <w:name w:val="Char3"/>
    <w:basedOn w:val="892"/>
    <w:uiPriority w:val="0"/>
    <w:qFormat/>
    <w:pPr>
      <w:tabs>
        <w:tab w:val="left" w:pos="360" w:leader="none"/>
      </w:tabs>
    </w:pPr>
    <w:rPr>
      <w:sz w:val="24"/>
    </w:rPr>
  </w:style>
  <w:style w:type="paragraph" w:styleId="1303" w:customStyle="1">
    <w:name w:val="Char Char Char Char Char Char Char Char Char Char Char Char Char Char Char Char1"/>
    <w:basedOn w:val="892"/>
    <w:uiPriority w:val="0"/>
    <w:qFormat/>
    <w:pPr>
      <w:jc w:val="center"/>
      <w:spacing w:after="160" w:line="240" w:lineRule="exact"/>
      <w:widowControl/>
    </w:pPr>
    <w:rPr>
      <w:rFonts w:ascii="宋体" w:hAnsi="宋体"/>
      <w:b/>
      <w:sz w:val="30"/>
      <w:szCs w:val="30"/>
      <w:lang w:eastAsia="en-US"/>
    </w:rPr>
  </w:style>
  <w:style w:type="paragraph" w:styleId="1304" w:customStyle="1">
    <w:name w:val="Char Char1 Char Char Char Char Char Char1"/>
    <w:basedOn w:val="892"/>
    <w:uiPriority w:val="0"/>
    <w:qFormat/>
    <w:pPr>
      <w:jc w:val="left"/>
      <w:spacing w:after="160" w:line="240" w:lineRule="exact"/>
      <w:widowControl/>
    </w:pPr>
    <w:rPr>
      <w:rFonts w:ascii="Verdana" w:hAnsi="Verdana" w:eastAsia="仿宋_GB2312"/>
      <w:sz w:val="24"/>
      <w:szCs w:val="20"/>
      <w:lang w:eastAsia="en-US"/>
    </w:rPr>
  </w:style>
  <w:style w:type="paragraph" w:styleId="1305" w:customStyle="1">
    <w:name w:val="列出段落2"/>
    <w:basedOn w:val="892"/>
    <w:uiPriority w:val="0"/>
    <w:qFormat/>
    <w:pPr>
      <w:ind w:firstLine="420"/>
    </w:pPr>
    <w:rPr>
      <w:rFonts w:ascii="Calibri" w:hAnsi="Calibri"/>
      <w:szCs w:val="22"/>
    </w:rPr>
  </w:style>
  <w:style w:type="paragraph" w:styleId="1306" w:customStyle="1">
    <w:name w:val="Char Char Char1 Char2"/>
    <w:basedOn w:val="892"/>
    <w:uiPriority w:val="0"/>
    <w:qFormat/>
    <w:rPr>
      <w:rFonts w:ascii="Tahoma" w:hAnsi="Tahoma"/>
      <w:sz w:val="24"/>
      <w:szCs w:val="20"/>
    </w:rPr>
  </w:style>
  <w:style w:type="paragraph" w:styleId="1307" w:customStyle="1">
    <w:name w:val="Char Char Char2"/>
    <w:basedOn w:val="892"/>
    <w:uiPriority w:val="0"/>
    <w:qFormat/>
    <w:rPr>
      <w:rFonts w:ascii="Tahoma" w:hAnsi="Tahoma"/>
      <w:sz w:val="24"/>
      <w:szCs w:val="20"/>
    </w:rPr>
  </w:style>
  <w:style w:type="paragraph" w:styleId="1308" w:customStyle="1">
    <w:name w:val="Char Char Char Char Char Char Char2"/>
    <w:basedOn w:val="892"/>
    <w:uiPriority w:val="0"/>
    <w:qFormat/>
    <w:pPr>
      <w:ind w:firstLine="200"/>
      <w:spacing w:line="360" w:lineRule="auto"/>
    </w:pPr>
    <w:rPr>
      <w:rFonts w:eastAsia="仿宋_GB2312"/>
      <w:sz w:val="24"/>
    </w:rPr>
  </w:style>
  <w:style w:type="paragraph" w:styleId="1309" w:customStyle="1">
    <w:name w:val="正文缩进2"/>
    <w:basedOn w:val="892"/>
    <w:uiPriority w:val="0"/>
    <w:qFormat/>
    <w:pPr>
      <w:ind w:firstLine="567"/>
      <w:spacing w:line="480" w:lineRule="exact"/>
      <w:widowControl/>
    </w:pPr>
    <w:rPr>
      <w:rFonts w:ascii="宋体"/>
      <w:color w:val="000000"/>
      <w:sz w:val="28"/>
      <w:szCs w:val="20"/>
      <w:lang w:val="zh-CN" w:eastAsia="zh-CN"/>
    </w:rPr>
  </w:style>
  <w:style w:type="paragraph" w:styleId="1310" w:customStyle="1">
    <w:name w:val="Revision"/>
    <w:uiPriority w:val="0"/>
    <w:qFormat/>
    <w:rPr>
      <w:rFonts w:hint="default" w:ascii="Times New Roman" w:hAnsi="Times New Roman" w:eastAsia="宋体" w:cs="Times New Roman"/>
      <w:sz w:val="21"/>
      <w:szCs w:val="24"/>
      <w:lang w:val="en-US" w:eastAsia="zh-CN" w:bidi="ar-SA"/>
    </w:rPr>
  </w:style>
  <w:style w:type="paragraph" w:styleId="1311" w:customStyle="1">
    <w:name w:val="Char22"/>
    <w:basedOn w:val="892"/>
    <w:uiPriority w:val="0"/>
    <w:qFormat/>
    <w:rPr>
      <w:rFonts w:ascii="Tahoma" w:hAnsi="Tahoma"/>
      <w:sz w:val="24"/>
      <w:szCs w:val="20"/>
    </w:rPr>
  </w:style>
  <w:style w:type="paragraph" w:styleId="1312" w:customStyle="1">
    <w:name w:val="Char Char Char Char Char Char Char Char Char Char2"/>
    <w:basedOn w:val="892"/>
    <w:uiPriority w:val="0"/>
    <w:qFormat/>
    <w:rPr>
      <w:rFonts w:ascii="宋体" w:hAnsi="宋体" w:cs="Courier New"/>
      <w:sz w:val="32"/>
      <w:szCs w:val="32"/>
    </w:rPr>
  </w:style>
  <w:style w:type="paragraph" w:styleId="1313" w:customStyle="1">
    <w:name w:val="Char2 Char Char Char Char Char Char1"/>
    <w:basedOn w:val="892"/>
    <w:uiPriority w:val="0"/>
    <w:qFormat/>
    <w:pPr>
      <w:jc w:val="center"/>
      <w:spacing w:line="400" w:lineRule="exact"/>
      <w:widowControl/>
    </w:pPr>
  </w:style>
  <w:style w:type="character" w:styleId="1314" w:customStyle="1">
    <w:name w:val="页脚 Char"/>
    <w:link w:val="892"/>
    <w:uiPriority w:val="0"/>
    <w:qFormat/>
    <w:rPr>
      <w:rFonts w:ascii="宋体" w:eastAsia="宋体"/>
      <w:sz w:val="18"/>
      <w:lang w:val="en-US" w:eastAsia="zh-CN" w:bidi="ar-SA"/>
    </w:rPr>
  </w:style>
  <w:style w:type="paragraph" w:styleId="1315" w:customStyle="1">
    <w:name w:val="Char Char41"/>
    <w:basedOn w:val="892"/>
    <w:uiPriority w:val="0"/>
    <w:qFormat/>
    <w:pPr>
      <w:jc w:val="center"/>
      <w:spacing w:line="400" w:lineRule="exact"/>
      <w:widowControl/>
    </w:pPr>
  </w:style>
  <w:style w:type="character" w:styleId="1316" w:customStyle="1">
    <w:name w:val="批注文字 Char"/>
    <w:link w:val="892"/>
    <w:uiPriority w:val="99"/>
    <w:qFormat/>
    <w:rPr>
      <w:sz w:val="21"/>
      <w:szCs w:val="24"/>
    </w:rPr>
  </w:style>
  <w:style w:type="character" w:styleId="1317" w:customStyle="1">
    <w:name w:val="标题 Char"/>
    <w:link w:val="892"/>
    <w:uiPriority w:val="0"/>
    <w:qFormat/>
    <w:rPr>
      <w:b/>
      <w:sz w:val="32"/>
    </w:rPr>
  </w:style>
  <w:style w:type="paragraph" w:styleId="1318" w:customStyle="1">
    <w:name w:val="图例"/>
    <w:basedOn w:val="892"/>
    <w:uiPriority w:val="0"/>
    <w:qFormat/>
    <w:pPr>
      <w:jc w:val="center"/>
      <w:spacing w:before="120" w:after="120" w:line="360" w:lineRule="auto"/>
    </w:pPr>
    <w:rPr>
      <w:rFonts w:eastAsia="仿宋_GB2312"/>
      <w:b/>
      <w:sz w:val="24"/>
      <w:szCs w:val="20"/>
    </w:rPr>
  </w:style>
  <w:style w:type="paragraph" w:styleId="1319" w:customStyle="1">
    <w:name w:val="Table Paragraph"/>
    <w:basedOn w:val="892"/>
    <w:uiPriority w:val="1"/>
    <w:qFormat/>
    <w:pPr>
      <w:jc w:val="left"/>
    </w:pPr>
    <w:rPr>
      <w:rFonts w:ascii="宋体" w:hAnsi="宋体" w:cs="宋体"/>
      <w:sz w:val="22"/>
      <w:szCs w:val="22"/>
      <w:lang w:eastAsia="en-US"/>
    </w:rPr>
  </w:style>
  <w:style w:type="table" w:styleId="1320" w:customStyle="1">
    <w:name w:val="Table Normal"/>
    <w:uiPriority w:val="2"/>
    <w:semiHidden/>
    <w:qFormat/>
    <w:pPr>
      <w:widowControl w:val="off"/>
    </w:pPr>
    <w:rPr>
      <w:rFonts w:ascii="Calibri" w:hAnsi="Calibri"/>
      <w:sz w:val="22"/>
      <w:szCs w:val="22"/>
      <w:lang w:val="en-US" w:eastAsia="en-US" w:bidi="ar-SA"/>
    </w:rPr>
    <w:tblPr/>
  </w:style>
  <w:style w:type="paragraph" w:styleId="1321" w:customStyle="1">
    <w:name w:val="成文日期"/>
    <w:basedOn w:val="892"/>
    <w:link w:val="1322"/>
    <w:uiPriority w:val="0"/>
    <w:qFormat/>
    <w:pPr>
      <w:ind w:right="400" w:firstLine="200"/>
      <w:jc w:val="right"/>
      <w:spacing w:line="570" w:lineRule="exact"/>
    </w:pPr>
    <w:rPr>
      <w:rFonts w:ascii="仿宋_GB2312" w:eastAsia="仿宋_GB2312"/>
      <w:sz w:val="32"/>
      <w:szCs w:val="20"/>
    </w:rPr>
  </w:style>
  <w:style w:type="character" w:styleId="1322" w:customStyle="1">
    <w:name w:val="成文日期 Char"/>
    <w:link w:val="1321"/>
    <w:uiPriority w:val="0"/>
    <w:qFormat/>
    <w:rPr>
      <w:rFonts w:ascii="仿宋_GB2312" w:eastAsia="仿宋_GB2312"/>
      <w:sz w:val="32"/>
    </w:rPr>
  </w:style>
  <w:style w:type="paragraph" w:styleId="1323" w:customStyle="1">
    <w:name w:val="无间隔1"/>
    <w:basedOn w:val="892"/>
    <w:uiPriority w:val="0"/>
    <w:qFormat/>
    <w:rPr>
      <w:szCs w:val="20"/>
    </w:rPr>
  </w:style>
  <w:style w:type="paragraph" w:styleId="132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标题 21"/>
    <w:next w:val="892"/>
    <w:uiPriority w:val="0"/>
    <w:qFormat/>
    <w:pPr>
      <w:jc w:val="center"/>
      <w:keepLines/>
      <w:keepNext/>
      <w:spacing w:before="120" w:line="300" w:lineRule="auto"/>
      <w:widowControl w:val="off"/>
      <w:outlineLvl w:val="1"/>
    </w:pPr>
    <w:rPr>
      <w:rFonts w:hint="default" w:ascii="Arial" w:hAnsi="Arial" w:eastAsia="黑体" w:cs="Times New Roman"/>
      <w:b/>
      <w:sz w:val="30"/>
      <w:szCs w:val="20"/>
      <w:lang w:val="en-US" w:eastAsia="zh-CN" w:bidi="ar-SA"/>
    </w:rPr>
  </w:style>
  <w:style w:type="paragraph" w:styleId="1326" w:customStyle="1">
    <w:name w:val="Table Text"/>
    <w:basedOn w:val="892"/>
    <w:uiPriority w:val="0"/>
    <w:semiHidden/>
    <w:qFormat/>
    <w:rPr>
      <w:rFonts w:ascii="宋体" w:hAnsi="宋体" w:eastAsia="宋体" w:cs="宋体"/>
      <w:sz w:val="24"/>
      <w:szCs w:val="24"/>
      <w:lang w:val="en-US" w:eastAsia="en-US" w:bidi="ar-SA"/>
    </w:rPr>
  </w:style>
  <w:style w:type="numbering" w:styleId="42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王欣怡</cp:lastModifiedBy>
  <cp:revision>12</cp:revision>
  <dcterms:created xsi:type="dcterms:W3CDTF">2022-05-30T08:03:00Z</dcterms:created>
  <dcterms:modified xsi:type="dcterms:W3CDTF">2026-06-25T06:53:07Z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eyJoZGlkIjoiMTdiOWQzYTU4M2U1MWQ3YmUzMjMyZmZlMTI5MmUzMGIiLCJ1c2VySWQiOiIxMDMwNjYzODU5In0=</vt:lpwstr>
  </property>
  <property fmtid="{D5CDD505-2E9C-101B-9397-08002B2CF9AE}" pid="3" name="KSOProductBuildVer">
    <vt:lpwstr>2052-12.1.0.26895</vt:lpwstr>
  </property>
  <property fmtid="{D5CDD505-2E9C-101B-9397-08002B2CF9AE}" pid="4" name="ICV">
    <vt:lpwstr>2BE2FEFF80A4410193F6ED00DCB47663_13</vt:lpwstr>
  </property>
</Properties>
</file>